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148CC9">
      <w:pPr>
        <w:jc w:val="center"/>
        <w:rPr>
          <w:rFonts w:ascii="宋体" w:hAnsi="宋体" w:cs="宋体"/>
          <w:b/>
          <w:color w:val="auto"/>
          <w:kern w:val="0"/>
          <w:sz w:val="44"/>
          <w:szCs w:val="44"/>
          <w:highlight w:val="none"/>
        </w:rPr>
      </w:pPr>
      <w:bookmarkStart w:id="0" w:name="_Toc296602400"/>
      <w:bookmarkStart w:id="1" w:name="_Toc247085669"/>
      <w:bookmarkStart w:id="2" w:name="_Toc324404811"/>
      <w:bookmarkStart w:id="3" w:name="_Toc461631222"/>
      <w:bookmarkStart w:id="4" w:name="_Toc15058843"/>
      <w:bookmarkStart w:id="5" w:name="_Toc506107265"/>
      <w:bookmarkStart w:id="6" w:name="_Toc246996898"/>
      <w:bookmarkStart w:id="7" w:name="OLE_LINK5"/>
      <w:bookmarkStart w:id="8" w:name="OLE_LINK3"/>
      <w:bookmarkStart w:id="9" w:name="OLE_LINK2"/>
      <w:bookmarkStart w:id="10" w:name="OLE_LINK1"/>
      <w:bookmarkStart w:id="11" w:name="OLE_LINK4"/>
    </w:p>
    <w:p w14:paraId="03BEA7F1">
      <w:pPr>
        <w:pStyle w:val="14"/>
        <w:ind w:firstLine="420"/>
        <w:rPr>
          <w:color w:val="auto"/>
          <w:highlight w:val="none"/>
        </w:rPr>
      </w:pPr>
    </w:p>
    <w:p w14:paraId="183E3389">
      <w:pPr>
        <w:pStyle w:val="14"/>
        <w:ind w:left="0" w:leftChars="0" w:firstLine="0" w:firstLineChars="0"/>
        <w:jc w:val="center"/>
        <w:rPr>
          <w:color w:val="auto"/>
          <w:sz w:val="22"/>
          <w:szCs w:val="21"/>
          <w:highlight w:val="none"/>
        </w:rPr>
      </w:pPr>
      <w:r>
        <w:rPr>
          <w:rFonts w:hint="eastAsia" w:hAnsi="宋体" w:cs="宋体"/>
          <w:b/>
          <w:color w:val="auto"/>
          <w:kern w:val="0"/>
          <w:sz w:val="44"/>
          <w:szCs w:val="44"/>
          <w:highlight w:val="none"/>
          <w:lang w:eastAsia="zh-CN"/>
        </w:rPr>
        <w:t>2026年滁宁公司房屋修缮工程</w:t>
      </w:r>
    </w:p>
    <w:p w14:paraId="1C9996FB">
      <w:pPr>
        <w:jc w:val="center"/>
        <w:rPr>
          <w:rFonts w:ascii="宋体" w:hAnsi="宋体"/>
          <w:color w:val="auto"/>
          <w:sz w:val="96"/>
          <w:szCs w:val="96"/>
          <w:highlight w:val="none"/>
        </w:rPr>
      </w:pPr>
    </w:p>
    <w:p w14:paraId="2A2621CC">
      <w:pPr>
        <w:pStyle w:val="14"/>
        <w:rPr>
          <w:color w:val="auto"/>
          <w:highlight w:val="none"/>
        </w:rPr>
      </w:pPr>
    </w:p>
    <w:p w14:paraId="4BB8E937">
      <w:pPr>
        <w:jc w:val="center"/>
        <w:rPr>
          <w:color w:val="auto"/>
          <w:sz w:val="28"/>
          <w:szCs w:val="28"/>
          <w:highlight w:val="none"/>
        </w:rPr>
      </w:pPr>
      <w:r>
        <w:rPr>
          <w:rFonts w:hint="eastAsia" w:ascii="宋体" w:hAnsi="宋体"/>
          <w:b/>
          <w:bCs/>
          <w:color w:val="auto"/>
          <w:sz w:val="96"/>
          <w:szCs w:val="96"/>
          <w:highlight w:val="none"/>
        </w:rPr>
        <w:t>招</w:t>
      </w:r>
      <w:r>
        <w:rPr>
          <w:rFonts w:hint="eastAsia" w:ascii="宋体" w:hAnsi="宋体"/>
          <w:b/>
          <w:bCs/>
          <w:color w:val="auto"/>
          <w:sz w:val="96"/>
          <w:szCs w:val="96"/>
          <w:highlight w:val="none"/>
          <w:lang w:val="en-US" w:eastAsia="zh-CN"/>
        </w:rPr>
        <w:t xml:space="preserve"> </w:t>
      </w:r>
      <w:r>
        <w:rPr>
          <w:rFonts w:hint="eastAsia" w:ascii="宋体"/>
          <w:b/>
          <w:bCs/>
          <w:color w:val="auto"/>
          <w:sz w:val="96"/>
          <w:szCs w:val="96"/>
          <w:highlight w:val="none"/>
        </w:rPr>
        <w:t>标</w:t>
      </w:r>
      <w:r>
        <w:rPr>
          <w:rFonts w:hint="eastAsia" w:ascii="宋体"/>
          <w:b/>
          <w:bCs/>
          <w:color w:val="auto"/>
          <w:sz w:val="96"/>
          <w:szCs w:val="96"/>
          <w:highlight w:val="none"/>
          <w:lang w:val="en-US" w:eastAsia="zh-CN"/>
        </w:rPr>
        <w:t xml:space="preserve"> </w:t>
      </w:r>
      <w:r>
        <w:rPr>
          <w:rFonts w:hint="eastAsia" w:ascii="宋体" w:hAnsi="宋体"/>
          <w:b/>
          <w:bCs/>
          <w:color w:val="auto"/>
          <w:sz w:val="96"/>
          <w:szCs w:val="96"/>
          <w:highlight w:val="none"/>
        </w:rPr>
        <w:t>文</w:t>
      </w:r>
      <w:r>
        <w:rPr>
          <w:rFonts w:hint="eastAsia" w:ascii="宋体" w:hAnsi="宋体"/>
          <w:b/>
          <w:bCs/>
          <w:color w:val="auto"/>
          <w:sz w:val="96"/>
          <w:szCs w:val="96"/>
          <w:highlight w:val="none"/>
          <w:lang w:val="en-US" w:eastAsia="zh-CN"/>
        </w:rPr>
        <w:t xml:space="preserve"> </w:t>
      </w:r>
      <w:r>
        <w:rPr>
          <w:rFonts w:hint="eastAsia" w:ascii="宋体" w:hAnsi="宋体"/>
          <w:b/>
          <w:bCs/>
          <w:color w:val="auto"/>
          <w:sz w:val="96"/>
          <w:szCs w:val="96"/>
          <w:highlight w:val="none"/>
        </w:rPr>
        <w:t>件</w:t>
      </w:r>
    </w:p>
    <w:p w14:paraId="201544BF">
      <w:pPr>
        <w:spacing w:line="400" w:lineRule="exact"/>
        <w:jc w:val="center"/>
        <w:rPr>
          <w:rFonts w:ascii="宋体" w:hAnsi="宋体"/>
          <w:b/>
          <w:color w:val="auto"/>
          <w:sz w:val="39"/>
          <w:highlight w:val="none"/>
        </w:rPr>
      </w:pPr>
    </w:p>
    <w:p w14:paraId="691FE4D6">
      <w:pPr>
        <w:spacing w:line="800" w:lineRule="exact"/>
        <w:ind w:firstLine="2100" w:firstLineChars="700"/>
        <w:rPr>
          <w:rFonts w:hint="default" w:ascii="宋体" w:cs="Times New Roman"/>
          <w:color w:val="auto"/>
          <w:sz w:val="30"/>
          <w:szCs w:val="30"/>
          <w:highlight w:val="none"/>
          <w:u w:val="none"/>
          <w:lang w:val="en-US" w:eastAsia="zh-CN"/>
        </w:rPr>
      </w:pPr>
      <w:r>
        <w:rPr>
          <w:rFonts w:hint="eastAsia" w:ascii="宋体" w:cs="Times New Roman"/>
          <w:color w:val="auto"/>
          <w:sz w:val="30"/>
          <w:szCs w:val="30"/>
          <w:highlight w:val="none"/>
          <w:u w:val="none"/>
          <w:lang w:val="en-US" w:eastAsia="zh-CN"/>
        </w:rPr>
        <w:t>项目编号：HXJY1110001050510</w:t>
      </w:r>
      <w:r>
        <w:rPr>
          <w:rFonts w:hint="eastAsia" w:ascii="宋体" w:cs="Times New Roman"/>
          <w:color w:val="auto"/>
          <w:sz w:val="30"/>
          <w:szCs w:val="30"/>
          <w:highlight w:val="none"/>
          <w:u w:val="none"/>
          <w:lang w:val="en-US" w:eastAsia="zh-CN"/>
        </w:rPr>
        <w:t>001001</w:t>
      </w:r>
    </w:p>
    <w:p w14:paraId="7E411827">
      <w:pPr>
        <w:pStyle w:val="14"/>
        <w:rPr>
          <w:color w:val="auto"/>
          <w:highlight w:val="none"/>
        </w:rPr>
      </w:pPr>
    </w:p>
    <w:p w14:paraId="6CF62471">
      <w:pPr>
        <w:rPr>
          <w:color w:val="auto"/>
          <w:highlight w:val="none"/>
        </w:rPr>
      </w:pPr>
    </w:p>
    <w:p w14:paraId="276FE2C2">
      <w:pPr>
        <w:pStyle w:val="14"/>
        <w:rPr>
          <w:color w:val="auto"/>
          <w:highlight w:val="none"/>
        </w:rPr>
      </w:pPr>
    </w:p>
    <w:p w14:paraId="3BD0CE75">
      <w:pPr>
        <w:rPr>
          <w:color w:val="auto"/>
          <w:highlight w:val="none"/>
        </w:rPr>
      </w:pPr>
    </w:p>
    <w:p w14:paraId="31EEA548">
      <w:pPr>
        <w:pStyle w:val="14"/>
        <w:rPr>
          <w:color w:val="auto"/>
          <w:highlight w:val="none"/>
        </w:rPr>
      </w:pPr>
    </w:p>
    <w:p w14:paraId="6EBADFFD">
      <w:pPr>
        <w:rPr>
          <w:color w:val="auto"/>
          <w:highlight w:val="none"/>
        </w:rPr>
      </w:pPr>
    </w:p>
    <w:p w14:paraId="57C971B3">
      <w:pPr>
        <w:pStyle w:val="14"/>
        <w:rPr>
          <w:color w:val="auto"/>
          <w:highlight w:val="none"/>
        </w:rPr>
      </w:pPr>
    </w:p>
    <w:p w14:paraId="00CEC72B">
      <w:pPr>
        <w:rPr>
          <w:color w:val="auto"/>
          <w:highlight w:val="none"/>
        </w:rPr>
      </w:pPr>
    </w:p>
    <w:p w14:paraId="0FB3EFCA">
      <w:pPr>
        <w:pStyle w:val="14"/>
        <w:rPr>
          <w:color w:val="auto"/>
          <w:highlight w:val="none"/>
        </w:rPr>
      </w:pPr>
    </w:p>
    <w:p w14:paraId="34E1CE7D">
      <w:pPr>
        <w:spacing w:line="720" w:lineRule="exact"/>
        <w:rPr>
          <w:b/>
          <w:bCs/>
          <w:color w:val="auto"/>
          <w:sz w:val="28"/>
          <w:szCs w:val="28"/>
          <w:highlight w:val="none"/>
        </w:rPr>
      </w:pPr>
    </w:p>
    <w:p w14:paraId="73A49FE4">
      <w:pPr>
        <w:spacing w:line="720" w:lineRule="exact"/>
        <w:rPr>
          <w:b/>
          <w:bCs/>
          <w:color w:val="auto"/>
          <w:sz w:val="28"/>
          <w:szCs w:val="28"/>
          <w:highlight w:val="none"/>
        </w:rPr>
      </w:pPr>
    </w:p>
    <w:p w14:paraId="600C11DF">
      <w:pPr>
        <w:spacing w:line="800" w:lineRule="exact"/>
        <w:ind w:firstLine="600" w:firstLineChars="200"/>
        <w:rPr>
          <w:rFonts w:hint="default" w:ascii="宋体" w:hAnsi="Times New Roman" w:eastAsia="宋体" w:cs="Times New Roman"/>
          <w:color w:val="auto"/>
          <w:sz w:val="30"/>
          <w:szCs w:val="30"/>
          <w:highlight w:val="none"/>
          <w:u w:val="single"/>
          <w:lang w:val="en-US" w:eastAsia="zh-CN"/>
        </w:rPr>
      </w:pPr>
      <w:r>
        <w:rPr>
          <w:rFonts w:hint="eastAsia"/>
          <w:bCs/>
          <w:color w:val="auto"/>
          <w:sz w:val="30"/>
          <w:szCs w:val="30"/>
          <w:highlight w:val="none"/>
        </w:rPr>
        <w:t>招</w:t>
      </w:r>
      <w:r>
        <w:rPr>
          <w:rFonts w:hint="eastAsia"/>
          <w:bCs/>
          <w:color w:val="auto"/>
          <w:sz w:val="30"/>
          <w:szCs w:val="30"/>
          <w:highlight w:val="none"/>
          <w:lang w:val="en-US" w:eastAsia="zh-CN"/>
        </w:rPr>
        <w:t xml:space="preserve">  </w:t>
      </w:r>
      <w:r>
        <w:rPr>
          <w:rFonts w:hint="eastAsia"/>
          <w:bCs/>
          <w:color w:val="auto"/>
          <w:sz w:val="30"/>
          <w:szCs w:val="30"/>
          <w:highlight w:val="none"/>
        </w:rPr>
        <w:t>标</w:t>
      </w:r>
      <w:r>
        <w:rPr>
          <w:rFonts w:hint="eastAsia"/>
          <w:bCs/>
          <w:color w:val="auto"/>
          <w:sz w:val="30"/>
          <w:szCs w:val="30"/>
          <w:highlight w:val="none"/>
          <w:lang w:val="en-US" w:eastAsia="zh-CN"/>
        </w:rPr>
        <w:t xml:space="preserve">  人</w:t>
      </w:r>
      <w:r>
        <w:rPr>
          <w:rFonts w:hint="eastAsia"/>
          <w:bCs/>
          <w:color w:val="auto"/>
          <w:sz w:val="30"/>
          <w:szCs w:val="30"/>
          <w:highlight w:val="none"/>
        </w:rPr>
        <w:t>：</w:t>
      </w:r>
      <w:r>
        <w:rPr>
          <w:rFonts w:hint="eastAsia"/>
          <w:bCs/>
          <w:color w:val="auto"/>
          <w:sz w:val="30"/>
          <w:szCs w:val="30"/>
          <w:highlight w:val="none"/>
          <w:u w:val="single"/>
          <w:lang w:val="en-US" w:eastAsia="zh-CN"/>
        </w:rPr>
        <w:t xml:space="preserve">  </w:t>
      </w:r>
      <w:r>
        <w:rPr>
          <w:rFonts w:hint="eastAsia" w:ascii="宋体" w:cs="Times New Roman"/>
          <w:color w:val="auto"/>
          <w:sz w:val="30"/>
          <w:szCs w:val="30"/>
          <w:highlight w:val="none"/>
          <w:u w:val="single"/>
          <w:lang w:eastAsia="zh-CN"/>
        </w:rPr>
        <w:t>安徽滁宁高速公路股份有限公司</w:t>
      </w:r>
      <w:r>
        <w:rPr>
          <w:rFonts w:hint="eastAsia" w:ascii="宋体" w:cs="Times New Roman"/>
          <w:color w:val="auto"/>
          <w:sz w:val="30"/>
          <w:szCs w:val="30"/>
          <w:highlight w:val="none"/>
          <w:u w:val="single"/>
          <w:lang w:val="en-US" w:eastAsia="zh-CN"/>
        </w:rPr>
        <w:t xml:space="preserve">  </w:t>
      </w:r>
    </w:p>
    <w:p w14:paraId="2C39D907">
      <w:pPr>
        <w:spacing w:line="800" w:lineRule="exact"/>
        <w:ind w:firstLine="600" w:firstLineChars="200"/>
        <w:rPr>
          <w:bCs/>
          <w:color w:val="auto"/>
          <w:spacing w:val="-20"/>
          <w:sz w:val="30"/>
          <w:szCs w:val="30"/>
          <w:highlight w:val="none"/>
          <w:u w:val="thick"/>
        </w:rPr>
      </w:pPr>
      <w:r>
        <w:rPr>
          <w:rFonts w:hint="eastAsia"/>
          <w:bCs/>
          <w:color w:val="auto"/>
          <w:sz w:val="30"/>
          <w:szCs w:val="30"/>
          <w:highlight w:val="none"/>
        </w:rPr>
        <w:t>招标代理机构：</w:t>
      </w:r>
      <w:r>
        <w:rPr>
          <w:rFonts w:hint="eastAsia" w:ascii="宋体"/>
          <w:color w:val="auto"/>
          <w:sz w:val="30"/>
          <w:szCs w:val="30"/>
          <w:highlight w:val="none"/>
          <w:u w:val="single"/>
        </w:rPr>
        <w:t>滁州市城投工程咨询管理有限公司</w:t>
      </w:r>
    </w:p>
    <w:p w14:paraId="2CFDB883">
      <w:pPr>
        <w:spacing w:before="156" w:beforeLines="50" w:after="156" w:afterLines="50" w:line="700" w:lineRule="exact"/>
        <w:jc w:val="center"/>
        <w:rPr>
          <w:rFonts w:ascii="宋体"/>
          <w:b w:val="0"/>
          <w:bCs/>
          <w:color w:val="auto"/>
          <w:sz w:val="32"/>
          <w:szCs w:val="32"/>
          <w:highlight w:val="none"/>
        </w:rPr>
      </w:pPr>
      <w:r>
        <w:rPr>
          <w:rFonts w:hint="eastAsia" w:ascii="宋体"/>
          <w:b w:val="0"/>
          <w:bCs/>
          <w:color w:val="auto"/>
          <w:sz w:val="32"/>
          <w:szCs w:val="32"/>
          <w:highlight w:val="none"/>
          <w:u w:val="single"/>
          <w:lang w:eastAsia="zh-CN"/>
        </w:rPr>
        <w:t>202</w:t>
      </w:r>
      <w:r>
        <w:rPr>
          <w:rFonts w:hint="eastAsia" w:ascii="宋体"/>
          <w:b w:val="0"/>
          <w:bCs/>
          <w:color w:val="auto"/>
          <w:sz w:val="32"/>
          <w:szCs w:val="32"/>
          <w:highlight w:val="none"/>
          <w:u w:val="single"/>
          <w:lang w:val="en-US" w:eastAsia="zh-CN"/>
        </w:rPr>
        <w:t>6</w:t>
      </w:r>
      <w:r>
        <w:rPr>
          <w:rFonts w:hint="eastAsia" w:ascii="宋体"/>
          <w:b w:val="0"/>
          <w:bCs/>
          <w:color w:val="auto"/>
          <w:sz w:val="32"/>
          <w:szCs w:val="32"/>
          <w:highlight w:val="none"/>
          <w:u w:val="none"/>
          <w:lang w:eastAsia="zh-CN"/>
        </w:rPr>
        <w:t>年</w:t>
      </w:r>
      <w:r>
        <w:rPr>
          <w:rFonts w:hint="eastAsia" w:ascii="宋体"/>
          <w:b w:val="0"/>
          <w:bCs/>
          <w:color w:val="auto"/>
          <w:sz w:val="32"/>
          <w:szCs w:val="32"/>
          <w:highlight w:val="none"/>
          <w:u w:val="single"/>
          <w:lang w:val="en-US" w:eastAsia="zh-CN"/>
        </w:rPr>
        <w:t xml:space="preserve"> 1</w:t>
      </w:r>
      <w:r>
        <w:rPr>
          <w:rFonts w:hint="eastAsia" w:ascii="宋体"/>
          <w:b w:val="0"/>
          <w:bCs/>
          <w:color w:val="auto"/>
          <w:sz w:val="32"/>
          <w:szCs w:val="32"/>
          <w:highlight w:val="none"/>
        </w:rPr>
        <w:t>月</w:t>
      </w:r>
      <w:r>
        <w:rPr>
          <w:rFonts w:hint="eastAsia" w:ascii="宋体"/>
          <w:b w:val="0"/>
          <w:bCs/>
          <w:color w:val="auto"/>
          <w:sz w:val="32"/>
          <w:szCs w:val="32"/>
          <w:highlight w:val="none"/>
          <w:u w:val="single"/>
          <w:lang w:val="en-US" w:eastAsia="zh-CN"/>
        </w:rPr>
        <w:t xml:space="preserve"> 15 </w:t>
      </w:r>
      <w:r>
        <w:rPr>
          <w:rFonts w:hint="eastAsia" w:ascii="宋体"/>
          <w:b w:val="0"/>
          <w:bCs/>
          <w:color w:val="auto"/>
          <w:sz w:val="32"/>
          <w:szCs w:val="32"/>
          <w:highlight w:val="none"/>
        </w:rPr>
        <w:t>日</w:t>
      </w:r>
    </w:p>
    <w:p w14:paraId="0AB791E7">
      <w:pPr>
        <w:jc w:val="center"/>
        <w:rPr>
          <w:color w:val="auto"/>
          <w:sz w:val="44"/>
          <w:szCs w:val="44"/>
          <w:highlight w:val="none"/>
        </w:rPr>
        <w:sectPr>
          <w:headerReference r:id="rId3" w:type="default"/>
          <w:footerReference r:id="rId4" w:type="default"/>
          <w:pgSz w:w="11906" w:h="16838"/>
          <w:pgMar w:top="1134" w:right="1417" w:bottom="1134" w:left="1417" w:header="851" w:footer="992" w:gutter="0"/>
          <w:cols w:space="720" w:num="1"/>
          <w:docGrid w:type="lines" w:linePitch="312" w:charSpace="0"/>
        </w:sectPr>
      </w:pPr>
    </w:p>
    <w:p w14:paraId="738D69FE">
      <w:pPr>
        <w:spacing w:line="700" w:lineRule="exact"/>
        <w:jc w:val="center"/>
        <w:rPr>
          <w:rFonts w:hint="eastAsia"/>
          <w:color w:val="auto"/>
          <w:sz w:val="44"/>
          <w:szCs w:val="44"/>
          <w:highlight w:val="none"/>
        </w:rPr>
      </w:pPr>
    </w:p>
    <w:p w14:paraId="09796EC2">
      <w:pPr>
        <w:spacing w:line="700" w:lineRule="exact"/>
        <w:jc w:val="center"/>
        <w:rPr>
          <w:color w:val="auto"/>
          <w:sz w:val="44"/>
          <w:szCs w:val="44"/>
          <w:highlight w:val="none"/>
        </w:rPr>
      </w:pPr>
      <w:r>
        <w:rPr>
          <w:rFonts w:hint="eastAsia"/>
          <w:color w:val="auto"/>
          <w:sz w:val="44"/>
          <w:szCs w:val="44"/>
          <w:highlight w:val="none"/>
        </w:rPr>
        <w:t>目   录</w:t>
      </w:r>
      <w:bookmarkEnd w:id="0"/>
      <w:bookmarkEnd w:id="1"/>
      <w:bookmarkEnd w:id="2"/>
      <w:bookmarkEnd w:id="3"/>
      <w:bookmarkEnd w:id="4"/>
      <w:bookmarkEnd w:id="5"/>
      <w:bookmarkEnd w:id="6"/>
      <w:bookmarkStart w:id="12" w:name="_Toc152042287"/>
      <w:bookmarkStart w:id="13" w:name="_Toc152045511"/>
      <w:bookmarkStart w:id="14" w:name="_Toc179632527"/>
      <w:bookmarkStart w:id="15" w:name="_Toc144974479"/>
    </w:p>
    <w:p w14:paraId="3C53E9AE">
      <w:pPr>
        <w:pStyle w:val="31"/>
        <w:tabs>
          <w:tab w:val="right" w:leader="dot" w:pos="9460"/>
        </w:tabs>
        <w:rPr>
          <w:rFonts w:ascii="Calibri" w:hAnsi="Calibri"/>
          <w:b w:val="0"/>
          <w:bCs w:val="0"/>
          <w:caps w:val="0"/>
          <w:color w:val="auto"/>
          <w:sz w:val="32"/>
          <w:szCs w:val="22"/>
          <w:highlight w:val="none"/>
        </w:rPr>
      </w:pPr>
      <w:r>
        <w:rPr>
          <w:rStyle w:val="58"/>
          <w:color w:val="auto"/>
          <w:sz w:val="28"/>
          <w:highlight w:val="none"/>
        </w:rPr>
        <w:fldChar w:fldCharType="begin"/>
      </w:r>
      <w:r>
        <w:rPr>
          <w:rStyle w:val="58"/>
          <w:color w:val="auto"/>
          <w:sz w:val="28"/>
          <w:highlight w:val="none"/>
        </w:rPr>
        <w:instrText xml:space="preserve"> </w:instrText>
      </w:r>
      <w:r>
        <w:rPr>
          <w:color w:val="auto"/>
          <w:sz w:val="28"/>
          <w:highlight w:val="none"/>
        </w:rPr>
        <w:instrText xml:space="preserve">HYPERLINK \l "_Toc95223332"</w:instrText>
      </w:r>
      <w:r>
        <w:rPr>
          <w:rStyle w:val="58"/>
          <w:color w:val="auto"/>
          <w:sz w:val="28"/>
          <w:highlight w:val="none"/>
        </w:rPr>
        <w:instrText xml:space="preserve"> </w:instrText>
      </w:r>
      <w:r>
        <w:rPr>
          <w:rStyle w:val="58"/>
          <w:color w:val="auto"/>
          <w:sz w:val="28"/>
          <w:highlight w:val="none"/>
        </w:rPr>
        <w:fldChar w:fldCharType="separate"/>
      </w:r>
      <w:r>
        <w:rPr>
          <w:rStyle w:val="58"/>
          <w:rFonts w:hint="eastAsia"/>
          <w:color w:val="auto"/>
          <w:sz w:val="28"/>
          <w:highlight w:val="none"/>
        </w:rPr>
        <w:t>第一章</w:t>
      </w:r>
      <w:r>
        <w:rPr>
          <w:rStyle w:val="58"/>
          <w:color w:val="auto"/>
          <w:sz w:val="28"/>
          <w:highlight w:val="none"/>
        </w:rPr>
        <w:t xml:space="preserve"> </w:t>
      </w:r>
      <w:r>
        <w:rPr>
          <w:rStyle w:val="58"/>
          <w:rFonts w:hint="eastAsia"/>
          <w:color w:val="auto"/>
          <w:sz w:val="28"/>
          <w:highlight w:val="none"/>
        </w:rPr>
        <w:t>招标公告</w:t>
      </w:r>
      <w:r>
        <w:rPr>
          <w:color w:val="auto"/>
          <w:sz w:val="28"/>
          <w:highlight w:val="none"/>
        </w:rPr>
        <w:tab/>
      </w:r>
      <w:r>
        <w:rPr>
          <w:color w:val="auto"/>
          <w:sz w:val="28"/>
          <w:highlight w:val="none"/>
        </w:rPr>
        <w:fldChar w:fldCharType="begin"/>
      </w:r>
      <w:r>
        <w:rPr>
          <w:color w:val="auto"/>
          <w:sz w:val="28"/>
          <w:highlight w:val="none"/>
        </w:rPr>
        <w:instrText xml:space="preserve"> PAGEREF _Toc95223332 \h </w:instrText>
      </w:r>
      <w:r>
        <w:rPr>
          <w:color w:val="auto"/>
          <w:sz w:val="28"/>
          <w:highlight w:val="none"/>
        </w:rPr>
        <w:fldChar w:fldCharType="separate"/>
      </w:r>
      <w:r>
        <w:rPr>
          <w:color w:val="auto"/>
          <w:sz w:val="28"/>
          <w:highlight w:val="none"/>
        </w:rPr>
        <w:t>1</w:t>
      </w:r>
      <w:r>
        <w:rPr>
          <w:color w:val="auto"/>
          <w:sz w:val="28"/>
          <w:highlight w:val="none"/>
        </w:rPr>
        <w:fldChar w:fldCharType="end"/>
      </w:r>
      <w:r>
        <w:rPr>
          <w:rStyle w:val="58"/>
          <w:color w:val="auto"/>
          <w:sz w:val="28"/>
          <w:highlight w:val="none"/>
        </w:rPr>
        <w:fldChar w:fldCharType="end"/>
      </w:r>
    </w:p>
    <w:p w14:paraId="0460FC51">
      <w:pPr>
        <w:pStyle w:val="31"/>
        <w:tabs>
          <w:tab w:val="right" w:leader="dot" w:pos="9460"/>
        </w:tabs>
        <w:rPr>
          <w:rFonts w:ascii="Calibri" w:hAnsi="Calibri"/>
          <w:b w:val="0"/>
          <w:bCs w:val="0"/>
          <w:caps w:val="0"/>
          <w:color w:val="auto"/>
          <w:sz w:val="32"/>
          <w:szCs w:val="22"/>
          <w:highlight w:val="none"/>
        </w:rPr>
      </w:pPr>
      <w:r>
        <w:rPr>
          <w:rStyle w:val="58"/>
          <w:color w:val="auto"/>
          <w:sz w:val="28"/>
          <w:highlight w:val="none"/>
        </w:rPr>
        <w:fldChar w:fldCharType="begin"/>
      </w:r>
      <w:r>
        <w:rPr>
          <w:rStyle w:val="58"/>
          <w:color w:val="auto"/>
          <w:sz w:val="28"/>
          <w:highlight w:val="none"/>
        </w:rPr>
        <w:instrText xml:space="preserve"> </w:instrText>
      </w:r>
      <w:r>
        <w:rPr>
          <w:color w:val="auto"/>
          <w:sz w:val="28"/>
          <w:highlight w:val="none"/>
        </w:rPr>
        <w:instrText xml:space="preserve">HYPERLINK \l "_Toc95223333"</w:instrText>
      </w:r>
      <w:r>
        <w:rPr>
          <w:rStyle w:val="58"/>
          <w:color w:val="auto"/>
          <w:sz w:val="28"/>
          <w:highlight w:val="none"/>
        </w:rPr>
        <w:instrText xml:space="preserve"> </w:instrText>
      </w:r>
      <w:r>
        <w:rPr>
          <w:rStyle w:val="58"/>
          <w:color w:val="auto"/>
          <w:sz w:val="28"/>
          <w:highlight w:val="none"/>
        </w:rPr>
        <w:fldChar w:fldCharType="separate"/>
      </w:r>
      <w:r>
        <w:rPr>
          <w:rStyle w:val="58"/>
          <w:rFonts w:hint="eastAsia"/>
          <w:color w:val="auto"/>
          <w:sz w:val="28"/>
          <w:highlight w:val="none"/>
        </w:rPr>
        <w:t>第二章</w:t>
      </w:r>
      <w:r>
        <w:rPr>
          <w:rStyle w:val="58"/>
          <w:color w:val="auto"/>
          <w:sz w:val="28"/>
          <w:highlight w:val="none"/>
        </w:rPr>
        <w:t xml:space="preserve"> </w:t>
      </w:r>
      <w:r>
        <w:rPr>
          <w:rStyle w:val="58"/>
          <w:rFonts w:hint="eastAsia"/>
          <w:color w:val="auto"/>
          <w:sz w:val="28"/>
          <w:highlight w:val="none"/>
        </w:rPr>
        <w:t>投标人须知</w:t>
      </w:r>
      <w:r>
        <w:rPr>
          <w:color w:val="auto"/>
          <w:sz w:val="28"/>
          <w:highlight w:val="none"/>
        </w:rPr>
        <w:tab/>
      </w:r>
      <w:r>
        <w:rPr>
          <w:rFonts w:hint="eastAsia"/>
          <w:color w:val="auto"/>
          <w:sz w:val="28"/>
          <w:highlight w:val="none"/>
          <w:lang w:val="en-US" w:eastAsia="zh-CN"/>
        </w:rPr>
        <w:t>4</w:t>
      </w:r>
      <w:r>
        <w:rPr>
          <w:rStyle w:val="58"/>
          <w:color w:val="auto"/>
          <w:sz w:val="28"/>
          <w:highlight w:val="none"/>
        </w:rPr>
        <w:fldChar w:fldCharType="end"/>
      </w:r>
    </w:p>
    <w:p w14:paraId="4117FED1">
      <w:pPr>
        <w:pStyle w:val="31"/>
        <w:tabs>
          <w:tab w:val="right" w:leader="dot" w:pos="9460"/>
        </w:tabs>
        <w:rPr>
          <w:rFonts w:hint="default" w:ascii="Calibri" w:hAnsi="Calibri" w:eastAsia="宋体"/>
          <w:b w:val="0"/>
          <w:bCs w:val="0"/>
          <w:caps w:val="0"/>
          <w:color w:val="auto"/>
          <w:sz w:val="32"/>
          <w:szCs w:val="22"/>
          <w:highlight w:val="none"/>
          <w:lang w:val="en-US" w:eastAsia="zh-CN"/>
        </w:rPr>
      </w:pPr>
      <w:r>
        <w:rPr>
          <w:rStyle w:val="58"/>
          <w:color w:val="auto"/>
          <w:sz w:val="28"/>
          <w:highlight w:val="none"/>
        </w:rPr>
        <w:fldChar w:fldCharType="begin"/>
      </w:r>
      <w:r>
        <w:rPr>
          <w:rStyle w:val="58"/>
          <w:color w:val="auto"/>
          <w:sz w:val="28"/>
          <w:highlight w:val="none"/>
        </w:rPr>
        <w:instrText xml:space="preserve"> </w:instrText>
      </w:r>
      <w:r>
        <w:rPr>
          <w:color w:val="auto"/>
          <w:sz w:val="28"/>
          <w:highlight w:val="none"/>
        </w:rPr>
        <w:instrText xml:space="preserve">HYPERLINK \l "_Toc95223391"</w:instrText>
      </w:r>
      <w:r>
        <w:rPr>
          <w:rStyle w:val="58"/>
          <w:color w:val="auto"/>
          <w:sz w:val="28"/>
          <w:highlight w:val="none"/>
        </w:rPr>
        <w:instrText xml:space="preserve"> </w:instrText>
      </w:r>
      <w:r>
        <w:rPr>
          <w:rStyle w:val="58"/>
          <w:color w:val="auto"/>
          <w:sz w:val="28"/>
          <w:highlight w:val="none"/>
        </w:rPr>
        <w:fldChar w:fldCharType="separate"/>
      </w:r>
      <w:r>
        <w:rPr>
          <w:rStyle w:val="58"/>
          <w:rFonts w:hint="eastAsia"/>
          <w:color w:val="auto"/>
          <w:sz w:val="28"/>
          <w:highlight w:val="none"/>
        </w:rPr>
        <w:t>第三章</w:t>
      </w:r>
      <w:r>
        <w:rPr>
          <w:rStyle w:val="58"/>
          <w:color w:val="auto"/>
          <w:sz w:val="28"/>
          <w:highlight w:val="none"/>
        </w:rPr>
        <w:t xml:space="preserve"> </w:t>
      </w:r>
      <w:r>
        <w:rPr>
          <w:rStyle w:val="58"/>
          <w:rFonts w:hint="eastAsia"/>
          <w:color w:val="auto"/>
          <w:sz w:val="28"/>
          <w:highlight w:val="none"/>
        </w:rPr>
        <w:t>资格审查办法</w:t>
      </w:r>
      <w:r>
        <w:rPr>
          <w:color w:val="auto"/>
          <w:sz w:val="28"/>
          <w:highlight w:val="none"/>
        </w:rPr>
        <w:tab/>
      </w:r>
      <w:r>
        <w:rPr>
          <w:rStyle w:val="58"/>
          <w:color w:val="auto"/>
          <w:sz w:val="28"/>
          <w:highlight w:val="none"/>
        </w:rPr>
        <w:fldChar w:fldCharType="end"/>
      </w:r>
      <w:r>
        <w:rPr>
          <w:rStyle w:val="58"/>
          <w:rFonts w:hint="eastAsia"/>
          <w:color w:val="auto"/>
          <w:sz w:val="28"/>
          <w:highlight w:val="none"/>
          <w:lang w:val="en-US" w:eastAsia="zh-CN"/>
        </w:rPr>
        <w:t>20</w:t>
      </w:r>
    </w:p>
    <w:p w14:paraId="278F67BB">
      <w:pPr>
        <w:pStyle w:val="31"/>
        <w:tabs>
          <w:tab w:val="right" w:leader="dot" w:pos="9460"/>
        </w:tabs>
        <w:rPr>
          <w:rFonts w:hint="eastAsia" w:ascii="Calibri" w:hAnsi="Calibri" w:eastAsia="宋体"/>
          <w:b w:val="0"/>
          <w:bCs w:val="0"/>
          <w:caps w:val="0"/>
          <w:color w:val="auto"/>
          <w:sz w:val="32"/>
          <w:szCs w:val="22"/>
          <w:highlight w:val="none"/>
          <w:lang w:val="en-US" w:eastAsia="zh-CN"/>
        </w:rPr>
      </w:pPr>
      <w:r>
        <w:rPr>
          <w:rStyle w:val="58"/>
          <w:color w:val="auto"/>
          <w:sz w:val="28"/>
          <w:highlight w:val="none"/>
        </w:rPr>
        <w:fldChar w:fldCharType="begin"/>
      </w:r>
      <w:r>
        <w:rPr>
          <w:rStyle w:val="58"/>
          <w:color w:val="auto"/>
          <w:sz w:val="28"/>
          <w:highlight w:val="none"/>
        </w:rPr>
        <w:instrText xml:space="preserve"> </w:instrText>
      </w:r>
      <w:r>
        <w:rPr>
          <w:color w:val="auto"/>
          <w:sz w:val="28"/>
          <w:highlight w:val="none"/>
        </w:rPr>
        <w:instrText xml:space="preserve">HYPERLINK \l "_Toc95223398"</w:instrText>
      </w:r>
      <w:r>
        <w:rPr>
          <w:rStyle w:val="58"/>
          <w:color w:val="auto"/>
          <w:sz w:val="28"/>
          <w:highlight w:val="none"/>
        </w:rPr>
        <w:instrText xml:space="preserve"> </w:instrText>
      </w:r>
      <w:r>
        <w:rPr>
          <w:rStyle w:val="58"/>
          <w:color w:val="auto"/>
          <w:sz w:val="28"/>
          <w:highlight w:val="none"/>
        </w:rPr>
        <w:fldChar w:fldCharType="separate"/>
      </w:r>
      <w:r>
        <w:rPr>
          <w:rStyle w:val="58"/>
          <w:rFonts w:hint="eastAsia"/>
          <w:color w:val="auto"/>
          <w:sz w:val="28"/>
          <w:highlight w:val="none"/>
        </w:rPr>
        <w:t>第四章</w:t>
      </w:r>
      <w:r>
        <w:rPr>
          <w:rStyle w:val="58"/>
          <w:color w:val="auto"/>
          <w:sz w:val="28"/>
          <w:highlight w:val="none"/>
        </w:rPr>
        <w:t xml:space="preserve"> </w:t>
      </w:r>
      <w:r>
        <w:rPr>
          <w:rStyle w:val="58"/>
          <w:rFonts w:hint="eastAsia"/>
          <w:color w:val="auto"/>
          <w:sz w:val="28"/>
          <w:highlight w:val="none"/>
        </w:rPr>
        <w:t>评标办法</w:t>
      </w:r>
      <w:bookmarkStart w:id="16" w:name="_Hlt95225442"/>
      <w:r>
        <w:rPr>
          <w:color w:val="auto"/>
          <w:sz w:val="28"/>
          <w:highlight w:val="none"/>
        </w:rPr>
        <w:tab/>
      </w:r>
      <w:bookmarkEnd w:id="16"/>
      <w:r>
        <w:rPr>
          <w:rFonts w:hint="eastAsia"/>
          <w:color w:val="auto"/>
          <w:sz w:val="28"/>
          <w:highlight w:val="none"/>
          <w:lang w:val="en-US" w:eastAsia="zh-CN"/>
        </w:rPr>
        <w:t>2</w:t>
      </w:r>
      <w:r>
        <w:rPr>
          <w:rStyle w:val="58"/>
          <w:color w:val="auto"/>
          <w:sz w:val="28"/>
          <w:highlight w:val="none"/>
        </w:rPr>
        <w:fldChar w:fldCharType="end"/>
      </w:r>
      <w:r>
        <w:rPr>
          <w:rStyle w:val="58"/>
          <w:rFonts w:hint="eastAsia"/>
          <w:color w:val="auto"/>
          <w:sz w:val="28"/>
          <w:highlight w:val="none"/>
          <w:lang w:val="en-US" w:eastAsia="zh-CN"/>
        </w:rPr>
        <w:t>2</w:t>
      </w:r>
    </w:p>
    <w:p w14:paraId="50BF535A">
      <w:pPr>
        <w:pStyle w:val="31"/>
        <w:tabs>
          <w:tab w:val="right" w:leader="dot" w:pos="9460"/>
        </w:tabs>
        <w:rPr>
          <w:rFonts w:hint="eastAsia" w:ascii="Calibri" w:hAnsi="Calibri" w:eastAsia="宋体"/>
          <w:b w:val="0"/>
          <w:bCs w:val="0"/>
          <w:caps w:val="0"/>
          <w:color w:val="auto"/>
          <w:sz w:val="32"/>
          <w:szCs w:val="22"/>
          <w:highlight w:val="none"/>
          <w:lang w:val="en-US" w:eastAsia="zh-CN"/>
        </w:rPr>
      </w:pPr>
      <w:r>
        <w:rPr>
          <w:rStyle w:val="58"/>
          <w:color w:val="auto"/>
          <w:sz w:val="28"/>
          <w:highlight w:val="none"/>
        </w:rPr>
        <w:fldChar w:fldCharType="begin"/>
      </w:r>
      <w:r>
        <w:rPr>
          <w:rStyle w:val="58"/>
          <w:color w:val="auto"/>
          <w:sz w:val="28"/>
          <w:highlight w:val="none"/>
        </w:rPr>
        <w:instrText xml:space="preserve"> </w:instrText>
      </w:r>
      <w:r>
        <w:rPr>
          <w:color w:val="auto"/>
          <w:sz w:val="28"/>
          <w:highlight w:val="none"/>
        </w:rPr>
        <w:instrText xml:space="preserve">HYPERLINK \l "_Toc95223458"</w:instrText>
      </w:r>
      <w:r>
        <w:rPr>
          <w:rStyle w:val="58"/>
          <w:color w:val="auto"/>
          <w:sz w:val="28"/>
          <w:highlight w:val="none"/>
        </w:rPr>
        <w:instrText xml:space="preserve"> </w:instrText>
      </w:r>
      <w:r>
        <w:rPr>
          <w:rStyle w:val="58"/>
          <w:color w:val="auto"/>
          <w:sz w:val="28"/>
          <w:highlight w:val="none"/>
        </w:rPr>
        <w:fldChar w:fldCharType="separate"/>
      </w:r>
      <w:r>
        <w:rPr>
          <w:rStyle w:val="58"/>
          <w:rFonts w:hint="eastAsia"/>
          <w:color w:val="auto"/>
          <w:sz w:val="28"/>
          <w:highlight w:val="none"/>
        </w:rPr>
        <w:t>第五章</w:t>
      </w:r>
      <w:r>
        <w:rPr>
          <w:rStyle w:val="58"/>
          <w:color w:val="auto"/>
          <w:sz w:val="28"/>
          <w:highlight w:val="none"/>
        </w:rPr>
        <w:t xml:space="preserve"> </w:t>
      </w:r>
      <w:r>
        <w:rPr>
          <w:rStyle w:val="58"/>
          <w:rFonts w:hint="eastAsia"/>
          <w:color w:val="auto"/>
          <w:sz w:val="28"/>
          <w:highlight w:val="none"/>
        </w:rPr>
        <w:t>合同条款及格式</w:t>
      </w:r>
      <w:r>
        <w:rPr>
          <w:color w:val="auto"/>
          <w:sz w:val="28"/>
          <w:highlight w:val="none"/>
        </w:rPr>
        <w:tab/>
      </w:r>
      <w:r>
        <w:rPr>
          <w:rFonts w:hint="eastAsia"/>
          <w:color w:val="auto"/>
          <w:sz w:val="28"/>
          <w:highlight w:val="none"/>
          <w:lang w:val="en-US" w:eastAsia="zh-CN"/>
        </w:rPr>
        <w:t>3</w:t>
      </w:r>
      <w:r>
        <w:rPr>
          <w:rStyle w:val="58"/>
          <w:color w:val="auto"/>
          <w:sz w:val="28"/>
          <w:highlight w:val="none"/>
        </w:rPr>
        <w:fldChar w:fldCharType="end"/>
      </w:r>
      <w:r>
        <w:rPr>
          <w:rStyle w:val="58"/>
          <w:rFonts w:hint="eastAsia"/>
          <w:color w:val="auto"/>
          <w:sz w:val="28"/>
          <w:highlight w:val="none"/>
          <w:lang w:val="en-US" w:eastAsia="zh-CN"/>
        </w:rPr>
        <w:t>3</w:t>
      </w:r>
    </w:p>
    <w:p w14:paraId="2E624EDC">
      <w:pPr>
        <w:pStyle w:val="31"/>
        <w:tabs>
          <w:tab w:val="right" w:leader="dot" w:pos="9460"/>
        </w:tabs>
        <w:rPr>
          <w:rFonts w:hint="eastAsia" w:ascii="Calibri" w:hAnsi="Calibri" w:eastAsia="宋体"/>
          <w:b w:val="0"/>
          <w:bCs w:val="0"/>
          <w:caps w:val="0"/>
          <w:color w:val="auto"/>
          <w:sz w:val="32"/>
          <w:szCs w:val="22"/>
          <w:highlight w:val="none"/>
          <w:lang w:val="en-US" w:eastAsia="zh-CN"/>
        </w:rPr>
      </w:pPr>
      <w:r>
        <w:rPr>
          <w:rStyle w:val="58"/>
          <w:color w:val="auto"/>
          <w:sz w:val="28"/>
          <w:highlight w:val="none"/>
        </w:rPr>
        <w:fldChar w:fldCharType="begin"/>
      </w:r>
      <w:r>
        <w:rPr>
          <w:rStyle w:val="58"/>
          <w:color w:val="auto"/>
          <w:sz w:val="28"/>
          <w:highlight w:val="none"/>
        </w:rPr>
        <w:instrText xml:space="preserve"> </w:instrText>
      </w:r>
      <w:r>
        <w:rPr>
          <w:color w:val="auto"/>
          <w:sz w:val="28"/>
          <w:highlight w:val="none"/>
        </w:rPr>
        <w:instrText xml:space="preserve">HYPERLINK \l "_Toc95223515"</w:instrText>
      </w:r>
      <w:r>
        <w:rPr>
          <w:rStyle w:val="58"/>
          <w:color w:val="auto"/>
          <w:sz w:val="28"/>
          <w:highlight w:val="none"/>
        </w:rPr>
        <w:instrText xml:space="preserve"> </w:instrText>
      </w:r>
      <w:r>
        <w:rPr>
          <w:rStyle w:val="58"/>
          <w:color w:val="auto"/>
          <w:sz w:val="28"/>
          <w:highlight w:val="none"/>
        </w:rPr>
        <w:fldChar w:fldCharType="separate"/>
      </w:r>
      <w:r>
        <w:rPr>
          <w:rStyle w:val="58"/>
          <w:rFonts w:hint="eastAsia" w:ascii="宋体" w:hAnsi="宋体" w:cs="宋体"/>
          <w:color w:val="auto"/>
          <w:kern w:val="44"/>
          <w:sz w:val="28"/>
          <w:highlight w:val="none"/>
        </w:rPr>
        <w:t>第六章 工程量清单</w:t>
      </w:r>
      <w:r>
        <w:rPr>
          <w:color w:val="auto"/>
          <w:sz w:val="28"/>
          <w:highlight w:val="none"/>
        </w:rPr>
        <w:tab/>
      </w:r>
      <w:r>
        <w:rPr>
          <w:rFonts w:hint="eastAsia"/>
          <w:color w:val="auto"/>
          <w:sz w:val="28"/>
          <w:highlight w:val="none"/>
          <w:lang w:val="en-US" w:eastAsia="zh-CN"/>
        </w:rPr>
        <w:t>7</w:t>
      </w:r>
      <w:r>
        <w:rPr>
          <w:rStyle w:val="58"/>
          <w:color w:val="auto"/>
          <w:sz w:val="28"/>
          <w:highlight w:val="none"/>
        </w:rPr>
        <w:fldChar w:fldCharType="end"/>
      </w:r>
      <w:r>
        <w:rPr>
          <w:rStyle w:val="58"/>
          <w:rFonts w:hint="eastAsia"/>
          <w:color w:val="auto"/>
          <w:sz w:val="28"/>
          <w:highlight w:val="none"/>
          <w:lang w:val="en-US" w:eastAsia="zh-CN"/>
        </w:rPr>
        <w:t>6</w:t>
      </w:r>
    </w:p>
    <w:p w14:paraId="3DCF61C3">
      <w:pPr>
        <w:pStyle w:val="31"/>
        <w:tabs>
          <w:tab w:val="right" w:leader="dot" w:pos="9460"/>
        </w:tabs>
        <w:rPr>
          <w:rFonts w:hint="eastAsia" w:ascii="Calibri" w:hAnsi="Calibri" w:eastAsia="宋体"/>
          <w:b w:val="0"/>
          <w:bCs w:val="0"/>
          <w:caps w:val="0"/>
          <w:color w:val="auto"/>
          <w:sz w:val="32"/>
          <w:szCs w:val="22"/>
          <w:highlight w:val="none"/>
          <w:lang w:val="en-US" w:eastAsia="zh-CN"/>
        </w:rPr>
      </w:pPr>
      <w:r>
        <w:rPr>
          <w:rStyle w:val="58"/>
          <w:color w:val="auto"/>
          <w:sz w:val="28"/>
          <w:highlight w:val="none"/>
        </w:rPr>
        <w:fldChar w:fldCharType="begin"/>
      </w:r>
      <w:r>
        <w:rPr>
          <w:rStyle w:val="58"/>
          <w:color w:val="auto"/>
          <w:sz w:val="28"/>
          <w:highlight w:val="none"/>
        </w:rPr>
        <w:instrText xml:space="preserve"> </w:instrText>
      </w:r>
      <w:r>
        <w:rPr>
          <w:color w:val="auto"/>
          <w:sz w:val="28"/>
          <w:highlight w:val="none"/>
        </w:rPr>
        <w:instrText xml:space="preserve">HYPERLINK \l "_Toc95223522"</w:instrText>
      </w:r>
      <w:r>
        <w:rPr>
          <w:rStyle w:val="58"/>
          <w:color w:val="auto"/>
          <w:sz w:val="28"/>
          <w:highlight w:val="none"/>
        </w:rPr>
        <w:instrText xml:space="preserve"> </w:instrText>
      </w:r>
      <w:r>
        <w:rPr>
          <w:rStyle w:val="58"/>
          <w:color w:val="auto"/>
          <w:sz w:val="28"/>
          <w:highlight w:val="none"/>
        </w:rPr>
        <w:fldChar w:fldCharType="separate"/>
      </w:r>
      <w:r>
        <w:rPr>
          <w:rStyle w:val="58"/>
          <w:rFonts w:hint="eastAsia" w:ascii="宋体" w:hAnsi="宋体" w:cs="宋体"/>
          <w:color w:val="auto"/>
          <w:kern w:val="44"/>
          <w:sz w:val="28"/>
          <w:highlight w:val="none"/>
        </w:rPr>
        <w:t>第七章</w:t>
      </w:r>
      <w:r>
        <w:rPr>
          <w:rStyle w:val="58"/>
          <w:rFonts w:ascii="宋体" w:hAnsi="宋体" w:cs="宋体"/>
          <w:color w:val="auto"/>
          <w:kern w:val="44"/>
          <w:sz w:val="28"/>
          <w:highlight w:val="none"/>
        </w:rPr>
        <w:t xml:space="preserve"> </w:t>
      </w:r>
      <w:r>
        <w:rPr>
          <w:rStyle w:val="58"/>
          <w:rFonts w:hint="eastAsia" w:ascii="宋体" w:hAnsi="宋体" w:cs="宋体"/>
          <w:color w:val="auto"/>
          <w:kern w:val="44"/>
          <w:sz w:val="28"/>
          <w:highlight w:val="none"/>
        </w:rPr>
        <w:t>图</w:t>
      </w:r>
      <w:r>
        <w:rPr>
          <w:rStyle w:val="58"/>
          <w:rFonts w:ascii="宋体" w:hAnsi="宋体" w:cs="宋体"/>
          <w:color w:val="auto"/>
          <w:kern w:val="44"/>
          <w:sz w:val="28"/>
          <w:highlight w:val="none"/>
        </w:rPr>
        <w:t xml:space="preserve">  </w:t>
      </w:r>
      <w:r>
        <w:rPr>
          <w:rStyle w:val="58"/>
          <w:rFonts w:hint="eastAsia" w:ascii="宋体" w:hAnsi="宋体" w:cs="宋体"/>
          <w:color w:val="auto"/>
          <w:kern w:val="44"/>
          <w:sz w:val="28"/>
          <w:highlight w:val="none"/>
        </w:rPr>
        <w:t>纸</w:t>
      </w:r>
      <w:r>
        <w:rPr>
          <w:color w:val="auto"/>
          <w:sz w:val="28"/>
          <w:highlight w:val="none"/>
        </w:rPr>
        <w:tab/>
      </w:r>
      <w:r>
        <w:rPr>
          <w:rFonts w:hint="eastAsia"/>
          <w:color w:val="auto"/>
          <w:sz w:val="28"/>
          <w:highlight w:val="none"/>
          <w:lang w:val="en-US" w:eastAsia="zh-CN"/>
        </w:rPr>
        <w:t>7</w:t>
      </w:r>
      <w:r>
        <w:rPr>
          <w:rStyle w:val="58"/>
          <w:color w:val="auto"/>
          <w:sz w:val="28"/>
          <w:highlight w:val="none"/>
        </w:rPr>
        <w:fldChar w:fldCharType="end"/>
      </w:r>
      <w:r>
        <w:rPr>
          <w:rStyle w:val="58"/>
          <w:rFonts w:hint="eastAsia"/>
          <w:color w:val="auto"/>
          <w:sz w:val="28"/>
          <w:highlight w:val="none"/>
          <w:lang w:val="en-US" w:eastAsia="zh-CN"/>
        </w:rPr>
        <w:t>6</w:t>
      </w:r>
    </w:p>
    <w:p w14:paraId="3AB8456F">
      <w:pPr>
        <w:pStyle w:val="31"/>
        <w:tabs>
          <w:tab w:val="right" w:leader="dot" w:pos="9460"/>
        </w:tabs>
        <w:rPr>
          <w:rFonts w:hint="eastAsia" w:ascii="Calibri" w:hAnsi="Calibri" w:eastAsia="宋体"/>
          <w:b w:val="0"/>
          <w:bCs w:val="0"/>
          <w:caps w:val="0"/>
          <w:color w:val="auto"/>
          <w:sz w:val="32"/>
          <w:szCs w:val="22"/>
          <w:highlight w:val="none"/>
          <w:lang w:val="en-US" w:eastAsia="zh-CN"/>
        </w:rPr>
      </w:pPr>
      <w:r>
        <w:rPr>
          <w:rStyle w:val="58"/>
          <w:color w:val="auto"/>
          <w:sz w:val="28"/>
          <w:highlight w:val="none"/>
        </w:rPr>
        <w:fldChar w:fldCharType="begin"/>
      </w:r>
      <w:r>
        <w:rPr>
          <w:rStyle w:val="58"/>
          <w:color w:val="auto"/>
          <w:sz w:val="28"/>
          <w:highlight w:val="none"/>
        </w:rPr>
        <w:instrText xml:space="preserve"> </w:instrText>
      </w:r>
      <w:r>
        <w:rPr>
          <w:color w:val="auto"/>
          <w:sz w:val="28"/>
          <w:highlight w:val="none"/>
        </w:rPr>
        <w:instrText xml:space="preserve">HYPERLINK \l "_Toc95223525"</w:instrText>
      </w:r>
      <w:r>
        <w:rPr>
          <w:rStyle w:val="58"/>
          <w:color w:val="auto"/>
          <w:sz w:val="28"/>
          <w:highlight w:val="none"/>
        </w:rPr>
        <w:instrText xml:space="preserve"> </w:instrText>
      </w:r>
      <w:r>
        <w:rPr>
          <w:rStyle w:val="58"/>
          <w:color w:val="auto"/>
          <w:sz w:val="28"/>
          <w:highlight w:val="none"/>
        </w:rPr>
        <w:fldChar w:fldCharType="separate"/>
      </w:r>
      <w:r>
        <w:rPr>
          <w:rStyle w:val="58"/>
          <w:rFonts w:hint="eastAsia" w:ascii="宋体" w:hAnsi="宋体" w:cs="宋体"/>
          <w:color w:val="auto"/>
          <w:kern w:val="44"/>
          <w:sz w:val="28"/>
          <w:highlight w:val="none"/>
        </w:rPr>
        <w:t>第八章 技术标准和要求</w:t>
      </w:r>
      <w:r>
        <w:rPr>
          <w:color w:val="auto"/>
          <w:sz w:val="28"/>
          <w:highlight w:val="none"/>
        </w:rPr>
        <w:tab/>
      </w:r>
      <w:r>
        <w:rPr>
          <w:rFonts w:hint="eastAsia"/>
          <w:color w:val="auto"/>
          <w:sz w:val="28"/>
          <w:highlight w:val="none"/>
          <w:lang w:val="en-US" w:eastAsia="zh-CN"/>
        </w:rPr>
        <w:t>7</w:t>
      </w:r>
      <w:r>
        <w:rPr>
          <w:rStyle w:val="58"/>
          <w:color w:val="auto"/>
          <w:sz w:val="28"/>
          <w:highlight w:val="none"/>
        </w:rPr>
        <w:fldChar w:fldCharType="end"/>
      </w:r>
      <w:r>
        <w:rPr>
          <w:rStyle w:val="58"/>
          <w:rFonts w:hint="eastAsia"/>
          <w:color w:val="auto"/>
          <w:sz w:val="28"/>
          <w:highlight w:val="none"/>
          <w:lang w:val="en-US" w:eastAsia="zh-CN"/>
        </w:rPr>
        <w:t>7</w:t>
      </w:r>
    </w:p>
    <w:p w14:paraId="7B73DFB9">
      <w:pPr>
        <w:pStyle w:val="31"/>
        <w:tabs>
          <w:tab w:val="right" w:leader="dot" w:pos="9460"/>
        </w:tabs>
        <w:rPr>
          <w:rFonts w:hint="eastAsia" w:ascii="Calibri" w:hAnsi="Calibri" w:eastAsia="宋体"/>
          <w:b w:val="0"/>
          <w:bCs w:val="0"/>
          <w:caps w:val="0"/>
          <w:color w:val="auto"/>
          <w:sz w:val="32"/>
          <w:szCs w:val="22"/>
          <w:highlight w:val="none"/>
          <w:lang w:val="en-US" w:eastAsia="zh-CN"/>
        </w:rPr>
      </w:pPr>
      <w:r>
        <w:rPr>
          <w:rStyle w:val="58"/>
          <w:color w:val="auto"/>
          <w:sz w:val="28"/>
          <w:highlight w:val="none"/>
        </w:rPr>
        <w:fldChar w:fldCharType="begin"/>
      </w:r>
      <w:r>
        <w:rPr>
          <w:rStyle w:val="58"/>
          <w:color w:val="auto"/>
          <w:sz w:val="28"/>
          <w:highlight w:val="none"/>
        </w:rPr>
        <w:instrText xml:space="preserve"> </w:instrText>
      </w:r>
      <w:r>
        <w:rPr>
          <w:color w:val="auto"/>
          <w:sz w:val="28"/>
          <w:highlight w:val="none"/>
        </w:rPr>
        <w:instrText xml:space="preserve">HYPERLINK \l "_Toc95223531"</w:instrText>
      </w:r>
      <w:r>
        <w:rPr>
          <w:rStyle w:val="58"/>
          <w:color w:val="auto"/>
          <w:sz w:val="28"/>
          <w:highlight w:val="none"/>
        </w:rPr>
        <w:instrText xml:space="preserve"> </w:instrText>
      </w:r>
      <w:r>
        <w:rPr>
          <w:rStyle w:val="58"/>
          <w:color w:val="auto"/>
          <w:sz w:val="28"/>
          <w:highlight w:val="none"/>
        </w:rPr>
        <w:fldChar w:fldCharType="separate"/>
      </w:r>
      <w:r>
        <w:rPr>
          <w:rStyle w:val="58"/>
          <w:rFonts w:hint="eastAsia"/>
          <w:color w:val="auto"/>
          <w:sz w:val="28"/>
          <w:highlight w:val="none"/>
        </w:rPr>
        <w:t>第九章 投标文件格式</w:t>
      </w:r>
      <w:r>
        <w:rPr>
          <w:color w:val="auto"/>
          <w:sz w:val="28"/>
          <w:highlight w:val="none"/>
        </w:rPr>
        <w:tab/>
      </w:r>
      <w:r>
        <w:rPr>
          <w:rFonts w:hint="eastAsia"/>
          <w:color w:val="auto"/>
          <w:sz w:val="28"/>
          <w:highlight w:val="none"/>
          <w:lang w:val="en-US" w:eastAsia="zh-CN"/>
        </w:rPr>
        <w:t>8</w:t>
      </w:r>
      <w:r>
        <w:rPr>
          <w:rStyle w:val="58"/>
          <w:color w:val="auto"/>
          <w:sz w:val="28"/>
          <w:highlight w:val="none"/>
        </w:rPr>
        <w:fldChar w:fldCharType="end"/>
      </w:r>
      <w:r>
        <w:rPr>
          <w:rStyle w:val="58"/>
          <w:rFonts w:hint="eastAsia"/>
          <w:color w:val="auto"/>
          <w:sz w:val="28"/>
          <w:highlight w:val="none"/>
          <w:lang w:val="en-US" w:eastAsia="zh-CN"/>
        </w:rPr>
        <w:t>0</w:t>
      </w:r>
    </w:p>
    <w:p w14:paraId="63D8DA84">
      <w:pPr>
        <w:pStyle w:val="31"/>
        <w:tabs>
          <w:tab w:val="right" w:leader="dot" w:pos="9460"/>
        </w:tabs>
        <w:rPr>
          <w:rFonts w:ascii="Calibri" w:hAnsi="Calibri"/>
          <w:b w:val="0"/>
          <w:bCs w:val="0"/>
          <w:caps w:val="0"/>
          <w:color w:val="auto"/>
          <w:sz w:val="32"/>
          <w:szCs w:val="22"/>
          <w:highlight w:val="none"/>
        </w:rPr>
      </w:pPr>
      <w:r>
        <w:rPr>
          <w:rStyle w:val="58"/>
          <w:color w:val="auto"/>
          <w:sz w:val="28"/>
          <w:highlight w:val="none"/>
        </w:rPr>
        <w:fldChar w:fldCharType="begin"/>
      </w:r>
      <w:r>
        <w:rPr>
          <w:rStyle w:val="58"/>
          <w:color w:val="auto"/>
          <w:sz w:val="28"/>
          <w:highlight w:val="none"/>
        </w:rPr>
        <w:instrText xml:space="preserve"> </w:instrText>
      </w:r>
      <w:r>
        <w:rPr>
          <w:color w:val="auto"/>
          <w:sz w:val="28"/>
          <w:highlight w:val="none"/>
        </w:rPr>
        <w:instrText xml:space="preserve">HYPERLINK \l "_Toc95223547"</w:instrText>
      </w:r>
      <w:r>
        <w:rPr>
          <w:rStyle w:val="58"/>
          <w:color w:val="auto"/>
          <w:sz w:val="28"/>
          <w:highlight w:val="none"/>
        </w:rPr>
        <w:instrText xml:space="preserve"> </w:instrText>
      </w:r>
      <w:r>
        <w:rPr>
          <w:rStyle w:val="58"/>
          <w:color w:val="auto"/>
          <w:sz w:val="28"/>
          <w:highlight w:val="none"/>
        </w:rPr>
        <w:fldChar w:fldCharType="separate"/>
      </w:r>
      <w:r>
        <w:rPr>
          <w:rStyle w:val="58"/>
          <w:rFonts w:hint="eastAsia" w:eastAsia="黑体"/>
          <w:color w:val="auto"/>
          <w:sz w:val="28"/>
          <w:highlight w:val="none"/>
        </w:rPr>
        <w:t>第十章</w:t>
      </w:r>
      <w:r>
        <w:rPr>
          <w:rStyle w:val="58"/>
          <w:rFonts w:eastAsia="黑体"/>
          <w:color w:val="auto"/>
          <w:sz w:val="28"/>
          <w:highlight w:val="none"/>
        </w:rPr>
        <w:t xml:space="preserve"> </w:t>
      </w:r>
      <w:r>
        <w:rPr>
          <w:rStyle w:val="58"/>
          <w:rFonts w:hint="eastAsia" w:eastAsia="黑体"/>
          <w:color w:val="auto"/>
          <w:sz w:val="28"/>
          <w:highlight w:val="none"/>
        </w:rPr>
        <w:t xml:space="preserve"> 招标人、招标代理机构对本招标文件的确认</w:t>
      </w:r>
      <w:bookmarkStart w:id="17" w:name="_Hlt95223551"/>
      <w:bookmarkStart w:id="18" w:name="_Hlt95223550"/>
      <w:r>
        <w:rPr>
          <w:color w:val="auto"/>
          <w:sz w:val="28"/>
          <w:highlight w:val="none"/>
        </w:rPr>
        <w:tab/>
      </w:r>
      <w:bookmarkEnd w:id="17"/>
      <w:bookmarkEnd w:id="18"/>
      <w:r>
        <w:rPr>
          <w:color w:val="auto"/>
          <w:sz w:val="28"/>
          <w:highlight w:val="none"/>
        </w:rPr>
        <w:fldChar w:fldCharType="begin"/>
      </w:r>
      <w:r>
        <w:rPr>
          <w:color w:val="auto"/>
          <w:sz w:val="28"/>
          <w:highlight w:val="none"/>
        </w:rPr>
        <w:instrText xml:space="preserve"> PAGEREF _Toc95223547 \h </w:instrText>
      </w:r>
      <w:r>
        <w:rPr>
          <w:color w:val="auto"/>
          <w:sz w:val="28"/>
          <w:highlight w:val="none"/>
        </w:rPr>
        <w:fldChar w:fldCharType="separate"/>
      </w:r>
      <w:r>
        <w:rPr>
          <w:rFonts w:hint="eastAsia"/>
          <w:color w:val="auto"/>
          <w:sz w:val="28"/>
          <w:highlight w:val="none"/>
          <w:lang w:val="en-US" w:eastAsia="zh-CN"/>
        </w:rPr>
        <w:t>92</w:t>
      </w:r>
      <w:r>
        <w:rPr>
          <w:color w:val="auto"/>
          <w:sz w:val="28"/>
          <w:highlight w:val="none"/>
        </w:rPr>
        <w:fldChar w:fldCharType="end"/>
      </w:r>
      <w:r>
        <w:rPr>
          <w:rStyle w:val="58"/>
          <w:color w:val="auto"/>
          <w:sz w:val="28"/>
          <w:highlight w:val="none"/>
        </w:rPr>
        <w:fldChar w:fldCharType="end"/>
      </w:r>
    </w:p>
    <w:p w14:paraId="328C7EE3">
      <w:pPr>
        <w:pStyle w:val="31"/>
        <w:tabs>
          <w:tab w:val="right" w:leader="dot" w:pos="9460"/>
        </w:tabs>
        <w:rPr>
          <w:rFonts w:ascii="Calibri" w:hAnsi="Calibri"/>
          <w:b w:val="0"/>
          <w:bCs w:val="0"/>
          <w:caps w:val="0"/>
          <w:color w:val="auto"/>
          <w:sz w:val="32"/>
          <w:szCs w:val="22"/>
          <w:highlight w:val="none"/>
        </w:rPr>
      </w:pPr>
      <w:r>
        <w:rPr>
          <w:rStyle w:val="58"/>
          <w:color w:val="auto"/>
          <w:sz w:val="28"/>
          <w:highlight w:val="none"/>
        </w:rPr>
        <w:fldChar w:fldCharType="begin"/>
      </w:r>
      <w:r>
        <w:rPr>
          <w:rStyle w:val="58"/>
          <w:color w:val="auto"/>
          <w:sz w:val="28"/>
          <w:highlight w:val="none"/>
        </w:rPr>
        <w:instrText xml:space="preserve"> </w:instrText>
      </w:r>
      <w:r>
        <w:rPr>
          <w:color w:val="auto"/>
          <w:sz w:val="28"/>
          <w:highlight w:val="none"/>
        </w:rPr>
        <w:instrText xml:space="preserve">HYPERLINK \l "_Toc95223548"</w:instrText>
      </w:r>
      <w:r>
        <w:rPr>
          <w:rStyle w:val="58"/>
          <w:color w:val="auto"/>
          <w:sz w:val="28"/>
          <w:highlight w:val="none"/>
        </w:rPr>
        <w:instrText xml:space="preserve"> </w:instrText>
      </w:r>
      <w:r>
        <w:rPr>
          <w:rStyle w:val="58"/>
          <w:color w:val="auto"/>
          <w:sz w:val="28"/>
          <w:highlight w:val="none"/>
        </w:rPr>
        <w:fldChar w:fldCharType="separate"/>
      </w:r>
      <w:r>
        <w:rPr>
          <w:rStyle w:val="58"/>
          <w:rFonts w:hint="eastAsia" w:ascii="黑体" w:hAnsi="黑体" w:eastAsia="黑体"/>
          <w:color w:val="auto"/>
          <w:sz w:val="28"/>
          <w:highlight w:val="none"/>
        </w:rPr>
        <w:t>附件</w:t>
      </w:r>
      <w:r>
        <w:rPr>
          <w:rStyle w:val="58"/>
          <w:rFonts w:ascii="黑体" w:hAnsi="黑体" w:eastAsia="黑体"/>
          <w:color w:val="auto"/>
          <w:sz w:val="28"/>
          <w:highlight w:val="none"/>
        </w:rPr>
        <w:t xml:space="preserve">1 </w:t>
      </w:r>
      <w:r>
        <w:rPr>
          <w:rStyle w:val="58"/>
          <w:rFonts w:hint="eastAsia" w:ascii="黑体" w:hAnsi="黑体" w:eastAsia="黑体"/>
          <w:color w:val="auto"/>
          <w:sz w:val="28"/>
          <w:highlight w:val="none"/>
        </w:rPr>
        <w:t>关于联合惩戒失信行为加强信用查询管理的通知</w:t>
      </w:r>
      <w:r>
        <w:rPr>
          <w:color w:val="auto"/>
          <w:sz w:val="28"/>
          <w:highlight w:val="none"/>
        </w:rPr>
        <w:tab/>
      </w:r>
      <w:r>
        <w:rPr>
          <w:color w:val="auto"/>
          <w:sz w:val="28"/>
          <w:highlight w:val="none"/>
        </w:rPr>
        <w:fldChar w:fldCharType="begin"/>
      </w:r>
      <w:r>
        <w:rPr>
          <w:color w:val="auto"/>
          <w:sz w:val="28"/>
          <w:highlight w:val="none"/>
        </w:rPr>
        <w:instrText xml:space="preserve"> PAGEREF _Toc95223548 \h </w:instrText>
      </w:r>
      <w:r>
        <w:rPr>
          <w:color w:val="auto"/>
          <w:sz w:val="28"/>
          <w:highlight w:val="none"/>
        </w:rPr>
        <w:fldChar w:fldCharType="separate"/>
      </w:r>
      <w:r>
        <w:rPr>
          <w:rFonts w:hint="eastAsia"/>
          <w:color w:val="auto"/>
          <w:sz w:val="28"/>
          <w:highlight w:val="none"/>
          <w:lang w:val="en-US" w:eastAsia="zh-CN"/>
        </w:rPr>
        <w:t>93</w:t>
      </w:r>
      <w:r>
        <w:rPr>
          <w:color w:val="auto"/>
          <w:sz w:val="28"/>
          <w:highlight w:val="none"/>
        </w:rPr>
        <w:fldChar w:fldCharType="end"/>
      </w:r>
      <w:r>
        <w:rPr>
          <w:rStyle w:val="58"/>
          <w:color w:val="auto"/>
          <w:sz w:val="28"/>
          <w:highlight w:val="none"/>
        </w:rPr>
        <w:fldChar w:fldCharType="end"/>
      </w:r>
    </w:p>
    <w:p w14:paraId="13C7F18B">
      <w:pPr>
        <w:pStyle w:val="31"/>
        <w:tabs>
          <w:tab w:val="right" w:leader="dot" w:pos="9460"/>
        </w:tabs>
        <w:rPr>
          <w:rStyle w:val="58"/>
          <w:rFonts w:hint="eastAsia"/>
          <w:color w:val="auto"/>
          <w:sz w:val="28"/>
          <w:highlight w:val="none"/>
        </w:rPr>
      </w:pPr>
      <w:r>
        <w:rPr>
          <w:rStyle w:val="58"/>
          <w:color w:val="auto"/>
          <w:sz w:val="28"/>
          <w:highlight w:val="none"/>
        </w:rPr>
        <w:fldChar w:fldCharType="begin"/>
      </w:r>
      <w:r>
        <w:rPr>
          <w:rStyle w:val="58"/>
          <w:color w:val="auto"/>
          <w:sz w:val="28"/>
          <w:highlight w:val="none"/>
        </w:rPr>
        <w:instrText xml:space="preserve"> </w:instrText>
      </w:r>
      <w:r>
        <w:rPr>
          <w:color w:val="auto"/>
          <w:sz w:val="28"/>
          <w:highlight w:val="none"/>
        </w:rPr>
        <w:instrText xml:space="preserve">HYPERLINK \l "_Toc95223549"</w:instrText>
      </w:r>
      <w:r>
        <w:rPr>
          <w:rStyle w:val="58"/>
          <w:color w:val="auto"/>
          <w:sz w:val="28"/>
          <w:highlight w:val="none"/>
        </w:rPr>
        <w:instrText xml:space="preserve"> </w:instrText>
      </w:r>
      <w:r>
        <w:rPr>
          <w:rStyle w:val="58"/>
          <w:color w:val="auto"/>
          <w:sz w:val="28"/>
          <w:highlight w:val="none"/>
        </w:rPr>
        <w:fldChar w:fldCharType="separate"/>
      </w:r>
      <w:r>
        <w:rPr>
          <w:rStyle w:val="58"/>
          <w:rFonts w:hint="eastAsia" w:ascii="黑体" w:hAnsi="黑体" w:eastAsia="黑体"/>
          <w:color w:val="auto"/>
          <w:sz w:val="28"/>
          <w:highlight w:val="none"/>
        </w:rPr>
        <w:t>附件</w:t>
      </w:r>
      <w:r>
        <w:rPr>
          <w:rStyle w:val="58"/>
          <w:rFonts w:ascii="黑体" w:hAnsi="黑体" w:eastAsia="黑体"/>
          <w:color w:val="auto"/>
          <w:sz w:val="28"/>
          <w:highlight w:val="none"/>
        </w:rPr>
        <w:t xml:space="preserve">2 </w:t>
      </w:r>
      <w:r>
        <w:rPr>
          <w:rStyle w:val="58"/>
          <w:rFonts w:hint="eastAsia" w:ascii="黑体" w:hAnsi="黑体" w:eastAsia="黑体"/>
          <w:color w:val="auto"/>
          <w:sz w:val="28"/>
          <w:highlight w:val="none"/>
        </w:rPr>
        <w:t>“信用中国”查询的严重失信行为类别及判定依据</w:t>
      </w:r>
      <w:r>
        <w:rPr>
          <w:color w:val="auto"/>
          <w:sz w:val="28"/>
          <w:highlight w:val="none"/>
        </w:rPr>
        <w:tab/>
      </w:r>
      <w:r>
        <w:rPr>
          <w:color w:val="auto"/>
          <w:sz w:val="28"/>
          <w:highlight w:val="none"/>
        </w:rPr>
        <w:fldChar w:fldCharType="begin"/>
      </w:r>
      <w:r>
        <w:rPr>
          <w:color w:val="auto"/>
          <w:sz w:val="28"/>
          <w:highlight w:val="none"/>
        </w:rPr>
        <w:instrText xml:space="preserve"> PAGEREF _Toc95223549 \h </w:instrText>
      </w:r>
      <w:r>
        <w:rPr>
          <w:color w:val="auto"/>
          <w:sz w:val="28"/>
          <w:highlight w:val="none"/>
        </w:rPr>
        <w:fldChar w:fldCharType="separate"/>
      </w:r>
      <w:r>
        <w:rPr>
          <w:rFonts w:hint="eastAsia"/>
          <w:color w:val="auto"/>
          <w:sz w:val="28"/>
          <w:highlight w:val="none"/>
          <w:lang w:val="en-US" w:eastAsia="zh-CN"/>
        </w:rPr>
        <w:t>97</w:t>
      </w:r>
      <w:r>
        <w:rPr>
          <w:color w:val="auto"/>
          <w:sz w:val="28"/>
          <w:highlight w:val="none"/>
        </w:rPr>
        <w:fldChar w:fldCharType="end"/>
      </w:r>
      <w:r>
        <w:rPr>
          <w:rStyle w:val="58"/>
          <w:color w:val="auto"/>
          <w:sz w:val="28"/>
          <w:highlight w:val="none"/>
        </w:rPr>
        <w:fldChar w:fldCharType="end"/>
      </w:r>
    </w:p>
    <w:p w14:paraId="5052B2D4">
      <w:pPr>
        <w:pStyle w:val="14"/>
        <w:spacing w:line="700" w:lineRule="exact"/>
        <w:ind w:left="0" w:leftChars="0" w:firstLine="480"/>
        <w:jc w:val="left"/>
        <w:rPr>
          <w:color w:val="auto"/>
          <w:sz w:val="24"/>
          <w:szCs w:val="24"/>
          <w:highlight w:val="none"/>
        </w:rPr>
      </w:pPr>
    </w:p>
    <w:p w14:paraId="3004C8EC">
      <w:pPr>
        <w:pStyle w:val="44"/>
        <w:spacing w:line="700" w:lineRule="exact"/>
        <w:jc w:val="left"/>
        <w:rPr>
          <w:color w:val="auto"/>
          <w:sz w:val="24"/>
          <w:szCs w:val="24"/>
          <w:highlight w:val="none"/>
        </w:rPr>
        <w:sectPr>
          <w:footerReference r:id="rId5" w:type="default"/>
          <w:pgSz w:w="11906" w:h="16838"/>
          <w:pgMar w:top="1134" w:right="1417" w:bottom="1134" w:left="1417" w:header="851" w:footer="992" w:gutter="0"/>
          <w:pgNumType w:start="1"/>
          <w:cols w:space="720" w:num="1"/>
          <w:docGrid w:type="lines" w:linePitch="312" w:charSpace="0"/>
        </w:sectPr>
      </w:pPr>
    </w:p>
    <w:bookmarkEnd w:id="12"/>
    <w:bookmarkEnd w:id="13"/>
    <w:bookmarkEnd w:id="14"/>
    <w:bookmarkEnd w:id="15"/>
    <w:p w14:paraId="2EC261B3">
      <w:pPr>
        <w:pStyle w:val="44"/>
        <w:spacing w:beforeLines="50" w:afterLines="50" w:line="440" w:lineRule="exact"/>
        <w:rPr>
          <w:rFonts w:hint="eastAsia" w:eastAsia="宋体" w:cs="Times New Roman"/>
          <w:bCs/>
          <w:color w:val="auto"/>
          <w:szCs w:val="32"/>
          <w:highlight w:val="none"/>
        </w:rPr>
      </w:pPr>
      <w:bookmarkStart w:id="19" w:name="_Toc78803320"/>
      <w:bookmarkStart w:id="20" w:name="_Toc247085687"/>
      <w:bookmarkStart w:id="21" w:name="_Toc35424883"/>
      <w:bookmarkStart w:id="22" w:name="_Toc144974495"/>
      <w:bookmarkStart w:id="23" w:name="_Toc152045527"/>
      <w:bookmarkStart w:id="24" w:name="_Toc246996916"/>
      <w:bookmarkStart w:id="25" w:name="_Toc35425050"/>
      <w:bookmarkStart w:id="26" w:name="_Toc246996173"/>
      <w:bookmarkStart w:id="27" w:name="_Toc179632544"/>
      <w:bookmarkStart w:id="28" w:name="_Toc15058844"/>
      <w:bookmarkStart w:id="29" w:name="_Toc324404813"/>
      <w:bookmarkStart w:id="30" w:name="_Toc506107267"/>
      <w:bookmarkStart w:id="31" w:name="_Toc152042303"/>
      <w:r>
        <w:rPr>
          <w:rFonts w:hint="eastAsia" w:eastAsia="宋体" w:cs="Times New Roman"/>
          <w:bCs/>
          <w:color w:val="auto"/>
          <w:szCs w:val="32"/>
          <w:highlight w:val="none"/>
          <w:lang w:val="en-US" w:eastAsia="zh-CN"/>
        </w:rPr>
        <w:t xml:space="preserve">第一章 </w:t>
      </w:r>
      <w:r>
        <w:rPr>
          <w:rFonts w:hint="eastAsia" w:eastAsia="宋体" w:cs="Times New Roman"/>
          <w:bCs/>
          <w:color w:val="auto"/>
          <w:szCs w:val="32"/>
          <w:highlight w:val="none"/>
        </w:rPr>
        <w:t>招标公告</w:t>
      </w:r>
      <w:bookmarkEnd w:id="19"/>
    </w:p>
    <w:tbl>
      <w:tblPr>
        <w:tblStyle w:val="47"/>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7997"/>
      </w:tblGrid>
      <w:tr w14:paraId="48A3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4E31D11C">
            <w:pPr>
              <w:keepNext w:val="0"/>
              <w:keepLines w:val="0"/>
              <w:pageBreakBefore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
                <w:bCs/>
                <w:color w:val="auto"/>
                <w:sz w:val="21"/>
                <w:szCs w:val="21"/>
                <w:highlight w:val="none"/>
              </w:rPr>
              <w:t>招标条件</w:t>
            </w:r>
          </w:p>
        </w:tc>
      </w:tr>
      <w:tr w14:paraId="07E8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933" w:type="dxa"/>
            <w:noWrap w:val="0"/>
            <w:vAlign w:val="center"/>
          </w:tcPr>
          <w:p w14:paraId="2E39E459">
            <w:pPr>
              <w:keepNext w:val="0"/>
              <w:keepLines w:val="0"/>
              <w:pageBreakBefore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Cs/>
                <w:color w:val="auto"/>
                <w:kern w:val="1"/>
                <w:sz w:val="21"/>
                <w:szCs w:val="21"/>
                <w:highlight w:val="none"/>
              </w:rPr>
              <w:t>项目</w:t>
            </w:r>
            <w:r>
              <w:rPr>
                <w:rFonts w:hint="eastAsia" w:ascii="宋体" w:hAnsi="宋体" w:eastAsia="宋体" w:cs="宋体"/>
                <w:color w:val="auto"/>
                <w:kern w:val="0"/>
                <w:sz w:val="21"/>
                <w:szCs w:val="21"/>
                <w:highlight w:val="none"/>
              </w:rPr>
              <w:t>名称</w:t>
            </w:r>
          </w:p>
        </w:tc>
        <w:tc>
          <w:tcPr>
            <w:tcW w:w="7997" w:type="dxa"/>
            <w:noWrap w:val="0"/>
            <w:vAlign w:val="top"/>
          </w:tcPr>
          <w:p w14:paraId="223FE30B">
            <w:pPr>
              <w:keepNext w:val="0"/>
              <w:keepLines w:val="0"/>
              <w:pageBreakBefore w:val="0"/>
              <w:kinsoku/>
              <w:wordWrap w:val="0"/>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1"/>
                <w:sz w:val="21"/>
                <w:szCs w:val="21"/>
                <w:highlight w:val="none"/>
              </w:rPr>
            </w:pPr>
            <w:r>
              <w:rPr>
                <w:rFonts w:hint="eastAsia" w:ascii="宋体" w:hAnsi="宋体" w:cs="宋体"/>
                <w:bCs/>
                <w:color w:val="auto"/>
                <w:kern w:val="1"/>
                <w:sz w:val="21"/>
                <w:szCs w:val="21"/>
                <w:highlight w:val="none"/>
                <w:lang w:eastAsia="zh-CN"/>
              </w:rPr>
              <w:t>2026年滁宁公司房屋修缮</w:t>
            </w:r>
            <w:r>
              <w:rPr>
                <w:rFonts w:hint="eastAsia" w:ascii="宋体" w:hAnsi="宋体" w:cs="宋体"/>
                <w:bCs/>
                <w:color w:val="auto"/>
                <w:kern w:val="1"/>
                <w:sz w:val="21"/>
                <w:szCs w:val="21"/>
                <w:highlight w:val="none"/>
                <w:lang w:val="en-US" w:eastAsia="zh-CN"/>
              </w:rPr>
              <w:t>工程</w:t>
            </w:r>
          </w:p>
        </w:tc>
      </w:tr>
      <w:tr w14:paraId="3EF6D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832571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招标人</w:t>
            </w:r>
          </w:p>
        </w:tc>
        <w:tc>
          <w:tcPr>
            <w:tcW w:w="7997" w:type="dxa"/>
            <w:noWrap w:val="0"/>
            <w:vAlign w:val="center"/>
          </w:tcPr>
          <w:p w14:paraId="41AA07EF">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bCs/>
                <w:color w:val="auto"/>
                <w:kern w:val="1"/>
                <w:sz w:val="21"/>
                <w:szCs w:val="21"/>
                <w:highlight w:val="none"/>
                <w:lang w:eastAsia="zh-CN"/>
              </w:rPr>
              <w:t>安徽滁宁高速公路股份有限公司</w:t>
            </w:r>
          </w:p>
        </w:tc>
      </w:tr>
      <w:tr w14:paraId="2A24F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2638D1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项目业主</w:t>
            </w:r>
          </w:p>
        </w:tc>
        <w:tc>
          <w:tcPr>
            <w:tcW w:w="7997" w:type="dxa"/>
            <w:noWrap w:val="0"/>
            <w:vAlign w:val="center"/>
          </w:tcPr>
          <w:p w14:paraId="3EF79F1D">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安徽滁宁高速公路股份有限公司</w:t>
            </w:r>
          </w:p>
        </w:tc>
      </w:tr>
      <w:tr w14:paraId="515C1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ECD1AE3">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资金来源</w:t>
            </w:r>
          </w:p>
        </w:tc>
        <w:tc>
          <w:tcPr>
            <w:tcW w:w="7997" w:type="dxa"/>
            <w:noWrap w:val="0"/>
            <w:vAlign w:val="center"/>
          </w:tcPr>
          <w:p w14:paraId="13E4CD21">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自筹资金</w:t>
            </w:r>
          </w:p>
        </w:tc>
      </w:tr>
      <w:tr w14:paraId="1CA8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F489FD2">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项目出资比例</w:t>
            </w:r>
          </w:p>
        </w:tc>
        <w:tc>
          <w:tcPr>
            <w:tcW w:w="7997" w:type="dxa"/>
            <w:noWrap w:val="0"/>
            <w:vAlign w:val="center"/>
          </w:tcPr>
          <w:p w14:paraId="612A619C">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r>
      <w:tr w14:paraId="2F99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DEFCFF6">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招标方式</w:t>
            </w:r>
          </w:p>
        </w:tc>
        <w:tc>
          <w:tcPr>
            <w:tcW w:w="7997" w:type="dxa"/>
            <w:noWrap w:val="0"/>
            <w:vAlign w:val="center"/>
          </w:tcPr>
          <w:p w14:paraId="53A0BB3B">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公开招标</w:t>
            </w:r>
          </w:p>
        </w:tc>
      </w:tr>
      <w:tr w14:paraId="6288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0C4438E">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评标办法</w:t>
            </w:r>
          </w:p>
        </w:tc>
        <w:tc>
          <w:tcPr>
            <w:tcW w:w="7997" w:type="dxa"/>
            <w:noWrap w:val="0"/>
            <w:vAlign w:val="center"/>
          </w:tcPr>
          <w:p w14:paraId="64728417">
            <w:pPr>
              <w:keepNext w:val="0"/>
              <w:keepLines w:val="0"/>
              <w:pageBreakBefore w:val="0"/>
              <w:widowControl/>
              <w:kinsoku/>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综合评估法</w:t>
            </w:r>
          </w:p>
        </w:tc>
      </w:tr>
      <w:tr w14:paraId="3CB3E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1EBFED8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项目概况与招标范围</w:t>
            </w:r>
          </w:p>
        </w:tc>
      </w:tr>
      <w:tr w14:paraId="1B54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A1F1B52">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招标项目名称</w:t>
            </w:r>
          </w:p>
        </w:tc>
        <w:tc>
          <w:tcPr>
            <w:tcW w:w="7997" w:type="dxa"/>
            <w:noWrap w:val="0"/>
            <w:vAlign w:val="center"/>
          </w:tcPr>
          <w:p w14:paraId="3BB4B767">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2026年滁宁公司房屋修缮</w:t>
            </w:r>
            <w:r>
              <w:rPr>
                <w:rFonts w:hint="eastAsia" w:ascii="宋体" w:hAnsi="宋体" w:cs="宋体"/>
                <w:bCs/>
                <w:color w:val="auto"/>
                <w:kern w:val="1"/>
                <w:sz w:val="21"/>
                <w:szCs w:val="21"/>
                <w:highlight w:val="none"/>
                <w:lang w:val="en-US" w:eastAsia="zh-CN"/>
              </w:rPr>
              <w:t>工程</w:t>
            </w:r>
          </w:p>
        </w:tc>
      </w:tr>
      <w:tr w14:paraId="488A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3" w:type="dxa"/>
            <w:noWrap w:val="0"/>
            <w:vAlign w:val="center"/>
          </w:tcPr>
          <w:p w14:paraId="40B1C46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标段划分</w:t>
            </w:r>
          </w:p>
        </w:tc>
        <w:tc>
          <w:tcPr>
            <w:tcW w:w="7997" w:type="dxa"/>
            <w:noWrap w:val="0"/>
            <w:vAlign w:val="center"/>
          </w:tcPr>
          <w:p w14:paraId="062D55A9">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lang w:val="en-US" w:eastAsia="zh-CN"/>
              </w:rPr>
              <w:t>一个标段</w:t>
            </w:r>
          </w:p>
        </w:tc>
      </w:tr>
      <w:tr w14:paraId="4073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4A4EA6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建设地点</w:t>
            </w:r>
          </w:p>
        </w:tc>
        <w:tc>
          <w:tcPr>
            <w:tcW w:w="7997" w:type="dxa"/>
            <w:noWrap w:val="0"/>
            <w:vAlign w:val="center"/>
          </w:tcPr>
          <w:p w14:paraId="2C527A97">
            <w:pPr>
              <w:pStyle w:val="14"/>
              <w:keepNext w:val="0"/>
              <w:keepLines w:val="0"/>
              <w:pageBreakBefore w:val="0"/>
              <w:kinsoku/>
              <w:wordWrap w:val="0"/>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招标人指定地点</w:t>
            </w:r>
          </w:p>
        </w:tc>
      </w:tr>
      <w:tr w14:paraId="3A6ED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BBF1A7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建设规模</w:t>
            </w:r>
          </w:p>
        </w:tc>
        <w:tc>
          <w:tcPr>
            <w:tcW w:w="7997" w:type="dxa"/>
            <w:noWrap w:val="0"/>
            <w:vAlign w:val="center"/>
          </w:tcPr>
          <w:p w14:paraId="56AC02AD">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详见工程量清单。</w:t>
            </w:r>
          </w:p>
        </w:tc>
      </w:tr>
      <w:tr w14:paraId="5DC77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3230461">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合同估算价</w:t>
            </w:r>
          </w:p>
        </w:tc>
        <w:tc>
          <w:tcPr>
            <w:tcW w:w="7997" w:type="dxa"/>
            <w:noWrap w:val="0"/>
            <w:vAlign w:val="center"/>
          </w:tcPr>
          <w:p w14:paraId="2618AED0">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268.45</w:t>
            </w:r>
            <w:r>
              <w:rPr>
                <w:rFonts w:hint="eastAsia" w:ascii="宋体" w:hAnsi="宋体" w:cs="宋体"/>
                <w:color w:val="auto"/>
                <w:sz w:val="21"/>
                <w:szCs w:val="21"/>
                <w:highlight w:val="none"/>
                <w:lang w:val="en-US" w:eastAsia="zh-CN"/>
              </w:rPr>
              <w:t>万元</w:t>
            </w:r>
          </w:p>
        </w:tc>
      </w:tr>
      <w:tr w14:paraId="6BEC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6F6947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计划工期</w:t>
            </w:r>
          </w:p>
        </w:tc>
        <w:tc>
          <w:tcPr>
            <w:tcW w:w="7997" w:type="dxa"/>
            <w:noWrap w:val="0"/>
            <w:vAlign w:val="center"/>
          </w:tcPr>
          <w:p w14:paraId="241300BA">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不高于150个日历天。</w:t>
            </w:r>
          </w:p>
        </w:tc>
      </w:tr>
      <w:tr w14:paraId="42C9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3CAB73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招标范围</w:t>
            </w:r>
          </w:p>
        </w:tc>
        <w:tc>
          <w:tcPr>
            <w:tcW w:w="7997" w:type="dxa"/>
            <w:noWrap w:val="0"/>
            <w:vAlign w:val="center"/>
          </w:tcPr>
          <w:p w14:paraId="2450FD06">
            <w:pPr>
              <w:pStyle w:val="14"/>
              <w:keepNext w:val="0"/>
              <w:keepLines w:val="0"/>
              <w:pageBreakBefore w:val="0"/>
              <w:kinsoku/>
              <w:wordWrap/>
              <w:overflowPunct/>
              <w:topLinePunct w:val="0"/>
              <w:autoSpaceDE/>
              <w:autoSpaceDN/>
              <w:bidi w:val="0"/>
              <w:adjustRightInd/>
              <w:snapToGrid/>
              <w:spacing w:after="0" w:afterLines="0" w:line="4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lang w:val="en-US" w:eastAsia="zh-CN"/>
              </w:rPr>
              <w:t>本项目工程范围包括G36宁洛高速和S95凤阳支线</w:t>
            </w:r>
            <w:r>
              <w:rPr>
                <w:rFonts w:hint="eastAsia" w:hAnsi="宋体" w:cs="宋体"/>
                <w:color w:val="auto"/>
                <w:szCs w:val="21"/>
                <w:highlight w:val="none"/>
                <w:lang w:val="en-US" w:eastAsia="zh-CN"/>
              </w:rPr>
              <w:t>的</w:t>
            </w:r>
            <w:r>
              <w:rPr>
                <w:rFonts w:hint="eastAsia" w:ascii="宋体" w:hAnsi="宋体" w:cs="宋体"/>
                <w:color w:val="auto"/>
                <w:szCs w:val="21"/>
                <w:highlight w:val="none"/>
                <w:lang w:val="en-US" w:eastAsia="zh-CN"/>
              </w:rPr>
              <w:t>各收费站、服务区、公司管理处、凤阳运营办</w:t>
            </w:r>
            <w:r>
              <w:rPr>
                <w:rFonts w:hint="eastAsia" w:ascii="宋体" w:hAnsi="宋体" w:cs="宋体"/>
                <w:color w:val="auto"/>
                <w:sz w:val="21"/>
                <w:szCs w:val="21"/>
                <w:highlight w:val="none"/>
                <w:lang w:eastAsia="zh-CN"/>
              </w:rPr>
              <w:t>房屋修缮</w:t>
            </w:r>
            <w:r>
              <w:rPr>
                <w:rFonts w:hint="eastAsia" w:hAnsi="宋体" w:cs="宋体"/>
                <w:color w:val="auto"/>
                <w:szCs w:val="21"/>
                <w:highlight w:val="none"/>
                <w:lang w:val="en-US" w:eastAsia="zh-CN"/>
              </w:rPr>
              <w:t>，具体见</w:t>
            </w:r>
            <w:r>
              <w:rPr>
                <w:rFonts w:hint="eastAsia" w:ascii="宋体" w:hAnsi="宋体" w:cs="宋体"/>
                <w:color w:val="auto"/>
                <w:szCs w:val="21"/>
                <w:highlight w:val="none"/>
                <w:lang w:val="en-US" w:eastAsia="zh-CN"/>
              </w:rPr>
              <w:t>工程量清单</w:t>
            </w:r>
            <w:r>
              <w:rPr>
                <w:rFonts w:hint="eastAsia" w:hAnsi="宋体" w:cs="宋体"/>
                <w:color w:val="auto"/>
                <w:szCs w:val="21"/>
                <w:highlight w:val="none"/>
                <w:lang w:val="en-US" w:eastAsia="zh-CN"/>
              </w:rPr>
              <w:t>。</w:t>
            </w:r>
          </w:p>
        </w:tc>
      </w:tr>
      <w:tr w14:paraId="39737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B3C45EE">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项目类别</w:t>
            </w:r>
          </w:p>
        </w:tc>
        <w:tc>
          <w:tcPr>
            <w:tcW w:w="7997" w:type="dxa"/>
            <w:noWrap w:val="0"/>
            <w:vAlign w:val="center"/>
          </w:tcPr>
          <w:p w14:paraId="6D56053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工程施工</w:t>
            </w:r>
          </w:p>
        </w:tc>
      </w:tr>
      <w:tr w14:paraId="48969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211EA0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w:t>
            </w:r>
          </w:p>
        </w:tc>
        <w:tc>
          <w:tcPr>
            <w:tcW w:w="7997" w:type="dxa"/>
            <w:noWrap w:val="0"/>
            <w:vAlign w:val="center"/>
          </w:tcPr>
          <w:p w14:paraId="27D131B1">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r>
      <w:tr w14:paraId="4400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24CBF6E1">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投标人资格要求</w:t>
            </w:r>
          </w:p>
        </w:tc>
      </w:tr>
      <w:tr w14:paraId="54BA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D8EAA9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投标人资质要求</w:t>
            </w:r>
          </w:p>
        </w:tc>
        <w:tc>
          <w:tcPr>
            <w:tcW w:w="7997" w:type="dxa"/>
            <w:noWrap w:val="0"/>
            <w:vAlign w:val="center"/>
          </w:tcPr>
          <w:p w14:paraId="19D7894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投标人具备建筑工程施工总承包叁级（或以上）资质，并具有有效的安全生产许可证。</w:t>
            </w:r>
          </w:p>
        </w:tc>
      </w:tr>
      <w:tr w14:paraId="07C28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541401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项目</w:t>
            </w:r>
            <w:r>
              <w:rPr>
                <w:rFonts w:hint="eastAsia" w:ascii="宋体" w:hAnsi="宋体" w:cs="宋体"/>
                <w:bCs/>
                <w:snapToGrid w:val="0"/>
                <w:color w:val="auto"/>
                <w:kern w:val="0"/>
                <w:sz w:val="21"/>
                <w:szCs w:val="21"/>
                <w:highlight w:val="none"/>
                <w:lang w:val="en-US" w:eastAsia="zh-CN"/>
              </w:rPr>
              <w:t>经理</w:t>
            </w:r>
            <w:r>
              <w:rPr>
                <w:rFonts w:hint="eastAsia" w:ascii="宋体" w:hAnsi="宋体" w:eastAsia="宋体" w:cs="宋体"/>
                <w:bCs/>
                <w:snapToGrid w:val="0"/>
                <w:color w:val="auto"/>
                <w:kern w:val="0"/>
                <w:sz w:val="21"/>
                <w:szCs w:val="21"/>
                <w:highlight w:val="none"/>
              </w:rPr>
              <w:t>资格要求</w:t>
            </w:r>
          </w:p>
        </w:tc>
        <w:tc>
          <w:tcPr>
            <w:tcW w:w="7997" w:type="dxa"/>
            <w:noWrap w:val="0"/>
            <w:vAlign w:val="center"/>
          </w:tcPr>
          <w:p w14:paraId="4E70B304">
            <w:pPr>
              <w:keepNext w:val="0"/>
              <w:keepLines w:val="0"/>
              <w:pageBreakBefore w:val="0"/>
              <w:numPr>
                <w:ilvl w:val="0"/>
                <w:numId w:val="0"/>
              </w:numPr>
              <w:kinsoku/>
              <w:wordWrap/>
              <w:overflowPunct/>
              <w:topLinePunct w:val="0"/>
              <w:autoSpaceDE/>
              <w:autoSpaceDN/>
              <w:bidi w:val="0"/>
              <w:adjustRightInd/>
              <w:snapToGrid/>
              <w:spacing w:line="440" w:lineRule="exact"/>
              <w:outlineLvl w:val="9"/>
              <w:rPr>
                <w:rFonts w:hint="eastAsia" w:ascii="宋体" w:hAnsi="宋体" w:eastAsia="宋体" w:cs="宋体"/>
                <w:color w:val="auto"/>
                <w:sz w:val="21"/>
                <w:szCs w:val="21"/>
                <w:highlight w:val="none"/>
              </w:rPr>
            </w:pPr>
            <w:r>
              <w:rPr>
                <w:rFonts w:hint="eastAsia" w:ascii="宋体" w:hAnsi="宋体" w:eastAsia="宋体" w:cs="Times New Roman"/>
                <w:color w:val="auto"/>
                <w:szCs w:val="21"/>
                <w:highlight w:val="none"/>
                <w:lang w:val="en-US" w:eastAsia="zh-CN"/>
              </w:rPr>
              <w:t>拟派的项目经理具备注册在投标单位的建筑工程专业二级（或以上）注册建造师资格。</w:t>
            </w:r>
            <w:r>
              <w:rPr>
                <w:rFonts w:hint="eastAsia" w:ascii="宋体" w:hAnsi="宋体" w:eastAsia="宋体" w:cs="宋体"/>
                <w:color w:val="auto"/>
                <w:sz w:val="21"/>
                <w:szCs w:val="21"/>
                <w:highlight w:val="none"/>
                <w:lang w:val="en-US" w:eastAsia="zh-CN"/>
              </w:rPr>
              <w:t>本项目不接受投标截止时间前六个月内在滁州市区域内办理过项目经理（建造师）变更备案手续的原项目经理（建造师）作为拟任项目经理（建造师）参加投标。</w:t>
            </w:r>
          </w:p>
        </w:tc>
      </w:tr>
      <w:tr w14:paraId="5D76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1FF232E">
            <w:pPr>
              <w:widowControl/>
              <w:spacing w:line="560" w:lineRule="exact"/>
              <w:jc w:val="center"/>
              <w:rPr>
                <w:rFonts w:hint="eastAsia" w:ascii="宋体" w:hAnsi="宋体" w:eastAsia="宋体" w:cs="宋体"/>
                <w:bCs/>
                <w:snapToGrid w:val="0"/>
                <w:color w:val="auto"/>
                <w:kern w:val="0"/>
                <w:sz w:val="21"/>
                <w:szCs w:val="21"/>
                <w:highlight w:val="none"/>
              </w:rPr>
            </w:pPr>
            <w:r>
              <w:rPr>
                <w:rFonts w:hint="eastAsia" w:ascii="宋体" w:hAnsi="宋体" w:cs="宋体"/>
                <w:color w:val="auto"/>
                <w:kern w:val="0"/>
                <w:szCs w:val="21"/>
                <w:highlight w:val="none"/>
              </w:rPr>
              <w:t>信誉要求</w:t>
            </w:r>
          </w:p>
        </w:tc>
        <w:tc>
          <w:tcPr>
            <w:tcW w:w="7997" w:type="dxa"/>
            <w:noWrap w:val="0"/>
            <w:vAlign w:val="center"/>
          </w:tcPr>
          <w:p w14:paraId="17E249C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1、投标人存在以下情形之一的，不得被确定为中标人：</w:t>
            </w:r>
          </w:p>
          <w:p w14:paraId="1E4DF83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①被列入“信用中国”网站“失信被执行人”的;</w:t>
            </w:r>
          </w:p>
          <w:p w14:paraId="4EE22F7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②被列入“信用中国”网站“重大税收违法失信主体”的；</w:t>
            </w:r>
          </w:p>
          <w:p w14:paraId="0E6CFDF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③被列入“信用中国”网站“拖欠农民工工资失信联合惩戒对象名单”的；</w:t>
            </w:r>
          </w:p>
          <w:p w14:paraId="7FA0F62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④被列入“信用中国”网站 “严重失信主体名单”的；</w:t>
            </w:r>
          </w:p>
          <w:p w14:paraId="20745C9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⑤在“信用中国”网站上披露的仍在公示期的严重失信行为(具体行为类别及判定依据见附件2)的。</w:t>
            </w:r>
          </w:p>
          <w:p w14:paraId="6FB5FA4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⑥被列入国家企业信用信息公示系统网站“经营异常名录”或者“严重违法失信名单”的。</w:t>
            </w:r>
          </w:p>
          <w:p w14:paraId="272B53E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⑦前三年有行贿犯罪行为的单位和个人；</w:t>
            </w:r>
          </w:p>
          <w:p w14:paraId="376EAB5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⑧被滁州市县两级公管部门及各行业主管部门取消在一定期限内的投标资格且在取消期限内的；</w:t>
            </w:r>
          </w:p>
          <w:p w14:paraId="30A7F05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⑨因拖欠农民工工资被县级及以上有关行政主管部门限制投标资格且在限制期限内的；</w:t>
            </w:r>
          </w:p>
          <w:p w14:paraId="631C70D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383F884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2、投标人所属分公司、办事处等分支机构存在第1条信誉要求①-⑩项情形之一的，    接受其被确定为中标人。</w:t>
            </w:r>
          </w:p>
          <w:p w14:paraId="35AD1CB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color w:val="auto"/>
                <w:szCs w:val="21"/>
                <w:highlight w:val="none"/>
                <w:lang w:val="en-US" w:eastAsia="zh-CN"/>
              </w:rPr>
            </w:pPr>
            <w:r>
              <w:rPr>
                <w:rFonts w:hint="eastAsia" w:ascii="宋体" w:hAnsi="宋体" w:eastAsia="宋体" w:cs="宋体"/>
                <w:color w:val="auto"/>
                <w:sz w:val="21"/>
                <w:szCs w:val="21"/>
                <w:highlight w:val="none"/>
                <w:lang w:val="en-US" w:eastAsia="zh-CN"/>
              </w:rPr>
              <w:t>备注：第1、2条按照附件1“关于联合惩戒失信行为加强信用查询管理的通知”查询或承诺。</w:t>
            </w:r>
          </w:p>
        </w:tc>
      </w:tr>
      <w:tr w14:paraId="4DC6C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199D4C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联合体投标</w:t>
            </w:r>
          </w:p>
        </w:tc>
        <w:tc>
          <w:tcPr>
            <w:tcW w:w="7997" w:type="dxa"/>
            <w:noWrap w:val="0"/>
            <w:vAlign w:val="center"/>
          </w:tcPr>
          <w:p w14:paraId="7420975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本次招标不接受联合体投标。</w:t>
            </w:r>
          </w:p>
        </w:tc>
      </w:tr>
      <w:tr w14:paraId="7DAEB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44733C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多标段投标</w:t>
            </w:r>
          </w:p>
        </w:tc>
        <w:tc>
          <w:tcPr>
            <w:tcW w:w="7997" w:type="dxa"/>
            <w:noWrap w:val="0"/>
            <w:vAlign w:val="center"/>
          </w:tcPr>
          <w:p w14:paraId="42579C26">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p>
        </w:tc>
      </w:tr>
      <w:tr w14:paraId="2329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2E77D0C0">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招标文件的获取</w:t>
            </w:r>
          </w:p>
        </w:tc>
      </w:tr>
      <w:tr w14:paraId="1729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33" w:type="dxa"/>
            <w:noWrap w:val="0"/>
            <w:vAlign w:val="center"/>
          </w:tcPr>
          <w:p w14:paraId="00B9B13C">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获取时间</w:t>
            </w:r>
          </w:p>
        </w:tc>
        <w:tc>
          <w:tcPr>
            <w:tcW w:w="7997" w:type="dxa"/>
            <w:noWrap w:val="0"/>
            <w:vAlign w:val="center"/>
          </w:tcPr>
          <w:p w14:paraId="257A5F9C">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u w:val="single"/>
                <w:lang w:val="en-US" w:eastAsia="zh-CN"/>
              </w:rPr>
              <w:t>2026</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年</w:t>
            </w:r>
            <w:r>
              <w:rPr>
                <w:rFonts w:hint="eastAsia" w:ascii="宋体" w:hAnsi="宋体" w:cs="宋体"/>
                <w:bCs/>
                <w:snapToGrid w:val="0"/>
                <w:color w:val="auto"/>
                <w:kern w:val="0"/>
                <w:szCs w:val="21"/>
                <w:highlight w:val="none"/>
                <w:u w:val="single"/>
                <w:lang w:val="en-US" w:eastAsia="zh-CN"/>
              </w:rPr>
              <w:t xml:space="preserve"> 1</w:t>
            </w:r>
            <w:r>
              <w:rPr>
                <w:rFonts w:hint="eastAsia" w:ascii="宋体" w:hAnsi="宋体" w:eastAsia="宋体" w:cs="宋体"/>
                <w:bCs/>
                <w:snapToGrid w:val="0"/>
                <w:color w:val="auto"/>
                <w:kern w:val="0"/>
                <w:szCs w:val="21"/>
                <w:highlight w:val="none"/>
              </w:rPr>
              <w:t>月</w:t>
            </w:r>
            <w:r>
              <w:rPr>
                <w:rFonts w:hint="eastAsia" w:ascii="宋体" w:hAnsi="宋体" w:cs="宋体"/>
                <w:bCs/>
                <w:snapToGrid w:val="0"/>
                <w:color w:val="auto"/>
                <w:kern w:val="0"/>
                <w:szCs w:val="21"/>
                <w:highlight w:val="none"/>
                <w:u w:val="single"/>
                <w:lang w:val="en-US" w:eastAsia="zh-CN"/>
              </w:rPr>
              <w:t xml:space="preserve"> 15 </w:t>
            </w:r>
            <w:r>
              <w:rPr>
                <w:rFonts w:hint="eastAsia" w:ascii="宋体" w:hAnsi="宋体" w:eastAsia="宋体" w:cs="宋体"/>
                <w:bCs/>
                <w:snapToGrid w:val="0"/>
                <w:color w:val="auto"/>
                <w:kern w:val="0"/>
                <w:szCs w:val="21"/>
                <w:highlight w:val="none"/>
              </w:rPr>
              <w:t>日</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u w:val="single"/>
                <w:lang w:val="en-US" w:eastAsia="zh-CN"/>
              </w:rPr>
              <w:t>17</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时</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u w:val="single"/>
                <w:lang w:val="en-US" w:eastAsia="zh-CN"/>
              </w:rPr>
              <w:t>00</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分至</w:t>
            </w:r>
            <w:r>
              <w:rPr>
                <w:rFonts w:hint="eastAsia" w:ascii="宋体" w:hAnsi="宋体" w:eastAsia="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u w:val="single"/>
                <w:lang w:val="en-US" w:eastAsia="zh-CN"/>
              </w:rPr>
              <w:t>2026</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年</w:t>
            </w:r>
            <w:r>
              <w:rPr>
                <w:rFonts w:hint="eastAsia" w:ascii="宋体" w:hAnsi="宋体" w:cs="宋体"/>
                <w:bCs/>
                <w:snapToGrid w:val="0"/>
                <w:color w:val="auto"/>
                <w:kern w:val="0"/>
                <w:szCs w:val="21"/>
                <w:highlight w:val="none"/>
                <w:u w:val="single"/>
                <w:lang w:val="en-US" w:eastAsia="zh-CN"/>
              </w:rPr>
              <w:t xml:space="preserve"> 1 </w:t>
            </w:r>
            <w:r>
              <w:rPr>
                <w:rFonts w:hint="eastAsia" w:ascii="宋体" w:hAnsi="宋体" w:eastAsia="宋体" w:cs="宋体"/>
                <w:bCs/>
                <w:snapToGrid w:val="0"/>
                <w:color w:val="auto"/>
                <w:kern w:val="0"/>
                <w:szCs w:val="21"/>
                <w:highlight w:val="none"/>
              </w:rPr>
              <w:t>月</w:t>
            </w:r>
            <w:r>
              <w:rPr>
                <w:rFonts w:hint="eastAsia" w:ascii="宋体" w:hAnsi="宋体" w:cs="宋体"/>
                <w:bCs/>
                <w:snapToGrid w:val="0"/>
                <w:color w:val="auto"/>
                <w:kern w:val="0"/>
                <w:szCs w:val="21"/>
                <w:highlight w:val="none"/>
                <w:u w:val="single"/>
                <w:lang w:val="en-US" w:eastAsia="zh-CN"/>
              </w:rPr>
              <w:t xml:space="preserve"> 23 </w:t>
            </w:r>
            <w:r>
              <w:rPr>
                <w:rFonts w:hint="eastAsia" w:ascii="宋体" w:hAnsi="宋体" w:eastAsia="宋体" w:cs="宋体"/>
                <w:bCs/>
                <w:snapToGrid w:val="0"/>
                <w:color w:val="auto"/>
                <w:kern w:val="0"/>
                <w:szCs w:val="21"/>
                <w:highlight w:val="none"/>
              </w:rPr>
              <w:t>日</w:t>
            </w:r>
            <w:r>
              <w:rPr>
                <w:rFonts w:hint="eastAsia" w:ascii="宋体" w:hAnsi="宋体" w:eastAsia="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u w:val="single"/>
                <w:lang w:val="en-US" w:eastAsia="zh-CN"/>
              </w:rPr>
              <w:t>8</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时</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u w:val="single"/>
                <w:lang w:val="en-US" w:eastAsia="zh-CN"/>
              </w:rPr>
              <w:t>00</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分。</w:t>
            </w:r>
          </w:p>
        </w:tc>
      </w:tr>
      <w:tr w14:paraId="1AFD9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3072458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Cs w:val="21"/>
                <w:highlight w:val="none"/>
              </w:rPr>
              <w:t>获取方式</w:t>
            </w:r>
          </w:p>
        </w:tc>
        <w:tc>
          <w:tcPr>
            <w:tcW w:w="7997" w:type="dxa"/>
            <w:noWrap w:val="0"/>
            <w:vAlign w:val="center"/>
          </w:tcPr>
          <w:p w14:paraId="5AC4F371">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请于公告发布之日起从滁州市城投工程咨询管理有限公司官网（https://www.czctgczx.com/）下载</w:t>
            </w:r>
            <w:r>
              <w:rPr>
                <w:rFonts w:hint="eastAsia" w:cs="Times New Roman"/>
                <w:color w:val="auto"/>
                <w:highlight w:val="none"/>
                <w:lang w:val="en-US" w:eastAsia="zh-CN"/>
              </w:rPr>
              <w:t>。</w:t>
            </w:r>
          </w:p>
          <w:p w14:paraId="06D33B50">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方式：（1）投标人须登录新点电子交易平台【滁州专区】查询、获取</w:t>
            </w:r>
            <w:r>
              <w:rPr>
                <w:rFonts w:hint="eastAsia" w:cs="Times New Roman"/>
                <w:color w:val="auto"/>
                <w:highlight w:val="none"/>
                <w:lang w:val="en-US" w:eastAsia="zh-CN"/>
              </w:rPr>
              <w:t>招标</w:t>
            </w:r>
            <w:r>
              <w:rPr>
                <w:rFonts w:hint="eastAsia" w:ascii="Times New Roman" w:hAnsi="Times New Roman" w:eastAsia="宋体" w:cs="Times New Roman"/>
                <w:color w:val="auto"/>
                <w:highlight w:val="none"/>
                <w:lang w:val="en-US" w:eastAsia="zh-CN"/>
              </w:rPr>
              <w:t>文件。首次登录办理入库手续，办理入库不收取任何费用。新点电子招投标统一认证平台使用相关问题（如系统登录、信息登记、录入及提交、数字证书关联等）请拨打服务电话：4009280095-5（工作日）。  </w:t>
            </w:r>
          </w:p>
          <w:p w14:paraId="1CA3EC44">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r>
              <w:rPr>
                <w:rFonts w:hint="eastAsia" w:ascii="Times New Roman" w:hAnsi="Times New Roman" w:eastAsia="宋体" w:cs="Times New Roman"/>
                <w:color w:val="auto"/>
                <w:highlight w:val="none"/>
                <w:lang w:val="en-US" w:eastAsia="zh-CN"/>
              </w:rPr>
              <w:t>（2）投标人登录新点电子交易平台【滁州专区】获取招标文件及其它资料（含澄清和补充说明等）。如在招标文件获取过程中遇到系统问题，请拨打技术支持服务热线 4009280095或者网站首页在线客服。</w:t>
            </w:r>
          </w:p>
        </w:tc>
      </w:tr>
      <w:tr w14:paraId="552D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7C699FD">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招标公告发布时间</w:t>
            </w:r>
          </w:p>
        </w:tc>
        <w:tc>
          <w:tcPr>
            <w:tcW w:w="7997" w:type="dxa"/>
            <w:noWrap w:val="0"/>
            <w:vAlign w:val="center"/>
          </w:tcPr>
          <w:p w14:paraId="0CB3AD82">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szCs w:val="21"/>
                <w:highlight w:val="none"/>
                <w:lang w:eastAsia="zh-CN"/>
              </w:rPr>
              <w:t>2026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rPr>
              <w:t>日</w:t>
            </w:r>
          </w:p>
        </w:tc>
      </w:tr>
      <w:tr w14:paraId="2E37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7B970DA1">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投标文件递交的截止时间</w:t>
            </w:r>
          </w:p>
        </w:tc>
        <w:tc>
          <w:tcPr>
            <w:tcW w:w="7997" w:type="dxa"/>
            <w:noWrap w:val="0"/>
            <w:vAlign w:val="center"/>
          </w:tcPr>
          <w:p w14:paraId="78350ADB">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2026</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月</w:t>
            </w:r>
            <w:r>
              <w:rPr>
                <w:rFonts w:hint="eastAsia" w:ascii="宋体" w:hAnsi="宋体" w:cs="宋体"/>
                <w:color w:val="auto"/>
                <w:szCs w:val="21"/>
                <w:highlight w:val="none"/>
                <w:lang w:val="en-US" w:eastAsia="zh-CN"/>
              </w:rPr>
              <w:t>23</w:t>
            </w:r>
            <w:r>
              <w:rPr>
                <w:rFonts w:hint="eastAsia" w:ascii="宋体" w:hAnsi="宋体" w:eastAsia="宋体" w:cs="宋体"/>
                <w:color w:val="auto"/>
                <w:szCs w:val="21"/>
                <w:highlight w:val="none"/>
                <w:lang w:val="en-US" w:eastAsia="zh-CN"/>
              </w:rPr>
              <w:t>日</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时00分</w:t>
            </w:r>
          </w:p>
        </w:tc>
      </w:tr>
      <w:tr w14:paraId="1D302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CC335A0">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投标文件递交的方式</w:t>
            </w:r>
          </w:p>
        </w:tc>
        <w:tc>
          <w:tcPr>
            <w:tcW w:w="7997" w:type="dxa"/>
            <w:noWrap w:val="0"/>
            <w:vAlign w:val="center"/>
          </w:tcPr>
          <w:p w14:paraId="46F556DE">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本项目仅接受投标人在投标截止时间前登录新点电子交易平台【滁州专区】（https://www.etrading.cn/BREpointSSO/login/oauth2login?regioncode=DQ_ChuZhou）交易系统递交的加密电子投标文件。</w:t>
            </w:r>
          </w:p>
        </w:tc>
      </w:tr>
      <w:tr w14:paraId="7CED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933" w:type="dxa"/>
            <w:noWrap w:val="0"/>
            <w:vAlign w:val="center"/>
          </w:tcPr>
          <w:p w14:paraId="746D341E">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开标时间</w:t>
            </w:r>
          </w:p>
        </w:tc>
        <w:tc>
          <w:tcPr>
            <w:tcW w:w="7997" w:type="dxa"/>
            <w:noWrap w:val="0"/>
            <w:vAlign w:val="center"/>
          </w:tcPr>
          <w:p w14:paraId="1DA66740">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szCs w:val="21"/>
                <w:highlight w:val="none"/>
                <w:lang w:eastAsia="zh-CN"/>
              </w:rPr>
              <w:t>2026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23</w:t>
            </w:r>
            <w:r>
              <w:rPr>
                <w:rFonts w:hint="eastAsia" w:ascii="宋体" w:hAnsi="宋体" w:eastAsia="宋体" w:cs="宋体"/>
                <w:color w:val="auto"/>
                <w:szCs w:val="21"/>
                <w:highlight w:val="none"/>
              </w:rPr>
              <w:t>日</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lang w:val="en-US" w:eastAsia="zh-CN"/>
              </w:rPr>
              <w:t>00</w:t>
            </w:r>
            <w:r>
              <w:rPr>
                <w:rFonts w:hint="eastAsia" w:ascii="宋体" w:hAnsi="宋体" w:eastAsia="宋体" w:cs="宋体"/>
                <w:color w:val="auto"/>
                <w:szCs w:val="21"/>
                <w:highlight w:val="none"/>
              </w:rPr>
              <w:t>分</w:t>
            </w:r>
          </w:p>
        </w:tc>
      </w:tr>
      <w:tr w14:paraId="5C7D4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933" w:type="dxa"/>
            <w:noWrap w:val="0"/>
            <w:vAlign w:val="center"/>
          </w:tcPr>
          <w:p w14:paraId="77B6227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开标地点</w:t>
            </w:r>
          </w:p>
        </w:tc>
        <w:tc>
          <w:tcPr>
            <w:tcW w:w="7997" w:type="dxa"/>
            <w:noWrap w:val="0"/>
            <w:vAlign w:val="center"/>
          </w:tcPr>
          <w:p w14:paraId="3D3F20FE">
            <w:pPr>
              <w:keepNext w:val="0"/>
              <w:keepLines w:val="0"/>
              <w:pageBreakBefore w:val="0"/>
              <w:widowControl/>
              <w:kinsoku/>
              <w:wordWrap w:val="0"/>
              <w:overflowPunct/>
              <w:topLinePunct w:val="0"/>
              <w:autoSpaceDE w:val="0"/>
              <w:autoSpaceDN/>
              <w:bidi w:val="0"/>
              <w:adjustRightInd/>
              <w:snapToGrid/>
              <w:spacing w:line="480" w:lineRule="exact"/>
              <w:textAlignment w:val="auto"/>
              <w:rPr>
                <w:rFonts w:hint="eastAsia" w:ascii="宋体" w:hAnsi="宋体" w:eastAsia="宋体" w:cs="宋体"/>
                <w:color w:val="auto"/>
                <w:szCs w:val="21"/>
                <w:highlight w:val="none"/>
                <w:lang w:val="en-US" w:eastAsia="zh-CN"/>
              </w:rPr>
            </w:pPr>
            <w:r>
              <w:rPr>
                <w:rFonts w:hint="eastAsia" w:ascii="Times New Roman" w:hAnsi="Times New Roman" w:eastAsia="宋体" w:cs="Times New Roman"/>
                <w:color w:val="auto"/>
                <w:highlight w:val="none"/>
                <w:lang w:val="en-US" w:eastAsia="zh-CN"/>
              </w:rPr>
              <w:t>采用不见面开标，投标人登录滁州市城投工程咨询有限公司不见面开标系统参与网上开标（网址：http://js.etrading.cn/EpointBidOpening/bidopeninghallaction/hall/login）。</w:t>
            </w:r>
          </w:p>
        </w:tc>
      </w:tr>
      <w:tr w14:paraId="4E312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916377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招标文件</w:t>
            </w:r>
            <w:r>
              <w:rPr>
                <w:rFonts w:hint="eastAsia" w:ascii="宋体" w:hAnsi="宋体" w:cs="宋体"/>
                <w:color w:val="auto"/>
                <w:sz w:val="21"/>
                <w:szCs w:val="21"/>
                <w:highlight w:val="none"/>
                <w:lang w:val="en-US" w:eastAsia="zh-CN"/>
              </w:rPr>
              <w:t>售价</w:t>
            </w:r>
          </w:p>
        </w:tc>
        <w:tc>
          <w:tcPr>
            <w:tcW w:w="7997" w:type="dxa"/>
            <w:noWrap w:val="0"/>
            <w:vAlign w:val="center"/>
          </w:tcPr>
          <w:p w14:paraId="0FF1405C">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0元</w:t>
            </w:r>
          </w:p>
        </w:tc>
      </w:tr>
      <w:tr w14:paraId="7177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17C4373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发布公告的媒介</w:t>
            </w:r>
          </w:p>
        </w:tc>
        <w:tc>
          <w:tcPr>
            <w:tcW w:w="7997" w:type="dxa"/>
            <w:noWrap w:val="0"/>
            <w:vAlign w:val="center"/>
          </w:tcPr>
          <w:p w14:paraId="4E624FFB">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中国招标公共服务平台（http://www.cebpubservice.com/）</w:t>
            </w:r>
          </w:p>
          <w:p w14:paraId="41625809">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安徽省招标投标信息网（www.ahtba.org.cn）</w:t>
            </w:r>
          </w:p>
          <w:p w14:paraId="50C6D68C">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lang w:val="en-US" w:eastAsia="zh-CN"/>
              </w:rPr>
            </w:pPr>
            <w:r>
              <w:rPr>
                <w:rFonts w:hint="eastAsia" w:ascii="Times New Roman" w:hAnsi="Times New Roman" w:eastAsia="宋体" w:cs="Times New Roman"/>
                <w:color w:val="auto"/>
                <w:highlight w:val="none"/>
                <w:lang w:val="en-US" w:eastAsia="zh-CN"/>
              </w:rPr>
              <w:t>滁州市城投工程咨询管理有限公司（https://www.czctgczx.com/）</w:t>
            </w:r>
          </w:p>
        </w:tc>
      </w:tr>
      <w:tr w14:paraId="0857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1930D49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投标保证金收取</w:t>
            </w:r>
          </w:p>
        </w:tc>
      </w:tr>
      <w:tr w14:paraId="453B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FC7C453">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保证金收取</w:t>
            </w:r>
          </w:p>
        </w:tc>
        <w:tc>
          <w:tcPr>
            <w:tcW w:w="7997" w:type="dxa"/>
            <w:noWrap w:val="0"/>
            <w:vAlign w:val="center"/>
          </w:tcPr>
          <w:p w14:paraId="31D7CE21">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color w:val="auto"/>
                <w:szCs w:val="21"/>
                <w:highlight w:val="none"/>
              </w:rPr>
              <w:t>不要求投标人提交投标保证金。</w:t>
            </w:r>
          </w:p>
        </w:tc>
      </w:tr>
      <w:tr w14:paraId="711C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14:paraId="05DB97D6">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联系方式</w:t>
            </w:r>
          </w:p>
        </w:tc>
      </w:tr>
      <w:tr w14:paraId="6F24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2E16C3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招标人名称</w:t>
            </w:r>
          </w:p>
        </w:tc>
        <w:tc>
          <w:tcPr>
            <w:tcW w:w="7997" w:type="dxa"/>
            <w:noWrap w:val="0"/>
            <w:vAlign w:val="center"/>
          </w:tcPr>
          <w:p w14:paraId="2D2A6C29">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安徽滁宁高速公路股份有限公司</w:t>
            </w:r>
            <w:r>
              <w:rPr>
                <w:rFonts w:hint="eastAsia" w:ascii="宋体" w:hAnsi="宋体" w:eastAsia="宋体" w:cs="宋体"/>
                <w:color w:val="auto"/>
                <w:kern w:val="0"/>
                <w:sz w:val="21"/>
                <w:szCs w:val="21"/>
                <w:highlight w:val="none"/>
                <w:lang w:eastAsia="zh-CN"/>
              </w:rPr>
              <w:t xml:space="preserve"> </w:t>
            </w:r>
          </w:p>
        </w:tc>
      </w:tr>
      <w:tr w14:paraId="5C15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28A63B0F">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招标人地址</w:t>
            </w:r>
          </w:p>
        </w:tc>
        <w:tc>
          <w:tcPr>
            <w:tcW w:w="7997" w:type="dxa"/>
            <w:noWrap w:val="0"/>
            <w:vAlign w:val="center"/>
          </w:tcPr>
          <w:p w14:paraId="721F56AB">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安徽省滁州市来安县经济开发区裕安西路188号</w:t>
            </w:r>
          </w:p>
        </w:tc>
      </w:tr>
      <w:tr w14:paraId="53D1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C32FFCA">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招标人联系人</w:t>
            </w:r>
          </w:p>
        </w:tc>
        <w:tc>
          <w:tcPr>
            <w:tcW w:w="7997" w:type="dxa"/>
            <w:noWrap w:val="0"/>
            <w:vAlign w:val="center"/>
          </w:tcPr>
          <w:p w14:paraId="0CA615D4">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鲁伟</w:t>
            </w:r>
          </w:p>
        </w:tc>
      </w:tr>
      <w:tr w14:paraId="79E3C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6C0D56E8">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招标人电话</w:t>
            </w:r>
          </w:p>
        </w:tc>
        <w:tc>
          <w:tcPr>
            <w:tcW w:w="7997" w:type="dxa"/>
            <w:noWrap w:val="0"/>
            <w:vAlign w:val="center"/>
          </w:tcPr>
          <w:p w14:paraId="0786EC85">
            <w:pPr>
              <w:keepNext w:val="0"/>
              <w:keepLines w:val="0"/>
              <w:pageBreakBefore w:val="0"/>
              <w:widowControl/>
              <w:shd w:val="clear" w:color="auto" w:fill="auto"/>
              <w:kinsoku/>
              <w:wordWrap w:val="0"/>
              <w:overflowPunct/>
              <w:topLinePunct w:val="0"/>
              <w:autoSpaceDE/>
              <w:autoSpaceDN/>
              <w:bidi w:val="0"/>
              <w:adjustRightInd/>
              <w:snapToGrid/>
              <w:spacing w:line="440" w:lineRule="exact"/>
              <w:jc w:val="left"/>
              <w:textAlignment w:val="auto"/>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0550-3568105、18949493193</w:t>
            </w:r>
          </w:p>
        </w:tc>
      </w:tr>
      <w:tr w14:paraId="555F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0D32F697">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招标代理机构名称</w:t>
            </w:r>
          </w:p>
        </w:tc>
        <w:tc>
          <w:tcPr>
            <w:tcW w:w="7997" w:type="dxa"/>
            <w:noWrap w:val="0"/>
            <w:vAlign w:val="center"/>
          </w:tcPr>
          <w:p w14:paraId="6FF9C0EE">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滁州市城投工程咨询管理有限公司</w:t>
            </w:r>
          </w:p>
        </w:tc>
      </w:tr>
      <w:tr w14:paraId="2D8B7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C1F41F8">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招标代理机构地址</w:t>
            </w:r>
          </w:p>
        </w:tc>
        <w:tc>
          <w:tcPr>
            <w:tcW w:w="7997" w:type="dxa"/>
            <w:noWrap w:val="0"/>
            <w:vAlign w:val="center"/>
          </w:tcPr>
          <w:p w14:paraId="6D12C6BB">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滁州市龙蟠大道109号房产大厦6楼</w:t>
            </w:r>
            <w:r>
              <w:rPr>
                <w:rFonts w:hint="eastAsia" w:ascii="宋体" w:hAnsi="宋体" w:eastAsia="宋体" w:cs="宋体"/>
                <w:color w:val="auto"/>
                <w:sz w:val="21"/>
                <w:szCs w:val="21"/>
                <w:highlight w:val="none"/>
                <w:lang w:val="en-US" w:eastAsia="zh-CN"/>
              </w:rPr>
              <w:t>605室</w:t>
            </w:r>
          </w:p>
        </w:tc>
      </w:tr>
      <w:tr w14:paraId="5ECC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59B20423">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招标代理机构联系人</w:t>
            </w:r>
          </w:p>
        </w:tc>
        <w:tc>
          <w:tcPr>
            <w:tcW w:w="7997" w:type="dxa"/>
            <w:noWrap w:val="0"/>
            <w:vAlign w:val="center"/>
          </w:tcPr>
          <w:p w14:paraId="508420A3">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王芳</w:t>
            </w:r>
          </w:p>
        </w:tc>
      </w:tr>
      <w:tr w14:paraId="2DBA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14:paraId="4D7E1BD9">
            <w:pPr>
              <w:keepNext w:val="0"/>
              <w:keepLines w:val="0"/>
              <w:pageBreakBefore w:val="0"/>
              <w:widowControl/>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代理机构电话</w:t>
            </w:r>
          </w:p>
        </w:tc>
        <w:tc>
          <w:tcPr>
            <w:tcW w:w="7997" w:type="dxa"/>
            <w:noWrap w:val="0"/>
            <w:vAlign w:val="center"/>
          </w:tcPr>
          <w:p w14:paraId="57DEDBE8">
            <w:pPr>
              <w:keepNext w:val="0"/>
              <w:keepLines w:val="0"/>
              <w:pageBreakBefore w:val="0"/>
              <w:widowControl/>
              <w:kinsoku/>
              <w:wordWrap w:val="0"/>
              <w:overflowPunct/>
              <w:topLinePunct w:val="0"/>
              <w:autoSpaceDE/>
              <w:autoSpaceDN/>
              <w:bidi w:val="0"/>
              <w:adjustRightInd/>
              <w:snapToGrid/>
              <w:spacing w:line="44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0550-3519519</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18955055067</w:t>
            </w:r>
          </w:p>
        </w:tc>
      </w:tr>
    </w:tbl>
    <w:p w14:paraId="0387EAA7">
      <w:pPr>
        <w:jc w:val="left"/>
        <w:rPr>
          <w:color w:val="auto"/>
          <w:highlight w:val="none"/>
        </w:rPr>
      </w:pPr>
    </w:p>
    <w:p w14:paraId="32A53F0D">
      <w:pPr>
        <w:pStyle w:val="44"/>
        <w:spacing w:beforeLines="50" w:afterLines="50" w:line="440" w:lineRule="exact"/>
        <w:rPr>
          <w:bCs/>
          <w:color w:val="auto"/>
          <w:szCs w:val="32"/>
          <w:highlight w:val="none"/>
        </w:rPr>
      </w:pPr>
      <w:bookmarkStart w:id="32" w:name="_Toc78803321"/>
      <w:r>
        <w:rPr>
          <w:rFonts w:hint="eastAsia"/>
          <w:bCs/>
          <w:color w:val="auto"/>
          <w:szCs w:val="32"/>
          <w:highlight w:val="none"/>
        </w:rPr>
        <w:br w:type="page"/>
      </w:r>
      <w:r>
        <w:rPr>
          <w:rFonts w:hint="eastAsia"/>
          <w:bCs/>
          <w:color w:val="auto"/>
          <w:szCs w:val="32"/>
          <w:highlight w:val="none"/>
        </w:rPr>
        <w:t>第</w:t>
      </w:r>
      <w:r>
        <w:rPr>
          <w:rFonts w:hint="eastAsia"/>
          <w:bCs/>
          <w:color w:val="auto"/>
          <w:szCs w:val="32"/>
          <w:highlight w:val="none"/>
          <w:lang w:val="en-US" w:eastAsia="zh-CN"/>
        </w:rPr>
        <w:t>二</w:t>
      </w:r>
      <w:r>
        <w:rPr>
          <w:rFonts w:hint="eastAsia"/>
          <w:bCs/>
          <w:color w:val="auto"/>
          <w:szCs w:val="32"/>
          <w:highlight w:val="none"/>
        </w:rPr>
        <w:t>章  投标人须知</w:t>
      </w:r>
      <w:bookmarkEnd w:id="20"/>
      <w:bookmarkEnd w:id="21"/>
      <w:bookmarkEnd w:id="22"/>
      <w:bookmarkEnd w:id="23"/>
      <w:bookmarkEnd w:id="24"/>
      <w:bookmarkEnd w:id="25"/>
      <w:bookmarkEnd w:id="26"/>
      <w:bookmarkEnd w:id="27"/>
      <w:bookmarkEnd w:id="28"/>
      <w:bookmarkEnd w:id="29"/>
      <w:bookmarkEnd w:id="30"/>
      <w:bookmarkEnd w:id="31"/>
      <w:bookmarkEnd w:id="32"/>
    </w:p>
    <w:p w14:paraId="594BBBF6">
      <w:pPr>
        <w:spacing w:beforeLines="50" w:afterLines="50" w:line="440" w:lineRule="exact"/>
        <w:jc w:val="center"/>
        <w:rPr>
          <w:b/>
          <w:bCs/>
          <w:color w:val="auto"/>
          <w:sz w:val="28"/>
          <w:szCs w:val="28"/>
          <w:highlight w:val="none"/>
        </w:rPr>
      </w:pPr>
      <w:bookmarkStart w:id="33" w:name="_Toc179632545"/>
      <w:bookmarkStart w:id="34" w:name="_Toc35425051"/>
      <w:bookmarkStart w:id="35" w:name="_Toc152042304"/>
      <w:bookmarkStart w:id="36" w:name="_Toc247085688"/>
      <w:bookmarkStart w:id="37" w:name="_Toc246996917"/>
      <w:bookmarkStart w:id="38" w:name="_Toc246996174"/>
      <w:bookmarkStart w:id="39" w:name="_Toc144974496"/>
      <w:bookmarkStart w:id="40" w:name="_Toc15058845"/>
      <w:bookmarkStart w:id="41" w:name="_Toc506107268"/>
      <w:bookmarkStart w:id="42" w:name="_Toc35424884"/>
      <w:bookmarkStart w:id="43" w:name="_Toc324404814"/>
      <w:bookmarkStart w:id="44" w:name="_Toc152045528"/>
      <w:r>
        <w:rPr>
          <w:rFonts w:hint="eastAsia"/>
          <w:b/>
          <w:bCs/>
          <w:color w:val="auto"/>
          <w:sz w:val="28"/>
          <w:szCs w:val="28"/>
          <w:highlight w:val="none"/>
        </w:rPr>
        <w:t>投标人须知前附表</w:t>
      </w:r>
      <w:bookmarkEnd w:id="33"/>
      <w:bookmarkEnd w:id="34"/>
      <w:bookmarkEnd w:id="35"/>
      <w:bookmarkEnd w:id="36"/>
      <w:bookmarkEnd w:id="37"/>
      <w:bookmarkEnd w:id="38"/>
      <w:bookmarkEnd w:id="39"/>
      <w:bookmarkEnd w:id="40"/>
      <w:bookmarkEnd w:id="41"/>
      <w:bookmarkEnd w:id="42"/>
      <w:bookmarkEnd w:id="43"/>
      <w:bookmarkEnd w:id="44"/>
    </w:p>
    <w:tbl>
      <w:tblPr>
        <w:tblStyle w:val="47"/>
        <w:tblW w:w="10328" w:type="dxa"/>
        <w:jc w:val="center"/>
        <w:tblLayout w:type="fixed"/>
        <w:tblCellMar>
          <w:top w:w="0" w:type="dxa"/>
          <w:left w:w="108" w:type="dxa"/>
          <w:bottom w:w="0" w:type="dxa"/>
          <w:right w:w="108" w:type="dxa"/>
        </w:tblCellMar>
      </w:tblPr>
      <w:tblGrid>
        <w:gridCol w:w="868"/>
        <w:gridCol w:w="910"/>
        <w:gridCol w:w="1299"/>
        <w:gridCol w:w="7251"/>
      </w:tblGrid>
      <w:tr w14:paraId="37A3BBD6">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5319F0F">
            <w:pPr>
              <w:keepNext w:val="0"/>
              <w:keepLines w:val="0"/>
              <w:pageBreakBefore w:val="0"/>
              <w:kinsoku/>
              <w:wordWrap/>
              <w:overflowPunct/>
              <w:autoSpaceDN/>
              <w:bidi w:val="0"/>
              <w:spacing w:line="400" w:lineRule="exact"/>
              <w:jc w:val="center"/>
              <w:textAlignment w:val="auto"/>
              <w:rPr>
                <w:rFonts w:ascii="宋体" w:hAnsi="宋体" w:cs="宋体"/>
                <w:b/>
                <w:color w:val="auto"/>
                <w:szCs w:val="21"/>
                <w:highlight w:val="none"/>
              </w:rPr>
            </w:pPr>
            <w:bookmarkStart w:id="45" w:name="_Toc179632546"/>
            <w:bookmarkStart w:id="46" w:name="_Toc246996175"/>
            <w:bookmarkStart w:id="47" w:name="_Toc152045529"/>
            <w:bookmarkStart w:id="48" w:name="_Toc247085689"/>
            <w:bookmarkStart w:id="49" w:name="_Toc506107269"/>
            <w:bookmarkStart w:id="50" w:name="_Toc144974497"/>
            <w:bookmarkStart w:id="51" w:name="_Toc324404815"/>
            <w:bookmarkStart w:id="52" w:name="_Toc152042305"/>
            <w:bookmarkStart w:id="53" w:name="_Toc246996918"/>
            <w:r>
              <w:rPr>
                <w:rFonts w:hint="eastAsia" w:ascii="宋体" w:hAnsi="宋体" w:cs="宋体"/>
                <w:b/>
                <w:color w:val="auto"/>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109513C">
            <w:pPr>
              <w:keepNext w:val="0"/>
              <w:keepLines w:val="0"/>
              <w:pageBreakBefore w:val="0"/>
              <w:kinsoku/>
              <w:wordWrap/>
              <w:overflowPunct/>
              <w:autoSpaceDN/>
              <w:bidi w:val="0"/>
              <w:spacing w:line="400" w:lineRule="exact"/>
              <w:jc w:val="center"/>
              <w:textAlignment w:val="auto"/>
              <w:rPr>
                <w:rFonts w:ascii="宋体" w:hAnsi="宋体" w:cs="宋体"/>
                <w:b/>
                <w:color w:val="auto"/>
                <w:szCs w:val="21"/>
                <w:highlight w:val="none"/>
              </w:rPr>
            </w:pPr>
            <w:r>
              <w:rPr>
                <w:rFonts w:hint="eastAsia" w:ascii="宋体" w:hAnsi="宋体" w:cs="宋体"/>
                <w:b/>
                <w:color w:val="auto"/>
                <w:szCs w:val="21"/>
                <w:highlight w:val="none"/>
              </w:rPr>
              <w:t>条  款  名  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175926BC">
            <w:pPr>
              <w:keepNext w:val="0"/>
              <w:keepLines w:val="0"/>
              <w:pageBreakBefore w:val="0"/>
              <w:kinsoku/>
              <w:wordWrap/>
              <w:overflowPunct/>
              <w:autoSpaceDN/>
              <w:bidi w:val="0"/>
              <w:spacing w:line="400" w:lineRule="exact"/>
              <w:jc w:val="center"/>
              <w:textAlignment w:val="auto"/>
              <w:rPr>
                <w:rFonts w:ascii="宋体" w:hAnsi="宋体" w:cs="宋体"/>
                <w:b/>
                <w:color w:val="auto"/>
                <w:szCs w:val="21"/>
                <w:highlight w:val="none"/>
              </w:rPr>
            </w:pPr>
            <w:r>
              <w:rPr>
                <w:rFonts w:hint="eastAsia" w:ascii="宋体" w:hAnsi="宋体" w:cs="宋体"/>
                <w:b/>
                <w:color w:val="auto"/>
                <w:szCs w:val="21"/>
                <w:highlight w:val="none"/>
              </w:rPr>
              <w:t>编  列  内  容</w:t>
            </w:r>
          </w:p>
        </w:tc>
      </w:tr>
      <w:tr w14:paraId="399B882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EA00D87">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4588F4B">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招标人</w:t>
            </w:r>
          </w:p>
        </w:tc>
        <w:tc>
          <w:tcPr>
            <w:tcW w:w="7251" w:type="dxa"/>
            <w:tcBorders>
              <w:top w:val="single" w:color="auto" w:sz="4" w:space="0"/>
              <w:left w:val="single" w:color="auto" w:sz="4" w:space="0"/>
              <w:bottom w:val="single" w:color="auto" w:sz="4" w:space="0"/>
              <w:right w:val="single" w:color="auto" w:sz="4" w:space="0"/>
            </w:tcBorders>
            <w:noWrap/>
            <w:vAlign w:val="center"/>
          </w:tcPr>
          <w:p w14:paraId="10407BB1">
            <w:pPr>
              <w:pStyle w:val="93"/>
              <w:keepNext w:val="0"/>
              <w:keepLines w:val="0"/>
              <w:pageBreakBefore w:val="0"/>
              <w:kinsoku/>
              <w:wordWrap/>
              <w:overflowPunct/>
              <w:autoSpaceDN/>
              <w:bidi w:val="0"/>
              <w:adjustRightInd w:val="0"/>
              <w:snapToGrid w:val="0"/>
              <w:spacing w:line="400" w:lineRule="exact"/>
              <w:jc w:val="left"/>
              <w:textAlignment w:val="auto"/>
              <w:rPr>
                <w:rFonts w:hint="eastAsia" w:eastAsia="宋体"/>
                <w:color w:val="auto"/>
                <w:kern w:val="2"/>
                <w:sz w:val="21"/>
                <w:szCs w:val="21"/>
                <w:highlight w:val="none"/>
                <w:lang w:eastAsia="zh-CN"/>
              </w:rPr>
            </w:pPr>
            <w:r>
              <w:rPr>
                <w:rFonts w:hint="eastAsia" w:ascii="宋体" w:hAnsi="宋体" w:cs="宋体"/>
                <w:color w:val="auto"/>
                <w:sz w:val="21"/>
                <w:szCs w:val="21"/>
                <w:highlight w:val="none"/>
              </w:rPr>
              <w:t>见招标公告</w:t>
            </w:r>
          </w:p>
        </w:tc>
      </w:tr>
      <w:tr w14:paraId="2BB5094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7F2ABC2">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88F0F11">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招标代理机构</w:t>
            </w:r>
          </w:p>
        </w:tc>
        <w:tc>
          <w:tcPr>
            <w:tcW w:w="7251" w:type="dxa"/>
            <w:tcBorders>
              <w:top w:val="single" w:color="auto" w:sz="4" w:space="0"/>
              <w:left w:val="single" w:color="auto" w:sz="4" w:space="0"/>
              <w:bottom w:val="single" w:color="auto" w:sz="4" w:space="0"/>
              <w:right w:val="single" w:color="auto" w:sz="4" w:space="0"/>
            </w:tcBorders>
            <w:noWrap/>
            <w:vAlign w:val="center"/>
          </w:tcPr>
          <w:p w14:paraId="10F9436F">
            <w:pPr>
              <w:keepNext w:val="0"/>
              <w:keepLines w:val="0"/>
              <w:pageBreakBefore w:val="0"/>
              <w:kinsoku/>
              <w:wordWrap/>
              <w:overflowPunct/>
              <w:autoSpaceDN/>
              <w:bidi w:val="0"/>
              <w:adjustRightInd w:val="0"/>
              <w:snapToGrid w:val="0"/>
              <w:spacing w:line="400" w:lineRule="exact"/>
              <w:textAlignment w:val="auto"/>
              <w:rPr>
                <w:rFonts w:hint="default" w:ascii="宋体" w:hAnsi="宋体" w:eastAsia="宋体" w:cs="宋体"/>
                <w:color w:val="auto"/>
                <w:szCs w:val="21"/>
                <w:highlight w:val="none"/>
                <w:lang w:val="en-US" w:eastAsia="zh-CN"/>
              </w:rPr>
            </w:pPr>
            <w:r>
              <w:rPr>
                <w:rFonts w:hint="eastAsia" w:ascii="宋体" w:hAnsi="宋体" w:cs="宋体"/>
                <w:color w:val="auto"/>
                <w:sz w:val="21"/>
                <w:szCs w:val="21"/>
                <w:highlight w:val="none"/>
              </w:rPr>
              <w:t>见招标公告</w:t>
            </w:r>
          </w:p>
        </w:tc>
      </w:tr>
      <w:tr w14:paraId="6E88FEC4">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21D750">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C1999A0">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项目名称</w:t>
            </w:r>
          </w:p>
        </w:tc>
        <w:tc>
          <w:tcPr>
            <w:tcW w:w="7251" w:type="dxa"/>
            <w:tcBorders>
              <w:top w:val="single" w:color="auto" w:sz="4" w:space="0"/>
              <w:left w:val="single" w:color="auto" w:sz="4" w:space="0"/>
              <w:bottom w:val="single" w:color="auto" w:sz="4" w:space="0"/>
              <w:right w:val="single" w:color="auto" w:sz="4" w:space="0"/>
            </w:tcBorders>
            <w:noWrap/>
            <w:vAlign w:val="center"/>
          </w:tcPr>
          <w:p w14:paraId="3CF94C9C">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color w:val="auto"/>
                <w:szCs w:val="21"/>
                <w:highlight w:val="none"/>
                <w:lang w:eastAsia="zh-CN"/>
              </w:rPr>
            </w:pPr>
            <w:r>
              <w:rPr>
                <w:rFonts w:hint="eastAsia" w:ascii="宋体" w:hAnsi="宋体" w:cs="宋体"/>
                <w:color w:val="auto"/>
                <w:sz w:val="21"/>
                <w:szCs w:val="21"/>
                <w:highlight w:val="none"/>
              </w:rPr>
              <w:t>见招标公告</w:t>
            </w:r>
          </w:p>
        </w:tc>
      </w:tr>
      <w:tr w14:paraId="0D5FE2EA">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C8FAF44">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0A58F76">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建设地点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7B346AFB">
            <w:pPr>
              <w:keepNext w:val="0"/>
              <w:keepLines w:val="0"/>
              <w:pageBreakBefore w:val="0"/>
              <w:kinsoku/>
              <w:wordWrap/>
              <w:overflowPunct/>
              <w:autoSpaceDN/>
              <w:bidi w:val="0"/>
              <w:adjustRightInd w:val="0"/>
              <w:snapToGrid w:val="0"/>
              <w:spacing w:line="400" w:lineRule="exact"/>
              <w:textAlignment w:val="auto"/>
              <w:rPr>
                <w:rFonts w:ascii="宋体" w:hAnsi="宋体" w:cs="宋体"/>
                <w:color w:val="auto"/>
                <w:szCs w:val="21"/>
                <w:highlight w:val="none"/>
              </w:rPr>
            </w:pPr>
            <w:r>
              <w:rPr>
                <w:rFonts w:hint="eastAsia" w:ascii="宋体" w:hAnsi="宋体" w:cs="宋体"/>
                <w:color w:val="auto"/>
                <w:sz w:val="21"/>
                <w:szCs w:val="21"/>
                <w:highlight w:val="none"/>
              </w:rPr>
              <w:t>见招标公告</w:t>
            </w:r>
          </w:p>
        </w:tc>
      </w:tr>
      <w:tr w14:paraId="27E33739">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6EAEC26">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CEC5559">
            <w:pPr>
              <w:keepNext w:val="0"/>
              <w:keepLines w:val="0"/>
              <w:pageBreakBefore w:val="0"/>
              <w:kinsoku/>
              <w:wordWrap/>
              <w:overflowPunct/>
              <w:autoSpaceDN/>
              <w:bidi w:val="0"/>
              <w:adjustRightInd w:val="0"/>
              <w:snapToGrid w:val="0"/>
              <w:spacing w:line="400" w:lineRule="exact"/>
              <w:jc w:val="center"/>
              <w:textAlignment w:val="auto"/>
              <w:rPr>
                <w:rFonts w:ascii="宋体" w:hAnsi="宋体" w:cs="宋体"/>
                <w:color w:val="auto"/>
                <w:szCs w:val="21"/>
                <w:highlight w:val="none"/>
              </w:rPr>
            </w:pPr>
            <w:r>
              <w:rPr>
                <w:rFonts w:hint="eastAsia" w:ascii="宋体" w:hAnsi="宋体" w:cs="宋体"/>
                <w:color w:val="auto"/>
                <w:sz w:val="21"/>
                <w:szCs w:val="21"/>
                <w:highlight w:val="none"/>
              </w:rPr>
              <w:t>资金落实情况</w:t>
            </w:r>
          </w:p>
        </w:tc>
        <w:tc>
          <w:tcPr>
            <w:tcW w:w="7251" w:type="dxa"/>
            <w:tcBorders>
              <w:top w:val="single" w:color="auto" w:sz="4" w:space="0"/>
              <w:left w:val="single" w:color="auto" w:sz="4" w:space="0"/>
              <w:bottom w:val="single" w:color="auto" w:sz="4" w:space="0"/>
              <w:right w:val="single" w:color="auto" w:sz="4" w:space="0"/>
            </w:tcBorders>
            <w:noWrap/>
            <w:vAlign w:val="center"/>
          </w:tcPr>
          <w:p w14:paraId="60460FF1">
            <w:pPr>
              <w:keepNext w:val="0"/>
              <w:keepLines w:val="0"/>
              <w:pageBreakBefore w:val="0"/>
              <w:kinsoku/>
              <w:wordWrap/>
              <w:overflowPunct/>
              <w:autoSpaceDN/>
              <w:bidi w:val="0"/>
              <w:adjustRightInd w:val="0"/>
              <w:snapToGrid w:val="0"/>
              <w:spacing w:line="400" w:lineRule="exact"/>
              <w:textAlignment w:val="auto"/>
              <w:rPr>
                <w:rFonts w:ascii="宋体" w:hAnsi="宋体" w:cs="宋体"/>
                <w:color w:val="auto"/>
                <w:szCs w:val="21"/>
                <w:highlight w:val="none"/>
              </w:rPr>
            </w:pPr>
            <w:r>
              <w:rPr>
                <w:rFonts w:hint="eastAsia" w:ascii="宋体" w:hAnsi="宋体" w:cs="宋体"/>
                <w:color w:val="auto"/>
                <w:sz w:val="21"/>
                <w:szCs w:val="21"/>
                <w:highlight w:val="none"/>
                <w:lang w:val="en-US" w:eastAsia="zh-CN"/>
              </w:rPr>
              <w:t>已落实</w:t>
            </w:r>
          </w:p>
        </w:tc>
      </w:tr>
      <w:tr w14:paraId="64D296C6">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B0EC8E8">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516917A">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招标范围</w:t>
            </w:r>
          </w:p>
        </w:tc>
        <w:tc>
          <w:tcPr>
            <w:tcW w:w="7251" w:type="dxa"/>
            <w:tcBorders>
              <w:top w:val="single" w:color="auto" w:sz="4" w:space="0"/>
              <w:left w:val="single" w:color="auto" w:sz="4" w:space="0"/>
              <w:bottom w:val="single" w:color="auto" w:sz="4" w:space="0"/>
              <w:right w:val="single" w:color="auto" w:sz="4" w:space="0"/>
            </w:tcBorders>
            <w:noWrap/>
            <w:vAlign w:val="center"/>
          </w:tcPr>
          <w:p w14:paraId="6B3CA562">
            <w:pPr>
              <w:keepNext w:val="0"/>
              <w:keepLines w:val="0"/>
              <w:pageBreakBefore w:val="0"/>
              <w:kinsoku/>
              <w:wordWrap/>
              <w:overflowPunct/>
              <w:autoSpaceDN/>
              <w:bidi w:val="0"/>
              <w:spacing w:line="400" w:lineRule="exact"/>
              <w:textAlignment w:val="auto"/>
              <w:rPr>
                <w:rFonts w:ascii="宋体" w:hAnsi="宋体" w:cs="宋体"/>
                <w:color w:val="auto"/>
                <w:szCs w:val="21"/>
                <w:highlight w:val="none"/>
              </w:rPr>
            </w:pPr>
            <w:r>
              <w:rPr>
                <w:rFonts w:hint="eastAsia"/>
                <w:color w:val="auto"/>
                <w:szCs w:val="21"/>
                <w:highlight w:val="none"/>
              </w:rPr>
              <w:t>见招标公告</w:t>
            </w:r>
          </w:p>
        </w:tc>
      </w:tr>
      <w:tr w14:paraId="4195E0D5">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ABF706">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22F7482">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评标办法</w:t>
            </w:r>
          </w:p>
        </w:tc>
        <w:tc>
          <w:tcPr>
            <w:tcW w:w="7251" w:type="dxa"/>
            <w:tcBorders>
              <w:top w:val="single" w:color="auto" w:sz="4" w:space="0"/>
              <w:left w:val="single" w:color="auto" w:sz="4" w:space="0"/>
              <w:bottom w:val="single" w:color="auto" w:sz="4" w:space="0"/>
              <w:right w:val="single" w:color="auto" w:sz="4" w:space="0"/>
            </w:tcBorders>
            <w:noWrap/>
            <w:vAlign w:val="center"/>
          </w:tcPr>
          <w:p w14:paraId="340D66FF">
            <w:pPr>
              <w:pStyle w:val="93"/>
              <w:keepNext w:val="0"/>
              <w:keepLines w:val="0"/>
              <w:pageBreakBefore w:val="0"/>
              <w:kinsoku/>
              <w:wordWrap/>
              <w:overflowPunct/>
              <w:autoSpaceDN/>
              <w:bidi w:val="0"/>
              <w:spacing w:line="400" w:lineRule="exact"/>
              <w:textAlignment w:val="auto"/>
              <w:rPr>
                <w:rFonts w:ascii="宋体" w:hAnsi="宋体" w:cs="宋体"/>
                <w:color w:val="auto"/>
                <w:highlight w:val="none"/>
              </w:rPr>
            </w:pPr>
            <w:r>
              <w:rPr>
                <w:rFonts w:hint="eastAsia" w:ascii="宋体" w:hAnsi="宋体" w:cs="宋体"/>
                <w:color w:val="auto"/>
                <w:sz w:val="21"/>
                <w:szCs w:val="21"/>
                <w:highlight w:val="none"/>
              </w:rPr>
              <w:t>见招标公告</w:t>
            </w:r>
          </w:p>
        </w:tc>
      </w:tr>
      <w:tr w14:paraId="6E44BA5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B12E6DA">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9F9D96F">
            <w:pPr>
              <w:pageBreakBefore w:val="0"/>
              <w:kinsoku/>
              <w:wordWrap/>
              <w:overflowPunct/>
              <w:autoSpaceDE/>
              <w:autoSpaceDN/>
              <w:bidi w:val="0"/>
              <w:adjustRightInd w:val="0"/>
              <w:snapToGrid w:val="0"/>
              <w:spacing w:line="440" w:lineRule="exact"/>
              <w:jc w:val="center"/>
              <w:textAlignment w:val="auto"/>
              <w:rPr>
                <w:rFonts w:ascii="宋体" w:hAnsi="宋体" w:cs="宋体"/>
                <w:color w:val="auto"/>
                <w:szCs w:val="21"/>
                <w:highlight w:val="none"/>
              </w:rPr>
            </w:pPr>
            <w:r>
              <w:rPr>
                <w:rFonts w:hint="eastAsia" w:ascii="宋体" w:hAnsi="宋体" w:eastAsia="宋体" w:cs="宋体"/>
                <w:color w:val="auto"/>
                <w:sz w:val="21"/>
                <w:szCs w:val="21"/>
                <w:highlight w:val="none"/>
              </w:rPr>
              <w:t>计划工期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12C09492">
            <w:pPr>
              <w:pageBreakBefore w:val="0"/>
              <w:kinsoku/>
              <w:wordWrap/>
              <w:overflowPunct/>
              <w:autoSpaceDE/>
              <w:autoSpaceDN/>
              <w:bidi w:val="0"/>
              <w:adjustRightInd w:val="0"/>
              <w:snapToGrid w:val="0"/>
              <w:spacing w:line="44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计划工</w:t>
            </w:r>
            <w:r>
              <w:rPr>
                <w:rFonts w:hint="eastAsia" w:ascii="宋体" w:hAnsi="宋体" w:eastAsia="宋体" w:cs="宋体"/>
                <w:b/>
                <w:color w:val="auto"/>
                <w:sz w:val="21"/>
                <w:szCs w:val="21"/>
                <w:highlight w:val="none"/>
                <w:lang w:eastAsia="zh-CN"/>
              </w:rPr>
              <w:t>期：</w:t>
            </w:r>
            <w:r>
              <w:rPr>
                <w:rFonts w:hint="eastAsia" w:ascii="宋体" w:hAnsi="宋体" w:eastAsia="宋体" w:cs="宋体"/>
                <w:b/>
                <w:color w:val="auto"/>
                <w:sz w:val="21"/>
                <w:szCs w:val="21"/>
                <w:highlight w:val="none"/>
                <w:lang w:val="en-US" w:eastAsia="zh-CN"/>
              </w:rPr>
              <w:t>不高于</w:t>
            </w:r>
            <w:r>
              <w:rPr>
                <w:rFonts w:hint="eastAsia" w:ascii="宋体" w:hAnsi="宋体" w:cs="宋体"/>
                <w:b/>
                <w:color w:val="auto"/>
                <w:sz w:val="21"/>
                <w:szCs w:val="21"/>
                <w:highlight w:val="none"/>
                <w:u w:val="single"/>
                <w:lang w:val="en-US" w:eastAsia="zh-CN"/>
              </w:rPr>
              <w:t>150</w:t>
            </w:r>
            <w:r>
              <w:rPr>
                <w:rFonts w:hint="eastAsia" w:ascii="宋体" w:hAnsi="宋体" w:eastAsia="宋体" w:cs="宋体"/>
                <w:b/>
                <w:color w:val="auto"/>
                <w:sz w:val="21"/>
                <w:szCs w:val="21"/>
                <w:highlight w:val="none"/>
                <w:lang w:val="en-US" w:eastAsia="zh-CN"/>
              </w:rPr>
              <w:t>个日历天</w:t>
            </w:r>
            <w:r>
              <w:rPr>
                <w:rFonts w:hint="eastAsia" w:ascii="宋体" w:hAnsi="宋体" w:eastAsia="宋体" w:cs="宋体"/>
                <w:b/>
                <w:color w:val="auto"/>
                <w:sz w:val="21"/>
                <w:szCs w:val="21"/>
                <w:highlight w:val="none"/>
                <w:lang w:eastAsia="zh-CN"/>
              </w:rPr>
              <w:t>。</w:t>
            </w:r>
          </w:p>
          <w:p w14:paraId="385FC43D">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计划开工日期：双方签订合同时明确</w:t>
            </w:r>
            <w:r>
              <w:rPr>
                <w:rFonts w:hint="eastAsia" w:ascii="宋体" w:hAnsi="宋体" w:cs="宋体"/>
                <w:color w:val="auto"/>
                <w:sz w:val="21"/>
                <w:szCs w:val="21"/>
                <w:highlight w:val="none"/>
                <w:lang w:val="en-US" w:eastAsia="zh-CN"/>
              </w:rPr>
              <w:t xml:space="preserve"> </w:t>
            </w:r>
          </w:p>
          <w:p w14:paraId="3594D4AC">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计划竣工日期：双方签订合同时明确</w:t>
            </w:r>
          </w:p>
          <w:p w14:paraId="7365FC3B">
            <w:pPr>
              <w:pageBreakBefore w:val="0"/>
              <w:kinsoku/>
              <w:wordWrap/>
              <w:overflowPunct/>
              <w:autoSpaceDE/>
              <w:autoSpaceDN/>
              <w:bidi w:val="0"/>
              <w:adjustRightInd w:val="0"/>
              <w:snapToGrid w:val="0"/>
              <w:spacing w:line="440" w:lineRule="exact"/>
              <w:textAlignment w:val="auto"/>
              <w:rPr>
                <w:rFonts w:ascii="宋体" w:hAnsi="宋体" w:cs="宋体"/>
                <w:color w:val="auto"/>
                <w:szCs w:val="21"/>
                <w:highlight w:val="none"/>
              </w:rPr>
            </w:pPr>
            <w:r>
              <w:rPr>
                <w:rFonts w:hint="eastAsia" w:ascii="宋体" w:hAnsi="宋体" w:cs="宋体"/>
                <w:color w:val="auto"/>
                <w:sz w:val="21"/>
                <w:szCs w:val="21"/>
                <w:highlight w:val="none"/>
              </w:rPr>
              <w:t>注：投标人自报的承诺工期为考核标准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工期每延误一天，处以</w:t>
            </w:r>
            <w:r>
              <w:rPr>
                <w:rFonts w:hint="eastAsia" w:ascii="宋体" w:hAnsi="宋体" w:cs="宋体"/>
                <w:color w:val="auto"/>
                <w:sz w:val="21"/>
                <w:szCs w:val="21"/>
                <w:highlight w:val="none"/>
                <w:u w:val="single"/>
                <w:lang w:val="en-US" w:eastAsia="zh-CN"/>
              </w:rPr>
              <w:t>3000</w:t>
            </w:r>
            <w:r>
              <w:rPr>
                <w:rFonts w:hint="eastAsia" w:ascii="宋体" w:hAnsi="宋体" w:cs="宋体"/>
                <w:color w:val="auto"/>
                <w:sz w:val="21"/>
                <w:szCs w:val="21"/>
                <w:highlight w:val="none"/>
              </w:rPr>
              <w:t xml:space="preserve">元违约金，工期提前不奖励。 </w:t>
            </w:r>
            <w:r>
              <w:rPr>
                <w:rFonts w:hint="eastAsia" w:ascii="Times New Roman" w:hAnsi="Times New Roman" w:eastAsia="宋体" w:cs="Times New Roman"/>
                <w:color w:val="auto"/>
                <w:highlight w:val="none"/>
                <w:lang w:val="en-US" w:eastAsia="zh-CN"/>
              </w:rPr>
              <w:t xml:space="preserve">  </w:t>
            </w:r>
            <w:r>
              <w:rPr>
                <w:rFonts w:hint="eastAsia" w:ascii="宋体" w:hAnsi="宋体" w:eastAsia="宋体" w:cs="宋体"/>
                <w:color w:val="auto"/>
                <w:sz w:val="21"/>
                <w:szCs w:val="21"/>
                <w:highlight w:val="none"/>
              </w:rPr>
              <w:t xml:space="preserve">       </w:t>
            </w:r>
          </w:p>
        </w:tc>
      </w:tr>
      <w:tr w14:paraId="4024D16D">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52B29A18">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0FB8891">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质量要求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222B8DA3">
            <w:pPr>
              <w:keepNext w:val="0"/>
              <w:keepLines w:val="0"/>
              <w:pageBreakBefore w:val="0"/>
              <w:kinsoku/>
              <w:wordWrap/>
              <w:overflowPunct/>
              <w:autoSpaceDN/>
              <w:bidi w:val="0"/>
              <w:spacing w:line="400" w:lineRule="exact"/>
              <w:textAlignment w:val="auto"/>
              <w:rPr>
                <w:rFonts w:ascii="宋体" w:hAnsi="宋体" w:cs="宋体"/>
                <w:color w:val="auto"/>
                <w:szCs w:val="21"/>
                <w:highlight w:val="none"/>
              </w:rPr>
            </w:pPr>
            <w:r>
              <w:rPr>
                <w:rFonts w:hint="eastAsia" w:ascii="宋体" w:hAnsi="宋体" w:cs="宋体"/>
                <w:color w:val="auto"/>
                <w:kern w:val="0"/>
                <w:szCs w:val="21"/>
                <w:highlight w:val="none"/>
              </w:rPr>
              <w:t>必须达到国家工程施工质量验收</w:t>
            </w:r>
            <w:r>
              <w:rPr>
                <w:rFonts w:hint="eastAsia" w:ascii="宋体" w:hAnsi="宋体" w:cs="宋体"/>
                <w:color w:val="auto"/>
                <w:kern w:val="0"/>
                <w:szCs w:val="21"/>
                <w:highlight w:val="none"/>
                <w:u w:val="single"/>
              </w:rPr>
              <w:t xml:space="preserve"> 合格 </w:t>
            </w:r>
            <w:r>
              <w:rPr>
                <w:rFonts w:hint="eastAsia" w:ascii="宋体" w:hAnsi="宋体" w:cs="宋体"/>
                <w:color w:val="auto"/>
                <w:kern w:val="0"/>
                <w:szCs w:val="21"/>
                <w:highlight w:val="none"/>
              </w:rPr>
              <w:t>标准</w:t>
            </w:r>
            <w:r>
              <w:rPr>
                <w:rFonts w:hint="eastAsia" w:ascii="宋体" w:hAnsi="宋体" w:cs="宋体"/>
                <w:color w:val="auto"/>
                <w:szCs w:val="21"/>
                <w:highlight w:val="none"/>
              </w:rPr>
              <w:t xml:space="preserve">。 </w:t>
            </w:r>
          </w:p>
        </w:tc>
      </w:tr>
      <w:tr w14:paraId="0610F1B6">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14:paraId="6499B10A">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27F75B5F">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7251" w:type="dxa"/>
            <w:tcBorders>
              <w:top w:val="single" w:color="auto" w:sz="4" w:space="0"/>
              <w:left w:val="single" w:color="auto" w:sz="4" w:space="0"/>
              <w:bottom w:val="single" w:color="auto" w:sz="4" w:space="0"/>
              <w:right w:val="single" w:color="auto" w:sz="4" w:space="0"/>
            </w:tcBorders>
            <w:noWrap/>
            <w:vAlign w:val="center"/>
          </w:tcPr>
          <w:p w14:paraId="79A1E5A2">
            <w:pPr>
              <w:pStyle w:val="14"/>
              <w:keepNext w:val="0"/>
              <w:keepLines w:val="0"/>
              <w:pageBreakBefore w:val="0"/>
              <w:kinsoku/>
              <w:wordWrap/>
              <w:overflowPunct/>
              <w:autoSpaceDN/>
              <w:bidi w:val="0"/>
              <w:spacing w:line="400" w:lineRule="exact"/>
              <w:ind w:left="0" w:leftChars="0" w:firstLine="0" w:firstLineChars="0"/>
              <w:jc w:val="left"/>
              <w:textAlignment w:val="auto"/>
              <w:rPr>
                <w:rFonts w:hAnsi="宋体" w:cs="宋体"/>
                <w:color w:val="auto"/>
                <w:szCs w:val="21"/>
                <w:highlight w:val="none"/>
                <w:u w:val="single"/>
              </w:rPr>
            </w:pPr>
            <w:r>
              <w:rPr>
                <w:rFonts w:hint="eastAsia" w:hAnsi="宋体" w:cs="宋体"/>
                <w:color w:val="auto"/>
                <w:szCs w:val="21"/>
                <w:highlight w:val="none"/>
                <w:u w:val="single"/>
              </w:rPr>
              <w:t>见招标公告信息</w:t>
            </w:r>
          </w:p>
        </w:tc>
      </w:tr>
      <w:tr w14:paraId="34CDA60C">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14:paraId="193EBDFC">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BC1C102">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招标文件发布时间：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00E3B91B">
            <w:pPr>
              <w:keepNext w:val="0"/>
              <w:keepLines w:val="0"/>
              <w:pageBreakBefore w:val="0"/>
              <w:kinsoku/>
              <w:wordWrap/>
              <w:overflowPunct/>
              <w:autoSpaceDN/>
              <w:bidi w:val="0"/>
              <w:spacing w:line="40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见招标公告信息</w:t>
            </w:r>
          </w:p>
        </w:tc>
      </w:tr>
      <w:tr w14:paraId="52E33D5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2885CC7">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4E7DF90">
            <w:pPr>
              <w:keepNext w:val="0"/>
              <w:keepLines w:val="0"/>
              <w:pageBreakBefore w:val="0"/>
              <w:kinsoku/>
              <w:wordWrap/>
              <w:overflowPunct/>
              <w:autoSpaceDN/>
              <w:bidi w:val="0"/>
              <w:spacing w:line="400" w:lineRule="exact"/>
              <w:jc w:val="center"/>
              <w:textAlignment w:val="auto"/>
              <w:rPr>
                <w:rFonts w:ascii="宋体" w:hAnsi="宋体" w:cs="宋体"/>
                <w:color w:val="auto"/>
                <w:spacing w:val="-4"/>
                <w:kern w:val="0"/>
                <w:szCs w:val="21"/>
                <w:highlight w:val="none"/>
              </w:rPr>
            </w:pPr>
            <w:r>
              <w:rPr>
                <w:rFonts w:hint="eastAsia" w:ascii="宋体" w:hAnsi="宋体" w:cs="宋体"/>
                <w:color w:val="auto"/>
                <w:spacing w:val="-4"/>
                <w:kern w:val="0"/>
                <w:szCs w:val="21"/>
                <w:highlight w:val="none"/>
              </w:rPr>
              <w:t>踏勘现场</w:t>
            </w:r>
          </w:p>
        </w:tc>
        <w:tc>
          <w:tcPr>
            <w:tcW w:w="7251" w:type="dxa"/>
            <w:tcBorders>
              <w:top w:val="single" w:color="auto" w:sz="4" w:space="0"/>
              <w:left w:val="single" w:color="auto" w:sz="4" w:space="0"/>
              <w:bottom w:val="single" w:color="auto" w:sz="4" w:space="0"/>
              <w:right w:val="single" w:color="auto" w:sz="4" w:space="0"/>
            </w:tcBorders>
            <w:noWrap/>
            <w:vAlign w:val="center"/>
          </w:tcPr>
          <w:p w14:paraId="2EB7922D">
            <w:pPr>
              <w:pStyle w:val="19"/>
              <w:keepNext w:val="0"/>
              <w:keepLines w:val="0"/>
              <w:pageBreakBefore w:val="0"/>
              <w:kinsoku/>
              <w:wordWrap/>
              <w:overflowPunct/>
              <w:topLinePunct/>
              <w:autoSpaceDN/>
              <w:bidi w:val="0"/>
              <w:spacing w:line="400" w:lineRule="exact"/>
              <w:textAlignment w:val="auto"/>
              <w:rPr>
                <w:rFonts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不组织，投标人自行组织踏勘现场</w:t>
            </w:r>
            <w:r>
              <w:rPr>
                <w:rFonts w:hint="eastAsia" w:hAnsi="宋体" w:cs="宋体"/>
                <w:color w:val="auto"/>
                <w:sz w:val="21"/>
                <w:szCs w:val="21"/>
                <w:highlight w:val="none"/>
              </w:rPr>
              <w:t>；□组织</w:t>
            </w:r>
          </w:p>
        </w:tc>
      </w:tr>
      <w:tr w14:paraId="5938BD5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C77D58C">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9FD36A4">
            <w:pPr>
              <w:keepNext w:val="0"/>
              <w:keepLines w:val="0"/>
              <w:pageBreakBefore w:val="0"/>
              <w:kinsoku/>
              <w:wordWrap/>
              <w:overflowPunct/>
              <w:autoSpaceDN/>
              <w:bidi w:val="0"/>
              <w:spacing w:line="400" w:lineRule="exact"/>
              <w:jc w:val="center"/>
              <w:textAlignment w:val="auto"/>
              <w:rPr>
                <w:rFonts w:ascii="宋体" w:hAnsi="宋体" w:cs="宋体"/>
                <w:color w:val="auto"/>
                <w:spacing w:val="-4"/>
                <w:kern w:val="0"/>
                <w:szCs w:val="21"/>
                <w:highlight w:val="none"/>
              </w:rPr>
            </w:pPr>
            <w:r>
              <w:rPr>
                <w:rFonts w:hint="eastAsia" w:ascii="宋体" w:hAnsi="宋体" w:cs="宋体"/>
                <w:color w:val="auto"/>
                <w:spacing w:val="-4"/>
                <w:kern w:val="0"/>
                <w:szCs w:val="21"/>
                <w:highlight w:val="none"/>
              </w:rPr>
              <w:t>投标预备会</w:t>
            </w:r>
          </w:p>
        </w:tc>
        <w:tc>
          <w:tcPr>
            <w:tcW w:w="7251" w:type="dxa"/>
            <w:tcBorders>
              <w:top w:val="single" w:color="auto" w:sz="4" w:space="0"/>
              <w:left w:val="single" w:color="auto" w:sz="4" w:space="0"/>
              <w:bottom w:val="single" w:color="auto" w:sz="4" w:space="0"/>
              <w:right w:val="single" w:color="auto" w:sz="4" w:space="0"/>
            </w:tcBorders>
            <w:noWrap/>
            <w:vAlign w:val="center"/>
          </w:tcPr>
          <w:p w14:paraId="3343207B">
            <w:pPr>
              <w:pStyle w:val="19"/>
              <w:keepNext w:val="0"/>
              <w:keepLines w:val="0"/>
              <w:pageBreakBefore w:val="0"/>
              <w:kinsoku/>
              <w:wordWrap/>
              <w:overflowPunct/>
              <w:topLinePunct/>
              <w:autoSpaceDN/>
              <w:bidi w:val="0"/>
              <w:spacing w:line="400" w:lineRule="exact"/>
              <w:textAlignment w:val="auto"/>
              <w:rPr>
                <w:rFonts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不召开</w:t>
            </w:r>
            <w:r>
              <w:rPr>
                <w:rFonts w:hint="eastAsia" w:hAnsi="宋体" w:cs="宋体"/>
                <w:color w:val="auto"/>
                <w:sz w:val="21"/>
                <w:szCs w:val="21"/>
                <w:highlight w:val="none"/>
              </w:rPr>
              <w:t>；□召开</w:t>
            </w:r>
          </w:p>
        </w:tc>
      </w:tr>
      <w:tr w14:paraId="1A706311">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2418457">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111C62BE">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投标人提出问题的截止时间及方式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0FB0E6F2">
            <w:pPr>
              <w:pStyle w:val="24"/>
              <w:keepNext w:val="0"/>
              <w:keepLines w:val="0"/>
              <w:pageBreakBefore w:val="0"/>
              <w:kinsoku/>
              <w:wordWrap/>
              <w:overflowPunct/>
              <w:autoSpaceDN/>
              <w:bidi w:val="0"/>
              <w:spacing w:line="400" w:lineRule="exact"/>
              <w:textAlignment w:val="auto"/>
              <w:rPr>
                <w:rFonts w:hAnsi="宋体" w:cs="宋体"/>
                <w:color w:val="auto"/>
                <w:szCs w:val="21"/>
                <w:highlight w:val="none"/>
              </w:rPr>
            </w:pPr>
            <w:r>
              <w:rPr>
                <w:rFonts w:hint="eastAsia" w:ascii="宋体" w:hAnsi="宋体" w:cs="宋体"/>
                <w:color w:val="auto"/>
                <w:kern w:val="0"/>
                <w:szCs w:val="21"/>
                <w:highlight w:val="none"/>
              </w:rPr>
              <w:t>如投标人对招标文件有疑问，</w:t>
            </w:r>
            <w:r>
              <w:rPr>
                <w:rFonts w:hint="eastAsia" w:ascii="宋体" w:hAnsi="宋体" w:eastAsia="宋体" w:cs="宋体"/>
                <w:color w:val="auto"/>
                <w:kern w:val="0"/>
                <w:szCs w:val="21"/>
                <w:highlight w:val="none"/>
              </w:rPr>
              <w:t>请于</w:t>
            </w:r>
            <w:r>
              <w:rPr>
                <w:rFonts w:hint="eastAsia" w:ascii="宋体" w:hAnsi="宋体" w:cs="宋体"/>
                <w:color w:val="auto"/>
                <w:kern w:val="0"/>
                <w:szCs w:val="21"/>
                <w:highlight w:val="none"/>
                <w:lang w:eastAsia="zh-CN"/>
              </w:rPr>
              <w:t>2026</w:t>
            </w:r>
            <w:r>
              <w:rPr>
                <w:rFonts w:hint="eastAsia" w:ascii="宋体" w:hAnsi="宋体" w:eastAsia="宋体" w:cs="宋体"/>
                <w:color w:val="auto"/>
                <w:kern w:val="0"/>
                <w:szCs w:val="21"/>
                <w:highlight w:val="none"/>
              </w:rPr>
              <w:t>年</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rPr>
              <w:t>月</w:t>
            </w:r>
            <w:r>
              <w:rPr>
                <w:rFonts w:hint="eastAsia" w:ascii="宋体" w:hAnsi="宋体" w:cs="宋体"/>
                <w:color w:val="auto"/>
                <w:kern w:val="0"/>
                <w:szCs w:val="21"/>
                <w:highlight w:val="none"/>
                <w:lang w:val="en-US" w:eastAsia="zh-CN"/>
              </w:rPr>
              <w:t>20</w:t>
            </w:r>
            <w:r>
              <w:rPr>
                <w:rFonts w:hint="eastAsia" w:ascii="宋体" w:hAnsi="宋体" w:eastAsia="宋体" w:cs="宋体"/>
                <w:color w:val="auto"/>
                <w:kern w:val="0"/>
                <w:szCs w:val="21"/>
                <w:highlight w:val="none"/>
              </w:rPr>
              <w:t>日17时前</w:t>
            </w:r>
            <w:r>
              <w:rPr>
                <w:rFonts w:hint="eastAsia" w:ascii="宋体" w:hAnsi="宋体" w:eastAsia="宋体" w:cs="宋体"/>
                <w:color w:val="auto"/>
                <w:szCs w:val="21"/>
                <w:highlight w:val="none"/>
                <w:lang w:val="en-US" w:eastAsia="zh-CN"/>
              </w:rPr>
              <w:t>登录新点电子交易平台【滁州专区】线上提出</w:t>
            </w:r>
            <w:r>
              <w:rPr>
                <w:rFonts w:ascii="宋体" w:hAnsi="宋体" w:eastAsia="宋体" w:cs="宋体"/>
                <w:color w:val="auto"/>
                <w:highlight w:val="none"/>
              </w:rPr>
              <w:t>。</w:t>
            </w:r>
          </w:p>
        </w:tc>
      </w:tr>
      <w:tr w14:paraId="2634A732">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D7940DC">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F9A4559">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招标人澄清的时间及方式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3EA44CCA">
            <w:pPr>
              <w:keepNext w:val="0"/>
              <w:keepLines w:val="0"/>
              <w:pageBreakBefore w:val="0"/>
              <w:kinsoku/>
              <w:wordWrap/>
              <w:overflowPunct/>
              <w:autoSpaceDN/>
              <w:bidi w:val="0"/>
              <w:spacing w:line="400" w:lineRule="exact"/>
              <w:textAlignment w:val="auto"/>
              <w:rPr>
                <w:rFonts w:ascii="宋体" w:hAnsi="宋体" w:cs="宋体"/>
                <w:color w:val="auto"/>
                <w:szCs w:val="21"/>
                <w:highlight w:val="none"/>
              </w:rPr>
            </w:pPr>
            <w:r>
              <w:rPr>
                <w:rFonts w:hint="eastAsia" w:ascii="宋体" w:hAnsi="宋体" w:eastAsia="宋体" w:cs="宋体"/>
                <w:b w:val="0"/>
                <w:bCs w:val="0"/>
                <w:color w:val="auto"/>
                <w:kern w:val="2"/>
                <w:sz w:val="21"/>
                <w:szCs w:val="21"/>
                <w:highlight w:val="none"/>
                <w:u w:color="000000"/>
                <w:lang w:val="en-US" w:eastAsia="zh-CN" w:bidi="ar"/>
              </w:rPr>
              <w:t>招标人将在</w:t>
            </w:r>
            <w:r>
              <w:rPr>
                <w:rFonts w:hint="eastAsia" w:ascii="宋体" w:hAnsi="宋体" w:cs="宋体"/>
                <w:b w:val="0"/>
                <w:bCs w:val="0"/>
                <w:color w:val="auto"/>
                <w:kern w:val="2"/>
                <w:sz w:val="21"/>
                <w:szCs w:val="21"/>
                <w:highlight w:val="none"/>
                <w:u w:color="000000"/>
                <w:lang w:val="en-US" w:eastAsia="zh-CN" w:bidi="ar"/>
              </w:rPr>
              <w:t>2026</w:t>
            </w:r>
            <w:r>
              <w:rPr>
                <w:rFonts w:hint="eastAsia" w:ascii="宋体" w:hAnsi="宋体" w:eastAsia="宋体" w:cs="宋体"/>
                <w:b w:val="0"/>
                <w:bCs w:val="0"/>
                <w:color w:val="auto"/>
                <w:kern w:val="2"/>
                <w:sz w:val="21"/>
                <w:szCs w:val="21"/>
                <w:highlight w:val="none"/>
                <w:u w:color="000000"/>
                <w:lang w:val="en-US" w:eastAsia="zh-CN" w:bidi="ar"/>
              </w:rPr>
              <w:t>年</w:t>
            </w:r>
            <w:r>
              <w:rPr>
                <w:rFonts w:hint="eastAsia" w:ascii="宋体" w:hAnsi="宋体" w:cs="宋体"/>
                <w:b w:val="0"/>
                <w:bCs w:val="0"/>
                <w:color w:val="auto"/>
                <w:kern w:val="2"/>
                <w:sz w:val="21"/>
                <w:szCs w:val="21"/>
                <w:highlight w:val="none"/>
                <w:u w:color="000000"/>
                <w:lang w:val="en-US" w:eastAsia="zh-CN" w:bidi="ar"/>
              </w:rPr>
              <w:t>1</w:t>
            </w:r>
            <w:r>
              <w:rPr>
                <w:rFonts w:hint="eastAsia" w:ascii="宋体" w:hAnsi="宋体" w:eastAsia="宋体" w:cs="宋体"/>
                <w:b w:val="0"/>
                <w:bCs w:val="0"/>
                <w:color w:val="auto"/>
                <w:kern w:val="2"/>
                <w:sz w:val="21"/>
                <w:szCs w:val="21"/>
                <w:highlight w:val="none"/>
                <w:u w:color="000000"/>
                <w:lang w:val="en-US" w:eastAsia="zh-CN" w:bidi="ar"/>
              </w:rPr>
              <w:t>月</w:t>
            </w:r>
            <w:r>
              <w:rPr>
                <w:rFonts w:hint="eastAsia" w:ascii="宋体" w:hAnsi="宋体" w:cs="宋体"/>
                <w:b w:val="0"/>
                <w:bCs w:val="0"/>
                <w:color w:val="auto"/>
                <w:kern w:val="2"/>
                <w:sz w:val="21"/>
                <w:szCs w:val="21"/>
                <w:highlight w:val="none"/>
                <w:u w:color="000000"/>
                <w:lang w:val="en-US" w:eastAsia="zh-CN" w:bidi="ar"/>
              </w:rPr>
              <w:t>21</w:t>
            </w:r>
            <w:r>
              <w:rPr>
                <w:rFonts w:hint="eastAsia" w:ascii="宋体" w:hAnsi="宋体" w:eastAsia="宋体" w:cs="宋体"/>
                <w:b w:val="0"/>
                <w:bCs w:val="0"/>
                <w:color w:val="auto"/>
                <w:kern w:val="2"/>
                <w:sz w:val="21"/>
                <w:szCs w:val="21"/>
                <w:highlight w:val="none"/>
                <w:u w:color="000000"/>
                <w:lang w:val="en-US" w:eastAsia="zh-CN" w:bidi="ar"/>
              </w:rPr>
              <w:t>日17时后以澄清公告形式在滁州市城投工程咨询管理有限公司网站（</w:t>
            </w:r>
            <w:r>
              <w:rPr>
                <w:rFonts w:hint="eastAsia" w:ascii="宋体" w:hAnsi="宋体" w:cs="宋体"/>
                <w:b w:val="0"/>
                <w:bCs w:val="0"/>
                <w:color w:val="auto"/>
                <w:kern w:val="2"/>
                <w:sz w:val="21"/>
                <w:szCs w:val="21"/>
                <w:highlight w:val="none"/>
                <w:u w:color="000000"/>
                <w:lang w:val="en-US" w:eastAsia="zh-CN" w:bidi="ar"/>
              </w:rPr>
              <w:t>https://www.czctgczx.com/</w:t>
            </w:r>
            <w:r>
              <w:rPr>
                <w:rFonts w:hint="eastAsia" w:ascii="宋体" w:hAnsi="宋体" w:eastAsia="宋体" w:cs="宋体"/>
                <w:b w:val="0"/>
                <w:bCs w:val="0"/>
                <w:color w:val="auto"/>
                <w:kern w:val="2"/>
                <w:sz w:val="21"/>
                <w:szCs w:val="21"/>
                <w:highlight w:val="none"/>
                <w:u w:color="000000"/>
                <w:lang w:val="en-US" w:eastAsia="zh-CN" w:bidi="ar"/>
              </w:rPr>
              <w:t>）发布，但不指明澄清问题的来源。如果澄清内容影响投标文件编制的，将相应延长投标截止时间。</w:t>
            </w:r>
          </w:p>
        </w:tc>
      </w:tr>
      <w:tr w14:paraId="5AD99380">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ACCAE51">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6712731">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偏离</w:t>
            </w:r>
          </w:p>
        </w:tc>
        <w:tc>
          <w:tcPr>
            <w:tcW w:w="7251" w:type="dxa"/>
            <w:tcBorders>
              <w:top w:val="single" w:color="auto" w:sz="4" w:space="0"/>
              <w:left w:val="single" w:color="auto" w:sz="4" w:space="0"/>
              <w:bottom w:val="single" w:color="auto" w:sz="4" w:space="0"/>
              <w:right w:val="single" w:color="auto" w:sz="4" w:space="0"/>
            </w:tcBorders>
            <w:noWrap/>
            <w:vAlign w:val="center"/>
          </w:tcPr>
          <w:p w14:paraId="6F323E2E">
            <w:pPr>
              <w:pStyle w:val="19"/>
              <w:keepNext w:val="0"/>
              <w:keepLines w:val="0"/>
              <w:pageBreakBefore w:val="0"/>
              <w:kinsoku/>
              <w:wordWrap/>
              <w:overflowPunct/>
              <w:topLinePunct/>
              <w:autoSpaceDN/>
              <w:bidi w:val="0"/>
              <w:spacing w:line="400" w:lineRule="exact"/>
              <w:textAlignment w:val="auto"/>
              <w:rPr>
                <w:rFonts w:hAnsi="宋体" w:cs="宋体"/>
                <w:color w:val="auto"/>
                <w:sz w:val="21"/>
                <w:szCs w:val="21"/>
                <w:highlight w:val="none"/>
              </w:rPr>
            </w:pPr>
            <w:r>
              <w:rPr>
                <w:rFonts w:hint="eastAsia"/>
                <w:color w:val="auto"/>
                <w:highlight w:val="none"/>
              </w:rPr>
              <w:t>☑</w:t>
            </w:r>
            <w:r>
              <w:rPr>
                <w:rFonts w:hint="eastAsia" w:hAnsi="宋体" w:cs="宋体"/>
                <w:color w:val="auto"/>
                <w:sz w:val="21"/>
                <w:szCs w:val="21"/>
                <w:highlight w:val="none"/>
              </w:rPr>
              <w:t>不允许；□允许</w:t>
            </w:r>
          </w:p>
        </w:tc>
      </w:tr>
      <w:tr w14:paraId="462F3D5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61C0531">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7653BA3">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构成招标文件的其他材料</w:t>
            </w:r>
          </w:p>
        </w:tc>
        <w:tc>
          <w:tcPr>
            <w:tcW w:w="7251" w:type="dxa"/>
            <w:tcBorders>
              <w:top w:val="single" w:color="auto" w:sz="4" w:space="0"/>
              <w:left w:val="single" w:color="auto" w:sz="4" w:space="0"/>
              <w:bottom w:val="single" w:color="auto" w:sz="4" w:space="0"/>
              <w:right w:val="single" w:color="auto" w:sz="4" w:space="0"/>
            </w:tcBorders>
            <w:noWrap/>
            <w:vAlign w:val="center"/>
          </w:tcPr>
          <w:p w14:paraId="07A7DB3C">
            <w:pPr>
              <w:keepNext w:val="0"/>
              <w:keepLines w:val="0"/>
              <w:pageBreakBefore w:val="0"/>
              <w:kinsoku/>
              <w:wordWrap/>
              <w:overflowPunct/>
              <w:autoSpaceDN/>
              <w:bidi w:val="0"/>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招标澄清答疑文件等。</w:t>
            </w:r>
          </w:p>
        </w:tc>
      </w:tr>
      <w:tr w14:paraId="132ABAE6">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9A34F72">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C04F206">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11154714">
            <w:pPr>
              <w:keepNext w:val="0"/>
              <w:keepLines w:val="0"/>
              <w:pageBreakBefore w:val="0"/>
              <w:kinsoku/>
              <w:wordWrap/>
              <w:overflowPunct/>
              <w:autoSpaceDN/>
              <w:bidi w:val="0"/>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同本表第13条</w:t>
            </w:r>
          </w:p>
        </w:tc>
      </w:tr>
      <w:tr w14:paraId="2A3378D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49441D8">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0782B1E">
            <w:pPr>
              <w:pageBreakBefore w:val="0"/>
              <w:kinsoku/>
              <w:wordWrap/>
              <w:overflowPunct/>
              <w:autoSpaceDE/>
              <w:autoSpaceDN/>
              <w:bidi w:val="0"/>
              <w:adjustRightInd w:val="0"/>
              <w:snapToGrid w:val="0"/>
              <w:spacing w:line="440" w:lineRule="exact"/>
              <w:jc w:val="center"/>
              <w:textAlignment w:val="auto"/>
              <w:rPr>
                <w:rFonts w:ascii="宋体" w:hAnsi="宋体" w:cs="宋体"/>
                <w:color w:val="auto"/>
                <w:szCs w:val="21"/>
                <w:highlight w:val="none"/>
              </w:rPr>
            </w:pPr>
            <w:r>
              <w:rPr>
                <w:rFonts w:hint="eastAsia" w:ascii="宋体" w:hAnsi="宋体" w:eastAsia="宋体" w:cs="宋体"/>
                <w:b/>
                <w:bCs/>
                <w:color w:val="auto"/>
                <w:sz w:val="21"/>
                <w:szCs w:val="21"/>
                <w:highlight w:val="none"/>
              </w:rPr>
              <w:t>最高投标限价</w:t>
            </w:r>
          </w:p>
        </w:tc>
        <w:tc>
          <w:tcPr>
            <w:tcW w:w="7251" w:type="dxa"/>
            <w:tcBorders>
              <w:top w:val="single" w:color="auto" w:sz="4" w:space="0"/>
              <w:left w:val="single" w:color="auto" w:sz="4" w:space="0"/>
              <w:bottom w:val="single" w:color="auto" w:sz="4" w:space="0"/>
              <w:right w:val="single" w:color="auto" w:sz="4" w:space="0"/>
            </w:tcBorders>
            <w:noWrap/>
            <w:vAlign w:val="center"/>
          </w:tcPr>
          <w:p w14:paraId="7FFE1B90">
            <w:pPr>
              <w:pageBreakBefore w:val="0"/>
              <w:kinsoku/>
              <w:wordWrap/>
              <w:overflowPunct/>
              <w:autoSpaceDE/>
              <w:autoSpaceDN/>
              <w:bidi w:val="0"/>
              <w:adjustRightInd w:val="0"/>
              <w:snapToGrid w:val="0"/>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u w:val="none"/>
              </w:rPr>
              <w:t>有</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公布的最高投标限价：</w:t>
            </w:r>
            <w:r>
              <w:rPr>
                <w:rFonts w:hint="eastAsia" w:ascii="宋体" w:hAnsi="宋体" w:eastAsia="宋体" w:cs="宋体"/>
                <w:color w:val="auto"/>
                <w:sz w:val="21"/>
                <w:szCs w:val="21"/>
                <w:highlight w:val="none"/>
                <w:lang w:val="en-US" w:eastAsia="zh-CN"/>
              </w:rPr>
              <w:t>2684451.82元（其中含暂列金额200000元）</w:t>
            </w:r>
          </w:p>
          <w:p w14:paraId="62B51156">
            <w:pPr>
              <w:pageBreakBefore w:val="0"/>
              <w:kinsoku/>
              <w:wordWrap/>
              <w:overflowPunct/>
              <w:autoSpaceDE/>
              <w:autoSpaceDN/>
              <w:bidi w:val="0"/>
              <w:adjustRightInd w:val="0"/>
              <w:snapToGrid w:val="0"/>
              <w:spacing w:line="440" w:lineRule="exact"/>
              <w:textAlignment w:val="auto"/>
              <w:rPr>
                <w:rFonts w:hint="default" w:ascii="宋体" w:hAnsi="宋体" w:eastAsia="宋体" w:cs="宋体"/>
                <w:b/>
                <w:color w:val="auto"/>
                <w:szCs w:val="21"/>
                <w:highlight w:val="none"/>
                <w:u w:val="single"/>
                <w:lang w:val="en-US" w:eastAsia="zh-CN"/>
              </w:rPr>
            </w:pPr>
            <w:r>
              <w:rPr>
                <w:rFonts w:hint="eastAsia" w:ascii="宋体" w:hAnsi="宋体" w:eastAsia="宋体" w:cs="宋体"/>
                <w:color w:val="auto"/>
                <w:sz w:val="21"/>
                <w:szCs w:val="21"/>
                <w:highlight w:val="none"/>
                <w:lang w:val="en-US" w:eastAsia="zh-CN"/>
              </w:rPr>
              <w:t>注：投标报价小数点后最多保留两位小数，如填报多位小数的，按小数点后第3位四舍五入修正投标报价。</w:t>
            </w:r>
          </w:p>
        </w:tc>
      </w:tr>
      <w:tr w14:paraId="6F126AFB">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3A3375F5">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8366841">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投标有效期</w:t>
            </w:r>
          </w:p>
        </w:tc>
        <w:tc>
          <w:tcPr>
            <w:tcW w:w="7251" w:type="dxa"/>
            <w:tcBorders>
              <w:top w:val="single" w:color="auto" w:sz="4" w:space="0"/>
              <w:left w:val="single" w:color="auto" w:sz="4" w:space="0"/>
              <w:bottom w:val="single" w:color="auto" w:sz="4" w:space="0"/>
              <w:right w:val="single" w:color="auto" w:sz="4" w:space="0"/>
            </w:tcBorders>
            <w:noWrap/>
            <w:vAlign w:val="center"/>
          </w:tcPr>
          <w:p w14:paraId="3E143A0C">
            <w:pPr>
              <w:keepNext w:val="0"/>
              <w:keepLines w:val="0"/>
              <w:pageBreakBefore w:val="0"/>
              <w:kinsoku/>
              <w:wordWrap/>
              <w:overflowPunct/>
              <w:autoSpaceDN/>
              <w:bidi w:val="0"/>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投标有效期为</w:t>
            </w:r>
            <w:r>
              <w:rPr>
                <w:rFonts w:hint="eastAsia" w:ascii="宋体" w:hAnsi="宋体" w:cs="宋体"/>
                <w:color w:val="auto"/>
                <w:szCs w:val="21"/>
                <w:highlight w:val="none"/>
                <w:u w:val="single"/>
              </w:rPr>
              <w:t>90</w:t>
            </w:r>
            <w:r>
              <w:rPr>
                <w:rFonts w:hint="eastAsia" w:ascii="宋体" w:hAnsi="宋体" w:cs="宋体"/>
                <w:color w:val="auto"/>
                <w:szCs w:val="21"/>
                <w:highlight w:val="none"/>
              </w:rPr>
              <w:t>日历天（从投标截止之日算起）。在此期限内，凡符合本招标文件要求的投标文件均保持有效。</w:t>
            </w:r>
          </w:p>
        </w:tc>
      </w:tr>
      <w:tr w14:paraId="45AEDE17">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EB6B29F">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0129E91">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投标保证金</w:t>
            </w:r>
          </w:p>
        </w:tc>
        <w:tc>
          <w:tcPr>
            <w:tcW w:w="7251" w:type="dxa"/>
            <w:tcBorders>
              <w:top w:val="single" w:color="auto" w:sz="4" w:space="0"/>
              <w:left w:val="single" w:color="auto" w:sz="4" w:space="0"/>
              <w:bottom w:val="single" w:color="auto" w:sz="4" w:space="0"/>
              <w:right w:val="single" w:color="auto" w:sz="4" w:space="0"/>
            </w:tcBorders>
            <w:noWrap/>
            <w:vAlign w:val="center"/>
          </w:tcPr>
          <w:p w14:paraId="28186690">
            <w:pPr>
              <w:keepNext w:val="0"/>
              <w:keepLines w:val="0"/>
              <w:pageBreakBefore w:val="0"/>
              <w:kinsoku/>
              <w:wordWrap/>
              <w:overflowPunct/>
              <w:autoSpaceDN/>
              <w:bidi w:val="0"/>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详见招标公告信息</w:t>
            </w:r>
          </w:p>
        </w:tc>
      </w:tr>
      <w:tr w14:paraId="6E11FCA3">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7399921">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50DF28D">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签字或盖章要求</w:t>
            </w:r>
          </w:p>
        </w:tc>
        <w:tc>
          <w:tcPr>
            <w:tcW w:w="7251" w:type="dxa"/>
            <w:tcBorders>
              <w:top w:val="single" w:color="auto" w:sz="4" w:space="0"/>
              <w:left w:val="single" w:color="auto" w:sz="4" w:space="0"/>
              <w:bottom w:val="single" w:color="auto" w:sz="4" w:space="0"/>
              <w:right w:val="single" w:color="auto" w:sz="4" w:space="0"/>
            </w:tcBorders>
            <w:noWrap/>
            <w:vAlign w:val="center"/>
          </w:tcPr>
          <w:p w14:paraId="5AFD1E77">
            <w:pPr>
              <w:keepNext w:val="0"/>
              <w:keepLines w:val="0"/>
              <w:pageBreakBefore w:val="0"/>
              <w:kinsoku/>
              <w:wordWrap/>
              <w:overflowPunct/>
              <w:autoSpaceDN/>
              <w:bidi w:val="0"/>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投标文件须按格式文件要求签字或盖章。否则经评委会一致认定后，按照无效投标处理。</w:t>
            </w:r>
          </w:p>
        </w:tc>
      </w:tr>
      <w:tr w14:paraId="2A0476EF">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596DF02">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CA3299E">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投标文件份数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1762AE54">
            <w:pPr>
              <w:pStyle w:val="14"/>
              <w:keepNext w:val="0"/>
              <w:keepLines w:val="0"/>
              <w:pageBreakBefore w:val="0"/>
              <w:kinsoku/>
              <w:wordWrap/>
              <w:overflowPunct/>
              <w:autoSpaceDN/>
              <w:bidi w:val="0"/>
              <w:spacing w:line="400" w:lineRule="exact"/>
              <w:ind w:left="0" w:leftChars="0" w:firstLine="0" w:firstLineChars="0"/>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本项目仅接受投标人在投标截止时间前登录新点电子交易平台【滁州专区】（https://www.etrading.cn/BREpointSSO/login/oauth2login?regioncode=DQ_ChuZhou）交易系统递交的加密电子投标文件。</w:t>
            </w:r>
          </w:p>
          <w:p w14:paraId="59E67BFB">
            <w:pPr>
              <w:pStyle w:val="14"/>
              <w:keepNext w:val="0"/>
              <w:keepLines w:val="0"/>
              <w:pageBreakBefore w:val="0"/>
              <w:kinsoku/>
              <w:wordWrap/>
              <w:overflowPunct/>
              <w:autoSpaceDN/>
              <w:bidi w:val="0"/>
              <w:spacing w:line="400" w:lineRule="exact"/>
              <w:ind w:left="0" w:leftChars="0" w:firstLine="0" w:firstLineChars="0"/>
              <w:textAlignment w:val="auto"/>
              <w:rPr>
                <w:color w:val="auto"/>
                <w:highlight w:val="none"/>
              </w:rPr>
            </w:pPr>
            <w:r>
              <w:rPr>
                <w:rFonts w:hint="eastAsia" w:ascii="宋体" w:hAnsi="宋体" w:eastAsia="宋体" w:cs="宋体"/>
                <w:b/>
                <w:bCs/>
                <w:i w:val="0"/>
                <w:iCs w:val="0"/>
                <w:color w:val="auto"/>
                <w:kern w:val="0"/>
                <w:sz w:val="21"/>
                <w:szCs w:val="21"/>
                <w:highlight w:val="none"/>
                <w:u w:val="single"/>
              </w:rPr>
              <w:t>（投标人中标后须递交与网上电子投标文件完全一致的纸质版投标文件，并按要求加盖单位章；</w:t>
            </w:r>
            <w:r>
              <w:rPr>
                <w:rFonts w:hint="eastAsia" w:ascii="宋体" w:hAnsi="宋体" w:cs="宋体"/>
                <w:b/>
                <w:bCs/>
                <w:i w:val="0"/>
                <w:iCs w:val="0"/>
                <w:color w:val="auto"/>
                <w:kern w:val="0"/>
                <w:sz w:val="21"/>
                <w:szCs w:val="21"/>
                <w:highlight w:val="none"/>
                <w:u w:val="single"/>
              </w:rPr>
              <w:t>份数：正本1份，副本</w:t>
            </w:r>
            <w:r>
              <w:rPr>
                <w:rFonts w:hint="eastAsia" w:ascii="宋体" w:hAnsi="宋体" w:cs="宋体"/>
                <w:b/>
                <w:bCs/>
                <w:i w:val="0"/>
                <w:iCs w:val="0"/>
                <w:color w:val="auto"/>
                <w:kern w:val="0"/>
                <w:sz w:val="21"/>
                <w:szCs w:val="21"/>
                <w:highlight w:val="none"/>
                <w:u w:val="single"/>
                <w:lang w:val="en-US" w:eastAsia="zh-CN"/>
              </w:rPr>
              <w:t>2</w:t>
            </w:r>
            <w:r>
              <w:rPr>
                <w:rFonts w:hint="eastAsia" w:ascii="宋体" w:hAnsi="宋体" w:cs="宋体"/>
                <w:b/>
                <w:bCs/>
                <w:i w:val="0"/>
                <w:iCs w:val="0"/>
                <w:color w:val="auto"/>
                <w:kern w:val="0"/>
                <w:sz w:val="21"/>
                <w:szCs w:val="21"/>
                <w:highlight w:val="none"/>
                <w:u w:val="single"/>
              </w:rPr>
              <w:t>份；中标单位领取中标通知书时，一并递交给代理机构）</w:t>
            </w:r>
          </w:p>
        </w:tc>
      </w:tr>
      <w:tr w14:paraId="0DE33C57">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0C592D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highlight w:val="none"/>
                <w:lang w:val="en-US" w:eastAsia="zh-CN"/>
              </w:rPr>
              <w:t>23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954E8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Cs w:val="21"/>
                <w:highlight w:val="none"/>
              </w:rPr>
            </w:pPr>
            <w:r>
              <w:rPr>
                <w:rFonts w:hint="eastAsia" w:ascii="宋体"/>
                <w:color w:val="auto"/>
                <w:sz w:val="21"/>
                <w:szCs w:val="21"/>
                <w:highlight w:val="none"/>
              </w:rPr>
              <w:t>投标文件提交截止时间</w:t>
            </w:r>
          </w:p>
        </w:tc>
        <w:tc>
          <w:tcPr>
            <w:tcW w:w="7251" w:type="dxa"/>
            <w:tcBorders>
              <w:top w:val="single" w:color="auto" w:sz="4" w:space="0"/>
              <w:left w:val="single" w:color="auto" w:sz="4" w:space="0"/>
              <w:bottom w:val="single" w:color="auto" w:sz="4" w:space="0"/>
              <w:right w:val="single" w:color="auto" w:sz="4" w:space="0"/>
            </w:tcBorders>
            <w:noWrap/>
            <w:vAlign w:val="center"/>
          </w:tcPr>
          <w:p w14:paraId="49C7DBFE">
            <w:pPr>
              <w:keepNext w:val="0"/>
              <w:keepLines w:val="0"/>
              <w:pageBreakBefore w:val="0"/>
              <w:kinsoku/>
              <w:wordWrap/>
              <w:overflowPunct/>
              <w:autoSpaceDN/>
              <w:bidi w:val="0"/>
              <w:spacing w:line="40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 xml:space="preserve">在 </w:t>
            </w:r>
            <w:r>
              <w:rPr>
                <w:rFonts w:hint="eastAsia" w:ascii="宋体" w:hAnsi="宋体" w:cs="宋体"/>
                <w:color w:val="auto"/>
                <w:szCs w:val="21"/>
                <w:highlight w:val="none"/>
                <w:lang w:eastAsia="zh-CN"/>
              </w:rPr>
              <w:t>2026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23</w:t>
            </w:r>
            <w:r>
              <w:rPr>
                <w:rFonts w:hint="eastAsia" w:ascii="宋体" w:hAnsi="宋体" w:eastAsia="宋体" w:cs="宋体"/>
                <w:color w:val="auto"/>
                <w:szCs w:val="21"/>
                <w:highlight w:val="none"/>
              </w:rPr>
              <w:t>日</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时00分（北京时间）</w:t>
            </w:r>
          </w:p>
        </w:tc>
      </w:tr>
      <w:tr w14:paraId="13689E4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12D8F6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highlight w:val="none"/>
                <w:lang w:val="en-US" w:eastAsia="zh-CN"/>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3C2F970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是否退还投标文件</w:t>
            </w:r>
          </w:p>
        </w:tc>
        <w:tc>
          <w:tcPr>
            <w:tcW w:w="7251" w:type="dxa"/>
            <w:tcBorders>
              <w:top w:val="single" w:color="auto" w:sz="4" w:space="0"/>
              <w:left w:val="single" w:color="auto" w:sz="4" w:space="0"/>
              <w:bottom w:val="single" w:color="auto" w:sz="4" w:space="0"/>
              <w:right w:val="single" w:color="auto" w:sz="4" w:space="0"/>
            </w:tcBorders>
            <w:noWrap/>
            <w:vAlign w:val="center"/>
          </w:tcPr>
          <w:p w14:paraId="49837F3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否</w:t>
            </w:r>
          </w:p>
        </w:tc>
      </w:tr>
      <w:tr w14:paraId="3E085A99">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2993016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highlight w:val="none"/>
                <w:lang w:val="en-US" w:eastAsia="zh-CN"/>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07A3327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开标时间及地点</w:t>
            </w:r>
          </w:p>
        </w:tc>
        <w:tc>
          <w:tcPr>
            <w:tcW w:w="7251" w:type="dxa"/>
            <w:tcBorders>
              <w:top w:val="single" w:color="auto" w:sz="4" w:space="0"/>
              <w:left w:val="single" w:color="auto" w:sz="4" w:space="0"/>
              <w:bottom w:val="single" w:color="auto" w:sz="4" w:space="0"/>
              <w:right w:val="single" w:color="auto" w:sz="4" w:space="0"/>
            </w:tcBorders>
            <w:noWrap/>
            <w:vAlign w:val="center"/>
          </w:tcPr>
          <w:p w14:paraId="5F9ADFD6">
            <w:pPr>
              <w:adjustRightInd w:val="0"/>
              <w:snapToGrid w:val="0"/>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开标时间：同投标截止时间</w:t>
            </w:r>
          </w:p>
          <w:p w14:paraId="4684E983">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Times New Roman" w:hAnsi="Times New Roman" w:eastAsia="宋体" w:cs="Times New Roman"/>
                <w:color w:val="auto"/>
                <w:highlight w:val="none"/>
                <w:lang w:val="en-US" w:eastAsia="zh-CN"/>
              </w:rPr>
            </w:pPr>
            <w:r>
              <w:rPr>
                <w:rFonts w:hint="eastAsia" w:ascii="宋体" w:hAnsi="宋体" w:eastAsia="宋体" w:cs="宋体"/>
                <w:color w:val="auto"/>
                <w:szCs w:val="21"/>
                <w:highlight w:val="none"/>
                <w:lang w:val="en-US" w:eastAsia="zh-CN"/>
              </w:rPr>
              <w:t>方式：</w:t>
            </w:r>
            <w:r>
              <w:rPr>
                <w:rFonts w:hint="eastAsia" w:ascii="Times New Roman" w:hAnsi="Times New Roman" w:eastAsia="宋体" w:cs="Times New Roman"/>
                <w:color w:val="auto"/>
                <w:highlight w:val="none"/>
                <w:lang w:val="en-US" w:eastAsia="zh-CN"/>
              </w:rPr>
              <w:t>采用不见面开标，投标人登录滁州市城投工程咨询有限公司不见面开标系统参与网上开标（网址：</w:t>
            </w:r>
            <w:r>
              <w:rPr>
                <w:rFonts w:hint="eastAsia" w:ascii="Times New Roman" w:hAnsi="Times New Roman" w:eastAsia="宋体" w:cs="Times New Roman"/>
                <w:color w:val="auto"/>
                <w:highlight w:val="none"/>
                <w:lang w:val="en-US" w:eastAsia="zh-CN"/>
              </w:rPr>
              <w:fldChar w:fldCharType="begin"/>
            </w:r>
            <w:r>
              <w:rPr>
                <w:rFonts w:hint="eastAsia" w:ascii="Times New Roman" w:hAnsi="Times New Roman" w:eastAsia="宋体" w:cs="Times New Roman"/>
                <w:color w:val="auto"/>
                <w:highlight w:val="none"/>
                <w:lang w:val="en-US" w:eastAsia="zh-CN"/>
              </w:rPr>
              <w:instrText xml:space="preserve"> HYPERLINK "http://js.etrading.cn/EpointBidOpening/bidopeninghallaction/hall/login）。" </w:instrText>
            </w:r>
            <w:r>
              <w:rPr>
                <w:rFonts w:hint="eastAsia" w:ascii="Times New Roman" w:hAnsi="Times New Roman" w:eastAsia="宋体" w:cs="Times New Roman"/>
                <w:color w:val="auto"/>
                <w:highlight w:val="none"/>
                <w:lang w:val="en-US" w:eastAsia="zh-CN"/>
              </w:rPr>
              <w:fldChar w:fldCharType="separate"/>
            </w:r>
            <w:r>
              <w:rPr>
                <w:rStyle w:val="58"/>
                <w:rFonts w:hint="eastAsia" w:ascii="Times New Roman" w:hAnsi="Times New Roman" w:eastAsia="宋体" w:cs="Times New Roman"/>
                <w:color w:val="auto"/>
                <w:highlight w:val="none"/>
                <w:lang w:val="en-US" w:eastAsia="zh-CN"/>
              </w:rPr>
              <w:t>http://js.etrading.cn/EpointBidOpening/bidopeninghallaction/hall/login）。</w:t>
            </w:r>
            <w:r>
              <w:rPr>
                <w:rFonts w:hint="eastAsia" w:ascii="Times New Roman" w:hAnsi="Times New Roman" w:eastAsia="宋体" w:cs="Times New Roman"/>
                <w:color w:val="auto"/>
                <w:highlight w:val="none"/>
                <w:lang w:val="en-US" w:eastAsia="zh-CN"/>
              </w:rPr>
              <w:fldChar w:fldCharType="end"/>
            </w:r>
          </w:p>
          <w:p w14:paraId="379B966C">
            <w:pPr>
              <w:keepNext w:val="0"/>
              <w:keepLines w:val="0"/>
              <w:pageBreakBefore w:val="0"/>
              <w:widowControl w:val="0"/>
              <w:suppressLineNumbers w:val="0"/>
              <w:kinsoku/>
              <w:wordWrap w:val="0"/>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解密时间：投标人须</w:t>
            </w:r>
            <w:r>
              <w:rPr>
                <w:rFonts w:hint="eastAsia" w:ascii="宋体" w:hAnsi="宋体" w:eastAsia="宋体" w:cs="宋体"/>
                <w:color w:val="auto"/>
                <w:szCs w:val="21"/>
                <w:highlight w:val="none"/>
              </w:rPr>
              <w:t>在</w:t>
            </w:r>
            <w:r>
              <w:rPr>
                <w:rFonts w:hint="eastAsia" w:ascii="宋体" w:hAnsi="宋体" w:cs="宋体"/>
                <w:color w:val="auto"/>
                <w:szCs w:val="21"/>
                <w:highlight w:val="none"/>
                <w:lang w:eastAsia="zh-CN"/>
              </w:rPr>
              <w:t>2026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23</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时</w:t>
            </w:r>
            <w:r>
              <w:rPr>
                <w:rFonts w:hint="eastAsia" w:ascii="宋体" w:hAnsi="宋体" w:eastAsia="宋体" w:cs="宋体"/>
                <w:color w:val="auto"/>
                <w:szCs w:val="21"/>
                <w:highlight w:val="none"/>
                <w:lang w:val="en-US" w:eastAsia="zh-CN"/>
              </w:rPr>
              <w:t>00</w:t>
            </w:r>
            <w:r>
              <w:rPr>
                <w:rFonts w:hint="eastAsia" w:ascii="宋体" w:hAnsi="宋体" w:eastAsia="宋体" w:cs="宋体"/>
                <w:color w:val="auto"/>
                <w:szCs w:val="21"/>
                <w:highlight w:val="none"/>
                <w:lang w:eastAsia="zh-CN"/>
              </w:rPr>
              <w:t>分</w:t>
            </w:r>
            <w:r>
              <w:rPr>
                <w:rFonts w:hint="eastAsia" w:ascii="宋体" w:hAnsi="宋体" w:eastAsia="宋体" w:cs="宋体"/>
                <w:color w:val="auto"/>
                <w:szCs w:val="21"/>
                <w:highlight w:val="none"/>
                <w:lang w:val="en-US" w:eastAsia="zh-CN"/>
              </w:rPr>
              <w:t>至</w:t>
            </w:r>
            <w:r>
              <w:rPr>
                <w:rFonts w:hint="eastAsia" w:ascii="宋体" w:hAnsi="宋体" w:eastAsia="宋体" w:cs="宋体"/>
                <w:color w:val="auto"/>
                <w:szCs w:val="21"/>
                <w:highlight w:val="none"/>
                <w:lang w:eastAsia="zh-CN"/>
              </w:rPr>
              <w:t>2026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23</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0分</w:t>
            </w:r>
            <w:r>
              <w:rPr>
                <w:rFonts w:hint="eastAsia" w:ascii="宋体" w:hAnsi="宋体" w:eastAsia="宋体" w:cs="宋体"/>
                <w:color w:val="auto"/>
                <w:szCs w:val="21"/>
                <w:highlight w:val="none"/>
                <w:lang w:val="en-US" w:eastAsia="zh-CN"/>
              </w:rPr>
              <w:t>解密；未在规定时间内完成解密的，退回其投标文件；如有因系统因系统原因造成的故障，代理机构可申请延迟解密时间。</w:t>
            </w:r>
          </w:p>
        </w:tc>
      </w:tr>
      <w:tr w14:paraId="1992B37A">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95919A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highlight w:val="none"/>
                <w:lang w:val="en-US" w:eastAsia="zh-CN"/>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5C8E870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开标程序</w:t>
            </w:r>
          </w:p>
        </w:tc>
        <w:tc>
          <w:tcPr>
            <w:tcW w:w="7251" w:type="dxa"/>
            <w:tcBorders>
              <w:top w:val="single" w:color="auto" w:sz="4" w:space="0"/>
              <w:left w:val="single" w:color="auto" w:sz="4" w:space="0"/>
              <w:bottom w:val="single" w:color="auto" w:sz="4" w:space="0"/>
              <w:right w:val="single" w:color="auto" w:sz="4" w:space="0"/>
            </w:tcBorders>
            <w:noWrap/>
            <w:vAlign w:val="center"/>
          </w:tcPr>
          <w:p w14:paraId="4FB8EA5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由代理机构开启电子投标文件，报评标委员会评审。</w:t>
            </w:r>
          </w:p>
        </w:tc>
      </w:tr>
      <w:tr w14:paraId="5625472C">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0F3A70F5">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668336EA">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评标委员会的组建</w:t>
            </w:r>
          </w:p>
        </w:tc>
        <w:tc>
          <w:tcPr>
            <w:tcW w:w="7251" w:type="dxa"/>
            <w:tcBorders>
              <w:top w:val="single" w:color="auto" w:sz="4" w:space="0"/>
              <w:left w:val="single" w:color="auto" w:sz="4" w:space="0"/>
              <w:bottom w:val="single" w:color="auto" w:sz="4" w:space="0"/>
              <w:right w:val="single" w:color="auto" w:sz="4" w:space="0"/>
            </w:tcBorders>
            <w:noWrap/>
            <w:vAlign w:val="center"/>
          </w:tcPr>
          <w:p w14:paraId="59FF402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评标委员会构成：5人，其中招标人代表0人，评标专家5人。</w:t>
            </w:r>
          </w:p>
          <w:p w14:paraId="1846547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ascii="宋体" w:hAnsi="宋体" w:cs="宋体"/>
                <w:color w:val="auto"/>
                <w:szCs w:val="21"/>
                <w:highlight w:val="none"/>
              </w:rPr>
            </w:pPr>
            <w:r>
              <w:rPr>
                <w:rFonts w:hint="eastAsia" w:ascii="宋体" w:hAnsi="宋体" w:eastAsia="宋体" w:cs="宋体"/>
                <w:b w:val="0"/>
                <w:bCs w:val="0"/>
                <w:color w:val="auto"/>
                <w:sz w:val="21"/>
                <w:szCs w:val="21"/>
                <w:highlight w:val="none"/>
                <w:lang w:val="en-US" w:eastAsia="zh-CN"/>
              </w:rPr>
              <w:t>评标专家确定方式：评标专家由招标人在开标前从专家库中随机抽取。</w:t>
            </w:r>
          </w:p>
        </w:tc>
      </w:tr>
      <w:tr w14:paraId="7BAECC9A">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73DBFFAA">
            <w:pPr>
              <w:keepNext w:val="0"/>
              <w:keepLines w:val="0"/>
              <w:pageBreakBefore w:val="0"/>
              <w:kinsoku/>
              <w:wordWrap/>
              <w:overflowPunct/>
              <w:autoSpaceDN/>
              <w:bidi w:val="0"/>
              <w:spacing w:line="400" w:lineRule="exact"/>
              <w:jc w:val="center"/>
              <w:textAlignment w:val="auto"/>
              <w:rPr>
                <w:rFonts w:ascii="宋体" w:hAnsi="宋体" w:cs="宋体"/>
                <w:b/>
                <w:bCs/>
                <w:color w:val="auto"/>
                <w:szCs w:val="21"/>
                <w:highlight w:val="none"/>
              </w:rPr>
            </w:pPr>
            <w:r>
              <w:rPr>
                <w:rFonts w:hint="eastAsia" w:ascii="宋体" w:hAnsi="宋体" w:cs="宋体"/>
                <w:color w:val="auto"/>
                <w:szCs w:val="21"/>
                <w:highlight w:val="none"/>
              </w:rPr>
              <w:t>28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BE747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ascii="宋体" w:hAnsi="宋体" w:cs="宋体"/>
                <w:bCs/>
                <w:color w:val="auto"/>
                <w:szCs w:val="21"/>
                <w:highlight w:val="none"/>
              </w:rPr>
            </w:pPr>
            <w:r>
              <w:rPr>
                <w:rFonts w:hint="eastAsia" w:ascii="宋体" w:hAnsi="宋体" w:eastAsia="宋体" w:cs="宋体"/>
                <w:b w:val="0"/>
                <w:bCs w:val="0"/>
                <w:color w:val="auto"/>
                <w:sz w:val="21"/>
                <w:szCs w:val="21"/>
                <w:highlight w:val="none"/>
              </w:rPr>
              <w:t>评标委员会确定中标候选人的人数</w:t>
            </w:r>
          </w:p>
        </w:tc>
        <w:tc>
          <w:tcPr>
            <w:tcW w:w="7251" w:type="dxa"/>
            <w:tcBorders>
              <w:top w:val="single" w:color="auto" w:sz="4" w:space="0"/>
              <w:left w:val="single" w:color="auto" w:sz="4" w:space="0"/>
              <w:bottom w:val="single" w:color="auto" w:sz="4" w:space="0"/>
              <w:right w:val="single" w:color="auto" w:sz="4" w:space="0"/>
            </w:tcBorders>
            <w:noWrap/>
            <w:vAlign w:val="center"/>
          </w:tcPr>
          <w:p w14:paraId="3FF3BC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textAlignment w:val="auto"/>
              <w:rPr>
                <w:rFonts w:ascii="宋体" w:hAnsi="宋体" w:cs="宋体"/>
                <w:bCs/>
                <w:color w:val="auto"/>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14:paraId="0948E9B2">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6CAD3EA1">
            <w:pPr>
              <w:keepNext w:val="0"/>
              <w:keepLines w:val="0"/>
              <w:pageBreakBefore w:val="0"/>
              <w:kinsoku/>
              <w:wordWrap/>
              <w:overflowPunct/>
              <w:autoSpaceDN/>
              <w:bidi w:val="0"/>
              <w:spacing w:line="40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29</w:t>
            </w:r>
          </w:p>
        </w:tc>
        <w:tc>
          <w:tcPr>
            <w:tcW w:w="2209" w:type="dxa"/>
            <w:gridSpan w:val="2"/>
            <w:tcBorders>
              <w:top w:val="single" w:color="auto" w:sz="4" w:space="0"/>
              <w:left w:val="single" w:color="auto" w:sz="4" w:space="0"/>
              <w:right w:val="single" w:color="auto" w:sz="4" w:space="0"/>
            </w:tcBorders>
            <w:noWrap/>
            <w:vAlign w:val="center"/>
          </w:tcPr>
          <w:p w14:paraId="397DB27E">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中标候选人公示媒介</w:t>
            </w:r>
          </w:p>
        </w:tc>
        <w:tc>
          <w:tcPr>
            <w:tcW w:w="7251" w:type="dxa"/>
            <w:tcBorders>
              <w:top w:val="single" w:color="auto" w:sz="4" w:space="0"/>
              <w:left w:val="single" w:color="auto" w:sz="4" w:space="0"/>
              <w:right w:val="single" w:color="auto" w:sz="4" w:space="0"/>
            </w:tcBorders>
            <w:noWrap/>
            <w:vAlign w:val="center"/>
          </w:tcPr>
          <w:p w14:paraId="5A0118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14:paraId="62635D2D">
            <w:pPr>
              <w:keepNext w:val="0"/>
              <w:keepLines w:val="0"/>
              <w:pageBreakBefore w:val="0"/>
              <w:kinsoku/>
              <w:wordWrap/>
              <w:overflowPunct/>
              <w:autoSpaceDE/>
              <w:autoSpaceDN/>
              <w:bidi w:val="0"/>
              <w:spacing w:line="400" w:lineRule="exact"/>
              <w:textAlignment w:val="auto"/>
              <w:rPr>
                <w:rFonts w:ascii="宋体" w:hAnsi="宋体" w:cs="宋体"/>
                <w:color w:val="auto"/>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14:paraId="5598C43A">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14:paraId="6AF264B2">
            <w:pPr>
              <w:keepNext w:val="0"/>
              <w:keepLines w:val="0"/>
              <w:pageBreakBefore w:val="0"/>
              <w:kinsoku/>
              <w:wordWrap/>
              <w:overflowPunct/>
              <w:autoSpaceDN/>
              <w:bidi w:val="0"/>
              <w:spacing w:line="40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30</w:t>
            </w:r>
          </w:p>
        </w:tc>
        <w:tc>
          <w:tcPr>
            <w:tcW w:w="2209" w:type="dxa"/>
            <w:gridSpan w:val="2"/>
            <w:tcBorders>
              <w:top w:val="single" w:color="auto" w:sz="4" w:space="0"/>
              <w:left w:val="single" w:color="auto" w:sz="4" w:space="0"/>
              <w:right w:val="single" w:color="auto" w:sz="4" w:space="0"/>
            </w:tcBorders>
            <w:noWrap/>
            <w:vAlign w:val="center"/>
          </w:tcPr>
          <w:p w14:paraId="46AD0919">
            <w:pPr>
              <w:keepNext w:val="0"/>
              <w:keepLines w:val="0"/>
              <w:pageBreakBefore w:val="0"/>
              <w:kinsoku/>
              <w:wordWrap/>
              <w:overflowPunct/>
              <w:autoSpaceDE/>
              <w:autoSpaceDN/>
              <w:bidi w:val="0"/>
              <w:adjustRightInd w:val="0"/>
              <w:snapToGrid w:val="0"/>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rPr>
              <w:t>中标通知书发出形式</w:t>
            </w:r>
          </w:p>
        </w:tc>
        <w:tc>
          <w:tcPr>
            <w:tcW w:w="7251" w:type="dxa"/>
            <w:tcBorders>
              <w:top w:val="single" w:color="auto" w:sz="4" w:space="0"/>
              <w:left w:val="single" w:color="auto" w:sz="4" w:space="0"/>
              <w:right w:val="single" w:color="auto" w:sz="4" w:space="0"/>
            </w:tcBorders>
            <w:noWrap/>
            <w:vAlign w:val="center"/>
          </w:tcPr>
          <w:p w14:paraId="6F0D809A">
            <w:pPr>
              <w:keepNext w:val="0"/>
              <w:keepLines w:val="0"/>
              <w:pageBreakBefore w:val="0"/>
              <w:widowControl/>
              <w:kinsoku/>
              <w:wordWrap/>
              <w:overflowPunct/>
              <w:autoSpaceDE/>
              <w:autoSpaceDN/>
              <w:bidi w:val="0"/>
              <w:adjustRightInd w:val="0"/>
              <w:snapToGrid w:val="0"/>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color="000000"/>
                <w:lang w:val="en-US" w:eastAsia="zh-CN" w:bidi="ar"/>
              </w:rPr>
              <w:t>中标通知书须加盖招标人、招标代理公司公章后发出。</w:t>
            </w:r>
          </w:p>
        </w:tc>
      </w:tr>
      <w:tr w14:paraId="036C355A">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40D4AB66">
            <w:pPr>
              <w:keepNext w:val="0"/>
              <w:keepLines w:val="0"/>
              <w:pageBreakBefore w:val="0"/>
              <w:kinsoku/>
              <w:wordWrap/>
              <w:overflowPunct/>
              <w:autoSpaceDN/>
              <w:bidi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4BBDAC4D">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履约担保</w:t>
            </w:r>
          </w:p>
        </w:tc>
        <w:tc>
          <w:tcPr>
            <w:tcW w:w="7251" w:type="dxa"/>
            <w:tcBorders>
              <w:top w:val="single" w:color="auto" w:sz="4" w:space="0"/>
              <w:left w:val="single" w:color="auto" w:sz="4" w:space="0"/>
              <w:bottom w:val="single" w:color="auto" w:sz="4" w:space="0"/>
              <w:right w:val="single" w:color="auto" w:sz="4" w:space="0"/>
            </w:tcBorders>
            <w:noWrap/>
            <w:vAlign w:val="center"/>
          </w:tcPr>
          <w:p w14:paraId="57A14FB2">
            <w:pPr>
              <w:keepNext w:val="0"/>
              <w:keepLines w:val="0"/>
              <w:pageBreakBefore w:val="0"/>
              <w:kinsoku/>
              <w:wordWrap/>
              <w:overflowPunct/>
              <w:autoSpaceDE/>
              <w:autoSpaceDN/>
              <w:bidi w:val="0"/>
              <w:spacing w:line="400" w:lineRule="exact"/>
              <w:textAlignment w:val="auto"/>
              <w:rPr>
                <w:rFonts w:ascii="宋体" w:hAnsi="宋体" w:cs="宋体"/>
                <w:bCs/>
                <w:color w:val="auto"/>
                <w:szCs w:val="21"/>
                <w:highlight w:val="none"/>
              </w:rPr>
            </w:pPr>
            <w:r>
              <w:rPr>
                <w:rFonts w:hint="eastAsia" w:ascii="宋体" w:hAnsi="宋体" w:cs="宋体"/>
                <w:bCs/>
                <w:color w:val="auto"/>
                <w:szCs w:val="21"/>
                <w:highlight w:val="none"/>
              </w:rPr>
              <w:t>履约担保的形式：支持银行转账、银行保函（见索即付无条件保函）、担保保函、商业保险、第三方担保（无条件担保）使用</w:t>
            </w:r>
          </w:p>
          <w:p w14:paraId="64302322">
            <w:pPr>
              <w:keepNext w:val="0"/>
              <w:keepLines w:val="0"/>
              <w:pageBreakBefore w:val="0"/>
              <w:kinsoku/>
              <w:wordWrap/>
              <w:overflowPunct/>
              <w:autoSpaceDE/>
              <w:autoSpaceDN/>
              <w:bidi w:val="0"/>
              <w:spacing w:line="400" w:lineRule="exact"/>
              <w:textAlignment w:val="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履约担保的金额：</w:t>
            </w:r>
            <w:r>
              <w:rPr>
                <w:rFonts w:hint="eastAsia" w:ascii="宋体" w:hAnsi="宋体" w:eastAsia="宋体" w:cs="宋体"/>
                <w:bCs/>
                <w:color w:val="auto"/>
                <w:szCs w:val="21"/>
                <w:highlight w:val="none"/>
              </w:rPr>
              <w:t>中标合同金额×2%</w:t>
            </w:r>
          </w:p>
          <w:p w14:paraId="4F22EBF8">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收款单位：中标后另行通知                 </w:t>
            </w:r>
          </w:p>
          <w:p w14:paraId="420B8239">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开户银行：中标后另行通知                   </w:t>
            </w:r>
          </w:p>
          <w:p w14:paraId="7A8F1231">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银行账号：中标后另行通知                   </w:t>
            </w:r>
          </w:p>
          <w:p w14:paraId="6A6E6589">
            <w:pPr>
              <w:spacing w:line="4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缴纳时限：中标人须在中标通知书发出后30日内完成履约保证金缴纳及合同签订（先缴纳履约保证金后签合同）。中标单位原因造成合同延期签订的，延期签订情节严重的，招标人有权取消其中标资格。并承担给招标人造成的损失，同时依法承担相应法律责任。   </w:t>
            </w:r>
          </w:p>
          <w:p w14:paraId="7AD6BAEA">
            <w:pPr>
              <w:spacing w:line="4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履约保证金退还时限：履约保证金在工程竣工验收合格后一个月内无息退还。</w:t>
            </w:r>
          </w:p>
          <w:p w14:paraId="1944A556">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其他相关要求：</w:t>
            </w:r>
          </w:p>
          <w:p w14:paraId="5A2E52CB">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1、采用银行保函的具体要求:按招标人要求提供</w:t>
            </w:r>
          </w:p>
          <w:p w14:paraId="0404B97A">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2、采用担保保函的具体要求：按招标人要求提供</w:t>
            </w:r>
          </w:p>
          <w:p w14:paraId="75072C65">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3、采用商业保险的具体要求：按招标人要求提供</w:t>
            </w:r>
          </w:p>
          <w:p w14:paraId="3E915FC8">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jc w:val="both"/>
              <w:textAlignment w:val="auto"/>
              <w:rPr>
                <w:rFonts w:ascii="宋体" w:hAnsi="宋体" w:cs="宋体"/>
                <w:color w:val="auto"/>
                <w:szCs w:val="21"/>
                <w:highlight w:val="none"/>
              </w:rPr>
            </w:pPr>
            <w:r>
              <w:rPr>
                <w:rFonts w:hint="eastAsia" w:ascii="宋体" w:hAnsi="宋体" w:eastAsia="宋体" w:cs="宋体"/>
                <w:color w:val="auto"/>
                <w:sz w:val="21"/>
                <w:szCs w:val="21"/>
                <w:highlight w:val="none"/>
                <w:lang w:val="en-US" w:eastAsia="zh-CN"/>
              </w:rPr>
              <w:t>4、采用第三方担保的具体要求：按招标人要求提供</w:t>
            </w:r>
          </w:p>
        </w:tc>
      </w:tr>
      <w:tr w14:paraId="35ED23DA">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60D14238">
            <w:pPr>
              <w:keepNext w:val="0"/>
              <w:keepLines w:val="0"/>
              <w:pageBreakBefore w:val="0"/>
              <w:kinsoku/>
              <w:wordWrap/>
              <w:overflowPunct/>
              <w:autoSpaceDN/>
              <w:bidi w:val="0"/>
              <w:spacing w:line="400" w:lineRule="exact"/>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E77DE9E">
            <w:pPr>
              <w:adjustRightInd w:val="0"/>
              <w:snapToGrid w:val="0"/>
              <w:spacing w:line="560" w:lineRule="exact"/>
              <w:jc w:val="center"/>
              <w:rPr>
                <w:rFonts w:hint="eastAsia" w:ascii="宋体" w:hAnsi="宋体" w:cs="宋体"/>
                <w:color w:val="auto"/>
                <w:szCs w:val="21"/>
                <w:highlight w:val="none"/>
              </w:rPr>
            </w:pPr>
            <w:r>
              <w:rPr>
                <w:rFonts w:hint="eastAsia"/>
                <w:color w:val="auto"/>
                <w:sz w:val="24"/>
                <w:highlight w:val="none"/>
              </w:rPr>
              <w:t>签订合同</w:t>
            </w:r>
          </w:p>
        </w:tc>
        <w:tc>
          <w:tcPr>
            <w:tcW w:w="7251" w:type="dxa"/>
            <w:tcBorders>
              <w:top w:val="single" w:color="auto" w:sz="4" w:space="0"/>
              <w:left w:val="single" w:color="auto" w:sz="4" w:space="0"/>
              <w:bottom w:val="single" w:color="auto" w:sz="4" w:space="0"/>
              <w:right w:val="single" w:color="auto" w:sz="4" w:space="0"/>
            </w:tcBorders>
            <w:noWrap/>
            <w:vAlign w:val="top"/>
          </w:tcPr>
          <w:p w14:paraId="3C6915AB">
            <w:pPr>
              <w:keepNext w:val="0"/>
              <w:keepLines w:val="0"/>
              <w:pageBreakBefore w:val="0"/>
              <w:kinsoku/>
              <w:wordWrap/>
              <w:overflowPunct/>
              <w:autoSpaceDE/>
              <w:autoSpaceDN/>
              <w:bidi w:val="0"/>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Cs w:val="21"/>
                <w:highlight w:val="none"/>
              </w:rPr>
              <w:t>中标通知书发出之日起</w:t>
            </w:r>
            <w:r>
              <w:rPr>
                <w:rFonts w:hint="eastAsia" w:ascii="宋体" w:hAnsi="宋体" w:eastAsia="宋体" w:cs="宋体"/>
                <w:bCs/>
                <w:color w:val="auto"/>
                <w:szCs w:val="21"/>
                <w:highlight w:val="none"/>
                <w:u w:val="single"/>
                <w:lang w:val="en-US" w:eastAsia="zh-CN"/>
              </w:rPr>
              <w:t>10</w:t>
            </w:r>
            <w:r>
              <w:rPr>
                <w:rFonts w:hint="eastAsia" w:ascii="宋体" w:hAnsi="宋体" w:eastAsia="宋体" w:cs="宋体"/>
                <w:bCs/>
                <w:color w:val="auto"/>
                <w:szCs w:val="21"/>
                <w:highlight w:val="none"/>
              </w:rPr>
              <w:t>日内，应委派代表与招标人联系并商讨书面合同签订事宜。中标人和招标人应在投标有效期内以及中标通知书发出之日起30日内，根据招标文件和中标人的投标文件订立书面合同。</w:t>
            </w:r>
          </w:p>
        </w:tc>
      </w:tr>
      <w:tr w14:paraId="1717AE69">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14:paraId="14FFCA40">
            <w:pPr>
              <w:keepNext w:val="0"/>
              <w:keepLines w:val="0"/>
              <w:pageBreakBefore w:val="0"/>
              <w:kinsoku/>
              <w:wordWrap/>
              <w:overflowPunct/>
              <w:autoSpaceDN/>
              <w:bidi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14:paraId="79E6E11B">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highlight w:val="none"/>
              </w:rPr>
            </w:pPr>
            <w:r>
              <w:rPr>
                <w:rFonts w:hint="eastAsia" w:ascii="宋体" w:hAnsi="宋体" w:eastAsia="宋体" w:cs="宋体"/>
                <w:b/>
                <w:bCs/>
                <w:color w:val="auto"/>
                <w:sz w:val="21"/>
                <w:szCs w:val="21"/>
                <w:highlight w:val="none"/>
              </w:rPr>
              <w:t>付款方式</w:t>
            </w:r>
          </w:p>
        </w:tc>
        <w:tc>
          <w:tcPr>
            <w:tcW w:w="7251" w:type="dxa"/>
            <w:tcBorders>
              <w:top w:val="single" w:color="auto" w:sz="4" w:space="0"/>
              <w:left w:val="single" w:color="auto" w:sz="4" w:space="0"/>
              <w:bottom w:val="single" w:color="auto" w:sz="4" w:space="0"/>
              <w:right w:val="single" w:color="auto" w:sz="4" w:space="0"/>
            </w:tcBorders>
            <w:noWrap/>
            <w:vAlign w:val="center"/>
          </w:tcPr>
          <w:p w14:paraId="4B2F89E6">
            <w:pPr>
              <w:spacing w:line="420" w:lineRule="exact"/>
              <w:rPr>
                <w:rFonts w:ascii="宋体" w:hAnsi="宋体" w:cs="宋体"/>
                <w:color w:val="auto"/>
                <w:szCs w:val="21"/>
                <w:highlight w:val="none"/>
              </w:rPr>
            </w:pPr>
            <w:r>
              <w:rPr>
                <w:rFonts w:hint="eastAsia" w:ascii="宋体" w:hAnsi="宋体" w:cs="宋体"/>
                <w:color w:val="auto"/>
                <w:sz w:val="21"/>
                <w:szCs w:val="21"/>
                <w:highlight w:val="none"/>
                <w:lang w:val="en-US" w:eastAsia="zh-CN"/>
              </w:rPr>
              <w:t>施工过程按月进度付款，支付额度为已完成合格工程量的80%，竣工验收合格</w:t>
            </w:r>
            <w:r>
              <w:rPr>
                <w:rFonts w:hint="eastAsia" w:ascii="宋体" w:hAnsi="宋体" w:eastAsia="宋体" w:cs="宋体"/>
                <w:color w:val="auto"/>
                <w:sz w:val="21"/>
                <w:szCs w:val="21"/>
                <w:highlight w:val="none"/>
                <w:lang w:val="en-US" w:eastAsia="zh-CN"/>
              </w:rPr>
              <w:t>后付至结算价款的98%，剩余2%作为质量保证金，工程缺陷责任期（自竣工验收合格之日起满两年）满后付清余款。</w:t>
            </w:r>
          </w:p>
        </w:tc>
      </w:tr>
      <w:tr w14:paraId="7129CE18">
        <w:tblPrEx>
          <w:tblCellMar>
            <w:top w:w="0" w:type="dxa"/>
            <w:left w:w="108" w:type="dxa"/>
            <w:bottom w:w="0" w:type="dxa"/>
            <w:right w:w="108" w:type="dxa"/>
          </w:tblCellMar>
        </w:tblPrEx>
        <w:trPr>
          <w:trHeight w:val="90" w:hRule="atLeast"/>
          <w:jc w:val="center"/>
        </w:trPr>
        <w:tc>
          <w:tcPr>
            <w:tcW w:w="10328" w:type="dxa"/>
            <w:gridSpan w:val="4"/>
            <w:tcBorders>
              <w:top w:val="single" w:color="auto" w:sz="4" w:space="0"/>
              <w:left w:val="single" w:color="auto" w:sz="4" w:space="0"/>
              <w:bottom w:val="single" w:color="auto" w:sz="4" w:space="0"/>
              <w:right w:val="single" w:color="auto" w:sz="4" w:space="0"/>
            </w:tcBorders>
            <w:noWrap/>
            <w:vAlign w:val="center"/>
          </w:tcPr>
          <w:p w14:paraId="3E3A6409">
            <w:pPr>
              <w:keepNext w:val="0"/>
              <w:keepLines w:val="0"/>
              <w:pageBreakBefore w:val="0"/>
              <w:kinsoku/>
              <w:wordWrap/>
              <w:overflowPunct/>
              <w:autoSpaceDN/>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需要补充的其他内容</w:t>
            </w:r>
          </w:p>
        </w:tc>
      </w:tr>
      <w:tr w14:paraId="2AA9094C">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11490EC4">
            <w:pPr>
              <w:keepNext w:val="0"/>
              <w:keepLines w:val="0"/>
              <w:pageBreakBefore w:val="0"/>
              <w:kinsoku/>
              <w:wordWrap/>
              <w:overflowPunct/>
              <w:autoSpaceDN/>
              <w:bidi w:val="0"/>
              <w:adjustRightInd w:val="0"/>
              <w:snapToGrid w:val="0"/>
              <w:spacing w:line="400" w:lineRule="exact"/>
              <w:jc w:val="center"/>
              <w:textAlignment w:val="auto"/>
              <w:rPr>
                <w:rFonts w:ascii="宋体" w:hAnsi="宋体" w:cs="宋体"/>
                <w:color w:val="auto"/>
                <w:szCs w:val="21"/>
                <w:highlight w:val="none"/>
              </w:rPr>
            </w:pPr>
            <w:r>
              <w:rPr>
                <w:rFonts w:hint="eastAsia" w:ascii="宋体" w:hAnsi="宋体" w:cs="宋体"/>
                <w:color w:val="auto"/>
                <w:sz w:val="21"/>
                <w:szCs w:val="21"/>
                <w:highlight w:val="none"/>
              </w:rPr>
              <w:t>招标代理服务费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2B12792">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代理服务具体金额：</w:t>
            </w:r>
            <w:r>
              <w:rPr>
                <w:rFonts w:hint="eastAsia" w:ascii="宋体" w:hAnsi="宋体" w:cs="宋体"/>
                <w:kern w:val="0"/>
                <w:szCs w:val="21"/>
                <w:highlight w:val="none"/>
                <w:lang w:val="en-US" w:eastAsia="zh-CN"/>
              </w:rPr>
              <w:t>10896</w:t>
            </w:r>
            <w:r>
              <w:rPr>
                <w:rFonts w:hint="eastAsia" w:ascii="宋体" w:hAnsi="宋体" w:cs="宋体"/>
                <w:kern w:val="0"/>
                <w:szCs w:val="21"/>
                <w:highlight w:val="none"/>
              </w:rPr>
              <w:t>元</w:t>
            </w:r>
            <w:r>
              <w:rPr>
                <w:rFonts w:hint="eastAsia" w:ascii="宋体" w:hAnsi="宋体" w:cs="宋体"/>
                <w:kern w:val="0"/>
                <w:szCs w:val="21"/>
                <w:highlight w:val="none"/>
                <w:lang w:eastAsia="zh-CN"/>
              </w:rPr>
              <w:t>。</w:t>
            </w:r>
            <w:bookmarkStart w:id="1076" w:name="_GoBack"/>
            <w:bookmarkEnd w:id="1076"/>
          </w:p>
          <w:p w14:paraId="7550C2A5">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color w:val="auto"/>
                <w:szCs w:val="21"/>
                <w:highlight w:val="none"/>
              </w:rPr>
            </w:pPr>
            <w:r>
              <w:rPr>
                <w:rFonts w:hint="eastAsia" w:ascii="宋体" w:hAnsi="宋体" w:cs="宋体"/>
                <w:color w:val="auto"/>
                <w:kern w:val="0"/>
                <w:szCs w:val="21"/>
                <w:highlight w:val="none"/>
              </w:rPr>
              <w:t>代理服务费支付主体</w:t>
            </w:r>
            <w:r>
              <w:rPr>
                <w:rFonts w:hint="eastAsia" w:ascii="宋体" w:hAnsi="宋体" w:cs="宋体"/>
                <w:color w:val="auto"/>
                <w:szCs w:val="21"/>
                <w:highlight w:val="none"/>
              </w:rPr>
              <w:t>：</w:t>
            </w:r>
            <w:r>
              <w:rPr>
                <w:rFonts w:hint="eastAsia" w:ascii="宋体" w:hAnsi="宋体" w:cs="宋体"/>
                <w:color w:val="auto"/>
                <w:kern w:val="0"/>
                <w:szCs w:val="21"/>
                <w:highlight w:val="none"/>
              </w:rPr>
              <w:t>由中标单位在领取中标通知书时，一次性支付给代理机构。</w:t>
            </w:r>
          </w:p>
        </w:tc>
      </w:tr>
      <w:tr w14:paraId="0E8F1554">
        <w:tblPrEx>
          <w:tblCellMar>
            <w:top w:w="0" w:type="dxa"/>
            <w:left w:w="108" w:type="dxa"/>
            <w:bottom w:w="0" w:type="dxa"/>
            <w:right w:w="108" w:type="dxa"/>
          </w:tblCellMar>
        </w:tblPrEx>
        <w:trPr>
          <w:trHeight w:val="804" w:hRule="atLeast"/>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B3101E2">
            <w:pPr>
              <w:keepNext w:val="0"/>
              <w:keepLines w:val="0"/>
              <w:pageBreakBefore w:val="0"/>
              <w:kinsoku/>
              <w:wordWrap/>
              <w:overflowPunct/>
              <w:autoSpaceDN/>
              <w:bidi w:val="0"/>
              <w:adjustRightInd w:val="0"/>
              <w:snapToGrid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 w:val="21"/>
                <w:szCs w:val="21"/>
                <w:highlight w:val="none"/>
              </w:rPr>
              <w:t>专家评审劳务费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F5FAE4A">
            <w:pPr>
              <w:keepNext w:val="0"/>
              <w:keepLines w:val="0"/>
              <w:pageBreakBefore w:val="0"/>
              <w:kinsoku/>
              <w:wordWrap/>
              <w:overflowPunct/>
              <w:autoSpaceDN/>
              <w:bidi w:val="0"/>
              <w:adjustRightInd w:val="0"/>
              <w:snapToGrid w:val="0"/>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费用或支付标准：</w:t>
            </w:r>
            <w:r>
              <w:rPr>
                <w:rFonts w:hint="eastAsia" w:ascii="宋体" w:hAnsi="宋体" w:cs="宋体"/>
                <w:color w:val="auto"/>
                <w:sz w:val="21"/>
                <w:szCs w:val="21"/>
                <w:highlight w:val="none"/>
                <w:lang w:val="en-US" w:eastAsia="zh-CN"/>
              </w:rPr>
              <w:t>以实际发生为准。</w:t>
            </w:r>
          </w:p>
          <w:p w14:paraId="0376B137">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宋体"/>
                <w:color w:val="auto"/>
                <w:kern w:val="0"/>
                <w:szCs w:val="21"/>
                <w:highlight w:val="none"/>
                <w:lang w:val="en-US"/>
              </w:rPr>
            </w:pPr>
            <w:r>
              <w:rPr>
                <w:rFonts w:hint="eastAsia"/>
                <w:color w:val="auto"/>
                <w:sz w:val="21"/>
                <w:szCs w:val="21"/>
                <w:highlight w:val="none"/>
              </w:rPr>
              <w:t>支付主体：</w:t>
            </w:r>
            <w:r>
              <w:rPr>
                <w:rFonts w:hint="eastAsia" w:cs="Times New Roman"/>
                <w:color w:val="auto"/>
                <w:sz w:val="21"/>
                <w:szCs w:val="21"/>
                <w:highlight w:val="none"/>
                <w:lang w:val="en-US" w:eastAsia="zh-CN"/>
              </w:rPr>
              <w:t>中标单位。</w:t>
            </w:r>
          </w:p>
        </w:tc>
      </w:tr>
      <w:tr w14:paraId="0533584B">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5C774CFE">
            <w:pPr>
              <w:keepNext w:val="0"/>
              <w:keepLines w:val="0"/>
              <w:pageBreakBefore w:val="0"/>
              <w:kinsoku/>
              <w:wordWrap/>
              <w:overflowPunct/>
              <w:autoSpaceDN/>
              <w:bidi w:val="0"/>
              <w:adjustRightInd w:val="0"/>
              <w:snapToGrid w:val="0"/>
              <w:spacing w:line="400" w:lineRule="exact"/>
              <w:jc w:val="center"/>
              <w:textAlignment w:val="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主要材料要求</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D26E3EB">
            <w:pPr>
              <w:keepNext w:val="0"/>
              <w:keepLines w:val="0"/>
              <w:pageBreakBefore w:val="0"/>
              <w:kinsoku/>
              <w:wordWrap/>
              <w:overflowPunct/>
              <w:autoSpaceDN/>
              <w:bidi w:val="0"/>
              <w:adjustRightInd w:val="0"/>
              <w:snapToGrid w:val="0"/>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主要材料由中标人自行采购</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报招标人同意后方可采用。</w:t>
            </w:r>
          </w:p>
          <w:p w14:paraId="5BE80A5B">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如招标人对主要材料、设备的技术性能指标有特殊要求，应在招标文件第八章“技术标准和要求”品牌推荐表中推荐不少于三个品牌。对于招标人推荐品牌的材料、设备，投标人可选用推荐品牌或不低于推荐品牌技术性能指标的其他品牌；采用其他品牌的应在报价文件《招标人推荐的材料品牌响应表》中注明并提供相关技术性能指标、业绩等供评标委员会评审，未在《招标人推荐的材料品牌响应表》中注明且未提供相关技术性能指标、业绩，或经评标委员会评审未通过的，中标后只能从招标人推荐品牌中进行选择，合同价格不予调整。</w:t>
            </w:r>
          </w:p>
          <w:p w14:paraId="0C7E66E0">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1、本工程采用商品砼。</w:t>
            </w:r>
          </w:p>
          <w:p w14:paraId="4F62A9D2">
            <w:pPr>
              <w:keepNext w:val="0"/>
              <w:keepLines w:val="0"/>
              <w:pageBreakBefore w:val="0"/>
              <w:kinsoku/>
              <w:wordWrap/>
              <w:overflowPunct/>
              <w:autoSpaceDN/>
              <w:bidi w:val="0"/>
              <w:adjustRightInd w:val="0"/>
              <w:snapToGrid w:val="0"/>
              <w:spacing w:line="400" w:lineRule="exact"/>
              <w:textAlignment w:val="auto"/>
              <w:rPr>
                <w:rFonts w:hint="eastAsia"/>
                <w:color w:val="auto"/>
                <w:sz w:val="21"/>
                <w:szCs w:val="21"/>
                <w:highlight w:val="none"/>
              </w:rPr>
            </w:pPr>
            <w:r>
              <w:rPr>
                <w:rFonts w:hint="eastAsia" w:ascii="宋体" w:hAnsi="宋体" w:eastAsia="宋体" w:cs="宋体"/>
                <w:color w:val="auto"/>
                <w:sz w:val="21"/>
                <w:szCs w:val="21"/>
                <w:highlight w:val="none"/>
                <w:lang w:val="en-US"/>
              </w:rPr>
              <w:t>2、本项目采用预拌砂浆。</w:t>
            </w:r>
          </w:p>
        </w:tc>
      </w:tr>
      <w:tr w14:paraId="749E41E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32A0DB8A">
            <w:pPr>
              <w:keepNext w:val="0"/>
              <w:keepLines w:val="0"/>
              <w:pageBreakBefore w:val="0"/>
              <w:kinsoku/>
              <w:wordWrap/>
              <w:overflowPunct/>
              <w:autoSpaceDN/>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相关要求</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403DA450">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rPr>
              <w:t>、承包人在工程实施过程中的用工行为，必须严格按照《保障农民工工资支付条例》（国务院令 第724号）、《安徽省人民政府办公厅关于全面治理拖欠农民工工资问题的实施意见》（皖政办〔2016〕22号）以及《贯彻落实&lt;工程建设领域农民工工资专用账户管理暂行办法&gt;的通知》（皖人社发〔2022〕5号）、《安徽省工程建设领域农民工工资保证金实施办法》（皖人社发〔2022〕8号）等文件精神的有关规定，依法与招用的农民工签订劳动合同，并按规定及时足额支付工资。</w:t>
            </w:r>
          </w:p>
          <w:p w14:paraId="7FBF0C07">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为切实保障建筑行业农民工工资支付、加快培育新时代建筑产业工人队伍、有效破解拖欠工程款问题，承包人应严格落实安徽省住建厅《关于建立长效机制切实保障建筑行业农民工工资支付工作的通知》（建市函〔2022〕490号），《关于加快培育和壮大我省建筑产业工人队伍的意见》（建市规〔2023〕1号）以及《关于印发〈安徽省房屋建筑和市政基础设施工程施工过程结算管理办法〉 的通知》（建市规〔2023〕2号）等文件要求。</w:t>
            </w:r>
          </w:p>
          <w:p w14:paraId="4BAC1587">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执行《贯彻落实&lt;工程建设领域农民工工资专用账户管理暂行办法&gt;的通知》（皖人社发〔2022〕5号），其中工资保证金和工资专户由工程建设项目的施工总承包企业（包括直接承包建设单位发包工程的专业承包企业）缴存和开设。若为联合体中标，由联合体中牵头人缴存和开设专户。</w:t>
            </w:r>
          </w:p>
          <w:p w14:paraId="15461FFC">
            <w:pPr>
              <w:keepNext w:val="0"/>
              <w:keepLines w:val="0"/>
              <w:pageBreakBefore w:val="0"/>
              <w:kinsoku/>
              <w:wordWrap/>
              <w:overflowPunct/>
              <w:autoSpaceDN/>
              <w:bidi w:val="0"/>
              <w:adjustRightInd w:val="0"/>
              <w:snapToGrid w:val="0"/>
              <w:spacing w:line="400" w:lineRule="exact"/>
              <w:textAlignment w:val="auto"/>
              <w:rPr>
                <w:rFonts w:hint="eastAsia"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rPr>
              <w:t>、保证保险产品应按《中国银保监会办公厅关于进一步加强和改进财产保险公司产品监管有关问题的通知》执行。</w:t>
            </w:r>
          </w:p>
        </w:tc>
      </w:tr>
      <w:tr w14:paraId="48F0B8E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7F2E76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Cs w:val="21"/>
                <w:highlight w:val="none"/>
              </w:rPr>
            </w:pPr>
            <w:r>
              <w:rPr>
                <w:rFonts w:hint="eastAsia" w:ascii="宋体" w:hAnsi="Times New Roman" w:eastAsia="宋体" w:cs="Times New Roman"/>
                <w:color w:val="auto"/>
                <w:sz w:val="21"/>
                <w:szCs w:val="21"/>
                <w:highlight w:val="none"/>
              </w:rPr>
              <w:t>解释权</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51A245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1、构成本招标文件的各个组成文件应互为解释，互为说明；</w:t>
            </w:r>
          </w:p>
          <w:p w14:paraId="5ED4FD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2、同一组成文件中就同一事项的规定或约定不一致的，以编排顺序在后者为准；</w:t>
            </w:r>
          </w:p>
          <w:p w14:paraId="7B0A50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3、如有不明确或不一致，构成合同文件组成内容的，以合同文件约定内容为准，且以专用合同条款约定的合同文件优先顺序解释；</w:t>
            </w:r>
          </w:p>
          <w:p w14:paraId="0D3ADB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cs="宋体"/>
                <w:color w:val="auto"/>
                <w:szCs w:val="21"/>
                <w:highlight w:val="none"/>
                <w:lang w:val="en-US" w:eastAsia="zh-CN"/>
              </w:rPr>
            </w:pPr>
            <w:r>
              <w:rPr>
                <w:rFonts w:hint="eastAsia" w:ascii="宋体" w:hAnsi="Times New Roman" w:eastAsia="宋体" w:cs="Times New Roman"/>
                <w:color w:val="auto"/>
                <w:sz w:val="21"/>
                <w:szCs w:val="21"/>
                <w:highlight w:val="none"/>
                <w:lang w:val="en-US" w:eastAsia="zh-CN"/>
              </w:rPr>
              <w:t>4</w:t>
            </w:r>
            <w:r>
              <w:rPr>
                <w:rFonts w:hint="eastAsia" w:ascii="宋体" w:hAnsi="Times New Roman" w:eastAsia="宋体" w:cs="Times New Roman"/>
                <w:color w:val="auto"/>
                <w:sz w:val="21"/>
                <w:szCs w:val="21"/>
                <w:highlight w:val="none"/>
              </w:rPr>
              <w:t>、按本款前述规定仍不能形成结论的，由招标人负责解释。</w:t>
            </w:r>
          </w:p>
        </w:tc>
      </w:tr>
      <w:tr w14:paraId="2FCA490E">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65FC73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Cs w:val="21"/>
                <w:highlight w:val="none"/>
              </w:rPr>
            </w:pPr>
            <w:r>
              <w:rPr>
                <w:rFonts w:hint="eastAsia" w:ascii="宋体" w:hAnsi="Times New Roman" w:eastAsia="宋体" w:cs="Times New Roman"/>
                <w:color w:val="auto"/>
                <w:sz w:val="21"/>
                <w:szCs w:val="21"/>
                <w:highlight w:val="none"/>
              </w:rPr>
              <w:t>同义词语</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3E729A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cs="宋体"/>
                <w:color w:val="auto"/>
                <w:szCs w:val="21"/>
                <w:highlight w:val="none"/>
                <w:lang w:val="en-US" w:eastAsia="zh-CN"/>
              </w:rPr>
            </w:pPr>
            <w:r>
              <w:rPr>
                <w:rFonts w:hint="eastAsia" w:ascii="宋体" w:hAnsi="Times New Roman" w:eastAsia="宋体" w:cs="Times New Roman"/>
                <w:color w:val="auto"/>
                <w:sz w:val="21"/>
                <w:szCs w:val="21"/>
                <w:highlight w:val="none"/>
              </w:rPr>
              <w:t>构成招标文件组成部分的“通用合同条款”、“专用合同条款”、“技术标准和要求”等章节中 “发包人”和“承包人”，等同于招标投标阶段的“招标人”和“投标人/中标人”。</w:t>
            </w:r>
          </w:p>
        </w:tc>
      </w:tr>
      <w:tr w14:paraId="1D99C1F2">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2FCF1B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关于招标工程量清单、最高投标限价及投标报价编制特别说明</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08CE8E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cs="Times New Roman"/>
                <w:color w:val="auto"/>
                <w:sz w:val="21"/>
                <w:szCs w:val="21"/>
                <w:highlight w:val="none"/>
                <w:lang w:val="en-US" w:eastAsia="zh-CN"/>
              </w:rPr>
              <w:t>1.</w:t>
            </w:r>
            <w:r>
              <w:rPr>
                <w:rFonts w:hint="eastAsia" w:ascii="宋体" w:hAnsi="Times New Roman" w:eastAsia="宋体" w:cs="Times New Roman"/>
                <w:color w:val="auto"/>
                <w:sz w:val="21"/>
                <w:szCs w:val="21"/>
                <w:highlight w:val="none"/>
              </w:rPr>
              <w:t>本项目最高投标限价材料、设备价格依据造价管理部门发布的市场价格信息并结合市场实际价格综合考虑编制，投标人应根据招标工程量清单、补遗，并结合企业自身实力理性报价。</w:t>
            </w:r>
          </w:p>
          <w:p w14:paraId="0658B1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eastAsia="zh-CN"/>
              </w:rPr>
            </w:pPr>
            <w:r>
              <w:rPr>
                <w:rFonts w:hint="eastAsia" w:ascii="宋体" w:hAnsi="Times New Roman" w:cs="Times New Roman"/>
                <w:color w:val="auto"/>
                <w:sz w:val="21"/>
                <w:szCs w:val="21"/>
                <w:highlight w:val="none"/>
                <w:lang w:val="en-US" w:eastAsia="zh-CN"/>
              </w:rPr>
              <w:t>2.</w:t>
            </w:r>
            <w:r>
              <w:rPr>
                <w:rFonts w:hint="eastAsia" w:ascii="宋体" w:hAnsi="Times New Roman" w:eastAsia="宋体" w:cs="Times New Roman"/>
                <w:color w:val="auto"/>
                <w:sz w:val="21"/>
                <w:szCs w:val="21"/>
                <w:highlight w:val="none"/>
                <w:lang w:val="en-US" w:eastAsia="zh-CN"/>
              </w:rPr>
              <w:t>投标人应结合自行组织踏勘现场情况，核对招标人提供的工程量清单，发现工程量存在项目划分误差、计量单位误差、数量误差、遗漏项目等，必须在网上询问截止时间前向招标人提出疑问，否则招标人可不予答复。</w:t>
            </w:r>
          </w:p>
          <w:p w14:paraId="779520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eastAsia="zh-CN"/>
              </w:rPr>
            </w:pPr>
            <w:r>
              <w:rPr>
                <w:rFonts w:hint="eastAsia" w:ascii="宋体" w:hAnsi="Times New Roman" w:cs="Times New Roman"/>
                <w:color w:val="auto"/>
                <w:sz w:val="21"/>
                <w:szCs w:val="21"/>
                <w:highlight w:val="none"/>
                <w:lang w:val="en-US" w:eastAsia="zh-CN"/>
              </w:rPr>
              <w:t>3.</w:t>
            </w:r>
            <w:r>
              <w:rPr>
                <w:rFonts w:hint="eastAsia" w:ascii="宋体" w:hAnsi="Times New Roman" w:eastAsia="宋体" w:cs="Times New Roman"/>
                <w:color w:val="auto"/>
                <w:sz w:val="21"/>
                <w:szCs w:val="21"/>
                <w:highlight w:val="none"/>
                <w:lang w:val="en-US" w:eastAsia="zh-CN"/>
              </w:rPr>
              <w:t>招标人对疑问应进行核实，确认工程量单项子目误差在±3%（含±3%）以内的，采购人可不予调整工程量，供应商应将其误差考虑在综合单价内；若有遗漏项目或单项子目工程量误差超过±3%的，招标人应进行修正并重新公布准确的工程量清单。</w:t>
            </w:r>
          </w:p>
          <w:p w14:paraId="1F7C02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default"/>
                <w:color w:val="auto"/>
                <w:highlight w:val="none"/>
                <w:lang w:val="en-US" w:eastAsia="zh-CN"/>
              </w:rPr>
            </w:pPr>
            <w:r>
              <w:rPr>
                <w:rFonts w:hint="eastAsia" w:ascii="宋体" w:hAnsi="Times New Roman" w:eastAsia="宋体" w:cs="Times New Roman"/>
                <w:color w:val="auto"/>
                <w:sz w:val="21"/>
                <w:szCs w:val="21"/>
                <w:highlight w:val="none"/>
                <w:lang w:val="en-US" w:eastAsia="zh-CN"/>
              </w:rPr>
              <w:t>4.投标人在规定时间内未对工程量清单提出疑问的，</w:t>
            </w:r>
            <w:r>
              <w:rPr>
                <w:rFonts w:hint="eastAsia" w:ascii="宋体" w:hAnsi="Times New Roman" w:cs="Times New Roman"/>
                <w:color w:val="auto"/>
                <w:sz w:val="21"/>
                <w:szCs w:val="21"/>
                <w:highlight w:val="none"/>
                <w:lang w:val="en-US" w:eastAsia="zh-CN"/>
              </w:rPr>
              <w:t>中标</w:t>
            </w:r>
            <w:r>
              <w:rPr>
                <w:rFonts w:hint="eastAsia" w:ascii="宋体" w:hAnsi="Times New Roman" w:eastAsia="宋体" w:cs="Times New Roman"/>
                <w:color w:val="auto"/>
                <w:sz w:val="21"/>
                <w:szCs w:val="21"/>
                <w:highlight w:val="none"/>
                <w:lang w:val="en-US" w:eastAsia="zh-CN"/>
              </w:rPr>
              <w:t>后，招标人不再对工程量清单的项目和数量进行校对调整。中标人必须按其报价完成招标文件规定范围内的所有工程项目。</w:t>
            </w:r>
          </w:p>
        </w:tc>
      </w:tr>
      <w:tr w14:paraId="28675B89">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14:paraId="0EF7C88F">
            <w:pPr>
              <w:keepNext w:val="0"/>
              <w:keepLines w:val="0"/>
              <w:pageBreakBefore w:val="0"/>
              <w:kinsoku/>
              <w:wordWrap/>
              <w:overflowPunct/>
              <w:autoSpaceDN/>
              <w:bidi w:val="0"/>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14:paraId="1D5DE8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rPr>
            </w:pPr>
            <w:r>
              <w:rPr>
                <w:rFonts w:hint="eastAsia" w:ascii="宋体" w:hAnsi="Times New Roman" w:eastAsia="宋体" w:cs="Times New Roman"/>
                <w:color w:val="auto"/>
                <w:sz w:val="21"/>
                <w:szCs w:val="21"/>
                <w:highlight w:val="none"/>
                <w:lang w:val="en-US"/>
              </w:rPr>
              <w:t>1、</w:t>
            </w:r>
            <w:r>
              <w:rPr>
                <w:rFonts w:hint="eastAsia" w:ascii="宋体" w:hAnsi="Times New Roman" w:eastAsia="宋体" w:cs="Times New Roman"/>
                <w:color w:val="auto"/>
                <w:sz w:val="21"/>
                <w:szCs w:val="21"/>
                <w:highlight w:val="none"/>
              </w:rPr>
              <w:t>如本项目招标文件中出现特定性、唯一性品牌的表述，该品牌仅作为参考，施工过程中不具有限定性。</w:t>
            </w:r>
          </w:p>
          <w:p w14:paraId="0D0958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lang w:val="en-US"/>
              </w:rPr>
              <w:t>2、项目经理必须是投标人本单位工作人员，提供虚假资料谋取中标将被依法处罚。</w:t>
            </w:r>
            <w:r>
              <w:rPr>
                <w:rFonts w:hint="eastAsia" w:ascii="宋体" w:hAnsi="Times New Roman" w:eastAsia="宋体" w:cs="Times New Roman"/>
                <w:color w:val="auto"/>
                <w:sz w:val="21"/>
                <w:szCs w:val="21"/>
                <w:highlight w:val="none"/>
              </w:rPr>
              <w:t>投标人对所提交的投标人或拟派项目经理业绩、投标人资质等证明资料承担缔约过失责任和法律责任。若投诉人或举报人对前述资料或证明资料存在争议，进行有效投诉或举报， 被投诉人、被举报人应当主动配合执法机关调查，并在规定的期限内举证，提供有关证明资料的原件；拒不配合执法机构调查，且未在规定期限内举证、提供证明资料原件的，执法机构依法处理。</w:t>
            </w:r>
          </w:p>
          <w:p w14:paraId="6B0049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lang w:val="en-US"/>
              </w:rPr>
              <w:t>3、</w:t>
            </w:r>
            <w:r>
              <w:rPr>
                <w:rFonts w:hint="eastAsia" w:ascii="宋体" w:hAnsi="Times New Roman" w:eastAsia="宋体" w:cs="Times New Roman"/>
                <w:color w:val="auto"/>
                <w:sz w:val="21"/>
                <w:szCs w:val="21"/>
                <w:highlight w:val="none"/>
              </w:rPr>
              <w:t>中标人未履行下述义务的，将依法对中标人追究相关责任：</w:t>
            </w:r>
          </w:p>
          <w:p w14:paraId="2A80F5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①中标人无正当理由不与招标人订立合同，在签订合同时向招标人提出附加条件，或者不按照招标文件要求提交履约保证金的，招标人有权取消中标人中标资格，并将相关违约行为报送监管部门处理；</w:t>
            </w:r>
          </w:p>
          <w:p w14:paraId="03557B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②合同签订后，中标人存在规定时间内不组织人员进场开工、不履行供货安装义务等情况，招标人有权解除合同，并追究违约责任，同时将相关违约行为报送监管部门处理。</w:t>
            </w:r>
          </w:p>
          <w:p w14:paraId="10AB54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rPr>
            </w:pPr>
            <w:r>
              <w:rPr>
                <w:rFonts w:hint="eastAsia" w:ascii="宋体" w:hAnsi="Times New Roman" w:eastAsia="宋体" w:cs="Times New Roman"/>
                <w:color w:val="auto"/>
                <w:sz w:val="21"/>
                <w:szCs w:val="21"/>
                <w:highlight w:val="none"/>
                <w:lang w:val="en-US"/>
              </w:rPr>
              <w:t>4、</w:t>
            </w:r>
            <w:r>
              <w:rPr>
                <w:rFonts w:hint="eastAsia" w:ascii="宋体" w:hAnsi="Times New Roman" w:eastAsia="宋体" w:cs="Times New Roman"/>
                <w:color w:val="auto"/>
                <w:sz w:val="21"/>
                <w:szCs w:val="21"/>
                <w:highlight w:val="none"/>
                <w:lang w:val="en-US" w:eastAsia="zh-CN"/>
              </w:rPr>
              <w:t>项目经理（建造师）、技术负责人变更需经发包人同意</w:t>
            </w:r>
            <w:r>
              <w:rPr>
                <w:rFonts w:hint="eastAsia" w:ascii="宋体" w:hAnsi="Times New Roman" w:eastAsia="宋体" w:cs="Times New Roman"/>
                <w:color w:val="auto"/>
                <w:sz w:val="21"/>
                <w:szCs w:val="21"/>
                <w:highlight w:val="none"/>
                <w:lang w:val="en-US"/>
              </w:rPr>
              <w:t>。</w:t>
            </w:r>
          </w:p>
          <w:p w14:paraId="2BC39E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rPr>
            </w:pPr>
            <w:r>
              <w:rPr>
                <w:rFonts w:hint="eastAsia" w:ascii="宋体" w:hAnsi="Times New Roman" w:eastAsia="宋体" w:cs="Times New Roman"/>
                <w:color w:val="auto"/>
                <w:sz w:val="21"/>
                <w:szCs w:val="21"/>
                <w:highlight w:val="none"/>
                <w:lang w:val="en-US"/>
              </w:rPr>
              <w:t>中标人因下列原因变更项目经理（建造师），须缴纳违约金</w:t>
            </w:r>
            <w:r>
              <w:rPr>
                <w:rFonts w:hint="eastAsia" w:ascii="宋体" w:hAnsi="Times New Roman" w:eastAsia="宋体" w:cs="Times New Roman"/>
                <w:color w:val="auto"/>
                <w:sz w:val="21"/>
                <w:szCs w:val="21"/>
                <w:highlight w:val="none"/>
                <w:lang w:val="en-US" w:eastAsia="zh-CN"/>
              </w:rPr>
              <w:t>10万</w:t>
            </w:r>
            <w:r>
              <w:rPr>
                <w:rFonts w:hint="eastAsia" w:ascii="宋体" w:hAnsi="Times New Roman" w:eastAsia="宋体" w:cs="Times New Roman"/>
                <w:color w:val="auto"/>
                <w:sz w:val="21"/>
                <w:szCs w:val="21"/>
                <w:highlight w:val="none"/>
                <w:lang w:val="en-US"/>
              </w:rPr>
              <w:t>元</w:t>
            </w:r>
            <w:r>
              <w:rPr>
                <w:rFonts w:hint="eastAsia" w:ascii="宋体" w:hAnsi="Times New Roman" w:eastAsia="宋体" w:cs="Times New Roman"/>
                <w:color w:val="auto"/>
                <w:sz w:val="21"/>
                <w:szCs w:val="21"/>
                <w:highlight w:val="none"/>
                <w:lang w:val="en-US" w:eastAsia="zh-CN"/>
              </w:rPr>
              <w:t>：</w:t>
            </w:r>
            <w:r>
              <w:rPr>
                <w:rFonts w:hint="eastAsia" w:ascii="宋体" w:hAnsi="Times New Roman" w:eastAsia="宋体" w:cs="Times New Roman"/>
                <w:color w:val="auto"/>
                <w:sz w:val="21"/>
                <w:szCs w:val="21"/>
                <w:highlight w:val="none"/>
                <w:lang w:val="en-US"/>
              </w:rPr>
              <w:t>①患重病、发生意外等身体原因不能在施工现场进行管理的；②离职的；③违法违规行为不能继续从事施工现场管理工作的；④无能力履行合同责任义务被建设行政主管部门或建设单位责令更换的。</w:t>
            </w:r>
          </w:p>
          <w:p w14:paraId="17FDB1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lang w:val="en-US"/>
              </w:rPr>
              <w:t>中标人因下列原因变更技术负责人，须缴纳违约金</w:t>
            </w:r>
            <w:r>
              <w:rPr>
                <w:rFonts w:hint="eastAsia" w:ascii="宋体" w:hAnsi="Times New Roman" w:eastAsia="宋体" w:cs="Times New Roman"/>
                <w:color w:val="auto"/>
                <w:sz w:val="21"/>
                <w:szCs w:val="21"/>
                <w:highlight w:val="none"/>
                <w:lang w:val="en-US" w:eastAsia="zh-CN"/>
              </w:rPr>
              <w:t>5万</w:t>
            </w:r>
            <w:r>
              <w:rPr>
                <w:rFonts w:hint="eastAsia" w:ascii="宋体" w:hAnsi="Times New Roman" w:eastAsia="宋体" w:cs="Times New Roman"/>
                <w:color w:val="auto"/>
                <w:sz w:val="21"/>
                <w:szCs w:val="21"/>
                <w:highlight w:val="none"/>
                <w:lang w:val="en-US"/>
              </w:rPr>
              <w:t>元</w:t>
            </w:r>
            <w:r>
              <w:rPr>
                <w:rFonts w:hint="eastAsia" w:ascii="宋体" w:hAnsi="Times New Roman" w:eastAsia="宋体" w:cs="Times New Roman"/>
                <w:color w:val="auto"/>
                <w:sz w:val="21"/>
                <w:szCs w:val="21"/>
                <w:highlight w:val="none"/>
                <w:lang w:val="en-US" w:eastAsia="zh-CN"/>
              </w:rPr>
              <w:t>：</w:t>
            </w:r>
            <w:r>
              <w:rPr>
                <w:rFonts w:hint="eastAsia" w:ascii="宋体" w:hAnsi="Times New Roman" w:eastAsia="宋体" w:cs="Times New Roman"/>
                <w:color w:val="auto"/>
                <w:sz w:val="21"/>
                <w:szCs w:val="21"/>
                <w:highlight w:val="none"/>
                <w:lang w:val="en-US"/>
              </w:rPr>
              <w:t>①患重病、发生意外等身体原因不能在施工现场进行管理的；②离职的；③违法违规行为不能继续从事施工现场管理工作的；④无能力履行合同责任义务被建设行政主管部门或建设单位责令更换的。</w:t>
            </w:r>
          </w:p>
          <w:p w14:paraId="123A9A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lang w:val="en-US" w:eastAsia="zh-CN"/>
              </w:rPr>
              <w:t>5、</w:t>
            </w:r>
            <w:r>
              <w:rPr>
                <w:rFonts w:hint="eastAsia" w:ascii="宋体" w:hAnsi="Times New Roman" w:eastAsia="宋体" w:cs="Times New Roman"/>
                <w:color w:val="auto"/>
                <w:sz w:val="21"/>
                <w:szCs w:val="21"/>
                <w:highlight w:val="none"/>
              </w:rPr>
              <w:t>安全生产</w:t>
            </w:r>
          </w:p>
          <w:p w14:paraId="060747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①须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350439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Times New Roman" w:eastAsia="宋体" w:cs="Times New Roman"/>
                <w:color w:val="auto"/>
                <w:sz w:val="21"/>
                <w:szCs w:val="21"/>
                <w:highlight w:val="none"/>
                <w:lang w:val="en-US" w:eastAsia="zh-CN"/>
              </w:rPr>
            </w:pPr>
            <w:r>
              <w:rPr>
                <w:rFonts w:hint="eastAsia" w:ascii="宋体" w:hAnsi="Times New Roman" w:eastAsia="宋体" w:cs="Times New Roman"/>
                <w:color w:val="auto"/>
                <w:sz w:val="21"/>
                <w:szCs w:val="21"/>
                <w:highlight w:val="none"/>
              </w:rPr>
              <w:t>②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合同的各项规定，做到生产与安全工作同时计划、布置、检查、总结和评比。</w:t>
            </w:r>
          </w:p>
          <w:p w14:paraId="18FE7FDC">
            <w:pPr>
              <w:keepNext w:val="0"/>
              <w:keepLines w:val="0"/>
              <w:pageBreakBefore w:val="0"/>
              <w:kinsoku/>
              <w:wordWrap/>
              <w:overflowPunct/>
              <w:topLinePunct w:val="0"/>
              <w:autoSpaceDE/>
              <w:autoSpaceDN/>
              <w:bidi w:val="0"/>
              <w:adjustRightInd/>
              <w:snapToGrid/>
              <w:spacing w:line="400" w:lineRule="exact"/>
              <w:textAlignment w:val="auto"/>
              <w:rPr>
                <w:rFonts w:ascii="宋体" w:hAnsi="宋体" w:cs="宋体"/>
                <w:strike/>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本项目严禁非法转包，一经发现，招标人依法处理。</w:t>
            </w:r>
          </w:p>
        </w:tc>
      </w:tr>
      <w:tr w14:paraId="0F24C4E8">
        <w:tblPrEx>
          <w:tblCellMar>
            <w:top w:w="0" w:type="dxa"/>
            <w:left w:w="108" w:type="dxa"/>
            <w:bottom w:w="0" w:type="dxa"/>
            <w:right w:w="108" w:type="dxa"/>
          </w:tblCellMar>
        </w:tblPrEx>
        <w:trPr>
          <w:jc w:val="center"/>
        </w:trPr>
        <w:tc>
          <w:tcPr>
            <w:tcW w:w="0" w:type="auto"/>
            <w:gridSpan w:val="2"/>
            <w:tcBorders>
              <w:top w:val="single" w:color="auto" w:sz="4" w:space="0"/>
              <w:left w:val="single" w:color="auto" w:sz="4" w:space="0"/>
              <w:bottom w:val="single" w:color="auto" w:sz="4" w:space="0"/>
              <w:right w:val="single" w:color="auto" w:sz="4" w:space="0"/>
            </w:tcBorders>
            <w:vAlign w:val="center"/>
          </w:tcPr>
          <w:p w14:paraId="7144710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rPr>
            </w:pPr>
            <w:bookmarkStart w:id="54" w:name="_Toc35425053"/>
            <w:bookmarkStart w:id="55" w:name="_Toc5813"/>
            <w:bookmarkStart w:id="56" w:name="_Toc78803322"/>
            <w:bookmarkStart w:id="57" w:name="_Toc35424887"/>
            <w:bookmarkStart w:id="58" w:name="_Toc15058846"/>
            <w:r>
              <w:rPr>
                <w:rFonts w:hint="eastAsia" w:ascii="宋体" w:hAnsi="宋体" w:cs="宋体"/>
                <w:color w:val="auto"/>
                <w:sz w:val="21"/>
                <w:szCs w:val="21"/>
                <w:highlight w:val="none"/>
                <w:lang w:val="en-US" w:eastAsia="zh-CN"/>
              </w:rPr>
              <w:t>重要说明</w:t>
            </w:r>
          </w:p>
        </w:tc>
        <w:tc>
          <w:tcPr>
            <w:tcW w:w="0" w:type="auto"/>
            <w:gridSpan w:val="2"/>
            <w:tcBorders>
              <w:top w:val="single" w:color="auto" w:sz="4" w:space="0"/>
              <w:left w:val="single" w:color="auto" w:sz="4" w:space="0"/>
              <w:bottom w:val="single" w:color="auto" w:sz="4" w:space="0"/>
              <w:right w:val="single" w:color="auto" w:sz="4" w:space="0"/>
            </w:tcBorders>
            <w:vAlign w:val="center"/>
          </w:tcPr>
          <w:p w14:paraId="53B1753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请于公告发布之日起从滁州市城投工程咨询管理有限公司网站（https://www.czctgczx.com/），点击项目招标公告下方【我要投标】，登录新点电子交易平台后在【滁州专区】（https://www.etrading.cn/BREpointSSO/login/oauth2login?regioncode=DQ_ChuZhou）下载本项目招标文件。投标人自行承担因未按要求获取招标文件导致无法上传电子投标文件的风险。</w:t>
            </w:r>
          </w:p>
          <w:p w14:paraId="2E66151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投标人须登录新点电子交易平台【滁州专区】查询、获取招标文件。首次登录办理入库手续，办理入库不收取任何费用。新点电子招投标统一认证平台使用相关问题（如系统登录、信息登记、录入及提交、数字证书关联等）请拨打服务电话：4009280095-5（工作日）。 </w:t>
            </w:r>
          </w:p>
          <w:p w14:paraId="7641EF1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3.投标人登录新点电子交易平台【滁州专区】获取招标文件及其它资料（含澄清和补充说明等）。如在招标文件获取过程中遇到系统问题，请拨打技术支持服务热线4009280095或者网站首页在线客服。</w:t>
            </w:r>
          </w:p>
          <w:p w14:paraId="47DF65D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4.本项目采用不见面开标，投标人登录滁州市城投工程咨询有限公司不见面开标系统参与网上开标（网址：http://js.etrading.cn/EpointBidOpening/bidopeninghallaction/hall/login）。</w:t>
            </w:r>
          </w:p>
          <w:p w14:paraId="030ED2F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5.投标人应在投标截止时间之前，登录新点电子交易平台【滁州专区】上传投标文件。投标人逾期上传投标文件的，电子系统不予受理。</w:t>
            </w:r>
          </w:p>
          <w:p w14:paraId="6118BFC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6.投标人的联系人电话(手机)、电子邮箱等通讯方式在开标过程中必须保持畅通，否则因上述原因造成的后果，责任自负。</w:t>
            </w:r>
          </w:p>
          <w:p w14:paraId="4E97232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7.本项目采用电子招投标方式，请投标人在“新点电子交易平台”常用下载专区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59D69F8D">
            <w:pPr>
              <w:keepNext w:val="0"/>
              <w:keepLines w:val="0"/>
              <w:pageBreakBefore w:val="0"/>
              <w:widowControl w:val="0"/>
              <w:kinsoku/>
              <w:wordWrap w:val="0"/>
              <w:overflowPunct/>
              <w:topLinePunct w:val="0"/>
              <w:autoSpaceDE/>
              <w:autoSpaceDN/>
              <w:bidi w:val="0"/>
              <w:adjustRightInd/>
              <w:snapToGrid/>
              <w:spacing w:line="400" w:lineRule="exact"/>
              <w:jc w:val="left"/>
              <w:textAlignment w:val="auto"/>
              <w:rPr>
                <w:rFonts w:hint="default"/>
                <w:color w:val="auto"/>
                <w:highlight w:val="none"/>
                <w:lang w:val="en-US" w:eastAsia="zh-CN"/>
              </w:rPr>
            </w:pPr>
            <w:r>
              <w:rPr>
                <w:rFonts w:hint="eastAsia" w:ascii="宋体" w:hAnsi="宋体" w:eastAsia="宋体" w:cs="宋体"/>
                <w:color w:val="auto"/>
                <w:kern w:val="0"/>
                <w:sz w:val="21"/>
                <w:szCs w:val="21"/>
                <w:highlight w:val="none"/>
                <w:lang w:val="en-US" w:eastAsia="zh-CN" w:bidi="ar-SA"/>
              </w:rPr>
              <w:t>8.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tc>
      </w:tr>
    </w:tbl>
    <w:p w14:paraId="735D540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585086A">
      <w:pPr>
        <w:pStyle w:val="3"/>
        <w:spacing w:beforeLines="50" w:afterLines="50"/>
        <w:ind w:firstLine="482"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总则</w:t>
      </w:r>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2AE7C8E8">
      <w:pPr>
        <w:pStyle w:val="3"/>
        <w:ind w:firstLine="422" w:firstLineChars="200"/>
        <w:rPr>
          <w:rFonts w:ascii="宋体" w:hAnsi="宋体" w:eastAsia="宋体" w:cs="宋体"/>
          <w:color w:val="auto"/>
          <w:kern w:val="44"/>
          <w:highlight w:val="none"/>
        </w:rPr>
      </w:pPr>
      <w:bookmarkStart w:id="59" w:name="_Toc15058847"/>
      <w:bookmarkStart w:id="60" w:name="_Toc506107270"/>
      <w:bookmarkStart w:id="61" w:name="_Toc246996919"/>
      <w:bookmarkStart w:id="62" w:name="_Toc144974498"/>
      <w:bookmarkStart w:id="63" w:name="_Toc4678"/>
      <w:bookmarkStart w:id="64" w:name="_Toc35424888"/>
      <w:bookmarkStart w:id="65" w:name="_Toc78803323"/>
      <w:bookmarkStart w:id="66" w:name="_Toc35425054"/>
      <w:bookmarkStart w:id="67" w:name="_Toc152045530"/>
      <w:bookmarkStart w:id="68" w:name="_Toc324404816"/>
      <w:bookmarkStart w:id="69" w:name="_Toc246996176"/>
      <w:bookmarkStart w:id="70" w:name="_Toc152042306"/>
      <w:bookmarkStart w:id="71" w:name="_Toc179632547"/>
      <w:bookmarkStart w:id="72" w:name="_Toc296602421"/>
      <w:bookmarkStart w:id="73" w:name="_Toc247085690"/>
      <w:r>
        <w:rPr>
          <w:rFonts w:hint="eastAsia" w:ascii="宋体" w:hAnsi="宋体" w:eastAsia="宋体" w:cs="宋体"/>
          <w:color w:val="auto"/>
          <w:kern w:val="44"/>
          <w:highlight w:val="none"/>
        </w:rPr>
        <w:t>1.1 项目概况</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07780BC3">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1.1.1根据《中华人民共和国招标投标法》《中华人民共和国招标投标法实施条例》等有关法律、法规和规章的规定，本招标项目已具备招标条件，现对本项目施工进行招标。</w:t>
      </w:r>
    </w:p>
    <w:p w14:paraId="5AB354AF">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1.1.2 本招标项目招标人：见投标人须知前附表。</w:t>
      </w:r>
    </w:p>
    <w:p w14:paraId="7E46A021">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1.1.3 本招标项目招标代理机构：见投标人须知前附表。</w:t>
      </w:r>
    </w:p>
    <w:p w14:paraId="77102B8A">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1.1.4 本招标项目名称：见投标人须知前附表。</w:t>
      </w:r>
    </w:p>
    <w:p w14:paraId="6CBC3272">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1.1.5 本招标项目建设地点：见投标人须知前附表。</w:t>
      </w:r>
    </w:p>
    <w:p w14:paraId="036B2C8D">
      <w:pPr>
        <w:pStyle w:val="3"/>
        <w:ind w:firstLine="422" w:firstLineChars="200"/>
        <w:rPr>
          <w:rFonts w:ascii="宋体" w:hAnsi="宋体" w:eastAsia="宋体" w:cs="宋体"/>
          <w:color w:val="auto"/>
          <w:highlight w:val="none"/>
        </w:rPr>
      </w:pPr>
      <w:bookmarkStart w:id="74" w:name="_Toc246996177"/>
      <w:bookmarkStart w:id="75" w:name="_Toc152042307"/>
      <w:bookmarkStart w:id="76" w:name="_Toc247085691"/>
      <w:bookmarkStart w:id="77" w:name="_Toc152045531"/>
      <w:bookmarkStart w:id="78" w:name="_Toc324404817"/>
      <w:bookmarkStart w:id="79" w:name="_Toc35424889"/>
      <w:bookmarkStart w:id="80" w:name="_Toc7142"/>
      <w:bookmarkStart w:id="81" w:name="_Toc144974499"/>
      <w:bookmarkStart w:id="82" w:name="_Toc179632548"/>
      <w:bookmarkStart w:id="83" w:name="_Toc246996920"/>
      <w:bookmarkStart w:id="84" w:name="_Toc78803324"/>
      <w:bookmarkStart w:id="85" w:name="_Toc296602422"/>
      <w:bookmarkStart w:id="86" w:name="_Toc15058848"/>
      <w:bookmarkStart w:id="87" w:name="_Toc506107271"/>
      <w:bookmarkStart w:id="88" w:name="_Toc35425055"/>
      <w:r>
        <w:rPr>
          <w:rFonts w:hint="eastAsia" w:ascii="宋体" w:hAnsi="宋体" w:eastAsia="宋体" w:cs="宋体"/>
          <w:color w:val="auto"/>
          <w:highlight w:val="none"/>
        </w:rPr>
        <w:t>1.2 资金来源和落实情况</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662000A2">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1.2.1 本招标项目的资金来源及出资比例：见投标人须知前附表。</w:t>
      </w:r>
    </w:p>
    <w:p w14:paraId="2086A8CF">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1.2.2 本招标项目的资金落实情况：见投标人须知前附表。</w:t>
      </w:r>
    </w:p>
    <w:p w14:paraId="77419EB9">
      <w:pPr>
        <w:pStyle w:val="3"/>
        <w:ind w:firstLine="422" w:firstLineChars="200"/>
        <w:rPr>
          <w:rFonts w:ascii="宋体" w:hAnsi="宋体" w:eastAsia="宋体" w:cs="宋体"/>
          <w:color w:val="auto"/>
          <w:highlight w:val="none"/>
        </w:rPr>
      </w:pPr>
      <w:bookmarkStart w:id="89" w:name="_Toc35425056"/>
      <w:bookmarkStart w:id="90" w:name="_Toc144974500"/>
      <w:bookmarkStart w:id="91" w:name="_Toc35424890"/>
      <w:bookmarkStart w:id="92" w:name="_Toc152045532"/>
      <w:bookmarkStart w:id="93" w:name="_Toc179632549"/>
      <w:bookmarkStart w:id="94" w:name="_Toc152042308"/>
      <w:bookmarkStart w:id="95" w:name="_Toc247085692"/>
      <w:bookmarkStart w:id="96" w:name="_Toc246996178"/>
      <w:bookmarkStart w:id="97" w:name="_Toc246996921"/>
      <w:bookmarkStart w:id="98" w:name="_Toc324404818"/>
      <w:bookmarkStart w:id="99" w:name="_Toc78803325"/>
      <w:bookmarkStart w:id="100" w:name="_Toc296602423"/>
      <w:bookmarkStart w:id="101" w:name="_Toc15058849"/>
      <w:bookmarkStart w:id="102" w:name="_Toc506107272"/>
      <w:bookmarkStart w:id="103" w:name="_Toc6330"/>
      <w:r>
        <w:rPr>
          <w:rFonts w:hint="eastAsia" w:ascii="宋体" w:hAnsi="宋体" w:eastAsia="宋体" w:cs="宋体"/>
          <w:color w:val="auto"/>
          <w:highlight w:val="none"/>
        </w:rPr>
        <w:t>1.3 招标范围、计划工期、质量要求</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4E6EC99A">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 本次招标范围：见投标人须知前附表。</w:t>
      </w:r>
    </w:p>
    <w:p w14:paraId="47384945">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 本招标项目的监理服务期限：见投标人须知前附表。</w:t>
      </w:r>
    </w:p>
    <w:p w14:paraId="1CB8FAD6">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1.3.3 本招标项目的质量要求：见投标人须知前附表。</w:t>
      </w:r>
    </w:p>
    <w:p w14:paraId="26E33D0B">
      <w:pPr>
        <w:pStyle w:val="3"/>
        <w:ind w:firstLine="422" w:firstLineChars="200"/>
        <w:rPr>
          <w:rFonts w:ascii="宋体" w:hAnsi="宋体" w:eastAsia="宋体" w:cs="宋体"/>
          <w:color w:val="auto"/>
          <w:highlight w:val="none"/>
        </w:rPr>
      </w:pPr>
      <w:bookmarkStart w:id="104" w:name="_Toc78803326"/>
      <w:bookmarkStart w:id="105" w:name="_Toc152045534"/>
      <w:bookmarkStart w:id="106" w:name="_Toc246996179"/>
      <w:bookmarkStart w:id="107" w:name="_Toc179632551"/>
      <w:bookmarkStart w:id="108" w:name="_Toc35424891"/>
      <w:bookmarkStart w:id="109" w:name="_Toc506107273"/>
      <w:bookmarkStart w:id="110" w:name="_Toc152042310"/>
      <w:bookmarkStart w:id="111" w:name="_Toc15058850"/>
      <w:bookmarkStart w:id="112" w:name="_Toc26897"/>
      <w:bookmarkStart w:id="113" w:name="_Toc246996922"/>
      <w:bookmarkStart w:id="114" w:name="_Toc35425057"/>
      <w:bookmarkStart w:id="115" w:name="_Toc324404819"/>
      <w:bookmarkStart w:id="116" w:name="_Toc247085693"/>
      <w:bookmarkStart w:id="117" w:name="_Toc144974502"/>
      <w:bookmarkStart w:id="118" w:name="_Toc296602424"/>
      <w:r>
        <w:rPr>
          <w:rFonts w:hint="eastAsia" w:ascii="宋体" w:hAnsi="宋体" w:eastAsia="宋体" w:cs="宋体"/>
          <w:color w:val="auto"/>
          <w:highlight w:val="none"/>
        </w:rPr>
        <w:t>1.4 投标人资格要求</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473C4A8A">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 投标人应具备承担本项目</w:t>
      </w:r>
      <w:r>
        <w:rPr>
          <w:rFonts w:hint="eastAsia" w:ascii="宋体" w:hAnsi="宋体" w:eastAsia="宋体" w:cs="宋体"/>
          <w:color w:val="auto"/>
          <w:szCs w:val="21"/>
          <w:highlight w:val="none"/>
          <w:lang w:val="en-US" w:eastAsia="zh-CN"/>
        </w:rPr>
        <w:t>施工</w:t>
      </w:r>
      <w:r>
        <w:rPr>
          <w:rFonts w:hint="eastAsia" w:ascii="宋体" w:hAnsi="宋体" w:eastAsia="宋体" w:cs="宋体"/>
          <w:color w:val="auto"/>
          <w:szCs w:val="21"/>
          <w:highlight w:val="none"/>
        </w:rPr>
        <w:t>的资质条件、能力和信誉。</w:t>
      </w:r>
    </w:p>
    <w:p w14:paraId="42CF7408">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（1）资质条件：见投标人须知前附表；</w:t>
      </w:r>
    </w:p>
    <w:p w14:paraId="213F5755">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（2）项目负责人资格：见投标人须知前附表；</w:t>
      </w:r>
    </w:p>
    <w:p w14:paraId="77975E29">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（3）信誉要求：见投标人须知前附表；</w:t>
      </w:r>
    </w:p>
    <w:p w14:paraId="1C33B202">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）其他要求：见投标人须知前附表。</w:t>
      </w:r>
    </w:p>
    <w:p w14:paraId="66002C8A">
      <w:pPr>
        <w:spacing w:line="440" w:lineRule="exact"/>
        <w:ind w:firstLine="420" w:firstLineChars="200"/>
        <w:jc w:val="left"/>
        <w:rPr>
          <w:rFonts w:hint="eastAsia" w:ascii="宋体" w:hAnsi="宋体" w:eastAsia="宋体" w:cs="宋体"/>
          <w:color w:val="auto"/>
          <w:szCs w:val="21"/>
          <w:highlight w:val="none"/>
        </w:rPr>
      </w:pPr>
      <w:bookmarkStart w:id="119" w:name="_Toc15058851"/>
      <w:bookmarkStart w:id="120" w:name="_Toc247085694"/>
      <w:bookmarkStart w:id="121" w:name="_Toc506107274"/>
      <w:bookmarkStart w:id="122" w:name="_Toc246996923"/>
      <w:bookmarkStart w:id="123" w:name="_Toc78803327"/>
      <w:bookmarkStart w:id="124" w:name="_Toc152042311"/>
      <w:bookmarkStart w:id="125" w:name="_Toc35425058"/>
      <w:bookmarkStart w:id="126" w:name="_Toc324404820"/>
      <w:bookmarkStart w:id="127" w:name="_Toc35424892"/>
      <w:bookmarkStart w:id="128" w:name="_Toc144974503"/>
      <w:bookmarkStart w:id="129" w:name="_Toc296602425"/>
      <w:bookmarkStart w:id="130" w:name="_Toc152045535"/>
      <w:bookmarkStart w:id="131" w:name="_Toc10179"/>
      <w:bookmarkStart w:id="132" w:name="_Toc246996180"/>
      <w:bookmarkStart w:id="133" w:name="_Toc179632552"/>
      <w:r>
        <w:rPr>
          <w:rFonts w:hint="eastAsia" w:ascii="宋体" w:hAnsi="宋体" w:eastAsia="宋体" w:cs="宋体"/>
          <w:color w:val="auto"/>
          <w:szCs w:val="21"/>
          <w:highlight w:val="none"/>
        </w:rPr>
        <w:t>1.4.3投标人（包括联合体各成员）不得与本标段相关单位存在下列关联关系：</w:t>
      </w:r>
    </w:p>
    <w:p w14:paraId="5DE8D0B6">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（1）为招标人不具有独立法人资格的附属机构（单位）；</w:t>
      </w:r>
    </w:p>
    <w:p w14:paraId="09E6B8F6">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（2）与招标人存在利害关系且可能影响招标公正性；</w:t>
      </w:r>
    </w:p>
    <w:p w14:paraId="0505EF5B">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（3）与本标段的其他投标人同为一个单位负责人；</w:t>
      </w:r>
    </w:p>
    <w:p w14:paraId="36333F83">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（4）与本标段的其他投标人存在控股、管理关系；</w:t>
      </w:r>
    </w:p>
    <w:p w14:paraId="4D18F6F7">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（5）为本标段前期准备提供设计或咨询服务的法人或其任何附属机构（单位）(工程总承包项目本目不采用)；</w:t>
      </w:r>
    </w:p>
    <w:p w14:paraId="73E24824">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（6）为本标段的监理人；</w:t>
      </w:r>
    </w:p>
    <w:p w14:paraId="43DEC31D">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（7）为本标段的代建人；</w:t>
      </w:r>
    </w:p>
    <w:p w14:paraId="56536154">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（8）为本标段的招标代理机构；</w:t>
      </w:r>
    </w:p>
    <w:p w14:paraId="34070789">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（9）与本标段的监理人或代建人或招标代理机构同为一个法定代表人；</w:t>
      </w:r>
    </w:p>
    <w:p w14:paraId="5B21E9B6">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（10）与本标段的监理人或代建人或招标代理机构存在控股或参股关系；</w:t>
      </w:r>
    </w:p>
    <w:p w14:paraId="552CFA51">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（11）法律法规或投标人须知前附表规定的其他情形。</w:t>
      </w:r>
    </w:p>
    <w:p w14:paraId="4D283291">
      <w:pPr>
        <w:pStyle w:val="3"/>
        <w:ind w:firstLine="422" w:firstLineChars="200"/>
        <w:rPr>
          <w:rFonts w:ascii="宋体" w:hAnsi="宋体" w:eastAsia="宋体" w:cs="宋体"/>
          <w:color w:val="auto"/>
          <w:highlight w:val="none"/>
        </w:rPr>
      </w:pPr>
      <w:r>
        <w:rPr>
          <w:rFonts w:hint="eastAsia" w:ascii="宋体" w:hAnsi="宋体" w:eastAsia="宋体" w:cs="宋体"/>
          <w:color w:val="auto"/>
          <w:highlight w:val="none"/>
        </w:rPr>
        <w:t>1.5 费用承担</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2CDB29E0">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14:paraId="6B9E8D17">
      <w:pPr>
        <w:pStyle w:val="3"/>
        <w:ind w:firstLine="422" w:firstLineChars="200"/>
        <w:rPr>
          <w:rFonts w:ascii="宋体" w:hAnsi="宋体" w:eastAsia="宋体" w:cs="宋体"/>
          <w:color w:val="auto"/>
          <w:highlight w:val="none"/>
        </w:rPr>
      </w:pPr>
      <w:bookmarkStart w:id="134" w:name="_Toc35424893"/>
      <w:bookmarkStart w:id="135" w:name="_Toc296602426"/>
      <w:bookmarkStart w:id="136" w:name="_Toc247085695"/>
      <w:bookmarkStart w:id="137" w:name="_Toc15058852"/>
      <w:bookmarkStart w:id="138" w:name="_Toc78803328"/>
      <w:bookmarkStart w:id="139" w:name="_Toc179632553"/>
      <w:bookmarkStart w:id="140" w:name="_Toc152042312"/>
      <w:bookmarkStart w:id="141" w:name="_Toc246996924"/>
      <w:bookmarkStart w:id="142" w:name="_Toc152045536"/>
      <w:bookmarkStart w:id="143" w:name="_Toc324404821"/>
      <w:bookmarkStart w:id="144" w:name="_Toc506107275"/>
      <w:bookmarkStart w:id="145" w:name="_Toc4092"/>
      <w:bookmarkStart w:id="146" w:name="_Toc35425059"/>
      <w:bookmarkStart w:id="147" w:name="_Toc144974504"/>
      <w:bookmarkStart w:id="148" w:name="_Toc246996181"/>
      <w:r>
        <w:rPr>
          <w:rFonts w:hint="eastAsia" w:ascii="宋体" w:hAnsi="宋体" w:eastAsia="宋体" w:cs="宋体"/>
          <w:color w:val="auto"/>
          <w:highlight w:val="none"/>
        </w:rPr>
        <w:t>1.6 保密</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709F25B8">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参与招标投标活动的各方应对招标文件和投标文件中的商业和技术等秘密保密，违者应对由此造成的后果承担法律责任。 </w:t>
      </w:r>
    </w:p>
    <w:p w14:paraId="17C94B32">
      <w:pPr>
        <w:pStyle w:val="3"/>
        <w:ind w:firstLine="422" w:firstLineChars="200"/>
        <w:rPr>
          <w:rFonts w:ascii="宋体" w:hAnsi="宋体" w:eastAsia="宋体" w:cs="宋体"/>
          <w:color w:val="auto"/>
          <w:highlight w:val="none"/>
        </w:rPr>
      </w:pPr>
      <w:bookmarkStart w:id="149" w:name="_Toc144974505"/>
      <w:bookmarkStart w:id="150" w:name="_Toc4119"/>
      <w:bookmarkStart w:id="151" w:name="_Toc152045537"/>
      <w:bookmarkStart w:id="152" w:name="_Toc324404822"/>
      <w:bookmarkStart w:id="153" w:name="_Toc35424894"/>
      <w:bookmarkStart w:id="154" w:name="_Toc35425060"/>
      <w:bookmarkStart w:id="155" w:name="_Toc78803329"/>
      <w:bookmarkStart w:id="156" w:name="_Toc247085696"/>
      <w:bookmarkStart w:id="157" w:name="_Toc152042313"/>
      <w:bookmarkStart w:id="158" w:name="_Toc246996182"/>
      <w:bookmarkStart w:id="159" w:name="_Toc506107276"/>
      <w:bookmarkStart w:id="160" w:name="_Toc15058853"/>
      <w:bookmarkStart w:id="161" w:name="_Toc246996925"/>
      <w:bookmarkStart w:id="162" w:name="_Toc179632554"/>
      <w:bookmarkStart w:id="163" w:name="_Toc296602427"/>
      <w:r>
        <w:rPr>
          <w:rFonts w:hint="eastAsia" w:ascii="宋体" w:hAnsi="宋体" w:eastAsia="宋体" w:cs="宋体"/>
          <w:color w:val="auto"/>
          <w:highlight w:val="none"/>
        </w:rPr>
        <w:t>1.7 语言</w:t>
      </w:r>
      <w:bookmarkEnd w:id="149"/>
      <w:r>
        <w:rPr>
          <w:rFonts w:hint="eastAsia" w:ascii="宋体" w:hAnsi="宋体" w:eastAsia="宋体" w:cs="宋体"/>
          <w:color w:val="auto"/>
          <w:highlight w:val="none"/>
        </w:rPr>
        <w:t>文字</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13039B6C">
      <w:pPr>
        <w:spacing w:line="440" w:lineRule="exact"/>
        <w:ind w:firstLine="420" w:firstLineChars="200"/>
        <w:jc w:val="left"/>
        <w:rPr>
          <w:rFonts w:ascii="宋体" w:hAnsi="宋体" w:cs="宋体"/>
          <w:color w:val="auto"/>
          <w:szCs w:val="21"/>
          <w:highlight w:val="none"/>
        </w:rPr>
      </w:pPr>
      <w:bookmarkStart w:id="164" w:name="_Toc246996926"/>
      <w:bookmarkStart w:id="165" w:name="_Toc246996183"/>
      <w:bookmarkStart w:id="166" w:name="_Toc179632555"/>
      <w:bookmarkStart w:id="167" w:name="_Toc247085697"/>
      <w:bookmarkStart w:id="168" w:name="_Toc144974506"/>
      <w:bookmarkStart w:id="169" w:name="_Toc152045538"/>
      <w:bookmarkStart w:id="170" w:name="_Toc152042314"/>
      <w:r>
        <w:rPr>
          <w:rFonts w:hint="eastAsia" w:ascii="宋体" w:hAnsi="宋体" w:cs="宋体"/>
          <w:color w:val="auto"/>
          <w:szCs w:val="21"/>
          <w:highlight w:val="none"/>
        </w:rPr>
        <w:t>招标投标文件使用的语言文字为中文。专用术语使用外文的，应附有中文注释。</w:t>
      </w:r>
    </w:p>
    <w:p w14:paraId="07887133">
      <w:pPr>
        <w:pStyle w:val="3"/>
        <w:ind w:firstLine="422" w:firstLineChars="200"/>
        <w:rPr>
          <w:rFonts w:ascii="宋体" w:hAnsi="宋体" w:eastAsia="宋体" w:cs="宋体"/>
          <w:color w:val="auto"/>
          <w:highlight w:val="none"/>
        </w:rPr>
      </w:pPr>
      <w:bookmarkStart w:id="171" w:name="_Toc15058854"/>
      <w:bookmarkStart w:id="172" w:name="_Toc78803330"/>
      <w:bookmarkStart w:id="173" w:name="_Toc35424895"/>
      <w:bookmarkStart w:id="174" w:name="_Toc296602428"/>
      <w:bookmarkStart w:id="175" w:name="_Toc35425061"/>
      <w:bookmarkStart w:id="176" w:name="_Toc13408"/>
      <w:bookmarkStart w:id="177" w:name="_Toc324404823"/>
      <w:bookmarkStart w:id="178" w:name="_Toc506107277"/>
      <w:r>
        <w:rPr>
          <w:rFonts w:hint="eastAsia" w:ascii="宋体" w:hAnsi="宋体" w:eastAsia="宋体" w:cs="宋体"/>
          <w:color w:val="auto"/>
          <w:highlight w:val="none"/>
        </w:rPr>
        <w:t>1.8 计量单位</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3DEA88EB">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6E75FA73">
      <w:pPr>
        <w:pStyle w:val="3"/>
        <w:ind w:firstLine="422" w:firstLineChars="200"/>
        <w:rPr>
          <w:rFonts w:ascii="宋体" w:hAnsi="宋体" w:eastAsia="宋体" w:cs="宋体"/>
          <w:color w:val="auto"/>
          <w:highlight w:val="none"/>
        </w:rPr>
      </w:pPr>
      <w:bookmarkStart w:id="179" w:name="_Toc78803331"/>
      <w:bookmarkStart w:id="180" w:name="_Toc506107278"/>
      <w:bookmarkStart w:id="181" w:name="_Toc247513962"/>
      <w:bookmarkStart w:id="182" w:name="_Toc247592876"/>
      <w:bookmarkStart w:id="183" w:name="_Toc152042315"/>
      <w:bookmarkStart w:id="184" w:name="_Toc35424896"/>
      <w:bookmarkStart w:id="185" w:name="_Toc35425062"/>
      <w:bookmarkStart w:id="186" w:name="_Toc11493"/>
      <w:bookmarkStart w:id="187" w:name="_Toc144974507"/>
      <w:bookmarkStart w:id="188" w:name="_Toc152045539"/>
      <w:bookmarkStart w:id="189" w:name="_Toc296602429"/>
      <w:bookmarkStart w:id="190" w:name="_Toc247527563"/>
      <w:bookmarkStart w:id="191" w:name="_Toc15058855"/>
      <w:bookmarkStart w:id="192" w:name="_Toc324404824"/>
      <w:r>
        <w:rPr>
          <w:rFonts w:hint="eastAsia" w:ascii="宋体" w:hAnsi="宋体" w:eastAsia="宋体" w:cs="宋体"/>
          <w:color w:val="auto"/>
          <w:highlight w:val="none"/>
        </w:rPr>
        <w:t>1.9 踏勘现场</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5AA9B494">
      <w:pPr>
        <w:spacing w:line="440" w:lineRule="exact"/>
        <w:ind w:firstLine="420" w:firstLineChars="200"/>
        <w:jc w:val="left"/>
        <w:rPr>
          <w:rFonts w:hint="eastAsia" w:ascii="宋体" w:hAnsi="宋体" w:eastAsia="宋体" w:cs="宋体"/>
          <w:color w:val="auto"/>
          <w:szCs w:val="21"/>
          <w:highlight w:val="none"/>
        </w:rPr>
      </w:pPr>
      <w:bookmarkStart w:id="193" w:name="_Toc247527564"/>
      <w:bookmarkStart w:id="194" w:name="_Toc35424897"/>
      <w:bookmarkStart w:id="195" w:name="_Toc152042316"/>
      <w:bookmarkStart w:id="196" w:name="_Toc324404825"/>
      <w:bookmarkStart w:id="197" w:name="_Toc144974508"/>
      <w:bookmarkStart w:id="198" w:name="_Toc78803332"/>
      <w:bookmarkStart w:id="199" w:name="_Toc506107279"/>
      <w:bookmarkStart w:id="200" w:name="_Toc296602430"/>
      <w:bookmarkStart w:id="201" w:name="_Toc22954"/>
      <w:bookmarkStart w:id="202" w:name="_Toc247513963"/>
      <w:bookmarkStart w:id="203" w:name="_Toc15058856"/>
      <w:bookmarkStart w:id="204" w:name="_Toc35425063"/>
      <w:bookmarkStart w:id="205" w:name="_Toc247592877"/>
      <w:bookmarkStart w:id="206" w:name="_Toc152045540"/>
      <w:r>
        <w:rPr>
          <w:rFonts w:hint="eastAsia" w:ascii="宋体" w:hAnsi="宋体" w:eastAsia="宋体" w:cs="宋体"/>
          <w:color w:val="auto"/>
          <w:szCs w:val="21"/>
          <w:highlight w:val="none"/>
        </w:rPr>
        <w:t xml:space="preserve">1.9.1前附表规定组织踏勘现场的，招标人按投标人须知前附表规定的时间、地点组织投标人踏勘项目现场。部分投标人未按时参加踏勘现场的，不影响踏勘现场的正常进行。招标人不得组织单个或部分投标人踏勘项目现场。 </w:t>
      </w:r>
    </w:p>
    <w:p w14:paraId="1D49473C">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 投标人踏勘现场发生的费用自理。</w:t>
      </w:r>
    </w:p>
    <w:p w14:paraId="4EA36043">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1.9.3 除招标人的原因外，投标人自行负责在踏勘现场中所发生的人员伤亡和财产损失。</w:t>
      </w:r>
    </w:p>
    <w:p w14:paraId="50FCC1C9">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1.9.4 招标人在踏勘现场中介绍的工程场地和相关的周边环境情况，供投标人在编制投标文件时参考，招标人不对投标人据此作出的判断和决策负责。</w:t>
      </w:r>
    </w:p>
    <w:p w14:paraId="024D6A4F">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1.9.5无论投标人是否到施工现场实地踏勘，中标后签订合同时和履约过程中，投标人不得以不完全了解现场情况或现场情况与招标文件描述不一致等为由，提出任何形式的增加工程造价或索赔的要求。</w:t>
      </w:r>
    </w:p>
    <w:p w14:paraId="179FDA06">
      <w:pPr>
        <w:pStyle w:val="3"/>
        <w:ind w:firstLine="422" w:firstLineChars="200"/>
        <w:rPr>
          <w:rFonts w:ascii="宋体" w:hAnsi="宋体" w:eastAsia="宋体" w:cs="宋体"/>
          <w:color w:val="auto"/>
          <w:highlight w:val="none"/>
        </w:rPr>
      </w:pPr>
      <w:r>
        <w:rPr>
          <w:rFonts w:hint="eastAsia" w:ascii="宋体" w:hAnsi="宋体" w:eastAsia="宋体" w:cs="宋体"/>
          <w:color w:val="auto"/>
          <w:highlight w:val="none"/>
        </w:rPr>
        <w:t>1.10 投标预备会</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59781F3B">
      <w:pPr>
        <w:spacing w:line="440" w:lineRule="exact"/>
        <w:ind w:firstLine="420" w:firstLineChars="200"/>
        <w:jc w:val="left"/>
        <w:rPr>
          <w:rFonts w:hint="eastAsia" w:ascii="宋体" w:hAnsi="宋体" w:eastAsia="宋体" w:cs="宋体"/>
          <w:color w:val="auto"/>
          <w:szCs w:val="21"/>
          <w:highlight w:val="none"/>
        </w:rPr>
      </w:pPr>
      <w:bookmarkStart w:id="207" w:name="_Toc83301699"/>
      <w:bookmarkStart w:id="208" w:name="_Toc95223347"/>
      <w:bookmarkStart w:id="209" w:name="_Toc60061444"/>
      <w:bookmarkStart w:id="210" w:name="_Toc506107280"/>
      <w:bookmarkStart w:id="211" w:name="_Toc324404826"/>
      <w:bookmarkStart w:id="212" w:name="_Toc15058857"/>
      <w:bookmarkStart w:id="213" w:name="_Toc296602431"/>
      <w:bookmarkStart w:id="214" w:name="_Toc78803333"/>
      <w:bookmarkStart w:id="215" w:name="_Toc35425064"/>
      <w:bookmarkStart w:id="216" w:name="_Toc35424898"/>
      <w:bookmarkStart w:id="217" w:name="_Toc32016"/>
      <w:r>
        <w:rPr>
          <w:rFonts w:hint="eastAsia" w:ascii="宋体" w:hAnsi="宋体" w:eastAsia="宋体" w:cs="宋体"/>
          <w:color w:val="auto"/>
          <w:szCs w:val="21"/>
          <w:highlight w:val="none"/>
        </w:rPr>
        <w:t>1.10.1投标人须知前附表规定召开投标预备会的，招标人按投标人须知前附表规定的时间和地点召开投标预备会，澄清投标人提出的问题。</w:t>
      </w:r>
    </w:p>
    <w:p w14:paraId="68E1CBD9">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1.10.2投标人应在投标人须知前附表规定的时间前，将提出的问题送达招标人，以便招标人澄清。</w:t>
      </w:r>
    </w:p>
    <w:p w14:paraId="77334C7F">
      <w:pPr>
        <w:pStyle w:val="3"/>
        <w:ind w:firstLine="422" w:firstLineChars="200"/>
        <w:rPr>
          <w:rFonts w:hint="eastAsia" w:ascii="宋体" w:hAnsi="宋体" w:eastAsia="宋体" w:cs="宋体"/>
          <w:color w:val="auto"/>
          <w:highlight w:val="none"/>
        </w:rPr>
      </w:pPr>
      <w:r>
        <w:rPr>
          <w:rFonts w:hint="eastAsia" w:ascii="宋体" w:hAnsi="宋体" w:eastAsia="宋体" w:cs="宋体"/>
          <w:color w:val="auto"/>
          <w:highlight w:val="none"/>
        </w:rPr>
        <w:t>1.11 分包</w:t>
      </w:r>
      <w:bookmarkEnd w:id="207"/>
      <w:bookmarkEnd w:id="208"/>
      <w:bookmarkEnd w:id="209"/>
    </w:p>
    <w:p w14:paraId="4C37D79E">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1.11.1投标人拟在中标后将中标项目的部分非主体、非关键性工作进行分包的，应符合以下规定：</w:t>
      </w:r>
    </w:p>
    <w:p w14:paraId="656917F9">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（1）分包内容要求：招标人允许分包或不允许分包的专业工程（如有）应在投标人须知前附表中载明；</w:t>
      </w:r>
    </w:p>
    <w:p w14:paraId="5CB3AEC0">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（2）接受分包的第三人资格要求：分包人的资格能力应与其分包工程的标准和规模相适应，且具备投标人须知前附表中规定的资格条件；</w:t>
      </w:r>
    </w:p>
    <w:p w14:paraId="4C9BC43D">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（3）其他要求：投标人如有分包计划，应按第九章“投标文件格式”的要求填写“拟分包项目情况表”，明确拟分包的工程及规模，且投标人中标后的分包应满足合同条款的相关要求。</w:t>
      </w:r>
    </w:p>
    <w:p w14:paraId="25700247">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1.11.2中标人不得向他人转让中标项目，接受分包的人不得再次分包。中标人应就分包项目向招标人负责，接受分包的人就分包项目承担连带责任</w:t>
      </w:r>
      <w:r>
        <w:rPr>
          <w:rFonts w:hint="eastAsia" w:ascii="宋体" w:hAnsi="宋体" w:eastAsia="宋体" w:cs="宋体"/>
          <w:color w:val="auto"/>
          <w:szCs w:val="21"/>
          <w:highlight w:val="none"/>
          <w:lang w:eastAsia="zh-CN"/>
        </w:rPr>
        <w:t>。</w:t>
      </w:r>
    </w:p>
    <w:p w14:paraId="01FA1CA0">
      <w:pPr>
        <w:pStyle w:val="3"/>
        <w:ind w:firstLine="422" w:firstLineChars="200"/>
        <w:rPr>
          <w:rFonts w:ascii="宋体" w:hAnsi="宋体" w:eastAsia="宋体" w:cs="宋体"/>
          <w:color w:val="auto"/>
          <w:highlight w:val="none"/>
        </w:rPr>
      </w:pPr>
      <w:r>
        <w:rPr>
          <w:rFonts w:hint="eastAsia" w:ascii="宋体" w:hAnsi="宋体" w:eastAsia="宋体" w:cs="宋体"/>
          <w:color w:val="auto"/>
          <w:highlight w:val="none"/>
        </w:rPr>
        <w:t>1.1</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偏离</w:t>
      </w:r>
      <w:bookmarkEnd w:id="210"/>
      <w:bookmarkEnd w:id="211"/>
      <w:bookmarkEnd w:id="212"/>
      <w:bookmarkEnd w:id="213"/>
      <w:bookmarkEnd w:id="214"/>
      <w:bookmarkEnd w:id="215"/>
      <w:bookmarkEnd w:id="216"/>
      <w:bookmarkEnd w:id="217"/>
    </w:p>
    <w:p w14:paraId="6C0210C7">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1.12.1投标文件偏离招标文件某些要求，视为投标文件存在偏差。偏差包括重大偏差和细微偏差。</w:t>
      </w:r>
    </w:p>
    <w:p w14:paraId="37CEA0BF">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1.12.2投标文件应对招标文件的实质性要求和条件作出满足性或更有利于招标人的响应，否则，视为投标文件存在重大偏差，投标人的投标将被否决。</w:t>
      </w:r>
    </w:p>
    <w:p w14:paraId="29D3BBD4">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投标文件存在第四章“评标办法”中所列任一无效投标情形的，均属于存在重大偏差。</w:t>
      </w:r>
    </w:p>
    <w:p w14:paraId="5FF54E7D">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1.12.3投标文件中的下列偏差为细微偏差：</w:t>
      </w:r>
    </w:p>
    <w:p w14:paraId="369FF23D">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按照第四章“评标办法”的规定对投标价进行算术性错误修正及其他错误修正后，最终投标报价未超过最高投标限价（如有）或未被否决投标的情况下，出现第四章“评标办法”规定的算术性错误和投标报价的其他错误；</w:t>
      </w:r>
    </w:p>
    <w:p w14:paraId="0E80F0C1">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（2）投标文件个别文字有遗漏错误等不影响投标文件实质性内容的偏差。</w:t>
      </w:r>
    </w:p>
    <w:p w14:paraId="5169B9EF">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1.12.4评标委员会对投标文件中的细微偏差按如下规定处理：</w:t>
      </w:r>
    </w:p>
    <w:p w14:paraId="291A7C9D">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对于本章第 1.12.3 项（1）目所述的细微偏差，按照第四章“评标办法”的规定予以修正并要求投标人进行澄清；</w:t>
      </w:r>
    </w:p>
    <w:p w14:paraId="2BAB6D79">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对于本章第 1.12.3 项（2）目所述的细微偏差，可要求投标人对细微偏差进行澄清。</w:t>
      </w:r>
    </w:p>
    <w:p w14:paraId="258F395D">
      <w:pPr>
        <w:pStyle w:val="3"/>
        <w:spacing w:beforeLines="50" w:afterLines="50"/>
        <w:ind w:firstLine="482" w:firstLineChars="200"/>
        <w:rPr>
          <w:rFonts w:ascii="宋体" w:hAnsi="宋体" w:eastAsia="宋体" w:cs="宋体"/>
          <w:color w:val="auto"/>
          <w:sz w:val="24"/>
          <w:szCs w:val="24"/>
          <w:highlight w:val="none"/>
        </w:rPr>
      </w:pPr>
      <w:bookmarkStart w:id="218" w:name="_Toc246996187"/>
      <w:bookmarkStart w:id="219" w:name="_Toc4012"/>
      <w:bookmarkStart w:id="220" w:name="_Toc15058858"/>
      <w:bookmarkStart w:id="221" w:name="_Toc247085701"/>
      <w:bookmarkStart w:id="222" w:name="_Toc144974510"/>
      <w:bookmarkStart w:id="223" w:name="_Toc324404827"/>
      <w:bookmarkStart w:id="224" w:name="_Toc506107281"/>
      <w:bookmarkStart w:id="225" w:name="_Toc35425065"/>
      <w:bookmarkStart w:id="226" w:name="_Toc152045542"/>
      <w:bookmarkStart w:id="227" w:name="_Toc152042318"/>
      <w:bookmarkStart w:id="228" w:name="_Toc246996930"/>
      <w:bookmarkStart w:id="229" w:name="_Toc179632560"/>
      <w:bookmarkStart w:id="230" w:name="_Toc35424899"/>
      <w:bookmarkStart w:id="231" w:name="_Toc78803334"/>
      <w:r>
        <w:rPr>
          <w:rFonts w:hint="eastAsia" w:ascii="宋体" w:hAnsi="宋体" w:eastAsia="宋体" w:cs="宋体"/>
          <w:color w:val="auto"/>
          <w:sz w:val="24"/>
          <w:szCs w:val="24"/>
          <w:highlight w:val="none"/>
        </w:rPr>
        <w:t>2. 招标文件</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1E9A892E">
      <w:pPr>
        <w:pStyle w:val="3"/>
        <w:ind w:firstLine="422" w:firstLineChars="200"/>
        <w:rPr>
          <w:rFonts w:ascii="宋体" w:hAnsi="宋体" w:eastAsia="宋体" w:cs="宋体"/>
          <w:color w:val="auto"/>
          <w:highlight w:val="none"/>
        </w:rPr>
      </w:pPr>
      <w:bookmarkStart w:id="232" w:name="_Toc144974511"/>
      <w:bookmarkStart w:id="233" w:name="_Toc13213"/>
      <w:bookmarkStart w:id="234" w:name="_Toc247085702"/>
      <w:bookmarkStart w:id="235" w:name="_Toc246996188"/>
      <w:bookmarkStart w:id="236" w:name="_Toc152045543"/>
      <w:bookmarkStart w:id="237" w:name="_Toc246996931"/>
      <w:bookmarkStart w:id="238" w:name="_Toc296602433"/>
      <w:bookmarkStart w:id="239" w:name="_Toc179632561"/>
      <w:bookmarkStart w:id="240" w:name="_Toc35425066"/>
      <w:bookmarkStart w:id="241" w:name="_Toc35424900"/>
      <w:bookmarkStart w:id="242" w:name="_Toc152042319"/>
      <w:bookmarkStart w:id="243" w:name="_Toc324404828"/>
      <w:bookmarkStart w:id="244" w:name="_Toc78803335"/>
      <w:bookmarkStart w:id="245" w:name="_Toc15058859"/>
      <w:bookmarkStart w:id="246" w:name="_Toc506107282"/>
      <w:r>
        <w:rPr>
          <w:rFonts w:hint="eastAsia" w:ascii="宋体" w:hAnsi="宋体" w:eastAsia="宋体" w:cs="宋体"/>
          <w:color w:val="auto"/>
          <w:highlight w:val="none"/>
        </w:rPr>
        <w:t>2.1 招标文件的组成</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2F335EA0">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 本招标文件包括：</w:t>
      </w:r>
    </w:p>
    <w:p w14:paraId="17A25422">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（1）招标公告；</w:t>
      </w:r>
    </w:p>
    <w:p w14:paraId="309C973C">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（2）投标人须知；</w:t>
      </w:r>
    </w:p>
    <w:p w14:paraId="794E1BCF">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（3）资格审查办法</w:t>
      </w:r>
    </w:p>
    <w:p w14:paraId="0F96BD3B">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（4）评标办法；</w:t>
      </w:r>
    </w:p>
    <w:p w14:paraId="21E08D67">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（5）工程量清单</w:t>
      </w:r>
      <w:r>
        <w:rPr>
          <w:rFonts w:hint="eastAsia" w:ascii="宋体" w:hAnsi="宋体" w:eastAsia="宋体" w:cs="宋体"/>
          <w:color w:val="auto"/>
          <w:szCs w:val="21"/>
          <w:highlight w:val="none"/>
          <w:lang w:eastAsia="zh-CN"/>
        </w:rPr>
        <w:t>；</w:t>
      </w:r>
    </w:p>
    <w:p w14:paraId="66146639">
      <w:pPr>
        <w:spacing w:line="44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图纸</w:t>
      </w:r>
      <w:r>
        <w:rPr>
          <w:rFonts w:hint="eastAsia" w:ascii="宋体" w:hAnsi="宋体" w:cs="宋体"/>
          <w:color w:val="auto"/>
          <w:szCs w:val="21"/>
          <w:highlight w:val="none"/>
          <w:lang w:val="en-US" w:eastAsia="zh-CN"/>
        </w:rPr>
        <w:t>（本项目不采用）</w:t>
      </w:r>
    </w:p>
    <w:p w14:paraId="70CE5832">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）合同条款及格式；</w:t>
      </w:r>
    </w:p>
    <w:p w14:paraId="3AB46C6B">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）投标文件格式；</w:t>
      </w:r>
    </w:p>
    <w:p w14:paraId="58EF797A">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）投标人须知前附表规定的其他材料。</w:t>
      </w:r>
    </w:p>
    <w:p w14:paraId="4A2A5929">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2.1.2 根据本章第1.10款、第2.2款和第2.3款对招标文件所作的澄清、修改，构成招标文件的组成部分。</w:t>
      </w:r>
    </w:p>
    <w:p w14:paraId="07992AB0">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2.1.3当招标文件、招标文件的澄清或修改等在同一内容的表述上不一致时，以最后发出的文件为准。</w:t>
      </w:r>
    </w:p>
    <w:p w14:paraId="3B513EA0">
      <w:pPr>
        <w:pStyle w:val="3"/>
        <w:ind w:firstLine="422" w:firstLineChars="200"/>
        <w:rPr>
          <w:rFonts w:hint="eastAsia" w:ascii="宋体" w:hAnsi="宋体" w:eastAsia="宋体" w:cs="宋体"/>
          <w:color w:val="auto"/>
          <w:highlight w:val="none"/>
        </w:rPr>
      </w:pPr>
      <w:bookmarkStart w:id="247" w:name="_Toc15058860"/>
      <w:bookmarkStart w:id="248" w:name="_Toc78803336"/>
      <w:bookmarkStart w:id="249" w:name="_Toc179632562"/>
      <w:bookmarkStart w:id="250" w:name="_Toc324404829"/>
      <w:bookmarkStart w:id="251" w:name="_Toc296602434"/>
      <w:bookmarkStart w:id="252" w:name="_Toc152042320"/>
      <w:bookmarkStart w:id="253" w:name="_Toc246996189"/>
      <w:bookmarkStart w:id="254" w:name="_Toc35425067"/>
      <w:bookmarkStart w:id="255" w:name="_Toc35424901"/>
      <w:bookmarkStart w:id="256" w:name="_Toc152045544"/>
      <w:bookmarkStart w:id="257" w:name="_Toc246996932"/>
      <w:bookmarkStart w:id="258" w:name="_Toc144974512"/>
      <w:bookmarkStart w:id="259" w:name="_Toc506107283"/>
      <w:bookmarkStart w:id="260" w:name="_Toc32239"/>
      <w:bookmarkStart w:id="261" w:name="_Toc247085703"/>
      <w:r>
        <w:rPr>
          <w:rFonts w:hint="eastAsia" w:ascii="宋体" w:hAnsi="宋体" w:eastAsia="宋体" w:cs="宋体"/>
          <w:color w:val="auto"/>
          <w:highlight w:val="none"/>
        </w:rPr>
        <w:t xml:space="preserve">2.2 </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rFonts w:hint="eastAsia" w:ascii="宋体" w:hAnsi="宋体" w:eastAsia="宋体" w:cs="宋体"/>
          <w:color w:val="auto"/>
          <w:highlight w:val="none"/>
        </w:rPr>
        <w:t>招标文件的异议</w:t>
      </w:r>
    </w:p>
    <w:p w14:paraId="47165EFB">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投标人应仔细阅读和检查招标文件的全部内容。如有疑问，应在投标人须知前附表规定的时间前</w:t>
      </w:r>
      <w:r>
        <w:rPr>
          <w:rFonts w:hint="eastAsia" w:ascii="宋体" w:hAnsi="宋体" w:eastAsia="宋体" w:cs="宋体"/>
          <w:color w:val="auto"/>
          <w:szCs w:val="21"/>
          <w:highlight w:val="none"/>
          <w:lang w:val="en-US" w:eastAsia="zh-CN"/>
        </w:rPr>
        <w:t>登录新点电子交易平台【滁州专区】线上提出</w:t>
      </w:r>
      <w:r>
        <w:rPr>
          <w:rFonts w:hint="eastAsia" w:ascii="宋体" w:hAnsi="宋体" w:cs="宋体"/>
          <w:color w:val="auto"/>
          <w:szCs w:val="21"/>
          <w:highlight w:val="none"/>
        </w:rPr>
        <w:t>。</w:t>
      </w:r>
    </w:p>
    <w:p w14:paraId="5EC8A5BB">
      <w:pPr>
        <w:pStyle w:val="3"/>
        <w:ind w:firstLine="422" w:firstLineChars="200"/>
        <w:rPr>
          <w:rFonts w:hint="eastAsia" w:ascii="宋体" w:hAnsi="宋体" w:eastAsia="宋体" w:cs="宋体"/>
          <w:color w:val="auto"/>
          <w:highlight w:val="none"/>
          <w:lang w:eastAsia="zh-CN"/>
        </w:rPr>
      </w:pPr>
      <w:bookmarkStart w:id="262" w:name="_Toc324404830"/>
      <w:bookmarkStart w:id="263" w:name="_Toc152042321"/>
      <w:bookmarkStart w:id="264" w:name="_Toc247085704"/>
      <w:bookmarkStart w:id="265" w:name="_Toc24633"/>
      <w:bookmarkStart w:id="266" w:name="_Toc78803337"/>
      <w:bookmarkStart w:id="267" w:name="_Toc296602435"/>
      <w:bookmarkStart w:id="268" w:name="_Toc35424902"/>
      <w:bookmarkStart w:id="269" w:name="_Toc246996190"/>
      <w:bookmarkStart w:id="270" w:name="_Toc152045545"/>
      <w:bookmarkStart w:id="271" w:name="_Toc506107284"/>
      <w:bookmarkStart w:id="272" w:name="_Toc15058861"/>
      <w:bookmarkStart w:id="273" w:name="_Toc246996933"/>
      <w:bookmarkStart w:id="274" w:name="_Toc35425068"/>
      <w:bookmarkStart w:id="275" w:name="_Toc144974513"/>
      <w:bookmarkStart w:id="276" w:name="_Toc179632563"/>
      <w:r>
        <w:rPr>
          <w:rFonts w:hint="eastAsia" w:ascii="宋体" w:hAnsi="宋体" w:eastAsia="宋体" w:cs="宋体"/>
          <w:color w:val="auto"/>
          <w:highlight w:val="none"/>
        </w:rPr>
        <w:t>2.3 招标文件的</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Pr>
          <w:rFonts w:hint="eastAsia" w:ascii="宋体" w:hAnsi="宋体" w:eastAsia="宋体" w:cs="宋体"/>
          <w:color w:val="auto"/>
          <w:highlight w:val="none"/>
          <w:lang w:val="en-US" w:eastAsia="zh-CN"/>
        </w:rPr>
        <w:t>澄清</w:t>
      </w:r>
    </w:p>
    <w:p w14:paraId="47D94C5D">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Cs w:val="21"/>
          <w:highlight w:val="none"/>
        </w:rPr>
      </w:pPr>
      <w:bookmarkStart w:id="277" w:name="_Toc78803338"/>
      <w:bookmarkStart w:id="278" w:name="_Toc324404831"/>
      <w:bookmarkStart w:id="279" w:name="_Toc15058862"/>
      <w:bookmarkStart w:id="280" w:name="_Toc35425069"/>
      <w:bookmarkStart w:id="281" w:name="_Toc35424903"/>
      <w:bookmarkStart w:id="282" w:name="_Toc2696"/>
      <w:r>
        <w:rPr>
          <w:rFonts w:hint="eastAsia" w:ascii="宋体" w:hAnsi="宋体" w:eastAsia="宋体" w:cs="宋体"/>
          <w:color w:val="auto"/>
          <w:szCs w:val="21"/>
          <w:highlight w:val="none"/>
        </w:rPr>
        <w:t>招标文件的澄清将在</w:t>
      </w:r>
      <w:r>
        <w:rPr>
          <w:rFonts w:hint="eastAsia" w:ascii="宋体" w:hAnsi="宋体" w:eastAsia="宋体" w:cs="宋体"/>
          <w:color w:val="auto"/>
          <w:szCs w:val="21"/>
          <w:highlight w:val="none"/>
          <w:lang w:val="en-US" w:eastAsia="zh-CN"/>
        </w:rPr>
        <w:t>滁州市城投工程咨询管理有限公司网站</w:t>
      </w:r>
      <w:r>
        <w:rPr>
          <w:rFonts w:hint="eastAsia" w:ascii="宋体" w:hAnsi="宋体" w:eastAsia="宋体" w:cs="宋体"/>
          <w:color w:val="auto"/>
          <w:szCs w:val="21"/>
          <w:highlight w:val="none"/>
        </w:rPr>
        <w:t>（https://www.czctgczx.com/）发布，但不指明澄清问题的来源。如果澄清发出的时间距投标人须知前附表规定的投标截止时间不足15天，并且澄清内容影响投标文件编制的，将相应延长投标截止时间。</w:t>
      </w:r>
    </w:p>
    <w:bookmarkEnd w:id="277"/>
    <w:bookmarkEnd w:id="278"/>
    <w:bookmarkEnd w:id="279"/>
    <w:bookmarkEnd w:id="280"/>
    <w:bookmarkEnd w:id="281"/>
    <w:bookmarkEnd w:id="282"/>
    <w:p w14:paraId="5681C7DF">
      <w:pPr>
        <w:pStyle w:val="3"/>
        <w:spacing w:beforeLines="50" w:afterLines="50"/>
        <w:ind w:firstLine="482" w:firstLineChars="200"/>
        <w:rPr>
          <w:rFonts w:ascii="宋体" w:hAnsi="宋体" w:eastAsia="宋体" w:cs="宋体"/>
          <w:color w:val="auto"/>
          <w:sz w:val="24"/>
          <w:szCs w:val="24"/>
          <w:highlight w:val="none"/>
        </w:rPr>
      </w:pPr>
      <w:bookmarkStart w:id="283" w:name="_Toc6464"/>
      <w:bookmarkStart w:id="284" w:name="_Toc152045546"/>
      <w:bookmarkStart w:id="285" w:name="_Toc324404832"/>
      <w:bookmarkStart w:id="286" w:name="_Toc15058863"/>
      <w:bookmarkStart w:id="287" w:name="_Toc246996934"/>
      <w:bookmarkStart w:id="288" w:name="_Toc246996191"/>
      <w:bookmarkStart w:id="289" w:name="_Toc152042322"/>
      <w:bookmarkStart w:id="290" w:name="_Toc78803339"/>
      <w:bookmarkStart w:id="291" w:name="_Toc144974514"/>
      <w:bookmarkStart w:id="292" w:name="_Toc35425070"/>
      <w:bookmarkStart w:id="293" w:name="_Toc506107285"/>
      <w:bookmarkStart w:id="294" w:name="_Toc179632564"/>
      <w:bookmarkStart w:id="295" w:name="_Toc35424904"/>
      <w:bookmarkStart w:id="296" w:name="_Toc247085705"/>
      <w:r>
        <w:rPr>
          <w:rFonts w:hint="eastAsia" w:ascii="宋体" w:hAnsi="宋体" w:eastAsia="宋体" w:cs="宋体"/>
          <w:color w:val="auto"/>
          <w:sz w:val="24"/>
          <w:szCs w:val="24"/>
          <w:highlight w:val="none"/>
        </w:rPr>
        <w:t>3. 投标文件</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218225A2">
      <w:pPr>
        <w:pStyle w:val="3"/>
        <w:ind w:firstLine="422" w:firstLineChars="200"/>
        <w:rPr>
          <w:rFonts w:ascii="宋体" w:hAnsi="宋体" w:eastAsia="宋体" w:cs="宋体"/>
          <w:color w:val="auto"/>
          <w:highlight w:val="none"/>
        </w:rPr>
      </w:pPr>
      <w:bookmarkStart w:id="297" w:name="_Toc324404833"/>
      <w:bookmarkStart w:id="298" w:name="_Toc144974515"/>
      <w:bookmarkStart w:id="299" w:name="_Toc35424905"/>
      <w:bookmarkStart w:id="300" w:name="_Toc152045547"/>
      <w:bookmarkStart w:id="301" w:name="_Toc247085706"/>
      <w:bookmarkStart w:id="302" w:name="_Toc296602437"/>
      <w:bookmarkStart w:id="303" w:name="_Toc506107286"/>
      <w:bookmarkStart w:id="304" w:name="_Toc35425071"/>
      <w:bookmarkStart w:id="305" w:name="_Toc246996935"/>
      <w:bookmarkStart w:id="306" w:name="_Toc15058864"/>
      <w:bookmarkStart w:id="307" w:name="_Toc179632565"/>
      <w:bookmarkStart w:id="308" w:name="_Toc78803340"/>
      <w:bookmarkStart w:id="309" w:name="_Toc152042323"/>
      <w:bookmarkStart w:id="310" w:name="_Toc157"/>
      <w:bookmarkStart w:id="311" w:name="_Toc246996192"/>
      <w:r>
        <w:rPr>
          <w:rFonts w:hint="eastAsia" w:ascii="宋体" w:hAnsi="宋体" w:eastAsia="宋体" w:cs="宋体"/>
          <w:color w:val="auto"/>
          <w:highlight w:val="none"/>
        </w:rPr>
        <w:t>3.1 投标文件的组成</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6871D10E">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由</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一（资信证明文件）</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技术标文件</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和</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（商务标</w:t>
      </w:r>
      <w:r>
        <w:rPr>
          <w:rFonts w:hint="eastAsia" w:ascii="宋体" w:hAnsi="宋体" w:cs="宋体"/>
          <w:color w:val="auto"/>
          <w:szCs w:val="21"/>
          <w:highlight w:val="none"/>
          <w:lang w:val="en-US" w:eastAsia="zh-CN"/>
        </w:rPr>
        <w:t>文件</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部分组成</w:t>
      </w:r>
      <w:r>
        <w:rPr>
          <w:rFonts w:hint="eastAsia" w:ascii="宋体" w:hAnsi="宋体" w:cs="宋体"/>
          <w:color w:val="auto"/>
          <w:szCs w:val="21"/>
          <w:highlight w:val="none"/>
          <w:lang w:eastAsia="zh-CN"/>
        </w:rPr>
        <w:t>。</w:t>
      </w:r>
      <w:r>
        <w:rPr>
          <w:rFonts w:hint="eastAsia" w:ascii="宋体" w:hAnsi="宋体" w:cs="宋体"/>
          <w:color w:val="auto"/>
          <w:szCs w:val="21"/>
          <w:highlight w:val="none"/>
        </w:rPr>
        <w:t>具体要求详见本招标文件第</w:t>
      </w:r>
      <w:r>
        <w:rPr>
          <w:rFonts w:hint="eastAsia" w:ascii="宋体" w:hAnsi="宋体" w:cs="宋体"/>
          <w:color w:val="auto"/>
          <w:szCs w:val="21"/>
          <w:highlight w:val="none"/>
          <w:lang w:val="en-US" w:eastAsia="zh-CN"/>
        </w:rPr>
        <w:t>九</w:t>
      </w:r>
      <w:r>
        <w:rPr>
          <w:rFonts w:hint="eastAsia" w:ascii="宋体" w:hAnsi="宋体" w:cs="宋体"/>
          <w:color w:val="auto"/>
          <w:szCs w:val="21"/>
          <w:highlight w:val="none"/>
        </w:rPr>
        <w:t>章“投标文件格式”。</w:t>
      </w:r>
    </w:p>
    <w:p w14:paraId="68B92645">
      <w:pPr>
        <w:pStyle w:val="3"/>
        <w:ind w:firstLine="422" w:firstLineChars="200"/>
        <w:rPr>
          <w:rFonts w:ascii="宋体" w:hAnsi="宋体" w:eastAsia="宋体" w:cs="宋体"/>
          <w:color w:val="auto"/>
          <w:highlight w:val="none"/>
        </w:rPr>
      </w:pPr>
      <w:bookmarkStart w:id="312" w:name="_Toc246996936"/>
      <w:bookmarkStart w:id="313" w:name="_Toc247085707"/>
      <w:bookmarkStart w:id="314" w:name="_Toc15058865"/>
      <w:bookmarkStart w:id="315" w:name="_Toc78803341"/>
      <w:bookmarkStart w:id="316" w:name="_Toc179632566"/>
      <w:bookmarkStart w:id="317" w:name="_Toc296602438"/>
      <w:bookmarkStart w:id="318" w:name="_Toc324404834"/>
      <w:bookmarkStart w:id="319" w:name="_Toc6829"/>
      <w:bookmarkStart w:id="320" w:name="_Toc246996193"/>
      <w:bookmarkStart w:id="321" w:name="_Toc152045548"/>
      <w:bookmarkStart w:id="322" w:name="_Toc35424906"/>
      <w:bookmarkStart w:id="323" w:name="_Toc144974516"/>
      <w:bookmarkStart w:id="324" w:name="_Toc506107287"/>
      <w:bookmarkStart w:id="325" w:name="_Toc152042324"/>
      <w:bookmarkStart w:id="326" w:name="_Toc35425072"/>
      <w:r>
        <w:rPr>
          <w:rFonts w:hint="eastAsia" w:ascii="宋体" w:hAnsi="宋体" w:eastAsia="宋体" w:cs="宋体"/>
          <w:color w:val="auto"/>
          <w:highlight w:val="none"/>
        </w:rPr>
        <w:t>3.2 投标报价</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705FA1B6">
      <w:pPr>
        <w:spacing w:line="440" w:lineRule="exact"/>
        <w:ind w:firstLine="420" w:firstLineChars="200"/>
        <w:jc w:val="left"/>
        <w:rPr>
          <w:rFonts w:hint="eastAsia" w:ascii="宋体" w:hAnsi="宋体" w:eastAsia="宋体" w:cs="宋体"/>
          <w:color w:val="auto"/>
          <w:szCs w:val="21"/>
          <w:highlight w:val="none"/>
          <w:lang w:eastAsia="zh-CN"/>
        </w:rPr>
      </w:pPr>
      <w:bookmarkStart w:id="327" w:name="_Toc31735"/>
      <w:bookmarkStart w:id="328" w:name="_Toc15058866"/>
      <w:bookmarkStart w:id="329" w:name="_Toc78803342"/>
      <w:bookmarkStart w:id="330" w:name="_Toc246996194"/>
      <w:bookmarkStart w:id="331" w:name="_Toc324404835"/>
      <w:bookmarkStart w:id="332" w:name="_Toc152045549"/>
      <w:bookmarkStart w:id="333" w:name="_Toc246996937"/>
      <w:bookmarkStart w:id="334" w:name="_Toc506107288"/>
      <w:bookmarkStart w:id="335" w:name="_Toc35424907"/>
      <w:bookmarkStart w:id="336" w:name="_Toc296602439"/>
      <w:bookmarkStart w:id="337" w:name="_Toc152042325"/>
      <w:bookmarkStart w:id="338" w:name="_Toc144974517"/>
      <w:bookmarkStart w:id="339" w:name="_Toc247085708"/>
      <w:bookmarkStart w:id="340" w:name="_Toc35425073"/>
      <w:bookmarkStart w:id="341" w:name="_Toc179632567"/>
      <w:r>
        <w:rPr>
          <w:rFonts w:hint="eastAsia" w:ascii="宋体" w:hAnsi="宋体" w:eastAsia="宋体" w:cs="宋体"/>
          <w:color w:val="auto"/>
          <w:szCs w:val="21"/>
          <w:highlight w:val="none"/>
          <w:lang w:eastAsia="zh-CN"/>
        </w:rPr>
        <w:t>3.2.1投标报价应包括国家规定的增值税税金，除投标人须知前附表另有规定外，增值税税金按一般计税方法计算。投标人应按第</w:t>
      </w: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lang w:eastAsia="zh-CN"/>
        </w:rPr>
        <w:t>章“投标文件格式”的要求在投标函中进行报价并填写工程量清单相应表格。</w:t>
      </w:r>
    </w:p>
    <w:p w14:paraId="1192EB75">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3.2.2投标人应充分了解本项目的总体情况以及影响投标报价的其他要素。</w:t>
      </w:r>
    </w:p>
    <w:p w14:paraId="68694043">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3.2.3投标人在投标截止时间前修改投标函中的投标报价总额，应同时修改“已标价工程量清单”中的相应报价，投标报价总额为各分项金额之和。此修改须符合本章第4.4款的有关要求。</w:t>
      </w:r>
    </w:p>
    <w:p w14:paraId="037A7F96">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3.2.4招标人设有最高投标限价的，投标人的投标报价不得超过最高投标限价，最高投标限价在投标人须知前附表中载明。</w:t>
      </w:r>
    </w:p>
    <w:p w14:paraId="7C1D3D58">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3.2.5 投标报价的其他要求见投标人须知前附表。</w:t>
      </w:r>
    </w:p>
    <w:p w14:paraId="454C15E1">
      <w:pPr>
        <w:pStyle w:val="3"/>
        <w:ind w:firstLine="422" w:firstLineChars="200"/>
        <w:rPr>
          <w:rFonts w:ascii="宋体" w:hAnsi="宋体" w:eastAsia="宋体" w:cs="宋体"/>
          <w:color w:val="auto"/>
          <w:highlight w:val="none"/>
        </w:rPr>
      </w:pPr>
      <w:r>
        <w:rPr>
          <w:rFonts w:hint="eastAsia" w:ascii="宋体" w:hAnsi="宋体" w:eastAsia="宋体" w:cs="宋体"/>
          <w:color w:val="auto"/>
          <w:highlight w:val="none"/>
        </w:rPr>
        <w:t>3.3 投标有效期</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38E346F9">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3.3.1 除投标人须知前附表另有规定外，投标有效期为90天。</w:t>
      </w:r>
    </w:p>
    <w:p w14:paraId="19262D1F">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3.3.2在投标有效期内，投标人撤销或修改其投标文件的，应承担招标文件和法律规定的责任。</w:t>
      </w:r>
    </w:p>
    <w:p w14:paraId="10530AB0">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3.3.3出现特殊情况需要延长投标有效期的，招标人以书面形式通知所有投标人延长投标有效期。投标人同意延长的，但不得要求或被允许修改或撤销其投标文件；投标人拒绝延长的，其投标失效。</w:t>
      </w:r>
    </w:p>
    <w:p w14:paraId="780A1DA0">
      <w:pPr>
        <w:pStyle w:val="3"/>
        <w:ind w:firstLine="422" w:firstLineChars="200"/>
        <w:rPr>
          <w:rFonts w:hint="eastAsia" w:ascii="宋体" w:hAnsi="宋体" w:eastAsia="宋体" w:cs="宋体"/>
          <w:color w:val="auto"/>
          <w:highlight w:val="none"/>
        </w:rPr>
      </w:pPr>
      <w:bookmarkStart w:id="342" w:name="_Toc296602440"/>
      <w:bookmarkStart w:id="343" w:name="_Toc78803343"/>
      <w:bookmarkStart w:id="344" w:name="_Toc324404836"/>
      <w:bookmarkStart w:id="345" w:name="_Toc152042326"/>
      <w:bookmarkStart w:id="346" w:name="_Toc247085709"/>
      <w:bookmarkStart w:id="347" w:name="_Toc152045550"/>
      <w:bookmarkStart w:id="348" w:name="_Toc144974518"/>
      <w:bookmarkStart w:id="349" w:name="_Toc246996938"/>
      <w:bookmarkStart w:id="350" w:name="_Toc179632568"/>
      <w:bookmarkStart w:id="351" w:name="_Toc506107289"/>
      <w:bookmarkStart w:id="352" w:name="_Toc35424908"/>
      <w:bookmarkStart w:id="353" w:name="_Toc35425074"/>
      <w:bookmarkStart w:id="354" w:name="_Toc15058867"/>
      <w:bookmarkStart w:id="355" w:name="_Toc10714"/>
      <w:bookmarkStart w:id="356" w:name="_Toc246996195"/>
      <w:r>
        <w:rPr>
          <w:rFonts w:hint="eastAsia" w:ascii="宋体" w:hAnsi="宋体" w:eastAsia="宋体" w:cs="宋体"/>
          <w:color w:val="auto"/>
          <w:highlight w:val="none"/>
        </w:rPr>
        <w:t>3.4 投标保证金</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63EACC6B">
      <w:pPr>
        <w:spacing w:line="44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3.4.1本项目不收取投标保证金。</w:t>
      </w:r>
    </w:p>
    <w:p w14:paraId="31A74824">
      <w:pPr>
        <w:pStyle w:val="3"/>
        <w:ind w:firstLine="422" w:firstLineChars="200"/>
        <w:rPr>
          <w:rFonts w:ascii="宋体" w:hAnsi="宋体" w:eastAsia="宋体" w:cs="宋体"/>
          <w:color w:val="auto"/>
          <w:highlight w:val="none"/>
        </w:rPr>
      </w:pPr>
      <w:bookmarkStart w:id="357" w:name="_Toc19037"/>
      <w:bookmarkStart w:id="358" w:name="_Toc35424909"/>
      <w:bookmarkStart w:id="359" w:name="_Toc15058868"/>
      <w:bookmarkStart w:id="360" w:name="_Toc35425075"/>
      <w:bookmarkStart w:id="361" w:name="_Toc506107290"/>
      <w:bookmarkStart w:id="362" w:name="_Toc324404837"/>
      <w:bookmarkStart w:id="363" w:name="_Toc78803344"/>
      <w:bookmarkStart w:id="364" w:name="_Toc296602442"/>
      <w:bookmarkStart w:id="365" w:name="_Toc152045553"/>
      <w:bookmarkStart w:id="366" w:name="_Toc247085711"/>
      <w:bookmarkStart w:id="367" w:name="_Toc152042329"/>
      <w:bookmarkStart w:id="368" w:name="_Toc246996940"/>
      <w:bookmarkStart w:id="369" w:name="_Toc246996197"/>
      <w:bookmarkStart w:id="370" w:name="_Toc144974521"/>
      <w:bookmarkStart w:id="371" w:name="_Toc179632571"/>
      <w:r>
        <w:rPr>
          <w:rFonts w:hint="eastAsia" w:ascii="宋体" w:hAnsi="宋体" w:eastAsia="宋体" w:cs="宋体"/>
          <w:color w:val="auto"/>
          <w:highlight w:val="none"/>
        </w:rPr>
        <w:t>3.5投标文件的编制</w:t>
      </w:r>
      <w:bookmarkEnd w:id="357"/>
      <w:bookmarkEnd w:id="358"/>
      <w:bookmarkEnd w:id="359"/>
      <w:bookmarkEnd w:id="360"/>
      <w:bookmarkEnd w:id="361"/>
      <w:bookmarkEnd w:id="362"/>
      <w:bookmarkEnd w:id="363"/>
      <w:bookmarkEnd w:id="364"/>
    </w:p>
    <w:bookmarkEnd w:id="365"/>
    <w:bookmarkEnd w:id="366"/>
    <w:bookmarkEnd w:id="367"/>
    <w:bookmarkEnd w:id="368"/>
    <w:bookmarkEnd w:id="369"/>
    <w:bookmarkEnd w:id="370"/>
    <w:bookmarkEnd w:id="371"/>
    <w:p w14:paraId="5BD1A4A0">
      <w:pPr>
        <w:spacing w:line="440" w:lineRule="exact"/>
        <w:ind w:firstLine="420" w:firstLineChars="200"/>
        <w:jc w:val="left"/>
        <w:rPr>
          <w:rFonts w:hint="eastAsia" w:ascii="宋体" w:hAnsi="宋体" w:eastAsia="宋体" w:cs="宋体"/>
          <w:color w:val="auto"/>
          <w:szCs w:val="21"/>
          <w:highlight w:val="none"/>
          <w:lang w:val="en-US" w:eastAsia="zh-CN"/>
        </w:rPr>
      </w:pPr>
      <w:bookmarkStart w:id="372" w:name="_Toc246996942"/>
      <w:bookmarkStart w:id="373" w:name="_Toc247085713"/>
      <w:bookmarkStart w:id="374" w:name="_Toc246996199"/>
      <w:bookmarkStart w:id="375" w:name="_Toc152045555"/>
      <w:bookmarkStart w:id="376" w:name="_Toc179632573"/>
      <w:bookmarkStart w:id="377" w:name="_Toc152042331"/>
      <w:bookmarkStart w:id="378" w:name="_Toc144974523"/>
      <w:bookmarkStart w:id="379" w:name="_Toc324404838"/>
      <w:r>
        <w:rPr>
          <w:rFonts w:hint="eastAsia" w:ascii="宋体" w:hAnsi="宋体" w:eastAsia="宋体" w:cs="宋体"/>
          <w:color w:val="auto"/>
          <w:szCs w:val="21"/>
          <w:highlight w:val="none"/>
          <w:lang w:val="en-US" w:eastAsia="zh-CN"/>
        </w:rPr>
        <w:t>3.5.1投标文件应按第九章“投标文件格式”进行编写，如有必要，可以增加附页，作为投标文件的组成部分。其中，投标函在满足招标文件实质性要求的基础上，可以提出比招标文件要求更有利于招标人的承诺。</w:t>
      </w:r>
    </w:p>
    <w:p w14:paraId="14F1B8C9">
      <w:pPr>
        <w:spacing w:line="44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3.5.2本次投标不需要提供纸质投标文件，投标人应按照电子招标投标的要求，在投标人的电子系统中制作、签章、上传加密的电子投标文件。</w:t>
      </w:r>
    </w:p>
    <w:p w14:paraId="3C40A9D2">
      <w:pPr>
        <w:spacing w:line="44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3.5.3 投标文件应当对招标文件有关工期、投标有效期、质量要求、技术标准和要求、招标范围等实质性内容作出响应。</w:t>
      </w:r>
    </w:p>
    <w:p w14:paraId="5D83FF68">
      <w:pPr>
        <w:spacing w:line="44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3.5.4 投标人须知前附表规定接受联合体投标的，资格审查资料应包括联合体各方相关情况 。</w:t>
      </w:r>
    </w:p>
    <w:p w14:paraId="6A9887E1">
      <w:pPr>
        <w:spacing w:line="44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3.5.5招标人有权核查投标人在投标文件中提供的资料，若发现投标人以他人名义投标或者以其他方式弄虚作假骗取中标的，中标无效；如果签订合同后发现中标人提供了虚假材料，招标人有权解除合同。</w:t>
      </w:r>
    </w:p>
    <w:p w14:paraId="093D5520">
      <w:pPr>
        <w:spacing w:line="44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3.5.6投标文件的制作应满足以下规定：</w:t>
      </w:r>
    </w:p>
    <w:p w14:paraId="0727C6AC">
      <w:pPr>
        <w:spacing w:line="44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招标文件中“签章”是指签字或盖章。在第九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 投标文件由联合体牵头人按上述规定加盖联合体牵头人单位电子印章和法定代表人的个人电子印章/电子签名章或直接上传加盖联合体牵头人单位印章和法定代表人的印章（或签字）的原件彩色扫描件。</w:t>
      </w:r>
    </w:p>
    <w:p w14:paraId="19FF8C7E">
      <w:pPr>
        <w:spacing w:line="44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318FCD41">
      <w:pPr>
        <w:spacing w:line="44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3.5.7 因投标人自身原因而导致投标文件无法导入电子交易系统电子开标、评标系统，该投标视为无效投标，投标人自行承担由此导致的全部责任。</w:t>
      </w:r>
    </w:p>
    <w:p w14:paraId="18B9F40D">
      <w:pPr>
        <w:spacing w:line="44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3.5.8 投标人中标后须递交与网上电子投标文件完全一致的纸质版投标文件，在领取中标通知书时，一并递交给招标代理机构。</w:t>
      </w:r>
    </w:p>
    <w:p w14:paraId="6D17F42F">
      <w:pPr>
        <w:pStyle w:val="3"/>
        <w:ind w:firstLine="422" w:firstLineChars="200"/>
        <w:rPr>
          <w:rFonts w:hint="eastAsia" w:ascii="宋体" w:hAnsi="宋体" w:eastAsia="宋体" w:cs="宋体"/>
          <w:color w:val="auto"/>
          <w:highlight w:val="none"/>
        </w:rPr>
      </w:pPr>
      <w:r>
        <w:rPr>
          <w:rFonts w:hint="eastAsia" w:ascii="宋体" w:hAnsi="宋体" w:eastAsia="宋体" w:cs="宋体"/>
          <w:color w:val="auto"/>
          <w:highlight w:val="none"/>
        </w:rPr>
        <w:t>3.6 备选投标方案</w:t>
      </w:r>
    </w:p>
    <w:p w14:paraId="1CD0EBA6">
      <w:pPr>
        <w:spacing w:line="44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3.6.1 除投标人须知前附表规定允许外，投标人不得递交备选投标方案，否则其投标将被否决。</w:t>
      </w:r>
    </w:p>
    <w:p w14:paraId="2E592F88">
      <w:pPr>
        <w:spacing w:line="44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11867869">
      <w:pPr>
        <w:spacing w:line="44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3.6.3 投标人提供两个或两个以上投标报价，或在投标文件中提供一个报价，但同时提供两个或两个以上施工组织设计的，视为提供备选方案。</w:t>
      </w:r>
    </w:p>
    <w:p w14:paraId="66C99F80">
      <w:pPr>
        <w:pStyle w:val="3"/>
        <w:spacing w:beforeLines="50" w:afterLines="50"/>
        <w:ind w:firstLine="482" w:firstLineChars="200"/>
        <w:rPr>
          <w:rFonts w:hint="eastAsia" w:ascii="宋体" w:hAnsi="宋体" w:eastAsia="宋体" w:cs="宋体"/>
          <w:color w:val="auto"/>
          <w:sz w:val="24"/>
          <w:szCs w:val="24"/>
          <w:highlight w:val="none"/>
        </w:rPr>
      </w:pPr>
      <w:bookmarkStart w:id="380" w:name="_Toc35425076"/>
      <w:bookmarkStart w:id="381" w:name="_Toc19455"/>
      <w:bookmarkStart w:id="382" w:name="_Toc506107291"/>
      <w:bookmarkStart w:id="383" w:name="_Toc78803345"/>
      <w:bookmarkStart w:id="384" w:name="_Toc15058869"/>
      <w:bookmarkStart w:id="385" w:name="_Toc35424910"/>
      <w:r>
        <w:rPr>
          <w:rFonts w:hint="eastAsia" w:ascii="宋体" w:hAnsi="宋体" w:eastAsia="宋体" w:cs="宋体"/>
          <w:color w:val="auto"/>
          <w:sz w:val="24"/>
          <w:szCs w:val="24"/>
          <w:highlight w:val="none"/>
        </w:rPr>
        <w:t>4.投标</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3E108AB6">
      <w:pPr>
        <w:pStyle w:val="3"/>
        <w:ind w:firstLine="422" w:firstLineChars="200"/>
        <w:rPr>
          <w:rFonts w:hint="eastAsia" w:ascii="宋体" w:hAnsi="宋体" w:eastAsia="宋体" w:cs="宋体"/>
          <w:color w:val="auto"/>
          <w:highlight w:val="none"/>
        </w:rPr>
      </w:pPr>
      <w:bookmarkStart w:id="386" w:name="_Toc60061458"/>
      <w:bookmarkStart w:id="387" w:name="_Toc83301713"/>
      <w:bookmarkStart w:id="388" w:name="_Toc95223361"/>
      <w:bookmarkStart w:id="389" w:name="_Toc14473"/>
      <w:bookmarkStart w:id="390" w:name="_Toc35425077"/>
      <w:bookmarkStart w:id="391" w:name="_Toc78803346"/>
      <w:bookmarkStart w:id="392" w:name="_Toc35424911"/>
      <w:bookmarkStart w:id="393" w:name="_Toc15058870"/>
      <w:r>
        <w:rPr>
          <w:rFonts w:hint="eastAsia" w:ascii="宋体" w:hAnsi="宋体" w:eastAsia="宋体" w:cs="宋体"/>
          <w:color w:val="auto"/>
          <w:highlight w:val="none"/>
        </w:rPr>
        <w:t>4.1投标文件上传</w:t>
      </w:r>
      <w:bookmarkEnd w:id="386"/>
      <w:bookmarkEnd w:id="387"/>
      <w:bookmarkEnd w:id="388"/>
    </w:p>
    <w:p w14:paraId="491611B7">
      <w:pPr>
        <w:spacing w:line="44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4.1.1请投标人通过系统下载投标工具制作投标文件，并利用CA数字证书进行上传投标文件，上传已加密的投标文件，务必通过此方式上传投标文件。</w:t>
      </w:r>
    </w:p>
    <w:p w14:paraId="55CE6F79">
      <w:pPr>
        <w:spacing w:line="44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4.1.2投标人在投标文件编制、签章、上传过程中如有任何操作的疑问请及时联系技术支持，</w:t>
      </w:r>
      <w:r>
        <w:rPr>
          <w:rFonts w:hint="eastAsia" w:ascii="宋体" w:hAnsi="宋体" w:eastAsia="宋体" w:cs="宋体"/>
          <w:color w:val="auto"/>
          <w:kern w:val="0"/>
          <w:sz w:val="21"/>
          <w:szCs w:val="21"/>
          <w:highlight w:val="none"/>
          <w:lang w:val="en-US" w:eastAsia="zh-CN" w:bidi="ar-SA"/>
        </w:rPr>
        <w:t>请拨打服务电话：4009280095-5（工作日）。</w:t>
      </w:r>
    </w:p>
    <w:p w14:paraId="1CEF98C2">
      <w:pPr>
        <w:pStyle w:val="3"/>
        <w:ind w:firstLine="422" w:firstLineChars="200"/>
        <w:rPr>
          <w:rFonts w:hint="eastAsia" w:ascii="宋体" w:hAnsi="宋体" w:eastAsia="宋体" w:cs="宋体"/>
          <w:color w:val="auto"/>
          <w:highlight w:val="none"/>
        </w:rPr>
      </w:pPr>
      <w:bookmarkStart w:id="394" w:name="_Toc60061459"/>
      <w:bookmarkStart w:id="395" w:name="_Toc324404839"/>
      <w:bookmarkStart w:id="396" w:name="_Toc152045556"/>
      <w:bookmarkStart w:id="397" w:name="_Toc83301714"/>
      <w:bookmarkStart w:id="398" w:name="_Toc246996943"/>
      <w:bookmarkStart w:id="399" w:name="_Toc296602444"/>
      <w:bookmarkStart w:id="400" w:name="_Toc179632574"/>
      <w:bookmarkStart w:id="401" w:name="_Toc152042332"/>
      <w:bookmarkStart w:id="402" w:name="_Toc15058871"/>
      <w:bookmarkStart w:id="403" w:name="_Toc246996200"/>
      <w:bookmarkStart w:id="404" w:name="_Toc247085714"/>
      <w:bookmarkStart w:id="405" w:name="_Toc506107292"/>
      <w:bookmarkStart w:id="406" w:name="_Toc95223362"/>
      <w:bookmarkStart w:id="407" w:name="_Toc144974524"/>
      <w:r>
        <w:rPr>
          <w:rFonts w:hint="eastAsia" w:ascii="宋体" w:hAnsi="宋体" w:eastAsia="宋体" w:cs="宋体"/>
          <w:color w:val="auto"/>
          <w:highlight w:val="none"/>
        </w:rPr>
        <w:t>4.2投标文件的密封和标记</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39B65438">
      <w:pPr>
        <w:spacing w:line="440" w:lineRule="exact"/>
        <w:ind w:firstLine="420" w:firstLineChars="200"/>
        <w:jc w:val="left"/>
        <w:rPr>
          <w:rFonts w:hint="eastAsia" w:ascii="宋体" w:hAnsi="宋体" w:eastAsia="宋体" w:cs="宋体"/>
          <w:color w:val="auto"/>
          <w:szCs w:val="21"/>
          <w:highlight w:val="none"/>
          <w:lang w:val="en-US" w:eastAsia="zh-CN"/>
        </w:rPr>
      </w:pPr>
      <w:bookmarkStart w:id="408" w:name="_Toc152042333"/>
      <w:bookmarkStart w:id="409" w:name="_Toc179632575"/>
      <w:bookmarkStart w:id="410" w:name="_Toc246996201"/>
      <w:bookmarkStart w:id="411" w:name="_Toc324404840"/>
      <w:bookmarkStart w:id="412" w:name="_Toc246996944"/>
      <w:bookmarkStart w:id="413" w:name="_Toc247085715"/>
      <w:bookmarkStart w:id="414" w:name="_Toc144974525"/>
      <w:bookmarkStart w:id="415" w:name="_Toc152045557"/>
      <w:bookmarkStart w:id="416" w:name="_Toc296602445"/>
      <w:r>
        <w:rPr>
          <w:rFonts w:hint="eastAsia" w:ascii="宋体" w:hAnsi="宋体" w:eastAsia="宋体" w:cs="宋体"/>
          <w:color w:val="auto"/>
          <w:szCs w:val="21"/>
          <w:highlight w:val="none"/>
          <w:lang w:val="en-US" w:eastAsia="zh-CN"/>
        </w:rPr>
        <w:t>4.2.1投标文件应按照本章第3.5.6项要求制作并加密，未按要求加密的投标文件将被拒绝接收。以投标人在投标截止时间前网上递交的电子投标文件为准。</w:t>
      </w:r>
    </w:p>
    <w:p w14:paraId="1C1625AE">
      <w:pPr>
        <w:pStyle w:val="3"/>
        <w:ind w:firstLine="422" w:firstLineChars="200"/>
        <w:rPr>
          <w:rFonts w:hint="eastAsia" w:ascii="宋体" w:hAnsi="宋体" w:eastAsia="宋体" w:cs="宋体"/>
          <w:color w:val="auto"/>
          <w:highlight w:val="none"/>
        </w:rPr>
      </w:pPr>
      <w:bookmarkStart w:id="417" w:name="_Toc506107293"/>
      <w:bookmarkStart w:id="418" w:name="_Toc83301715"/>
      <w:bookmarkStart w:id="419" w:name="_Toc60061460"/>
      <w:bookmarkStart w:id="420" w:name="_Toc15058872"/>
      <w:bookmarkStart w:id="421" w:name="_Toc95223363"/>
      <w:r>
        <w:rPr>
          <w:rFonts w:hint="eastAsia" w:ascii="宋体" w:hAnsi="宋体" w:eastAsia="宋体" w:cs="宋体"/>
          <w:color w:val="auto"/>
          <w:highlight w:val="none"/>
        </w:rPr>
        <w:t>4.3 投标文件的递交</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36874998">
      <w:pPr>
        <w:spacing w:line="44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4.3.1 投标人应当在第一章“招标公告”规定的投标截止时间前，将加密投标文件上传至</w:t>
      </w:r>
      <w:r>
        <w:rPr>
          <w:rFonts w:hint="eastAsia" w:ascii="Times New Roman" w:hAnsi="Times New Roman" w:eastAsia="宋体" w:cs="Times New Roman"/>
          <w:color w:val="auto"/>
          <w:highlight w:val="none"/>
          <w:lang w:val="en-US" w:eastAsia="zh-CN"/>
        </w:rPr>
        <w:t>交易系统</w:t>
      </w:r>
      <w:r>
        <w:rPr>
          <w:rFonts w:hint="eastAsia" w:ascii="宋体" w:hAnsi="宋体" w:eastAsia="宋体" w:cs="宋体"/>
          <w:color w:val="auto"/>
          <w:szCs w:val="21"/>
          <w:highlight w:val="none"/>
          <w:lang w:val="en-US" w:eastAsia="zh-CN"/>
        </w:rPr>
        <w:t>。</w:t>
      </w:r>
    </w:p>
    <w:p w14:paraId="267A96E6">
      <w:pPr>
        <w:spacing w:line="44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4.3.2 除投标人须知前附表另有规定外，投标人所递交的投标文件不予退还。</w:t>
      </w:r>
    </w:p>
    <w:p w14:paraId="1F9C95CD">
      <w:pPr>
        <w:spacing w:line="44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4.3.3 投标人应当在投标截止时间前完成投标文件的网上递交， 并可以补充、修改或者撤回投标文件。投标截止时间前未完成投标文件网上递交的，视为撤回投标文件。未按规定加密或投标截止时间后通过网上招标投标系统递交电子投标文件的，电子交易系统应当拒收，投标无效。</w:t>
      </w:r>
    </w:p>
    <w:p w14:paraId="10EA5B88">
      <w:pPr>
        <w:pStyle w:val="3"/>
        <w:ind w:firstLine="422" w:firstLineChars="200"/>
        <w:rPr>
          <w:rFonts w:hint="eastAsia" w:ascii="宋体" w:hAnsi="宋体" w:eastAsia="宋体" w:cs="宋体"/>
          <w:color w:val="auto"/>
          <w:highlight w:val="none"/>
        </w:rPr>
      </w:pPr>
      <w:bookmarkStart w:id="422" w:name="_Toc83301716"/>
      <w:bookmarkStart w:id="423" w:name="_Toc95223364"/>
      <w:bookmarkStart w:id="424" w:name="_Toc60061461"/>
      <w:r>
        <w:rPr>
          <w:rFonts w:hint="eastAsia" w:ascii="宋体" w:hAnsi="宋体" w:eastAsia="宋体" w:cs="宋体"/>
          <w:color w:val="auto"/>
          <w:highlight w:val="none"/>
        </w:rPr>
        <w:t>4.4 投标文件的修改与撤回</w:t>
      </w:r>
      <w:bookmarkEnd w:id="422"/>
      <w:bookmarkEnd w:id="423"/>
      <w:bookmarkEnd w:id="424"/>
    </w:p>
    <w:p w14:paraId="64F97846">
      <w:pPr>
        <w:spacing w:line="44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4.4.1在第一章“招标公告”规定的投标截止时间前，投标人可以自行从网上交易系统撤回已递交的投标文件，并可修改后重新加密上传，开标时以投标截止时间前投标人最终上传的投标文件为准。</w:t>
      </w:r>
    </w:p>
    <w:bookmarkEnd w:id="389"/>
    <w:bookmarkEnd w:id="390"/>
    <w:bookmarkEnd w:id="391"/>
    <w:bookmarkEnd w:id="392"/>
    <w:bookmarkEnd w:id="393"/>
    <w:p w14:paraId="7AF40F87">
      <w:pPr>
        <w:pStyle w:val="3"/>
        <w:spacing w:beforeLines="50" w:afterLines="50"/>
        <w:ind w:firstLine="482" w:firstLineChars="200"/>
        <w:rPr>
          <w:rFonts w:ascii="宋体" w:hAnsi="宋体" w:eastAsia="宋体" w:cs="宋体"/>
          <w:color w:val="auto"/>
          <w:sz w:val="24"/>
          <w:szCs w:val="24"/>
          <w:highlight w:val="none"/>
        </w:rPr>
      </w:pPr>
      <w:bookmarkStart w:id="425" w:name="_Toc506107295"/>
      <w:bookmarkStart w:id="426" w:name="_Toc179632577"/>
      <w:bookmarkStart w:id="427" w:name="_Toc35425081"/>
      <w:bookmarkStart w:id="428" w:name="_Toc29639"/>
      <w:bookmarkStart w:id="429" w:name="_Toc247085717"/>
      <w:bookmarkStart w:id="430" w:name="_Toc246996946"/>
      <w:bookmarkStart w:id="431" w:name="_Toc152045559"/>
      <w:bookmarkStart w:id="432" w:name="_Toc15058874"/>
      <w:bookmarkStart w:id="433" w:name="_Toc35424915"/>
      <w:bookmarkStart w:id="434" w:name="_Toc78803348"/>
      <w:bookmarkStart w:id="435" w:name="_Toc144974527"/>
      <w:bookmarkStart w:id="436" w:name="_Toc246996203"/>
      <w:bookmarkStart w:id="437" w:name="_Toc324404842"/>
      <w:bookmarkStart w:id="438" w:name="_Toc152042335"/>
      <w:r>
        <w:rPr>
          <w:rFonts w:hint="eastAsia" w:ascii="宋体" w:hAnsi="宋体" w:eastAsia="宋体" w:cs="宋体"/>
          <w:color w:val="auto"/>
          <w:sz w:val="24"/>
          <w:szCs w:val="24"/>
          <w:highlight w:val="none"/>
        </w:rPr>
        <w:t>5. 开标</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44DFC292">
      <w:pPr>
        <w:pStyle w:val="3"/>
        <w:ind w:firstLine="422" w:firstLineChars="200"/>
        <w:rPr>
          <w:rFonts w:ascii="宋体" w:hAnsi="宋体" w:eastAsia="宋体" w:cs="宋体"/>
          <w:color w:val="auto"/>
          <w:highlight w:val="none"/>
        </w:rPr>
      </w:pPr>
      <w:bookmarkStart w:id="439" w:name="_Toc13691"/>
      <w:bookmarkStart w:id="440" w:name="_Toc246996204"/>
      <w:bookmarkStart w:id="441" w:name="_Toc152042336"/>
      <w:bookmarkStart w:id="442" w:name="_Toc152045560"/>
      <w:bookmarkStart w:id="443" w:name="_Toc15058875"/>
      <w:bookmarkStart w:id="444" w:name="_Toc35425082"/>
      <w:bookmarkStart w:id="445" w:name="_Toc247085718"/>
      <w:bookmarkStart w:id="446" w:name="_Toc78803349"/>
      <w:bookmarkStart w:id="447" w:name="_Toc179632578"/>
      <w:bookmarkStart w:id="448" w:name="_Toc246996947"/>
      <w:bookmarkStart w:id="449" w:name="_Toc35424916"/>
      <w:bookmarkStart w:id="450" w:name="_Toc324404843"/>
      <w:bookmarkStart w:id="451" w:name="_Toc296602448"/>
      <w:bookmarkStart w:id="452" w:name="_Toc506107296"/>
      <w:bookmarkStart w:id="453" w:name="_Toc144974528"/>
      <w:r>
        <w:rPr>
          <w:rFonts w:hint="eastAsia" w:ascii="宋体" w:hAnsi="宋体" w:eastAsia="宋体" w:cs="宋体"/>
          <w:color w:val="auto"/>
          <w:highlight w:val="none"/>
        </w:rPr>
        <w:t>5.1 开标时间和地点</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3EA480E2">
      <w:pPr>
        <w:adjustRightInd w:val="0"/>
        <w:snapToGrid w:val="0"/>
        <w:spacing w:line="560" w:lineRule="exact"/>
        <w:ind w:firstLine="420" w:firstLineChars="200"/>
        <w:rPr>
          <w:rFonts w:hint="eastAsia" w:ascii="宋体" w:hAnsi="宋体" w:cs="宋体"/>
          <w:color w:val="auto"/>
          <w:szCs w:val="21"/>
          <w:highlight w:val="none"/>
        </w:rPr>
      </w:pPr>
      <w:bookmarkStart w:id="454" w:name="_Toc152042337"/>
      <w:bookmarkStart w:id="455" w:name="_Toc152045561"/>
      <w:bookmarkStart w:id="456" w:name="_Toc32451"/>
      <w:bookmarkStart w:id="457" w:name="_Toc246996948"/>
      <w:bookmarkStart w:id="458" w:name="_Toc246996205"/>
      <w:bookmarkStart w:id="459" w:name="_Toc247085719"/>
      <w:bookmarkStart w:id="460" w:name="_Toc35424917"/>
      <w:bookmarkStart w:id="461" w:name="_Toc324404844"/>
      <w:bookmarkStart w:id="462" w:name="_Toc15058876"/>
      <w:bookmarkStart w:id="463" w:name="_Toc144974529"/>
      <w:bookmarkStart w:id="464" w:name="_Toc296602449"/>
      <w:bookmarkStart w:id="465" w:name="_Toc506107297"/>
      <w:bookmarkStart w:id="466" w:name="_Toc179632579"/>
      <w:bookmarkStart w:id="467" w:name="_Toc78803350"/>
      <w:bookmarkStart w:id="468" w:name="_Toc35425083"/>
      <w:r>
        <w:rPr>
          <w:rFonts w:hint="eastAsia" w:ascii="宋体" w:hAnsi="宋体" w:cs="宋体"/>
          <w:color w:val="auto"/>
          <w:szCs w:val="21"/>
          <w:highlight w:val="none"/>
        </w:rPr>
        <w:t>招标人在第一章“招标公告”规定的投标截止时间前（开标时间）和地点</w:t>
      </w:r>
      <w:r>
        <w:rPr>
          <w:color w:val="auto"/>
          <w:highlight w:val="none"/>
        </w:rPr>
        <w:t>通过交易系统公开开标</w:t>
      </w:r>
      <w:r>
        <w:rPr>
          <w:rFonts w:hint="eastAsia" w:ascii="宋体" w:hAnsi="宋体" w:cs="宋体"/>
          <w:color w:val="auto"/>
          <w:szCs w:val="21"/>
          <w:highlight w:val="none"/>
        </w:rPr>
        <w:t>。</w:t>
      </w:r>
    </w:p>
    <w:p w14:paraId="72027328">
      <w:pPr>
        <w:pStyle w:val="3"/>
        <w:ind w:firstLine="422" w:firstLineChars="200"/>
        <w:rPr>
          <w:rFonts w:ascii="宋体" w:hAnsi="宋体" w:eastAsia="宋体" w:cs="宋体"/>
          <w:color w:val="auto"/>
          <w:highlight w:val="none"/>
        </w:rPr>
      </w:pPr>
      <w:r>
        <w:rPr>
          <w:rFonts w:hint="eastAsia" w:ascii="宋体" w:hAnsi="宋体" w:eastAsia="宋体" w:cs="宋体"/>
          <w:color w:val="auto"/>
          <w:highlight w:val="none"/>
        </w:rPr>
        <w:t>5.2 开标程序</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0B511289">
      <w:pPr>
        <w:adjustRightInd w:val="0"/>
        <w:snapToGrid w:val="0"/>
        <w:spacing w:line="560" w:lineRule="exact"/>
        <w:ind w:firstLine="420" w:firstLineChars="200"/>
        <w:rPr>
          <w:rFonts w:hint="eastAsia" w:ascii="宋体" w:hAnsi="宋体" w:eastAsia="宋体" w:cs="宋体"/>
          <w:color w:val="auto"/>
          <w:szCs w:val="21"/>
          <w:highlight w:val="none"/>
        </w:rPr>
      </w:pPr>
      <w:bookmarkStart w:id="469" w:name="_Toc78803352"/>
      <w:bookmarkStart w:id="470" w:name="_Toc20689"/>
      <w:bookmarkStart w:id="471" w:name="_Toc152042338"/>
      <w:bookmarkStart w:id="472" w:name="_Toc247085720"/>
      <w:bookmarkStart w:id="473" w:name="_Toc144974530"/>
      <w:bookmarkStart w:id="474" w:name="_Toc246996206"/>
      <w:bookmarkStart w:id="475" w:name="_Toc35425085"/>
      <w:bookmarkStart w:id="476" w:name="_Toc152045562"/>
      <w:bookmarkStart w:id="477" w:name="_Toc15058884"/>
      <w:bookmarkStart w:id="478" w:name="_Toc179632580"/>
      <w:bookmarkStart w:id="479" w:name="_Toc506107299"/>
      <w:bookmarkStart w:id="480" w:name="_Toc35424919"/>
      <w:bookmarkStart w:id="481" w:name="_Toc246996949"/>
      <w:bookmarkStart w:id="482" w:name="_Toc324404846"/>
      <w:r>
        <w:rPr>
          <w:rFonts w:hint="eastAsia" w:ascii="宋体" w:hAnsi="宋体" w:eastAsia="宋体" w:cs="宋体"/>
          <w:color w:val="auto"/>
          <w:szCs w:val="21"/>
          <w:highlight w:val="none"/>
        </w:rPr>
        <w:t>主持人按下列程序进行开标：</w:t>
      </w:r>
    </w:p>
    <w:p w14:paraId="69335D40">
      <w:pPr>
        <w:adjustRightInd w:val="0"/>
        <w:snapToGrid w:val="0"/>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（1）公布在投标截止时间前通过电子交易系统完成投标文件递交的投标人名称；</w:t>
      </w:r>
    </w:p>
    <w:p w14:paraId="3FE3B9E5">
      <w:pPr>
        <w:adjustRightInd w:val="0"/>
        <w:snapToGrid w:val="0"/>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（2）投标人在投标截止时间后在投标人须知前附表规定的解密时间内完成投标文件的解密工作；</w:t>
      </w:r>
    </w:p>
    <w:p w14:paraId="09913E1C">
      <w:pPr>
        <w:adjustRightInd w:val="0"/>
        <w:snapToGrid w:val="0"/>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（3）招标人或招标代理机构完成解密工作，导入并读取所有成功解密的投标文件；</w:t>
      </w:r>
    </w:p>
    <w:p w14:paraId="3C9672BD">
      <w:pPr>
        <w:adjustRightInd w:val="0"/>
        <w:snapToGrid w:val="0"/>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（4）按投标人须知前附表规定公布投标人名称、标段名称、投标报价、质量目标、工期及其他内容；</w:t>
      </w:r>
    </w:p>
    <w:p w14:paraId="4611C8FD">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 xml:space="preserve">    （5）开标结束。</w:t>
      </w:r>
    </w:p>
    <w:p w14:paraId="0FABB25E">
      <w:pPr>
        <w:pStyle w:val="3"/>
        <w:spacing w:beforeLines="50" w:afterLines="50"/>
        <w:ind w:firstLine="482"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 评标</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6D7B4E38">
      <w:pPr>
        <w:pStyle w:val="3"/>
        <w:ind w:firstLine="422" w:firstLineChars="200"/>
        <w:rPr>
          <w:rFonts w:hint="eastAsia" w:ascii="宋体" w:hAnsi="宋体" w:eastAsia="宋体" w:cs="宋体"/>
          <w:color w:val="auto"/>
          <w:highlight w:val="none"/>
        </w:rPr>
      </w:pPr>
      <w:bookmarkStart w:id="483" w:name="_Toc506107300"/>
      <w:bookmarkStart w:id="484" w:name="_Toc179632581"/>
      <w:bookmarkStart w:id="485" w:name="_Toc152045563"/>
      <w:bookmarkStart w:id="486" w:name="_Toc95223370"/>
      <w:bookmarkStart w:id="487" w:name="_Toc144974531"/>
      <w:bookmarkStart w:id="488" w:name="_Toc246996950"/>
      <w:bookmarkStart w:id="489" w:name="_Toc15058885"/>
      <w:bookmarkStart w:id="490" w:name="_Toc60061467"/>
      <w:bookmarkStart w:id="491" w:name="_Toc152042339"/>
      <w:bookmarkStart w:id="492" w:name="_Toc83301722"/>
      <w:bookmarkStart w:id="493" w:name="_Toc247085721"/>
      <w:bookmarkStart w:id="494" w:name="_Toc246996207"/>
      <w:bookmarkStart w:id="495" w:name="_Toc324404847"/>
      <w:bookmarkStart w:id="496" w:name="_Toc296602452"/>
      <w:bookmarkStart w:id="497" w:name="_Toc296602453"/>
      <w:bookmarkStart w:id="498" w:name="_Toc144974532"/>
      <w:bookmarkStart w:id="499" w:name="_Toc152045564"/>
      <w:bookmarkStart w:id="500" w:name="_Toc15058886"/>
      <w:bookmarkStart w:id="501" w:name="_Toc152042340"/>
      <w:bookmarkStart w:id="502" w:name="_Toc246996208"/>
      <w:bookmarkStart w:id="503" w:name="_Toc247085722"/>
      <w:bookmarkStart w:id="504" w:name="_Toc12948"/>
      <w:bookmarkStart w:id="505" w:name="_Toc324404848"/>
      <w:bookmarkStart w:id="506" w:name="_Toc506107301"/>
      <w:bookmarkStart w:id="507" w:name="_Toc78803354"/>
      <w:bookmarkStart w:id="508" w:name="_Toc35425087"/>
      <w:bookmarkStart w:id="509" w:name="_Toc246996951"/>
      <w:bookmarkStart w:id="510" w:name="_Toc179632582"/>
      <w:bookmarkStart w:id="511" w:name="_Toc35424921"/>
      <w:r>
        <w:rPr>
          <w:rFonts w:hint="eastAsia" w:ascii="宋体" w:hAnsi="宋体" w:eastAsia="宋体" w:cs="宋体"/>
          <w:color w:val="auto"/>
          <w:highlight w:val="none"/>
        </w:rPr>
        <w:t>6.1 评标委员会</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14:paraId="4E04D397">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29F69BD">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6.1.2 评标委员会成员有下列情形之一的，应当回避：</w:t>
      </w:r>
    </w:p>
    <w:p w14:paraId="73C97D41">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（1）项目主管部门或行政监督管理部门的工作人员； </w:t>
      </w:r>
    </w:p>
    <w:p w14:paraId="2C74894B">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（2）与竞争主体主要负责人或者授权参与交易的代理人有近亲属关系的人员； </w:t>
      </w:r>
    </w:p>
    <w:p w14:paraId="2117A829">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（3）竞争主体的工作人员或者退休人员； </w:t>
      </w:r>
    </w:p>
    <w:p w14:paraId="33843AD1">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（4）竞争主体的上级主管、控股或者被控股单位等相关利害关系的人员，或任职单位与竞争主体单位为同一法定代表人的。 </w:t>
      </w:r>
    </w:p>
    <w:p w14:paraId="0C395A67">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（5）存在其他法定回避情形的</w:t>
      </w:r>
    </w:p>
    <w:p w14:paraId="175B40D3">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项目实施主体及其子公司、下属单位、上级主管部门或者控股公司的工作人员或者退休人员不得以专家身份参与本单位或者代理项目的评标评审。 </w:t>
      </w:r>
    </w:p>
    <w:p w14:paraId="3E7C33FF">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评标委员会或评审机构成员有前两款规定情形的，应当主动提出回避；已经进入的应当更换，被更换的成员评标评审意见无效。</w:t>
      </w:r>
    </w:p>
    <w:p w14:paraId="0DC1ABCB">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2C15BB0C">
      <w:pPr>
        <w:pStyle w:val="3"/>
        <w:ind w:firstLine="422" w:firstLineChars="200"/>
        <w:rPr>
          <w:rFonts w:ascii="宋体" w:hAnsi="宋体" w:eastAsia="宋体" w:cs="宋体"/>
          <w:color w:val="auto"/>
          <w:highlight w:val="none"/>
        </w:rPr>
      </w:pPr>
      <w:r>
        <w:rPr>
          <w:rFonts w:hint="eastAsia" w:ascii="宋体" w:hAnsi="宋体" w:eastAsia="宋体" w:cs="宋体"/>
          <w:color w:val="auto"/>
          <w:highlight w:val="none"/>
        </w:rPr>
        <w:t>6.2 评标原则</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47DBC71C">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14:paraId="298BCB48">
      <w:pPr>
        <w:pStyle w:val="3"/>
        <w:ind w:firstLine="422" w:firstLineChars="200"/>
        <w:rPr>
          <w:rFonts w:ascii="宋体" w:hAnsi="宋体" w:eastAsia="宋体" w:cs="宋体"/>
          <w:color w:val="auto"/>
          <w:highlight w:val="none"/>
        </w:rPr>
      </w:pPr>
      <w:bookmarkStart w:id="512" w:name="_Toc246996209"/>
      <w:bookmarkStart w:id="513" w:name="_Toc324404849"/>
      <w:bookmarkStart w:id="514" w:name="_Toc15058887"/>
      <w:bookmarkStart w:id="515" w:name="_Toc144974533"/>
      <w:bookmarkStart w:id="516" w:name="_Toc35425088"/>
      <w:bookmarkStart w:id="517" w:name="_Toc35424922"/>
      <w:bookmarkStart w:id="518" w:name="_Toc506107302"/>
      <w:bookmarkStart w:id="519" w:name="_Toc152045565"/>
      <w:bookmarkStart w:id="520" w:name="_Toc296602454"/>
      <w:bookmarkStart w:id="521" w:name="_Toc247085723"/>
      <w:bookmarkStart w:id="522" w:name="_Toc152042341"/>
      <w:bookmarkStart w:id="523" w:name="_Toc246996952"/>
      <w:bookmarkStart w:id="524" w:name="_Toc179632583"/>
      <w:bookmarkStart w:id="525" w:name="_Toc78803355"/>
      <w:bookmarkStart w:id="526" w:name="_Toc14892"/>
      <w:r>
        <w:rPr>
          <w:rFonts w:hint="eastAsia" w:ascii="宋体" w:hAnsi="宋体" w:eastAsia="宋体" w:cs="宋体"/>
          <w:color w:val="auto"/>
          <w:highlight w:val="none"/>
        </w:rPr>
        <w:t>6.3 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4929DC3A">
      <w:pPr>
        <w:spacing w:line="440" w:lineRule="exact"/>
        <w:ind w:firstLine="420" w:firstLineChars="200"/>
        <w:jc w:val="left"/>
        <w:rPr>
          <w:rFonts w:ascii="宋体" w:hAnsi="宋体" w:cs="宋体"/>
          <w:color w:val="auto"/>
          <w:szCs w:val="21"/>
          <w:highlight w:val="none"/>
        </w:rPr>
      </w:pPr>
      <w:bookmarkStart w:id="527" w:name="_Toc152042342"/>
      <w:bookmarkStart w:id="528" w:name="_Toc324404850"/>
      <w:bookmarkStart w:id="529" w:name="_Toc246996953"/>
      <w:bookmarkStart w:id="530" w:name="_Toc144974534"/>
      <w:bookmarkStart w:id="531" w:name="_Toc179632584"/>
      <w:bookmarkStart w:id="532" w:name="_Toc247085724"/>
      <w:bookmarkStart w:id="533" w:name="_Toc246996210"/>
      <w:bookmarkStart w:id="534" w:name="_Toc152045566"/>
      <w:r>
        <w:rPr>
          <w:rFonts w:hint="eastAsia" w:ascii="宋体" w:hAnsi="宋体" w:cs="宋体"/>
          <w:color w:val="auto"/>
          <w:szCs w:val="21"/>
          <w:highlight w:val="none"/>
        </w:rPr>
        <w:t>6.3.1评标委员会按照第</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章“评标办法”规定的方法、评审因素、标准和程序对投标文件进行评审。第</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章“评标办法”没有规定的方法、评审因素和标准，不作为评标依据。</w:t>
      </w:r>
    </w:p>
    <w:p w14:paraId="7D4C1121">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14:paraId="1E17D868">
      <w:pPr>
        <w:pStyle w:val="3"/>
        <w:spacing w:beforeLines="50" w:afterLines="50"/>
        <w:ind w:firstLine="482" w:firstLineChars="200"/>
        <w:rPr>
          <w:rFonts w:ascii="宋体" w:hAnsi="宋体" w:eastAsia="宋体" w:cs="宋体"/>
          <w:color w:val="auto"/>
          <w:sz w:val="24"/>
          <w:szCs w:val="24"/>
          <w:highlight w:val="none"/>
        </w:rPr>
      </w:pPr>
      <w:bookmarkStart w:id="535" w:name="_Toc78803356"/>
      <w:bookmarkStart w:id="536" w:name="_Toc35425089"/>
      <w:bookmarkStart w:id="537" w:name="_Toc506107303"/>
      <w:bookmarkStart w:id="538" w:name="_Toc15058888"/>
      <w:bookmarkStart w:id="539" w:name="_Toc35424923"/>
      <w:bookmarkStart w:id="540" w:name="_Toc26182"/>
      <w:r>
        <w:rPr>
          <w:rFonts w:hint="eastAsia" w:ascii="宋体" w:hAnsi="宋体" w:eastAsia="宋体" w:cs="宋体"/>
          <w:color w:val="auto"/>
          <w:sz w:val="24"/>
          <w:szCs w:val="24"/>
          <w:highlight w:val="none"/>
        </w:rPr>
        <w:t>7. 合同授予</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070C7520">
      <w:pPr>
        <w:pStyle w:val="3"/>
        <w:ind w:firstLine="422" w:firstLineChars="200"/>
        <w:rPr>
          <w:rFonts w:hint="eastAsia" w:ascii="宋体" w:hAnsi="宋体" w:eastAsia="宋体" w:cs="宋体"/>
          <w:color w:val="auto"/>
          <w:highlight w:val="none"/>
        </w:rPr>
      </w:pPr>
      <w:bookmarkStart w:id="541" w:name="_Toc296602457"/>
      <w:bookmarkStart w:id="542" w:name="_Toc95223374"/>
      <w:bookmarkStart w:id="543" w:name="_Toc506107305"/>
      <w:bookmarkStart w:id="544" w:name="_Toc15058890"/>
      <w:bookmarkStart w:id="545" w:name="_Toc83301726"/>
      <w:bookmarkStart w:id="546" w:name="_Toc60061472"/>
      <w:bookmarkStart w:id="547" w:name="_Toc324404852"/>
      <w:bookmarkStart w:id="548" w:name="_Toc27040"/>
      <w:bookmarkStart w:id="549" w:name="_Toc8261"/>
      <w:bookmarkStart w:id="550" w:name="_Toc35425092"/>
      <w:bookmarkStart w:id="551" w:name="_Toc35424926"/>
      <w:bookmarkStart w:id="552" w:name="_Toc78803359"/>
      <w:bookmarkStart w:id="553" w:name="_Toc179632586"/>
      <w:bookmarkStart w:id="554" w:name="_Toc296602458"/>
      <w:bookmarkStart w:id="555" w:name="_Toc506107306"/>
      <w:bookmarkStart w:id="556" w:name="_Toc152045568"/>
      <w:bookmarkStart w:id="557" w:name="_Toc247085726"/>
      <w:bookmarkStart w:id="558" w:name="_Toc35425093"/>
      <w:bookmarkStart w:id="559" w:name="_Toc152042344"/>
      <w:bookmarkStart w:id="560" w:name="_Toc144974536"/>
      <w:bookmarkStart w:id="561" w:name="_Toc246996955"/>
      <w:bookmarkStart w:id="562" w:name="_Toc15058891"/>
      <w:bookmarkStart w:id="563" w:name="_Toc246996212"/>
      <w:bookmarkStart w:id="564" w:name="_Toc324404853"/>
      <w:bookmarkStart w:id="565" w:name="_Toc35424927"/>
      <w:bookmarkStart w:id="566" w:name="_Toc14692"/>
      <w:r>
        <w:rPr>
          <w:rFonts w:hint="eastAsia" w:ascii="宋体" w:hAnsi="宋体" w:eastAsia="宋体" w:cs="宋体"/>
          <w:color w:val="auto"/>
          <w:highlight w:val="none"/>
        </w:rPr>
        <w:t>7.1 中标候选人公示</w:t>
      </w:r>
      <w:bookmarkEnd w:id="541"/>
      <w:bookmarkEnd w:id="542"/>
      <w:bookmarkEnd w:id="543"/>
      <w:bookmarkEnd w:id="544"/>
      <w:bookmarkEnd w:id="545"/>
      <w:bookmarkEnd w:id="546"/>
      <w:bookmarkEnd w:id="547"/>
    </w:p>
    <w:p w14:paraId="3D3C9E8B">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招标人在收到评标报告之日起3日内，按照投标人须知前附表规定的公示媒介和期限依法公示。中标候选人公示期不得少于3日。</w:t>
      </w:r>
    </w:p>
    <w:p w14:paraId="02BCD838">
      <w:pPr>
        <w:pStyle w:val="3"/>
        <w:ind w:firstLine="422" w:firstLineChars="200"/>
        <w:rPr>
          <w:rFonts w:hint="eastAsia" w:ascii="宋体" w:hAnsi="宋体" w:eastAsia="宋体" w:cs="宋体"/>
          <w:color w:val="auto"/>
          <w:highlight w:val="none"/>
        </w:rPr>
      </w:pPr>
      <w:r>
        <w:rPr>
          <w:rFonts w:hint="eastAsia" w:ascii="宋体" w:hAnsi="宋体" w:eastAsia="宋体" w:cs="宋体"/>
          <w:color w:val="auto"/>
          <w:highlight w:val="none"/>
        </w:rPr>
        <w:t>7.2 评标结果异议</w:t>
      </w:r>
    </w:p>
    <w:p w14:paraId="6D874A6B">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投标人或其他利害关系人对评标结果有异议的，应在中标候选人公示期内提出。招标人将在收到异议之日起3日内作出答复；作出答复前，将暂停招标投标活动。</w:t>
      </w:r>
    </w:p>
    <w:p w14:paraId="1D0EB461">
      <w:pPr>
        <w:pStyle w:val="3"/>
        <w:ind w:firstLine="422" w:firstLineChars="200"/>
        <w:rPr>
          <w:rFonts w:ascii="宋体" w:hAnsi="宋体" w:eastAsia="宋体" w:cs="宋体"/>
          <w:color w:val="auto"/>
          <w:highlight w:val="none"/>
        </w:rPr>
      </w:pPr>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 xml:space="preserve"> </w:t>
      </w:r>
      <w:bookmarkEnd w:id="548"/>
      <w:bookmarkEnd w:id="549"/>
      <w:bookmarkEnd w:id="550"/>
      <w:bookmarkEnd w:id="551"/>
      <w:bookmarkEnd w:id="552"/>
      <w:r>
        <w:rPr>
          <w:rFonts w:hint="eastAsia" w:ascii="宋体" w:hAnsi="宋体" w:eastAsia="宋体" w:cs="宋体"/>
          <w:color w:val="auto"/>
          <w:highlight w:val="none"/>
        </w:rPr>
        <w:t>定标</w:t>
      </w:r>
    </w:p>
    <w:p w14:paraId="117D2B8C">
      <w:pPr>
        <w:spacing w:line="440" w:lineRule="exact"/>
        <w:ind w:firstLine="420" w:firstLineChars="200"/>
        <w:jc w:val="left"/>
        <w:rPr>
          <w:rFonts w:hint="eastAsia" w:ascii="宋体" w:hAnsi="宋体" w:eastAsia="宋体" w:cs="宋体"/>
          <w:color w:val="auto"/>
          <w:szCs w:val="21"/>
          <w:highlight w:val="none"/>
        </w:rPr>
      </w:pPr>
      <w:bookmarkStart w:id="567" w:name="_Toc78803360"/>
      <w:bookmarkStart w:id="568" w:name="_Toc4204"/>
      <w:r>
        <w:rPr>
          <w:rFonts w:hint="eastAsia" w:ascii="宋体" w:hAnsi="宋体" w:eastAsia="宋体" w:cs="宋体"/>
          <w:color w:val="auto"/>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5B9A367">
      <w:pPr>
        <w:pStyle w:val="3"/>
        <w:ind w:firstLine="422" w:firstLineChars="200"/>
        <w:rPr>
          <w:rFonts w:hint="eastAsia" w:ascii="宋体" w:hAnsi="宋体" w:eastAsia="宋体" w:cs="宋体"/>
          <w:color w:val="auto"/>
          <w:highlight w:val="none"/>
        </w:rPr>
      </w:pPr>
      <w:bookmarkStart w:id="569" w:name="_Toc83301728"/>
      <w:bookmarkStart w:id="570" w:name="_Toc95223376"/>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 xml:space="preserve"> 中标通知</w:t>
      </w:r>
      <w:bookmarkEnd w:id="569"/>
      <w:bookmarkEnd w:id="570"/>
    </w:p>
    <w:p w14:paraId="768E4E46">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在本招标文件规定的投标有效期内，招标人向中标人发出中标通知书，同时将中标结果通知未中标的投标人。</w:t>
      </w:r>
    </w:p>
    <w:p w14:paraId="045D8AA7">
      <w:pPr>
        <w:pStyle w:val="3"/>
        <w:ind w:firstLine="422" w:firstLineChars="200"/>
        <w:rPr>
          <w:rFonts w:hint="eastAsia" w:ascii="宋体" w:hAnsi="宋体" w:eastAsia="宋体" w:cs="宋体"/>
          <w:color w:val="auto"/>
          <w:highlight w:val="none"/>
        </w:rPr>
      </w:pPr>
      <w:bookmarkStart w:id="571" w:name="_Toc95223377"/>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5 </w:t>
      </w:r>
      <w:r>
        <w:rPr>
          <w:rFonts w:hint="eastAsia" w:ascii="宋体" w:hAnsi="宋体" w:eastAsia="宋体" w:cs="宋体"/>
          <w:color w:val="auto"/>
          <w:highlight w:val="none"/>
        </w:rPr>
        <w:t>中标结果公示</w:t>
      </w:r>
      <w:bookmarkEnd w:id="571"/>
    </w:p>
    <w:p w14:paraId="0718115A">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招标人在确定中标人之日起3日内，按照投标人须知前附表规定的公示媒介和期限公示中标结果。</w:t>
      </w:r>
    </w:p>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14:paraId="76BD1912">
      <w:pPr>
        <w:pStyle w:val="3"/>
        <w:ind w:firstLine="422" w:firstLineChars="200"/>
        <w:rPr>
          <w:rFonts w:ascii="宋体" w:hAnsi="宋体" w:eastAsia="宋体" w:cs="宋体"/>
          <w:color w:val="auto"/>
          <w:highlight w:val="none"/>
        </w:rPr>
      </w:pPr>
      <w:bookmarkStart w:id="572" w:name="_Toc179632587"/>
      <w:bookmarkStart w:id="573" w:name="_Toc35425095"/>
      <w:bookmarkStart w:id="574" w:name="_Toc506107307"/>
      <w:bookmarkStart w:id="575" w:name="_Toc247085727"/>
      <w:bookmarkStart w:id="576" w:name="_Toc15058892"/>
      <w:bookmarkStart w:id="577" w:name="_Toc35424929"/>
      <w:bookmarkStart w:id="578" w:name="_Toc152042345"/>
      <w:bookmarkStart w:id="579" w:name="_Toc78803362"/>
      <w:bookmarkStart w:id="580" w:name="_Toc144974537"/>
      <w:bookmarkStart w:id="581" w:name="_Toc324404854"/>
      <w:bookmarkStart w:id="582" w:name="_Toc246996213"/>
      <w:bookmarkStart w:id="583" w:name="_Toc152045569"/>
      <w:bookmarkStart w:id="584" w:name="_Toc296602459"/>
      <w:bookmarkStart w:id="585" w:name="_Toc25501"/>
      <w:bookmarkStart w:id="586" w:name="_Toc246996956"/>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 xml:space="preserve"> 履约担保</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612A633E">
      <w:pPr>
        <w:spacing w:line="440" w:lineRule="exact"/>
        <w:ind w:firstLine="420" w:firstLineChars="200"/>
        <w:jc w:val="left"/>
        <w:rPr>
          <w:rFonts w:hint="eastAsia" w:ascii="宋体" w:hAnsi="宋体" w:eastAsia="宋体" w:cs="宋体"/>
          <w:color w:val="auto"/>
          <w:szCs w:val="21"/>
          <w:highlight w:val="none"/>
        </w:rPr>
      </w:pPr>
      <w:bookmarkStart w:id="587" w:name="_Toc11010"/>
      <w:bookmarkStart w:id="588" w:name="_Toc506107308"/>
      <w:bookmarkStart w:id="589" w:name="_Toc144974538"/>
      <w:bookmarkStart w:id="590" w:name="_Toc152045570"/>
      <w:bookmarkStart w:id="591" w:name="_Toc179632588"/>
      <w:bookmarkStart w:id="592" w:name="_Toc15058893"/>
      <w:bookmarkStart w:id="593" w:name="_Toc78803363"/>
      <w:bookmarkStart w:id="594" w:name="_Toc324404855"/>
      <w:bookmarkStart w:id="595" w:name="_Toc296602460"/>
      <w:bookmarkStart w:id="596" w:name="_Toc35424930"/>
      <w:bookmarkStart w:id="597" w:name="_Toc246996957"/>
      <w:bookmarkStart w:id="598" w:name="_Toc246996214"/>
      <w:bookmarkStart w:id="599" w:name="_Toc35425096"/>
      <w:bookmarkStart w:id="600" w:name="_Toc152042346"/>
      <w:bookmarkStart w:id="601" w:name="_Toc247085728"/>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在签订合同前，中标人应按投标人须知前附表规定的担保形式和招标文件第五章“合同条款及格式”规定的或者事先经过招标人书面认可的履约担保格式向招标人提交履约担保。联合体中标的，其履约担保应符合投标人须知前附表规定的金额、担保形式和招标文件第五章“合同条款及格式”规定的履约担保格式要求。</w:t>
      </w:r>
    </w:p>
    <w:p w14:paraId="7C6B3360">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.2 中标人不能按本章第7.</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.1项要求提交履约担保的，视为放弃中标，其投标保证金不予退还，给招标人造成的损失超过投标保证金数额的，中标人还应当对超过部分予以赔偿。</w:t>
      </w:r>
    </w:p>
    <w:p w14:paraId="3B4E380F">
      <w:pPr>
        <w:pStyle w:val="3"/>
        <w:ind w:firstLine="422" w:firstLineChars="200"/>
        <w:rPr>
          <w:rFonts w:ascii="宋体" w:hAnsi="宋体" w:eastAsia="宋体" w:cs="宋体"/>
          <w:color w:val="auto"/>
          <w:highlight w:val="none"/>
        </w:rPr>
      </w:pPr>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 xml:space="preserve"> 签订合同</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72DE0C53">
      <w:pPr>
        <w:wordWrap w:val="0"/>
        <w:spacing w:line="440" w:lineRule="exact"/>
        <w:ind w:firstLine="420" w:firstLineChars="200"/>
        <w:jc w:val="left"/>
        <w:rPr>
          <w:rFonts w:hint="eastAsia" w:ascii="宋体" w:hAnsi="宋体" w:eastAsia="宋体" w:cs="宋体"/>
          <w:bCs/>
          <w:color w:val="auto"/>
          <w:szCs w:val="21"/>
          <w:highlight w:val="none"/>
        </w:rPr>
      </w:pPr>
      <w:bookmarkStart w:id="602" w:name="_Toc15058894"/>
      <w:bookmarkStart w:id="603" w:name="_Toc324404856"/>
      <w:bookmarkStart w:id="604" w:name="_Toc506107309"/>
      <w:r>
        <w:rPr>
          <w:rFonts w:hint="eastAsia" w:ascii="宋体" w:hAnsi="宋体" w:eastAsia="宋体" w:cs="宋体"/>
          <w:bCs/>
          <w:color w:val="auto"/>
          <w:szCs w:val="21"/>
          <w:highlight w:val="none"/>
        </w:rPr>
        <w:t>7.</w:t>
      </w:r>
      <w:r>
        <w:rPr>
          <w:rFonts w:hint="eastAsia" w:ascii="宋体" w:hAnsi="宋体" w:eastAsia="宋体" w:cs="宋体"/>
          <w:bCs/>
          <w:color w:val="auto"/>
          <w:szCs w:val="21"/>
          <w:highlight w:val="none"/>
          <w:lang w:val="en-US" w:eastAsia="zh-CN"/>
        </w:rPr>
        <w:t>7</w:t>
      </w:r>
      <w:r>
        <w:rPr>
          <w:rFonts w:hint="eastAsia" w:ascii="宋体" w:hAnsi="宋体" w:eastAsia="宋体" w:cs="宋体"/>
          <w:bCs/>
          <w:color w:val="auto"/>
          <w:szCs w:val="21"/>
          <w:highlight w:val="none"/>
        </w:rPr>
        <w:t>.1本招标工程的施工合同将授予按本须知第7.</w:t>
      </w:r>
      <w:r>
        <w:rPr>
          <w:rFonts w:hint="eastAsia" w:ascii="宋体" w:hAnsi="宋体" w:cs="宋体"/>
          <w:bCs/>
          <w:color w:val="auto"/>
          <w:szCs w:val="21"/>
          <w:highlight w:val="none"/>
          <w:lang w:val="en-US" w:eastAsia="zh-CN"/>
        </w:rPr>
        <w:t>3</w:t>
      </w:r>
      <w:r>
        <w:rPr>
          <w:rFonts w:hint="eastAsia" w:ascii="宋体" w:hAnsi="宋体" w:eastAsia="宋体" w:cs="宋体"/>
          <w:bCs/>
          <w:color w:val="auto"/>
          <w:szCs w:val="21"/>
          <w:highlight w:val="none"/>
        </w:rPr>
        <w:t xml:space="preserve">条规定所确定的中标人。 </w:t>
      </w:r>
    </w:p>
    <w:p w14:paraId="01C1DF48">
      <w:pPr>
        <w:wordWrap w:val="0"/>
        <w:spacing w:line="44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w:t>
      </w:r>
      <w:r>
        <w:rPr>
          <w:rFonts w:hint="eastAsia" w:ascii="宋体" w:hAnsi="宋体" w:eastAsia="宋体" w:cs="宋体"/>
          <w:bCs/>
          <w:color w:val="auto"/>
          <w:szCs w:val="21"/>
          <w:highlight w:val="none"/>
          <w:lang w:val="en-US" w:eastAsia="zh-CN"/>
        </w:rPr>
        <w:t>7</w:t>
      </w:r>
      <w:r>
        <w:rPr>
          <w:rFonts w:hint="eastAsia" w:ascii="宋体" w:hAnsi="宋体" w:eastAsia="宋体" w:cs="宋体"/>
          <w:bCs/>
          <w:color w:val="auto"/>
          <w:szCs w:val="21"/>
          <w:highlight w:val="none"/>
        </w:rPr>
        <w:t>.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给招标人造成的损失的，中标人还应当对予以赔偿。</w:t>
      </w:r>
    </w:p>
    <w:p w14:paraId="01E0BEC3">
      <w:pPr>
        <w:wordWrap w:val="0"/>
        <w:spacing w:line="44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w:t>
      </w:r>
      <w:r>
        <w:rPr>
          <w:rFonts w:hint="eastAsia" w:ascii="宋体" w:hAnsi="宋体" w:eastAsia="宋体" w:cs="宋体"/>
          <w:bCs/>
          <w:color w:val="auto"/>
          <w:szCs w:val="21"/>
          <w:highlight w:val="none"/>
          <w:lang w:val="en-US" w:eastAsia="zh-CN"/>
        </w:rPr>
        <w:t>7</w:t>
      </w:r>
      <w:r>
        <w:rPr>
          <w:rFonts w:hint="eastAsia" w:ascii="宋体" w:hAnsi="宋体" w:eastAsia="宋体" w:cs="宋体"/>
          <w:bCs/>
          <w:color w:val="auto"/>
          <w:szCs w:val="21"/>
          <w:highlight w:val="none"/>
        </w:rPr>
        <w:t>.3发出中标通知书后，招标单位无正当理由拒签合同的，给中标人造成损失的，还应当赔偿损失。</w:t>
      </w:r>
    </w:p>
    <w:p w14:paraId="15321B34">
      <w:pPr>
        <w:wordWrap w:val="0"/>
        <w:spacing w:line="44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w:t>
      </w:r>
      <w:r>
        <w:rPr>
          <w:rFonts w:hint="eastAsia" w:ascii="宋体" w:hAnsi="宋体" w:eastAsia="宋体" w:cs="宋体"/>
          <w:bCs/>
          <w:color w:val="auto"/>
          <w:szCs w:val="21"/>
          <w:highlight w:val="none"/>
          <w:lang w:val="en-US" w:eastAsia="zh-CN"/>
        </w:rPr>
        <w:t>7</w:t>
      </w:r>
      <w:r>
        <w:rPr>
          <w:rFonts w:hint="eastAsia" w:ascii="宋体" w:hAnsi="宋体" w:eastAsia="宋体" w:cs="宋体"/>
          <w:bCs/>
          <w:color w:val="auto"/>
          <w:szCs w:val="21"/>
          <w:highlight w:val="none"/>
        </w:rPr>
        <w:t>.4除法定情形外，建设工程合同履行期间项目经理（建造师）不得更换。项目经理（建造师）确需变更的，应根据招标文件要求，变更后的项目经理（建造师）不低于投标文件中拟派项目经理（建造师）的资格条件。</w:t>
      </w:r>
    </w:p>
    <w:bookmarkEnd w:id="602"/>
    <w:bookmarkEnd w:id="603"/>
    <w:bookmarkEnd w:id="604"/>
    <w:p w14:paraId="57E42931">
      <w:pPr>
        <w:pStyle w:val="3"/>
        <w:spacing w:beforeLines="50" w:afterLines="50"/>
        <w:ind w:firstLine="422" w:firstLineChars="200"/>
        <w:rPr>
          <w:rFonts w:hint="eastAsia" w:ascii="宋体" w:hAnsi="宋体" w:eastAsia="宋体" w:cs="宋体"/>
          <w:color w:val="auto"/>
          <w:highlight w:val="none"/>
        </w:rPr>
      </w:pPr>
      <w:bookmarkStart w:id="605" w:name="_Toc95223381"/>
      <w:bookmarkStart w:id="606" w:name="_Toc179632589"/>
      <w:bookmarkStart w:id="607" w:name="_Toc83301732"/>
      <w:bookmarkStart w:id="608" w:name="_Toc152042347"/>
      <w:bookmarkStart w:id="609" w:name="_Toc144974539"/>
      <w:bookmarkStart w:id="610" w:name="_Toc60061478"/>
      <w:bookmarkStart w:id="611" w:name="_Toc152045571"/>
      <w:bookmarkStart w:id="612" w:name="_Toc31686"/>
      <w:bookmarkStart w:id="613" w:name="_Toc35425097"/>
      <w:bookmarkStart w:id="614" w:name="_Toc25375"/>
      <w:bookmarkStart w:id="615" w:name="_Toc26974"/>
      <w:bookmarkStart w:id="616" w:name="_Toc78803367"/>
      <w:bookmarkStart w:id="617" w:name="_Toc35424931"/>
      <w:bookmarkStart w:id="618" w:name="_Toc324404864"/>
      <w:bookmarkStart w:id="619" w:name="_Toc506107317"/>
      <w:bookmarkStart w:id="620" w:name="_Toc35424939"/>
      <w:bookmarkStart w:id="621" w:name="_Toc35425105"/>
      <w:bookmarkStart w:id="622" w:name="_Toc15058902"/>
      <w:bookmarkStart w:id="623" w:name="_Toc296602475"/>
      <w:r>
        <w:rPr>
          <w:rFonts w:hint="eastAsia" w:ascii="宋体" w:hAnsi="宋体" w:eastAsia="宋体" w:cs="宋体"/>
          <w:color w:val="auto"/>
          <w:highlight w:val="none"/>
        </w:rPr>
        <w:t>8. 重新招标和不再招标</w:t>
      </w:r>
      <w:bookmarkEnd w:id="605"/>
      <w:bookmarkEnd w:id="606"/>
      <w:bookmarkEnd w:id="607"/>
      <w:bookmarkEnd w:id="608"/>
      <w:bookmarkEnd w:id="609"/>
      <w:bookmarkEnd w:id="610"/>
      <w:bookmarkEnd w:id="611"/>
    </w:p>
    <w:p w14:paraId="774B94FD">
      <w:pPr>
        <w:pStyle w:val="3"/>
        <w:ind w:firstLine="422" w:firstLineChars="200"/>
        <w:rPr>
          <w:rFonts w:hint="eastAsia" w:ascii="宋体" w:hAnsi="宋体" w:eastAsia="宋体" w:cs="宋体"/>
          <w:color w:val="auto"/>
          <w:highlight w:val="none"/>
        </w:rPr>
      </w:pPr>
      <w:bookmarkStart w:id="624" w:name="_Toc83301733"/>
      <w:bookmarkStart w:id="625" w:name="_Toc95223382"/>
      <w:bookmarkStart w:id="626" w:name="_Toc152045572"/>
      <w:bookmarkStart w:id="627" w:name="_Toc152042348"/>
      <w:bookmarkStart w:id="628" w:name="_Toc144974540"/>
      <w:bookmarkStart w:id="629" w:name="_Toc60061479"/>
      <w:bookmarkStart w:id="630" w:name="_Toc179632590"/>
      <w:r>
        <w:rPr>
          <w:rFonts w:hint="eastAsia" w:ascii="宋体" w:hAnsi="宋体" w:eastAsia="宋体" w:cs="宋体"/>
          <w:color w:val="auto"/>
          <w:highlight w:val="none"/>
        </w:rPr>
        <w:t>8.1 重新招标</w:t>
      </w:r>
      <w:bookmarkEnd w:id="624"/>
      <w:bookmarkEnd w:id="625"/>
      <w:bookmarkEnd w:id="626"/>
      <w:bookmarkEnd w:id="627"/>
      <w:bookmarkEnd w:id="628"/>
      <w:bookmarkEnd w:id="629"/>
      <w:bookmarkEnd w:id="630"/>
    </w:p>
    <w:p w14:paraId="243115F1">
      <w:pPr>
        <w:wordWrap w:val="0"/>
        <w:spacing w:line="44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依法必须招标的项目有下列情形之一的，招标人将重新招标：</w:t>
      </w:r>
    </w:p>
    <w:p w14:paraId="71A327E5">
      <w:pPr>
        <w:wordWrap w:val="0"/>
        <w:spacing w:line="44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（1）投标截止时间止，投标人少于3个的；</w:t>
      </w:r>
    </w:p>
    <w:p w14:paraId="53761C98">
      <w:pPr>
        <w:wordWrap w:val="0"/>
        <w:spacing w:line="44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（2）经评标委员会评审后否决所有投标的；</w:t>
      </w:r>
    </w:p>
    <w:p w14:paraId="3412299B">
      <w:pPr>
        <w:wordWrap w:val="0"/>
        <w:spacing w:line="44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（3）中标候选人均未与招标人签订合同的；</w:t>
      </w:r>
    </w:p>
    <w:p w14:paraId="4115D547">
      <w:pPr>
        <w:wordWrap w:val="0"/>
        <w:spacing w:line="44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（4）法律、法规规定的其他情形。</w:t>
      </w:r>
    </w:p>
    <w:p w14:paraId="077F17AF">
      <w:pPr>
        <w:pStyle w:val="3"/>
        <w:ind w:firstLine="422" w:firstLineChars="200"/>
        <w:rPr>
          <w:rFonts w:hint="eastAsia" w:ascii="宋体" w:hAnsi="宋体" w:eastAsia="宋体" w:cs="宋体"/>
          <w:color w:val="auto"/>
          <w:highlight w:val="none"/>
        </w:rPr>
      </w:pPr>
      <w:bookmarkStart w:id="631" w:name="_Toc83301734"/>
      <w:bookmarkStart w:id="632" w:name="_Toc152045573"/>
      <w:bookmarkStart w:id="633" w:name="_Toc152042349"/>
      <w:bookmarkStart w:id="634" w:name="_Toc95223383"/>
      <w:bookmarkStart w:id="635" w:name="_Toc144974541"/>
      <w:bookmarkStart w:id="636" w:name="_Toc60061480"/>
      <w:bookmarkStart w:id="637" w:name="_Toc179632591"/>
      <w:r>
        <w:rPr>
          <w:rFonts w:hint="eastAsia" w:ascii="宋体" w:hAnsi="宋体" w:eastAsia="宋体" w:cs="宋体"/>
          <w:color w:val="auto"/>
          <w:highlight w:val="none"/>
        </w:rPr>
        <w:t>8.2 不再招标</w:t>
      </w:r>
      <w:bookmarkEnd w:id="631"/>
      <w:bookmarkEnd w:id="632"/>
      <w:bookmarkEnd w:id="633"/>
      <w:bookmarkEnd w:id="634"/>
      <w:bookmarkEnd w:id="635"/>
      <w:bookmarkEnd w:id="636"/>
      <w:bookmarkEnd w:id="637"/>
    </w:p>
    <w:p w14:paraId="79E8730A">
      <w:pPr>
        <w:wordWrap w:val="0"/>
        <w:spacing w:line="44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重新招标后投标人仍少于3个或者所有投标被否决的，属于必须审批或核准的工程建设项目，经原审批或核准部门批准后不再进行招标。</w:t>
      </w:r>
    </w:p>
    <w:p w14:paraId="31B2E77F">
      <w:pPr>
        <w:pStyle w:val="3"/>
        <w:spacing w:beforeLines="50" w:afterLines="50"/>
        <w:ind w:firstLine="422" w:firstLineChars="200"/>
        <w:rPr>
          <w:rFonts w:ascii="宋体" w:hAnsi="宋体" w:eastAsia="宋体" w:cs="宋体"/>
          <w:color w:val="auto"/>
          <w:highlight w:val="none"/>
        </w:rPr>
      </w:pPr>
      <w:r>
        <w:rPr>
          <w:rFonts w:hint="eastAsia" w:ascii="宋体" w:hAnsi="宋体" w:eastAsia="宋体" w:cs="宋体"/>
          <w:color w:val="auto"/>
          <w:highlight w:val="none"/>
        </w:rPr>
        <w:t>9. 纪律和监督</w:t>
      </w:r>
      <w:bookmarkEnd w:id="612"/>
      <w:bookmarkEnd w:id="613"/>
      <w:bookmarkEnd w:id="614"/>
      <w:bookmarkEnd w:id="615"/>
      <w:bookmarkEnd w:id="616"/>
      <w:bookmarkEnd w:id="617"/>
    </w:p>
    <w:p w14:paraId="49CA1A8F">
      <w:pPr>
        <w:pStyle w:val="3"/>
        <w:ind w:firstLine="422" w:firstLineChars="200"/>
        <w:rPr>
          <w:rFonts w:ascii="宋体" w:hAnsi="宋体" w:eastAsia="宋体" w:cs="宋体"/>
          <w:color w:val="auto"/>
          <w:highlight w:val="none"/>
        </w:rPr>
      </w:pPr>
      <w:bookmarkStart w:id="638" w:name="_Toc2855"/>
      <w:bookmarkStart w:id="639" w:name="_Toc78803368"/>
      <w:bookmarkStart w:id="640" w:name="_Toc247085733"/>
      <w:bookmarkStart w:id="641" w:name="_Toc506107310"/>
      <w:bookmarkStart w:id="642" w:name="_Toc144974543"/>
      <w:bookmarkStart w:id="643" w:name="_Toc296602462"/>
      <w:bookmarkStart w:id="644" w:name="_Toc15607"/>
      <w:bookmarkStart w:id="645" w:name="_Toc15058895"/>
      <w:bookmarkStart w:id="646" w:name="_Toc35425098"/>
      <w:bookmarkStart w:id="647" w:name="_Toc246996219"/>
      <w:bookmarkStart w:id="648" w:name="_Toc296590983"/>
      <w:bookmarkStart w:id="649" w:name="_Toc152042351"/>
      <w:bookmarkStart w:id="650" w:name="_Toc179632593"/>
      <w:bookmarkStart w:id="651" w:name="_Toc152045575"/>
      <w:bookmarkStart w:id="652" w:name="_Toc246996962"/>
      <w:bookmarkStart w:id="653" w:name="_Toc35424932"/>
      <w:bookmarkStart w:id="654" w:name="_Toc324404857"/>
      <w:r>
        <w:rPr>
          <w:rFonts w:hint="eastAsia" w:ascii="宋体" w:hAnsi="宋体" w:eastAsia="宋体" w:cs="宋体"/>
          <w:color w:val="auto"/>
          <w:highlight w:val="none"/>
        </w:rPr>
        <w:t>9.1 对招标人的纪律要求</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25A9C8EA">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14:paraId="6BA9BC3B">
      <w:pPr>
        <w:pStyle w:val="3"/>
        <w:ind w:firstLine="422" w:firstLineChars="200"/>
        <w:rPr>
          <w:rFonts w:ascii="宋体" w:hAnsi="宋体" w:eastAsia="宋体" w:cs="宋体"/>
          <w:color w:val="auto"/>
          <w:highlight w:val="none"/>
        </w:rPr>
      </w:pPr>
      <w:bookmarkStart w:id="655" w:name="_Toc246996963"/>
      <w:bookmarkStart w:id="656" w:name="_Toc78803369"/>
      <w:bookmarkStart w:id="657" w:name="_Toc506107311"/>
      <w:bookmarkStart w:id="658" w:name="_Toc152045576"/>
      <w:bookmarkStart w:id="659" w:name="_Toc152042352"/>
      <w:bookmarkStart w:id="660" w:name="_Toc19779"/>
      <w:bookmarkStart w:id="661" w:name="_Toc32177"/>
      <w:bookmarkStart w:id="662" w:name="_Toc247085734"/>
      <w:bookmarkStart w:id="663" w:name="_Toc296602463"/>
      <w:bookmarkStart w:id="664" w:name="_Toc179632594"/>
      <w:bookmarkStart w:id="665" w:name="_Toc35425099"/>
      <w:bookmarkStart w:id="666" w:name="_Toc246996220"/>
      <w:bookmarkStart w:id="667" w:name="_Toc15058896"/>
      <w:bookmarkStart w:id="668" w:name="_Toc324404858"/>
      <w:bookmarkStart w:id="669" w:name="_Toc35424933"/>
      <w:bookmarkStart w:id="670" w:name="_Toc144974544"/>
      <w:r>
        <w:rPr>
          <w:rFonts w:hint="eastAsia" w:ascii="宋体" w:hAnsi="宋体" w:eastAsia="宋体" w:cs="宋体"/>
          <w:color w:val="auto"/>
          <w:highlight w:val="none"/>
        </w:rPr>
        <w:t>9.2 对投标人的纪律要求</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1B7AC341">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33A1F0E">
      <w:pPr>
        <w:pStyle w:val="3"/>
        <w:ind w:firstLine="422" w:firstLineChars="200"/>
        <w:rPr>
          <w:rFonts w:ascii="宋体" w:hAnsi="宋体" w:eastAsia="宋体" w:cs="宋体"/>
          <w:color w:val="auto"/>
          <w:highlight w:val="none"/>
        </w:rPr>
      </w:pPr>
      <w:bookmarkStart w:id="671" w:name="_Toc179632595"/>
      <w:bookmarkStart w:id="672" w:name="_Toc296602464"/>
      <w:bookmarkStart w:id="673" w:name="_Toc246996221"/>
      <w:bookmarkStart w:id="674" w:name="_Toc78803370"/>
      <w:bookmarkStart w:id="675" w:name="_Toc247085735"/>
      <w:bookmarkStart w:id="676" w:name="_Toc35424934"/>
      <w:bookmarkStart w:id="677" w:name="_Toc144974545"/>
      <w:bookmarkStart w:id="678" w:name="_Toc152045577"/>
      <w:bookmarkStart w:id="679" w:name="_Toc246996964"/>
      <w:bookmarkStart w:id="680" w:name="_Toc506107312"/>
      <w:bookmarkStart w:id="681" w:name="_Toc324404859"/>
      <w:bookmarkStart w:id="682" w:name="_Toc35425100"/>
      <w:bookmarkStart w:id="683" w:name="_Toc152042353"/>
      <w:bookmarkStart w:id="684" w:name="_Toc13043"/>
      <w:bookmarkStart w:id="685" w:name="_Toc15058897"/>
      <w:bookmarkStart w:id="686" w:name="_Toc12564"/>
      <w:r>
        <w:rPr>
          <w:rFonts w:hint="eastAsia" w:ascii="宋体" w:hAnsi="宋体" w:eastAsia="宋体" w:cs="宋体"/>
          <w:color w:val="auto"/>
          <w:highlight w:val="none"/>
        </w:rPr>
        <w:t>9.3 对评标委员会成员的纪律要求</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5256DC85">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6939E33C">
      <w:pPr>
        <w:pStyle w:val="3"/>
        <w:ind w:firstLine="422" w:firstLineChars="200"/>
        <w:rPr>
          <w:rFonts w:ascii="宋体" w:hAnsi="宋体" w:eastAsia="宋体" w:cs="宋体"/>
          <w:color w:val="auto"/>
          <w:highlight w:val="none"/>
        </w:rPr>
      </w:pPr>
      <w:bookmarkStart w:id="687" w:name="_Toc78803371"/>
      <w:bookmarkStart w:id="688" w:name="_Toc506107313"/>
      <w:bookmarkStart w:id="689" w:name="_Toc32214"/>
      <w:bookmarkStart w:id="690" w:name="_Toc152042354"/>
      <w:bookmarkStart w:id="691" w:name="_Toc179632596"/>
      <w:bookmarkStart w:id="692" w:name="_Toc35424935"/>
      <w:bookmarkStart w:id="693" w:name="_Toc15058898"/>
      <w:bookmarkStart w:id="694" w:name="_Toc35425101"/>
      <w:bookmarkStart w:id="695" w:name="_Toc246996222"/>
      <w:bookmarkStart w:id="696" w:name="_Toc152045578"/>
      <w:bookmarkStart w:id="697" w:name="_Toc247085736"/>
      <w:bookmarkStart w:id="698" w:name="_Toc246996965"/>
      <w:bookmarkStart w:id="699" w:name="_Toc18329"/>
      <w:bookmarkStart w:id="700" w:name="_Toc296602465"/>
      <w:bookmarkStart w:id="701" w:name="_Toc324404860"/>
      <w:bookmarkStart w:id="702" w:name="_Toc144974546"/>
      <w:r>
        <w:rPr>
          <w:rFonts w:hint="eastAsia" w:ascii="宋体" w:hAnsi="宋体" w:eastAsia="宋体" w:cs="宋体"/>
          <w:color w:val="auto"/>
          <w:highlight w:val="none"/>
        </w:rPr>
        <w:t>9.4 对与评标活动有关的工作人员的纪律要求</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 w14:paraId="766BE765">
      <w:pPr>
        <w:spacing w:line="440" w:lineRule="exact"/>
        <w:ind w:firstLine="420" w:firstLineChars="200"/>
        <w:jc w:val="left"/>
        <w:rPr>
          <w:rFonts w:ascii="宋体" w:hAnsi="宋体" w:cs="宋体"/>
          <w:color w:val="auto"/>
          <w:szCs w:val="21"/>
          <w:highlight w:val="none"/>
        </w:rPr>
      </w:pPr>
      <w:bookmarkStart w:id="703" w:name="_Toc152042355"/>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703"/>
    </w:p>
    <w:p w14:paraId="6EC5285F">
      <w:pPr>
        <w:pStyle w:val="3"/>
        <w:ind w:firstLine="422" w:firstLineChars="200"/>
        <w:rPr>
          <w:rFonts w:ascii="宋体" w:hAnsi="宋体" w:eastAsia="宋体" w:cs="宋体"/>
          <w:color w:val="auto"/>
          <w:highlight w:val="none"/>
        </w:rPr>
      </w:pPr>
      <w:bookmarkStart w:id="704" w:name="_Toc35425102"/>
      <w:bookmarkStart w:id="705" w:name="_Toc78803372"/>
      <w:bookmarkStart w:id="706" w:name="_Toc246996223"/>
      <w:bookmarkStart w:id="707" w:name="_Toc2811"/>
      <w:bookmarkStart w:id="708" w:name="_Toc15058899"/>
      <w:bookmarkStart w:id="709" w:name="_Toc246996966"/>
      <w:bookmarkStart w:id="710" w:name="_Toc152042356"/>
      <w:bookmarkStart w:id="711" w:name="_Toc247085737"/>
      <w:bookmarkStart w:id="712" w:name="_Toc23607"/>
      <w:bookmarkStart w:id="713" w:name="_Toc35424936"/>
      <w:bookmarkStart w:id="714" w:name="_Toc152045579"/>
      <w:bookmarkStart w:id="715" w:name="_Toc324404861"/>
      <w:bookmarkStart w:id="716" w:name="_Toc296602466"/>
      <w:bookmarkStart w:id="717" w:name="_Toc179632597"/>
      <w:bookmarkStart w:id="718" w:name="_Toc506107314"/>
      <w:r>
        <w:rPr>
          <w:rFonts w:hint="eastAsia" w:ascii="宋体" w:hAnsi="宋体" w:eastAsia="宋体" w:cs="宋体"/>
          <w:color w:val="auto"/>
          <w:highlight w:val="none"/>
        </w:rPr>
        <w:t>9.5 投诉</w:t>
      </w:r>
      <w:bookmarkEnd w:id="702"/>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18A92B0B">
      <w:pPr>
        <w:spacing w:line="440" w:lineRule="exact"/>
        <w:ind w:firstLine="420" w:firstLineChars="200"/>
        <w:jc w:val="left"/>
        <w:rPr>
          <w:rFonts w:hint="eastAsia" w:ascii="宋体" w:hAnsi="宋体" w:eastAsia="宋体" w:cs="宋体"/>
          <w:color w:val="auto"/>
          <w:szCs w:val="21"/>
          <w:highlight w:val="none"/>
        </w:rPr>
      </w:pPr>
      <w:bookmarkStart w:id="719" w:name="_Toc35425103"/>
      <w:bookmarkStart w:id="720" w:name="_Toc78803373"/>
      <w:bookmarkStart w:id="721" w:name="_Toc179632598"/>
      <w:bookmarkStart w:id="722" w:name="_Toc35424937"/>
      <w:bookmarkStart w:id="723" w:name="_Toc247085738"/>
      <w:bookmarkStart w:id="724" w:name="_Toc506107315"/>
      <w:bookmarkStart w:id="725" w:name="_Toc15058900"/>
      <w:bookmarkStart w:id="726" w:name="_Toc152042357"/>
      <w:bookmarkStart w:id="727" w:name="_Toc246996224"/>
      <w:bookmarkStart w:id="728" w:name="_Toc324404862"/>
      <w:bookmarkStart w:id="729" w:name="_Toc246996967"/>
      <w:bookmarkStart w:id="730" w:name="_Toc20669"/>
      <w:bookmarkStart w:id="731" w:name="_Toc152045580"/>
      <w:bookmarkStart w:id="732" w:name="_Toc144974547"/>
      <w:bookmarkStart w:id="733" w:name="_Toc16463"/>
      <w:bookmarkStart w:id="734" w:name="_Toc31643"/>
      <w:r>
        <w:rPr>
          <w:rFonts w:hint="eastAsia" w:ascii="宋体" w:hAnsi="宋体" w:eastAsia="宋体" w:cs="宋体"/>
          <w:color w:val="auto"/>
          <w:szCs w:val="21"/>
          <w:highlight w:val="none"/>
        </w:rPr>
        <w:t>9.5.1投标人或者其他利害关系人认为招标投标活动违反法律、法规和规章规定的，有权向相关行政监督部门投诉。投诉应当有明确的请求和必要的证明材料。</w:t>
      </w:r>
    </w:p>
    <w:p w14:paraId="64A3032D">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9.5.2投标人和其他利害关系人对招标文件、开标和评标结果事项投诉的，应当按照投标人须知的规定先向招标人提出异议。异议答复期间不计算在第9.5.1项规定的期限内。</w:t>
      </w:r>
    </w:p>
    <w:p w14:paraId="39FC7842">
      <w:pPr>
        <w:pStyle w:val="3"/>
        <w:spacing w:beforeLines="50" w:afterLines="50"/>
        <w:ind w:firstLine="422" w:firstLineChars="200"/>
        <w:rPr>
          <w:rFonts w:ascii="宋体" w:hAnsi="宋体" w:eastAsia="宋体" w:cs="宋体"/>
          <w:color w:val="auto"/>
          <w:highlight w:val="none"/>
        </w:rPr>
      </w:pPr>
      <w:r>
        <w:rPr>
          <w:rFonts w:hint="eastAsia" w:ascii="宋体" w:hAnsi="宋体" w:eastAsia="宋体" w:cs="宋体"/>
          <w:color w:val="auto"/>
          <w:highlight w:val="none"/>
        </w:rPr>
        <w:t>10.需要补充的其他内容</w:t>
      </w:r>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14:paraId="2610702A">
      <w:pPr>
        <w:spacing w:line="440" w:lineRule="exact"/>
        <w:ind w:firstLine="420" w:firstLineChars="200"/>
        <w:jc w:val="left"/>
        <w:rPr>
          <w:rFonts w:ascii="宋体" w:hAnsi="宋体" w:cs="宋体"/>
          <w:color w:val="auto"/>
          <w:szCs w:val="21"/>
          <w:highlight w:val="none"/>
        </w:rPr>
      </w:pPr>
      <w:bookmarkStart w:id="735" w:name="_Toc15058901"/>
      <w:r>
        <w:rPr>
          <w:rFonts w:hint="eastAsia" w:ascii="宋体" w:hAnsi="宋体" w:cs="宋体"/>
          <w:color w:val="auto"/>
          <w:szCs w:val="21"/>
          <w:highlight w:val="none"/>
        </w:rPr>
        <w:t>需要补充的其他内容：见投标人须知前附表。</w:t>
      </w:r>
      <w:bookmarkEnd w:id="735"/>
    </w:p>
    <w:p w14:paraId="13695F73">
      <w:pPr>
        <w:spacing w:line="440" w:lineRule="exact"/>
        <w:jc w:val="left"/>
        <w:rPr>
          <w:rFonts w:ascii="宋体" w:hAnsi="宋体" w:cs="宋体"/>
          <w:color w:val="auto"/>
          <w:szCs w:val="21"/>
          <w:highlight w:val="none"/>
        </w:rPr>
      </w:pPr>
    </w:p>
    <w:p w14:paraId="146D6C50">
      <w:pPr>
        <w:pageBreakBefore/>
        <w:spacing w:beforeLines="80" w:afterLines="80" w:line="440" w:lineRule="exact"/>
        <w:jc w:val="center"/>
        <w:outlineLvl w:val="1"/>
        <w:rPr>
          <w:rFonts w:ascii="宋体"/>
          <w:b/>
          <w:color w:val="auto"/>
          <w:sz w:val="32"/>
          <w:szCs w:val="32"/>
          <w:highlight w:val="none"/>
        </w:rPr>
      </w:pPr>
      <w:bookmarkStart w:id="736" w:name="_Toc78803375"/>
      <w:r>
        <w:rPr>
          <w:rFonts w:hint="eastAsia" w:ascii="宋体"/>
          <w:b/>
          <w:color w:val="auto"/>
          <w:sz w:val="32"/>
          <w:szCs w:val="32"/>
          <w:highlight w:val="none"/>
        </w:rPr>
        <w:t>第</w:t>
      </w:r>
      <w:r>
        <w:rPr>
          <w:rFonts w:hint="eastAsia" w:ascii="宋体"/>
          <w:b/>
          <w:color w:val="auto"/>
          <w:sz w:val="32"/>
          <w:szCs w:val="32"/>
          <w:highlight w:val="none"/>
          <w:lang w:val="en-US" w:eastAsia="zh-CN"/>
        </w:rPr>
        <w:t>三</w:t>
      </w:r>
      <w:r>
        <w:rPr>
          <w:rFonts w:hint="eastAsia" w:ascii="宋体"/>
          <w:b/>
          <w:color w:val="auto"/>
          <w:sz w:val="32"/>
          <w:szCs w:val="32"/>
          <w:highlight w:val="none"/>
        </w:rPr>
        <w:t>章  资格审查</w:t>
      </w:r>
      <w:bookmarkEnd w:id="618"/>
      <w:r>
        <w:rPr>
          <w:rFonts w:hint="eastAsia" w:ascii="宋体"/>
          <w:b/>
          <w:color w:val="auto"/>
          <w:sz w:val="32"/>
          <w:szCs w:val="32"/>
          <w:highlight w:val="none"/>
        </w:rPr>
        <w:t>办法</w:t>
      </w:r>
      <w:bookmarkEnd w:id="619"/>
      <w:bookmarkEnd w:id="620"/>
      <w:bookmarkEnd w:id="621"/>
      <w:bookmarkEnd w:id="622"/>
      <w:bookmarkEnd w:id="736"/>
    </w:p>
    <w:p w14:paraId="510BB1C6">
      <w:pPr>
        <w:spacing w:beforeLines="50" w:afterLines="50" w:line="440" w:lineRule="exact"/>
        <w:jc w:val="center"/>
        <w:rPr>
          <w:rFonts w:ascii="宋体" w:hAnsi="宋体" w:cs="宋体"/>
          <w:b/>
          <w:bCs/>
          <w:color w:val="auto"/>
          <w:sz w:val="28"/>
          <w:szCs w:val="22"/>
          <w:highlight w:val="none"/>
        </w:rPr>
      </w:pPr>
      <w:bookmarkStart w:id="737" w:name="_Toc35424940"/>
      <w:bookmarkStart w:id="738" w:name="_Toc324404865"/>
      <w:bookmarkStart w:id="739" w:name="_Toc506107318"/>
      <w:bookmarkStart w:id="740" w:name="_Toc15058903"/>
      <w:bookmarkStart w:id="741" w:name="_Toc35425106"/>
      <w:r>
        <w:rPr>
          <w:rFonts w:hint="eastAsia" w:ascii="宋体" w:hAnsi="宋体" w:cs="宋体"/>
          <w:b/>
          <w:bCs/>
          <w:color w:val="auto"/>
          <w:sz w:val="28"/>
          <w:szCs w:val="22"/>
          <w:highlight w:val="none"/>
        </w:rPr>
        <w:t>资格审查办法前附表</w:t>
      </w:r>
      <w:bookmarkEnd w:id="737"/>
      <w:bookmarkEnd w:id="738"/>
      <w:bookmarkEnd w:id="739"/>
      <w:bookmarkEnd w:id="740"/>
      <w:bookmarkEnd w:id="741"/>
    </w:p>
    <w:tbl>
      <w:tblPr>
        <w:tblStyle w:val="4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14:paraId="3443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jc w:val="center"/>
        </w:trPr>
        <w:tc>
          <w:tcPr>
            <w:tcW w:w="2023" w:type="dxa"/>
            <w:gridSpan w:val="2"/>
            <w:noWrap/>
            <w:vAlign w:val="center"/>
          </w:tcPr>
          <w:p w14:paraId="21EA50D5">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6183" w:type="dxa"/>
            <w:noWrap/>
            <w:vAlign w:val="center"/>
          </w:tcPr>
          <w:p w14:paraId="737B946D">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审查内容</w:t>
            </w:r>
          </w:p>
        </w:tc>
        <w:tc>
          <w:tcPr>
            <w:tcW w:w="1860" w:type="dxa"/>
            <w:noWrap/>
            <w:vAlign w:val="center"/>
          </w:tcPr>
          <w:p w14:paraId="10B4B499">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r>
      <w:tr w14:paraId="5E38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14:paraId="4867F738">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258" w:type="dxa"/>
            <w:vMerge w:val="restart"/>
            <w:noWrap/>
            <w:vAlign w:val="center"/>
          </w:tcPr>
          <w:p w14:paraId="12F9F292">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审查资料</w:t>
            </w:r>
          </w:p>
        </w:tc>
        <w:tc>
          <w:tcPr>
            <w:tcW w:w="6183" w:type="dxa"/>
            <w:noWrap/>
            <w:vAlign w:val="center"/>
          </w:tcPr>
          <w:p w14:paraId="4223BCB8">
            <w:pPr>
              <w:spacing w:line="440" w:lineRule="exact"/>
              <w:rPr>
                <w:rFonts w:ascii="宋体" w:hAnsi="宋体" w:cs="宋体"/>
                <w:color w:val="auto"/>
                <w:szCs w:val="21"/>
                <w:highlight w:val="none"/>
              </w:rPr>
            </w:pPr>
            <w:r>
              <w:rPr>
                <w:rFonts w:hint="eastAsia" w:ascii="宋体" w:hAnsi="宋体" w:cs="宋体"/>
                <w:color w:val="auto"/>
                <w:szCs w:val="21"/>
                <w:highlight w:val="none"/>
              </w:rPr>
              <w:t>法定代表人身份证明文件和本人有效身份证(或法定代表人授权委托书和委托代理人有效身份证)</w:t>
            </w:r>
          </w:p>
        </w:tc>
        <w:tc>
          <w:tcPr>
            <w:tcW w:w="1860" w:type="dxa"/>
            <w:noWrap/>
            <w:vAlign w:val="center"/>
          </w:tcPr>
          <w:p w14:paraId="08425CC0">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检验电子标书</w:t>
            </w:r>
          </w:p>
        </w:tc>
      </w:tr>
      <w:tr w14:paraId="0BB7C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0CBF773D">
            <w:pPr>
              <w:spacing w:line="440" w:lineRule="exact"/>
              <w:jc w:val="center"/>
              <w:rPr>
                <w:rFonts w:ascii="宋体" w:hAnsi="宋体" w:cs="宋体"/>
                <w:color w:val="auto"/>
                <w:szCs w:val="21"/>
                <w:highlight w:val="none"/>
              </w:rPr>
            </w:pPr>
          </w:p>
        </w:tc>
        <w:tc>
          <w:tcPr>
            <w:tcW w:w="1258" w:type="dxa"/>
            <w:vMerge w:val="continue"/>
            <w:noWrap/>
            <w:vAlign w:val="center"/>
          </w:tcPr>
          <w:p w14:paraId="5DD98737">
            <w:pPr>
              <w:spacing w:line="440" w:lineRule="exact"/>
              <w:jc w:val="center"/>
              <w:rPr>
                <w:rFonts w:ascii="宋体" w:hAnsi="宋体" w:cs="宋体"/>
                <w:b/>
                <w:bCs/>
                <w:color w:val="auto"/>
                <w:szCs w:val="21"/>
                <w:highlight w:val="none"/>
              </w:rPr>
            </w:pPr>
          </w:p>
        </w:tc>
        <w:tc>
          <w:tcPr>
            <w:tcW w:w="6183" w:type="dxa"/>
            <w:noWrap/>
            <w:vAlign w:val="center"/>
          </w:tcPr>
          <w:p w14:paraId="356F4FA9">
            <w:pPr>
              <w:spacing w:line="440" w:lineRule="exact"/>
              <w:rPr>
                <w:rFonts w:ascii="宋体" w:hAnsi="宋体" w:cs="宋体"/>
                <w:color w:val="auto"/>
                <w:szCs w:val="21"/>
                <w:highlight w:val="none"/>
              </w:rPr>
            </w:pPr>
            <w:r>
              <w:rPr>
                <w:rFonts w:hint="eastAsia" w:ascii="宋体" w:hAnsi="宋体" w:cs="宋体"/>
                <w:color w:val="auto"/>
                <w:szCs w:val="21"/>
                <w:highlight w:val="none"/>
              </w:rPr>
              <w:t>诚信投标承诺书</w:t>
            </w:r>
          </w:p>
        </w:tc>
        <w:tc>
          <w:tcPr>
            <w:tcW w:w="1860" w:type="dxa"/>
            <w:vMerge w:val="restart"/>
            <w:noWrap/>
            <w:vAlign w:val="center"/>
          </w:tcPr>
          <w:p w14:paraId="1D178232">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检验电子标书</w:t>
            </w:r>
          </w:p>
        </w:tc>
      </w:tr>
      <w:tr w14:paraId="6FB20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14:paraId="7D8563C4">
            <w:pPr>
              <w:spacing w:line="440" w:lineRule="exact"/>
              <w:jc w:val="center"/>
              <w:rPr>
                <w:rFonts w:ascii="宋体" w:hAnsi="宋体" w:cs="宋体"/>
                <w:color w:val="auto"/>
                <w:szCs w:val="21"/>
                <w:highlight w:val="none"/>
              </w:rPr>
            </w:pPr>
          </w:p>
        </w:tc>
        <w:tc>
          <w:tcPr>
            <w:tcW w:w="1258" w:type="dxa"/>
            <w:vMerge w:val="continue"/>
            <w:noWrap/>
            <w:vAlign w:val="center"/>
          </w:tcPr>
          <w:p w14:paraId="04C1B076">
            <w:pPr>
              <w:spacing w:line="440" w:lineRule="exact"/>
              <w:jc w:val="center"/>
              <w:rPr>
                <w:rFonts w:ascii="宋体" w:hAnsi="宋体" w:cs="宋体"/>
                <w:b/>
                <w:bCs/>
                <w:color w:val="auto"/>
                <w:szCs w:val="21"/>
                <w:highlight w:val="none"/>
              </w:rPr>
            </w:pPr>
          </w:p>
        </w:tc>
        <w:tc>
          <w:tcPr>
            <w:tcW w:w="6183" w:type="dxa"/>
            <w:noWrap/>
            <w:vAlign w:val="center"/>
          </w:tcPr>
          <w:p w14:paraId="7DE2EBA3">
            <w:pPr>
              <w:spacing w:line="440" w:lineRule="exact"/>
              <w:rPr>
                <w:rFonts w:ascii="宋体" w:hAnsi="宋体" w:cs="宋体"/>
                <w:color w:val="auto"/>
                <w:szCs w:val="21"/>
                <w:highlight w:val="none"/>
              </w:rPr>
            </w:pPr>
            <w:r>
              <w:rPr>
                <w:rFonts w:hint="eastAsia" w:ascii="宋体" w:hAnsi="宋体" w:cs="宋体"/>
                <w:color w:val="auto"/>
                <w:szCs w:val="21"/>
                <w:highlight w:val="none"/>
              </w:rPr>
              <w:t>企业法人营业执照</w:t>
            </w:r>
          </w:p>
        </w:tc>
        <w:tc>
          <w:tcPr>
            <w:tcW w:w="1860" w:type="dxa"/>
            <w:vMerge w:val="continue"/>
            <w:noWrap/>
            <w:vAlign w:val="center"/>
          </w:tcPr>
          <w:p w14:paraId="779E57B8">
            <w:pPr>
              <w:spacing w:line="440" w:lineRule="exact"/>
              <w:rPr>
                <w:rFonts w:ascii="宋体" w:hAnsi="宋体" w:cs="宋体"/>
                <w:b/>
                <w:color w:val="auto"/>
                <w:szCs w:val="21"/>
                <w:highlight w:val="none"/>
              </w:rPr>
            </w:pPr>
          </w:p>
        </w:tc>
      </w:tr>
      <w:tr w14:paraId="25FC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14:paraId="2D4982A9">
            <w:pPr>
              <w:spacing w:line="440" w:lineRule="exact"/>
              <w:jc w:val="center"/>
              <w:rPr>
                <w:rFonts w:ascii="宋体" w:hAnsi="宋体" w:cs="宋体"/>
                <w:color w:val="auto"/>
                <w:szCs w:val="21"/>
                <w:highlight w:val="none"/>
              </w:rPr>
            </w:pPr>
          </w:p>
        </w:tc>
        <w:tc>
          <w:tcPr>
            <w:tcW w:w="1258" w:type="dxa"/>
            <w:vMerge w:val="continue"/>
            <w:noWrap/>
            <w:vAlign w:val="center"/>
          </w:tcPr>
          <w:p w14:paraId="0B3A3CE4">
            <w:pPr>
              <w:spacing w:line="440" w:lineRule="exact"/>
              <w:jc w:val="center"/>
              <w:rPr>
                <w:rFonts w:ascii="宋体" w:hAnsi="宋体" w:cs="宋体"/>
                <w:b/>
                <w:bCs/>
                <w:color w:val="auto"/>
                <w:szCs w:val="21"/>
                <w:highlight w:val="none"/>
              </w:rPr>
            </w:pPr>
          </w:p>
        </w:tc>
        <w:tc>
          <w:tcPr>
            <w:tcW w:w="6183" w:type="dxa"/>
            <w:noWrap/>
            <w:vAlign w:val="center"/>
          </w:tcPr>
          <w:p w14:paraId="5DF3ACB3">
            <w:pPr>
              <w:spacing w:line="44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企业资质证书</w:t>
            </w:r>
            <w:r>
              <w:rPr>
                <w:rFonts w:hint="eastAsia" w:ascii="宋体" w:hAnsi="宋体" w:cs="宋体"/>
                <w:color w:val="auto"/>
                <w:szCs w:val="21"/>
                <w:highlight w:val="none"/>
                <w:lang w:val="en-US" w:eastAsia="zh-CN"/>
              </w:rPr>
              <w:t>及</w:t>
            </w:r>
            <w:r>
              <w:rPr>
                <w:rFonts w:hint="eastAsia" w:ascii="宋体" w:hAnsi="宋体" w:cs="宋体"/>
                <w:color w:val="auto"/>
                <w:szCs w:val="21"/>
                <w:highlight w:val="none"/>
              </w:rPr>
              <w:t>企业安全生产许可证</w:t>
            </w:r>
          </w:p>
        </w:tc>
        <w:tc>
          <w:tcPr>
            <w:tcW w:w="1860" w:type="dxa"/>
            <w:vMerge w:val="continue"/>
            <w:noWrap/>
            <w:vAlign w:val="center"/>
          </w:tcPr>
          <w:p w14:paraId="2E943AB5">
            <w:pPr>
              <w:spacing w:line="440" w:lineRule="exact"/>
              <w:rPr>
                <w:rFonts w:ascii="宋体" w:hAnsi="宋体" w:cs="宋体"/>
                <w:color w:val="auto"/>
                <w:szCs w:val="21"/>
                <w:highlight w:val="none"/>
              </w:rPr>
            </w:pPr>
          </w:p>
        </w:tc>
      </w:tr>
      <w:tr w14:paraId="5484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14:paraId="44F29A8D">
            <w:pPr>
              <w:spacing w:line="440" w:lineRule="exact"/>
              <w:jc w:val="center"/>
              <w:rPr>
                <w:rFonts w:ascii="宋体" w:hAnsi="宋体" w:cs="宋体"/>
                <w:color w:val="auto"/>
                <w:szCs w:val="21"/>
                <w:highlight w:val="none"/>
              </w:rPr>
            </w:pPr>
          </w:p>
        </w:tc>
        <w:tc>
          <w:tcPr>
            <w:tcW w:w="1258" w:type="dxa"/>
            <w:vMerge w:val="continue"/>
            <w:noWrap/>
            <w:vAlign w:val="center"/>
          </w:tcPr>
          <w:p w14:paraId="5172F027">
            <w:pPr>
              <w:spacing w:line="440" w:lineRule="exact"/>
              <w:jc w:val="center"/>
              <w:rPr>
                <w:rFonts w:ascii="宋体" w:hAnsi="宋体" w:cs="宋体"/>
                <w:b/>
                <w:bCs/>
                <w:color w:val="auto"/>
                <w:szCs w:val="21"/>
                <w:highlight w:val="none"/>
              </w:rPr>
            </w:pPr>
          </w:p>
        </w:tc>
        <w:tc>
          <w:tcPr>
            <w:tcW w:w="6183" w:type="dxa"/>
            <w:noWrap/>
            <w:vAlign w:val="top"/>
          </w:tcPr>
          <w:p w14:paraId="7910A869">
            <w:pPr>
              <w:keepNext w:val="0"/>
              <w:keepLines w:val="0"/>
              <w:pageBreakBefore w:val="0"/>
              <w:kinsoku/>
              <w:wordWrap/>
              <w:overflowPunct/>
              <w:topLinePunct w:val="0"/>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项目经理（建造师）有效身份证、注册证书以及安全生产考核合格证书（B证）</w:t>
            </w:r>
          </w:p>
        </w:tc>
        <w:tc>
          <w:tcPr>
            <w:tcW w:w="1860" w:type="dxa"/>
            <w:vMerge w:val="continue"/>
            <w:noWrap/>
            <w:vAlign w:val="center"/>
          </w:tcPr>
          <w:p w14:paraId="2BFDCB77">
            <w:pPr>
              <w:spacing w:line="440" w:lineRule="exact"/>
              <w:rPr>
                <w:rFonts w:ascii="宋体" w:hAnsi="宋体" w:cs="宋体"/>
                <w:color w:val="auto"/>
                <w:szCs w:val="21"/>
                <w:highlight w:val="none"/>
              </w:rPr>
            </w:pPr>
          </w:p>
        </w:tc>
      </w:tr>
      <w:tr w14:paraId="4C6A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765" w:type="dxa"/>
            <w:vMerge w:val="continue"/>
            <w:noWrap/>
            <w:vAlign w:val="center"/>
          </w:tcPr>
          <w:p w14:paraId="196A33EB">
            <w:pPr>
              <w:spacing w:line="440" w:lineRule="exact"/>
              <w:jc w:val="center"/>
              <w:rPr>
                <w:rFonts w:ascii="宋体" w:hAnsi="宋体" w:cs="宋体"/>
                <w:color w:val="auto"/>
                <w:szCs w:val="21"/>
                <w:highlight w:val="none"/>
              </w:rPr>
            </w:pPr>
          </w:p>
        </w:tc>
        <w:tc>
          <w:tcPr>
            <w:tcW w:w="1258" w:type="dxa"/>
            <w:vMerge w:val="continue"/>
            <w:noWrap/>
            <w:vAlign w:val="center"/>
          </w:tcPr>
          <w:p w14:paraId="7D51B5B8">
            <w:pPr>
              <w:spacing w:line="440" w:lineRule="exact"/>
              <w:jc w:val="center"/>
              <w:rPr>
                <w:rFonts w:ascii="宋体" w:hAnsi="宋体" w:cs="宋体"/>
                <w:b/>
                <w:bCs/>
                <w:color w:val="auto"/>
                <w:szCs w:val="21"/>
                <w:highlight w:val="none"/>
              </w:rPr>
            </w:pPr>
          </w:p>
        </w:tc>
        <w:tc>
          <w:tcPr>
            <w:tcW w:w="6183" w:type="dxa"/>
            <w:noWrap/>
            <w:vAlign w:val="top"/>
          </w:tcPr>
          <w:p w14:paraId="7DB448B8">
            <w:pPr>
              <w:spacing w:line="440" w:lineRule="exact"/>
              <w:rPr>
                <w:rFonts w:ascii="宋体" w:hAnsi="宋体" w:cs="宋体"/>
                <w:color w:val="auto"/>
                <w:highlight w:val="none"/>
              </w:rPr>
            </w:pPr>
            <w:r>
              <w:rPr>
                <w:rFonts w:hint="eastAsia" w:ascii="宋体" w:hAnsi="宋体" w:cs="宋体"/>
                <w:color w:val="auto"/>
                <w:szCs w:val="21"/>
                <w:highlight w:val="none"/>
              </w:rPr>
              <w:t>投标人的法定代表人(或委托代理人)和拟任项目经理（建造师）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860" w:type="dxa"/>
            <w:vMerge w:val="continue"/>
            <w:noWrap/>
            <w:vAlign w:val="center"/>
          </w:tcPr>
          <w:p w14:paraId="701C2C27">
            <w:pPr>
              <w:spacing w:line="440" w:lineRule="exact"/>
              <w:rPr>
                <w:rFonts w:ascii="宋体" w:hAnsi="宋体" w:cs="宋体"/>
                <w:color w:val="auto"/>
                <w:szCs w:val="21"/>
                <w:highlight w:val="none"/>
              </w:rPr>
            </w:pPr>
          </w:p>
        </w:tc>
      </w:tr>
    </w:tbl>
    <w:p w14:paraId="44418C94">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重要提示：</w:t>
      </w:r>
    </w:p>
    <w:p w14:paraId="3BA6D76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评标专家在检验电子投标文件过程中，如果由于投标人自身原因导致评标专家无法查看并检验电子投标文件中相关资料的，视为无效标处理。即使投标人将原件携带至现场的，同样按无效标处理。</w:t>
      </w:r>
    </w:p>
    <w:p w14:paraId="05DBF21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标人拟委任项目经理为注册建造师（含一级、二级）的，须提供在电子证书使用有效期内的纸质版电子证书。一级建造师打印电子证书后，应在个人签名处手写本人签名，未手写签名或与签名图像笔迹不一致的，该电子证书无效。</w:t>
      </w:r>
    </w:p>
    <w:p w14:paraId="3168203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jc w:val="left"/>
        <w:textAlignment w:val="auto"/>
        <w:rPr>
          <w:color w:val="auto"/>
          <w:highlight w:val="none"/>
        </w:rPr>
      </w:pPr>
      <w:r>
        <w:rPr>
          <w:rFonts w:hint="eastAsia" w:ascii="宋体" w:hAnsi="宋体" w:eastAsia="宋体" w:cs="宋体"/>
          <w:b/>
          <w:bCs/>
          <w:color w:val="auto"/>
          <w:szCs w:val="21"/>
          <w:highlight w:val="none"/>
        </w:rPr>
        <w:t>投标人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p>
    <w:p w14:paraId="4A8A3FCB">
      <w:pPr>
        <w:pStyle w:val="3"/>
        <w:spacing w:beforeLines="50" w:afterLines="50"/>
        <w:ind w:firstLine="422" w:firstLineChars="200"/>
        <w:rPr>
          <w:rFonts w:ascii="宋体" w:hAnsi="宋体" w:eastAsia="宋体" w:cs="宋体"/>
          <w:color w:val="auto"/>
          <w:highlight w:val="none"/>
        </w:rPr>
      </w:pPr>
      <w:bookmarkStart w:id="742" w:name="_Toc506107319"/>
      <w:bookmarkStart w:id="743" w:name="_Toc15058904"/>
      <w:bookmarkStart w:id="744" w:name="_Toc27127"/>
      <w:bookmarkStart w:id="745" w:name="_Toc324404866"/>
      <w:bookmarkStart w:id="746" w:name="_Toc78803376"/>
      <w:bookmarkStart w:id="747" w:name="_Toc35425107"/>
      <w:bookmarkStart w:id="748" w:name="_Toc35424941"/>
      <w:r>
        <w:rPr>
          <w:rFonts w:hint="eastAsia" w:ascii="宋体" w:hAnsi="宋体" w:eastAsia="宋体" w:cs="宋体"/>
          <w:color w:val="auto"/>
          <w:highlight w:val="none"/>
        </w:rPr>
        <w:t>1.审查资料</w:t>
      </w:r>
      <w:bookmarkEnd w:id="742"/>
      <w:bookmarkEnd w:id="743"/>
      <w:bookmarkEnd w:id="744"/>
      <w:bookmarkEnd w:id="745"/>
      <w:bookmarkEnd w:id="746"/>
      <w:bookmarkEnd w:id="747"/>
      <w:bookmarkEnd w:id="748"/>
    </w:p>
    <w:p w14:paraId="2DC377C4">
      <w:pPr>
        <w:spacing w:line="440" w:lineRule="exact"/>
        <w:ind w:firstLine="420" w:firstLineChars="200"/>
        <w:jc w:val="left"/>
        <w:rPr>
          <w:rFonts w:hint="eastAsia" w:ascii="宋体" w:hAnsi="宋体" w:cs="宋体"/>
          <w:color w:val="auto"/>
          <w:szCs w:val="21"/>
          <w:highlight w:val="none"/>
        </w:rPr>
      </w:pPr>
      <w:bookmarkStart w:id="749" w:name="_Toc15058905"/>
      <w:bookmarkStart w:id="750" w:name="_Toc324404867"/>
      <w:r>
        <w:rPr>
          <w:rFonts w:hint="eastAsia" w:ascii="宋体" w:hAnsi="宋体" w:cs="宋体"/>
          <w:color w:val="auto"/>
          <w:szCs w:val="21"/>
          <w:highlight w:val="none"/>
        </w:rPr>
        <w:t>（1）法定代表人身份证明文件和本人有效身份证(或法定代表人授权委托书和委托代理人有效身份证)；</w:t>
      </w:r>
    </w:p>
    <w:p w14:paraId="3F0E71B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（2）诚信投标承诺书；</w:t>
      </w:r>
    </w:p>
    <w:p w14:paraId="12618AFF">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（3）企业法人营业执照；</w:t>
      </w:r>
    </w:p>
    <w:p w14:paraId="45677E59">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（4）企业资质证书</w:t>
      </w:r>
      <w:r>
        <w:rPr>
          <w:rFonts w:hint="eastAsia" w:ascii="宋体" w:hAnsi="宋体" w:cs="宋体"/>
          <w:color w:val="auto"/>
          <w:szCs w:val="21"/>
          <w:highlight w:val="none"/>
          <w:lang w:val="en-US" w:eastAsia="zh-CN"/>
        </w:rPr>
        <w:t>及</w:t>
      </w:r>
      <w:r>
        <w:rPr>
          <w:rFonts w:hint="eastAsia" w:ascii="宋体" w:hAnsi="宋体" w:cs="宋体"/>
          <w:color w:val="auto"/>
          <w:szCs w:val="21"/>
          <w:highlight w:val="none"/>
        </w:rPr>
        <w:t>企业安全生产许可证</w:t>
      </w:r>
      <w:r>
        <w:rPr>
          <w:rFonts w:hint="eastAsia" w:ascii="宋体" w:hAnsi="宋体" w:cs="宋体"/>
          <w:color w:val="auto"/>
          <w:szCs w:val="21"/>
          <w:highlight w:val="none"/>
        </w:rPr>
        <w:t>；</w:t>
      </w:r>
    </w:p>
    <w:p w14:paraId="0ED50D49">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rPr>
        <w:t>项目经理（建造师）有效身份证、注册证书以及安全生产考核合格证书（B证）</w:t>
      </w:r>
      <w:r>
        <w:rPr>
          <w:rFonts w:hint="eastAsia" w:ascii="宋体" w:hAnsi="宋体" w:cs="宋体"/>
          <w:color w:val="auto"/>
          <w:szCs w:val="21"/>
          <w:highlight w:val="none"/>
        </w:rPr>
        <w:t>；</w:t>
      </w:r>
    </w:p>
    <w:p w14:paraId="57EC5BE4">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color w:val="auto"/>
          <w:szCs w:val="21"/>
          <w:highlight w:val="none"/>
        </w:rPr>
        <w:t>投标人的法定代表人(或委托代理人)和拟任项目经理（建造师）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r>
        <w:rPr>
          <w:rFonts w:hint="eastAsia" w:ascii="宋体" w:hAnsi="宋体" w:cs="宋体"/>
          <w:color w:val="auto"/>
          <w:szCs w:val="21"/>
          <w:highlight w:val="none"/>
          <w:lang w:eastAsia="zh-CN"/>
        </w:rPr>
        <w:t>。</w:t>
      </w:r>
    </w:p>
    <w:bookmarkEnd w:id="749"/>
    <w:p w14:paraId="5990719C">
      <w:pPr>
        <w:pStyle w:val="3"/>
        <w:spacing w:beforeLines="50" w:afterLines="50"/>
        <w:ind w:firstLine="422" w:firstLineChars="200"/>
        <w:rPr>
          <w:rFonts w:ascii="宋体" w:hAnsi="宋体" w:eastAsia="宋体" w:cs="宋体"/>
          <w:color w:val="auto"/>
          <w:highlight w:val="none"/>
        </w:rPr>
      </w:pPr>
      <w:bookmarkStart w:id="751" w:name="_Toc12549"/>
      <w:bookmarkStart w:id="752" w:name="_Toc35424942"/>
      <w:bookmarkStart w:id="753" w:name="_Toc35425108"/>
      <w:bookmarkStart w:id="754" w:name="_Toc78803377"/>
      <w:bookmarkStart w:id="755" w:name="_Toc15058909"/>
      <w:bookmarkStart w:id="756" w:name="_Toc506107320"/>
      <w:r>
        <w:rPr>
          <w:rFonts w:hint="eastAsia" w:ascii="宋体" w:hAnsi="宋体" w:eastAsia="宋体" w:cs="宋体"/>
          <w:color w:val="auto"/>
          <w:highlight w:val="none"/>
        </w:rPr>
        <w:t>2.审查办法</w:t>
      </w:r>
      <w:bookmarkEnd w:id="750"/>
      <w:bookmarkEnd w:id="751"/>
      <w:bookmarkEnd w:id="752"/>
      <w:bookmarkEnd w:id="753"/>
      <w:bookmarkEnd w:id="754"/>
      <w:bookmarkEnd w:id="755"/>
      <w:bookmarkEnd w:id="756"/>
    </w:p>
    <w:p w14:paraId="0B018554">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14:paraId="447D2762">
      <w:pPr>
        <w:pStyle w:val="3"/>
        <w:spacing w:beforeLines="50" w:afterLines="50"/>
        <w:ind w:firstLine="422" w:firstLineChars="200"/>
        <w:rPr>
          <w:rFonts w:ascii="宋体" w:hAnsi="宋体" w:eastAsia="宋体" w:cs="宋体"/>
          <w:color w:val="auto"/>
          <w:highlight w:val="none"/>
        </w:rPr>
      </w:pPr>
      <w:bookmarkStart w:id="757" w:name="_Toc324404868"/>
      <w:bookmarkStart w:id="758" w:name="_Toc35425109"/>
      <w:bookmarkStart w:id="759" w:name="_Toc506107321"/>
      <w:bookmarkStart w:id="760" w:name="_Toc78803378"/>
      <w:bookmarkStart w:id="761" w:name="_Toc15058910"/>
      <w:bookmarkStart w:id="762" w:name="_Toc15626"/>
      <w:bookmarkStart w:id="763" w:name="_Toc35424943"/>
      <w:r>
        <w:rPr>
          <w:rFonts w:hint="eastAsia" w:ascii="宋体" w:hAnsi="宋体" w:eastAsia="宋体" w:cs="宋体"/>
          <w:color w:val="auto"/>
          <w:highlight w:val="none"/>
        </w:rPr>
        <w:t>3.资格审查委员会和审查标准</w:t>
      </w:r>
      <w:bookmarkEnd w:id="757"/>
      <w:bookmarkEnd w:id="758"/>
      <w:bookmarkEnd w:id="759"/>
      <w:bookmarkEnd w:id="760"/>
      <w:bookmarkEnd w:id="761"/>
      <w:bookmarkEnd w:id="762"/>
      <w:bookmarkEnd w:id="763"/>
    </w:p>
    <w:p w14:paraId="48F20776">
      <w:pPr>
        <w:spacing w:line="440" w:lineRule="exact"/>
        <w:ind w:firstLine="420" w:firstLineChars="200"/>
        <w:jc w:val="left"/>
        <w:rPr>
          <w:rFonts w:hint="eastAsia" w:ascii="宋体" w:hAnsi="宋体" w:eastAsia="宋体" w:cs="宋体"/>
          <w:color w:val="auto"/>
          <w:szCs w:val="21"/>
          <w:highlight w:val="none"/>
        </w:rPr>
      </w:pPr>
      <w:bookmarkStart w:id="764" w:name="_Toc35424944"/>
      <w:bookmarkStart w:id="765" w:name="_Toc506107322"/>
      <w:bookmarkStart w:id="766" w:name="_Toc15058911"/>
      <w:bookmarkStart w:id="767" w:name="_Toc10330"/>
      <w:bookmarkStart w:id="768" w:name="_Toc324404869"/>
      <w:bookmarkStart w:id="769" w:name="_Toc35425110"/>
      <w:bookmarkStart w:id="770" w:name="_Toc78803379"/>
      <w:r>
        <w:rPr>
          <w:rFonts w:hint="eastAsia" w:ascii="宋体" w:hAnsi="宋体" w:eastAsia="宋体" w:cs="宋体"/>
          <w:color w:val="auto"/>
          <w:szCs w:val="21"/>
          <w:highlight w:val="none"/>
        </w:rPr>
        <w:t>3.1资格审查由招标人依法组建的资格审查委员会（或评标委员会）负责。审查标准见资格审查办法前附表。</w:t>
      </w:r>
    </w:p>
    <w:p w14:paraId="75FCAEF4">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3.2由资格审查委员会（评标委员会）按资格审查办法前附表要求对投标人的审查资料进行核验。投标申请人有下列情形之一的，其资格审查为不合格： </w:t>
      </w:r>
    </w:p>
    <w:p w14:paraId="465F4E80">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（1）未上传电子标书或电子标书经审查不合格；</w:t>
      </w:r>
    </w:p>
    <w:p w14:paraId="526FEED7">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）法律、法规规定的其他情形。</w:t>
      </w:r>
    </w:p>
    <w:p w14:paraId="439F3B10">
      <w:pPr>
        <w:pStyle w:val="3"/>
        <w:spacing w:beforeLines="50" w:afterLines="50"/>
        <w:ind w:firstLine="422" w:firstLineChars="200"/>
        <w:rPr>
          <w:rFonts w:ascii="宋体" w:hAnsi="宋体" w:eastAsia="宋体" w:cs="宋体"/>
          <w:color w:val="auto"/>
          <w:highlight w:val="none"/>
        </w:rPr>
      </w:pPr>
      <w:r>
        <w:rPr>
          <w:rFonts w:hint="eastAsia" w:ascii="宋体" w:hAnsi="宋体" w:eastAsia="宋体" w:cs="宋体"/>
          <w:color w:val="auto"/>
          <w:highlight w:val="none"/>
        </w:rPr>
        <w:t>4.审查结果</w:t>
      </w:r>
      <w:bookmarkEnd w:id="764"/>
      <w:bookmarkEnd w:id="765"/>
      <w:bookmarkEnd w:id="766"/>
      <w:bookmarkEnd w:id="767"/>
      <w:bookmarkEnd w:id="768"/>
      <w:bookmarkEnd w:id="769"/>
      <w:bookmarkEnd w:id="770"/>
    </w:p>
    <w:p w14:paraId="58D45548">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只有通过资格审查的投标人才能进入下一步的评标程序。</w:t>
      </w:r>
      <w:bookmarkStart w:id="771" w:name="_Toc506107323"/>
    </w:p>
    <w:p w14:paraId="500CB5F4">
      <w:pPr>
        <w:pStyle w:val="2"/>
        <w:numPr>
          <w:ilvl w:val="0"/>
          <w:numId w:val="1"/>
        </w:numPr>
        <w:spacing w:beforeLines="50" w:afterLines="50"/>
        <w:rPr>
          <w:rFonts w:hint="eastAsia" w:ascii="Arial" w:hAnsi="Arial"/>
          <w:color w:val="auto"/>
          <w:kern w:val="0"/>
          <w:sz w:val="32"/>
          <w:szCs w:val="32"/>
          <w:highlight w:val="none"/>
        </w:rPr>
      </w:pPr>
      <w:bookmarkStart w:id="772" w:name="_Toc35425111"/>
      <w:bookmarkStart w:id="773" w:name="_Toc15058912"/>
      <w:bookmarkStart w:id="774" w:name="_Toc35424945"/>
      <w:r>
        <w:rPr>
          <w:rFonts w:hint="eastAsia"/>
          <w:color w:val="auto"/>
          <w:highlight w:val="none"/>
        </w:rPr>
        <w:br w:type="page"/>
      </w:r>
      <w:bookmarkStart w:id="775" w:name="_Toc78803380"/>
      <w:r>
        <w:rPr>
          <w:rFonts w:hint="eastAsia" w:ascii="Arial" w:hAnsi="Arial"/>
          <w:color w:val="auto"/>
          <w:kern w:val="0"/>
          <w:sz w:val="32"/>
          <w:szCs w:val="32"/>
          <w:highlight w:val="none"/>
        </w:rPr>
        <w:t>评标办法</w:t>
      </w:r>
      <w:bookmarkEnd w:id="623"/>
      <w:bookmarkEnd w:id="771"/>
      <w:bookmarkEnd w:id="772"/>
      <w:bookmarkEnd w:id="773"/>
      <w:bookmarkEnd w:id="774"/>
      <w:bookmarkEnd w:id="775"/>
    </w:p>
    <w:p w14:paraId="2FA1B32C">
      <w:pPr>
        <w:spacing w:line="560" w:lineRule="exact"/>
        <w:jc w:val="center"/>
        <w:rPr>
          <w:rFonts w:hint="eastAsia"/>
          <w:b/>
          <w:bCs/>
          <w:color w:val="auto"/>
          <w:sz w:val="28"/>
          <w:szCs w:val="28"/>
          <w:highlight w:val="none"/>
        </w:rPr>
      </w:pPr>
      <w:r>
        <w:rPr>
          <w:rFonts w:hint="eastAsia"/>
          <w:b/>
          <w:bCs/>
          <w:color w:val="auto"/>
          <w:sz w:val="28"/>
          <w:szCs w:val="28"/>
          <w:highlight w:val="none"/>
        </w:rPr>
        <w:t>（一）技术标评审</w:t>
      </w:r>
    </w:p>
    <w:tbl>
      <w:tblPr>
        <w:tblStyle w:val="47"/>
        <w:tblW w:w="9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1276"/>
        <w:gridCol w:w="675"/>
        <w:gridCol w:w="545"/>
        <w:gridCol w:w="2135"/>
        <w:gridCol w:w="4452"/>
      </w:tblGrid>
      <w:tr w14:paraId="0EC2C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184" w:type="dxa"/>
            <w:gridSpan w:val="2"/>
            <w:noWrap w:val="0"/>
            <w:vAlign w:val="center"/>
          </w:tcPr>
          <w:p w14:paraId="59171ED9">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3355" w:type="dxa"/>
            <w:gridSpan w:val="3"/>
            <w:noWrap w:val="0"/>
            <w:vAlign w:val="center"/>
          </w:tcPr>
          <w:p w14:paraId="15002D1E">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评</w:t>
            </w:r>
            <w:bookmarkStart w:id="776" w:name="_Toc152042387"/>
            <w:bookmarkStart w:id="777" w:name="_Toc324404881"/>
            <w:bookmarkStart w:id="778" w:name="_Toc179632627"/>
            <w:bookmarkStart w:id="779" w:name="_Toc247085767"/>
            <w:bookmarkStart w:id="780" w:name="_Toc152045609"/>
            <w:bookmarkStart w:id="781" w:name="_Toc417623601"/>
            <w:bookmarkStart w:id="782" w:name="_Toc144974577"/>
            <w:bookmarkStart w:id="783" w:name="_Toc246996995"/>
            <w:bookmarkStart w:id="784" w:name="_Toc246996252"/>
            <w:r>
              <w:rPr>
                <w:rFonts w:hint="eastAsia" w:ascii="宋体" w:hAnsi="宋体" w:cs="宋体"/>
                <w:color w:val="auto"/>
                <w:szCs w:val="21"/>
                <w:highlight w:val="none"/>
              </w:rPr>
              <w:t>审因</w:t>
            </w:r>
            <w:bookmarkEnd w:id="776"/>
            <w:bookmarkEnd w:id="777"/>
            <w:bookmarkEnd w:id="778"/>
            <w:bookmarkEnd w:id="779"/>
            <w:bookmarkEnd w:id="780"/>
            <w:bookmarkEnd w:id="781"/>
            <w:bookmarkEnd w:id="782"/>
            <w:bookmarkEnd w:id="783"/>
            <w:bookmarkEnd w:id="784"/>
            <w:bookmarkStart w:id="785" w:name="_Toc60061510"/>
            <w:r>
              <w:rPr>
                <w:rFonts w:hint="eastAsia" w:ascii="宋体" w:hAnsi="宋体" w:cs="宋体"/>
                <w:color w:val="auto"/>
                <w:szCs w:val="21"/>
                <w:highlight w:val="none"/>
              </w:rPr>
              <w:t>素</w:t>
            </w:r>
          </w:p>
        </w:tc>
        <w:tc>
          <w:tcPr>
            <w:tcW w:w="4452" w:type="dxa"/>
            <w:noWrap w:val="0"/>
            <w:vAlign w:val="center"/>
          </w:tcPr>
          <w:p w14:paraId="1F821FDC">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评审标准</w:t>
            </w:r>
          </w:p>
        </w:tc>
      </w:tr>
      <w:bookmarkEnd w:id="785"/>
      <w:tr w14:paraId="46B2D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restart"/>
            <w:noWrap w:val="0"/>
            <w:vAlign w:val="center"/>
          </w:tcPr>
          <w:p w14:paraId="08AD6D12">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4.1.1</w:t>
            </w:r>
          </w:p>
        </w:tc>
        <w:tc>
          <w:tcPr>
            <w:tcW w:w="1276" w:type="dxa"/>
            <w:vMerge w:val="restart"/>
            <w:noWrap w:val="0"/>
            <w:vAlign w:val="center"/>
          </w:tcPr>
          <w:p w14:paraId="63AC385C">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形式评审</w:t>
            </w:r>
          </w:p>
          <w:p w14:paraId="37BFF902">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标准</w:t>
            </w:r>
          </w:p>
        </w:tc>
        <w:tc>
          <w:tcPr>
            <w:tcW w:w="3355" w:type="dxa"/>
            <w:gridSpan w:val="3"/>
            <w:noWrap w:val="0"/>
            <w:vAlign w:val="center"/>
          </w:tcPr>
          <w:p w14:paraId="4BD30B6E">
            <w:pPr>
              <w:adjustRightInd w:val="0"/>
              <w:snapToGrid w:val="0"/>
              <w:spacing w:line="560" w:lineRule="exact"/>
              <w:jc w:val="center"/>
              <w:textAlignment w:val="baseline"/>
              <w:rPr>
                <w:color w:val="auto"/>
                <w:szCs w:val="21"/>
                <w:highlight w:val="none"/>
              </w:rPr>
            </w:pPr>
            <w:r>
              <w:rPr>
                <w:color w:val="auto"/>
                <w:szCs w:val="21"/>
                <w:highlight w:val="none"/>
              </w:rPr>
              <w:t>投标人名称</w:t>
            </w:r>
          </w:p>
        </w:tc>
        <w:tc>
          <w:tcPr>
            <w:tcW w:w="4452" w:type="dxa"/>
            <w:noWrap w:val="0"/>
            <w:vAlign w:val="center"/>
          </w:tcPr>
          <w:p w14:paraId="00F5552E">
            <w:pPr>
              <w:adjustRightInd w:val="0"/>
              <w:snapToGrid w:val="0"/>
              <w:spacing w:line="560" w:lineRule="exact"/>
              <w:textAlignment w:val="baseline"/>
              <w:rPr>
                <w:color w:val="auto"/>
                <w:szCs w:val="21"/>
                <w:highlight w:val="none"/>
              </w:rPr>
            </w:pPr>
            <w:r>
              <w:rPr>
                <w:color w:val="auto"/>
                <w:szCs w:val="21"/>
                <w:highlight w:val="none"/>
              </w:rPr>
              <w:t>与营业执照、资质证书</w:t>
            </w:r>
            <w:r>
              <w:rPr>
                <w:rFonts w:hint="eastAsia"/>
                <w:color w:val="auto"/>
                <w:szCs w:val="21"/>
                <w:highlight w:val="none"/>
              </w:rPr>
              <w:t>、安全生产许可证</w:t>
            </w:r>
            <w:r>
              <w:rPr>
                <w:color w:val="auto"/>
                <w:szCs w:val="21"/>
                <w:highlight w:val="none"/>
              </w:rPr>
              <w:t>一致</w:t>
            </w:r>
            <w:r>
              <w:rPr>
                <w:rFonts w:hint="eastAsia"/>
                <w:color w:val="auto"/>
                <w:szCs w:val="21"/>
                <w:highlight w:val="none"/>
              </w:rPr>
              <w:t>。</w:t>
            </w:r>
          </w:p>
        </w:tc>
      </w:tr>
      <w:tr w14:paraId="3495D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continue"/>
            <w:noWrap w:val="0"/>
            <w:vAlign w:val="center"/>
          </w:tcPr>
          <w:p w14:paraId="6973735B">
            <w:pPr>
              <w:adjustRightInd w:val="0"/>
              <w:snapToGrid w:val="0"/>
              <w:spacing w:line="560" w:lineRule="exact"/>
              <w:rPr>
                <w:rFonts w:hint="eastAsia" w:ascii="宋体" w:hAnsi="宋体" w:cs="宋体"/>
                <w:color w:val="auto"/>
                <w:szCs w:val="21"/>
                <w:highlight w:val="none"/>
              </w:rPr>
            </w:pPr>
          </w:p>
        </w:tc>
        <w:tc>
          <w:tcPr>
            <w:tcW w:w="1276" w:type="dxa"/>
            <w:vMerge w:val="continue"/>
            <w:noWrap w:val="0"/>
            <w:vAlign w:val="center"/>
          </w:tcPr>
          <w:p w14:paraId="195B8ED5">
            <w:pPr>
              <w:adjustRightInd w:val="0"/>
              <w:snapToGrid w:val="0"/>
              <w:spacing w:line="560" w:lineRule="exact"/>
              <w:jc w:val="center"/>
              <w:rPr>
                <w:rFonts w:hint="eastAsia" w:ascii="宋体" w:hAnsi="宋体" w:cs="宋体"/>
                <w:color w:val="auto"/>
                <w:szCs w:val="21"/>
                <w:highlight w:val="none"/>
              </w:rPr>
            </w:pPr>
          </w:p>
        </w:tc>
        <w:tc>
          <w:tcPr>
            <w:tcW w:w="3355" w:type="dxa"/>
            <w:gridSpan w:val="3"/>
            <w:noWrap w:val="0"/>
            <w:vAlign w:val="center"/>
          </w:tcPr>
          <w:p w14:paraId="3C7FF238">
            <w:pPr>
              <w:spacing w:line="560" w:lineRule="exact"/>
              <w:jc w:val="center"/>
              <w:rPr>
                <w:rFonts w:hint="eastAsia"/>
                <w:color w:val="auto"/>
                <w:highlight w:val="none"/>
              </w:rPr>
            </w:pPr>
            <w:r>
              <w:rPr>
                <w:rFonts w:hint="eastAsia"/>
                <w:color w:val="auto"/>
                <w:highlight w:val="none"/>
              </w:rPr>
              <w:t>投标文件格式</w:t>
            </w:r>
          </w:p>
        </w:tc>
        <w:tc>
          <w:tcPr>
            <w:tcW w:w="4452" w:type="dxa"/>
            <w:noWrap w:val="0"/>
            <w:vAlign w:val="center"/>
          </w:tcPr>
          <w:p w14:paraId="1BD47C31">
            <w:pPr>
              <w:spacing w:line="560" w:lineRule="exact"/>
              <w:rPr>
                <w:rFonts w:hint="eastAsia"/>
                <w:color w:val="auto"/>
                <w:highlight w:val="none"/>
              </w:rPr>
            </w:pPr>
            <w:r>
              <w:rPr>
                <w:rFonts w:hint="eastAsia"/>
                <w:color w:val="auto"/>
                <w:highlight w:val="none"/>
              </w:rPr>
              <w:t>符合第九章“投标文件格式”的要求，否则经评委会一致认定后,按照无效投标处理。</w:t>
            </w:r>
          </w:p>
        </w:tc>
      </w:tr>
      <w:tr w14:paraId="599FD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restart"/>
            <w:noWrap w:val="0"/>
            <w:vAlign w:val="center"/>
          </w:tcPr>
          <w:p w14:paraId="50E18AF4">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4.1.2</w:t>
            </w:r>
          </w:p>
        </w:tc>
        <w:tc>
          <w:tcPr>
            <w:tcW w:w="1276" w:type="dxa"/>
            <w:vMerge w:val="restart"/>
            <w:noWrap w:val="0"/>
            <w:vAlign w:val="center"/>
          </w:tcPr>
          <w:p w14:paraId="2D2FF2DA">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响应性评审标准（初步评审）</w:t>
            </w:r>
          </w:p>
        </w:tc>
        <w:tc>
          <w:tcPr>
            <w:tcW w:w="3355" w:type="dxa"/>
            <w:gridSpan w:val="3"/>
            <w:noWrap w:val="0"/>
            <w:vAlign w:val="center"/>
          </w:tcPr>
          <w:p w14:paraId="66ACE01E">
            <w:pPr>
              <w:adjustRightInd w:val="0"/>
              <w:snapToGrid w:val="0"/>
              <w:spacing w:line="560" w:lineRule="exact"/>
              <w:jc w:val="center"/>
              <w:textAlignment w:val="baseline"/>
              <w:rPr>
                <w:color w:val="auto"/>
                <w:szCs w:val="21"/>
                <w:highlight w:val="none"/>
              </w:rPr>
            </w:pPr>
            <w:r>
              <w:rPr>
                <w:color w:val="auto"/>
                <w:szCs w:val="21"/>
                <w:highlight w:val="none"/>
              </w:rPr>
              <w:t>投标内容</w:t>
            </w:r>
          </w:p>
        </w:tc>
        <w:tc>
          <w:tcPr>
            <w:tcW w:w="4452" w:type="dxa"/>
            <w:noWrap w:val="0"/>
            <w:vAlign w:val="center"/>
          </w:tcPr>
          <w:p w14:paraId="285B077A">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符合第二章“投标人须知”规定。</w:t>
            </w:r>
          </w:p>
        </w:tc>
      </w:tr>
      <w:tr w14:paraId="239A8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continue"/>
            <w:noWrap w:val="0"/>
            <w:vAlign w:val="top"/>
          </w:tcPr>
          <w:p w14:paraId="71901E3A">
            <w:pPr>
              <w:adjustRightInd w:val="0"/>
              <w:snapToGrid w:val="0"/>
              <w:spacing w:line="560" w:lineRule="exact"/>
              <w:jc w:val="center"/>
              <w:rPr>
                <w:rFonts w:hint="eastAsia" w:ascii="宋体" w:hAnsi="宋体" w:cs="宋体"/>
                <w:color w:val="auto"/>
                <w:szCs w:val="21"/>
                <w:highlight w:val="none"/>
              </w:rPr>
            </w:pPr>
          </w:p>
        </w:tc>
        <w:tc>
          <w:tcPr>
            <w:tcW w:w="1276" w:type="dxa"/>
            <w:vMerge w:val="continue"/>
            <w:noWrap w:val="0"/>
            <w:vAlign w:val="center"/>
          </w:tcPr>
          <w:p w14:paraId="30B2E92F">
            <w:pPr>
              <w:adjustRightInd w:val="0"/>
              <w:snapToGrid w:val="0"/>
              <w:spacing w:line="560" w:lineRule="exact"/>
              <w:jc w:val="center"/>
              <w:rPr>
                <w:rFonts w:hint="eastAsia" w:ascii="宋体" w:hAnsi="宋体" w:cs="宋体"/>
                <w:color w:val="auto"/>
                <w:szCs w:val="21"/>
                <w:highlight w:val="none"/>
              </w:rPr>
            </w:pPr>
          </w:p>
        </w:tc>
        <w:tc>
          <w:tcPr>
            <w:tcW w:w="3355" w:type="dxa"/>
            <w:gridSpan w:val="3"/>
            <w:noWrap w:val="0"/>
            <w:vAlign w:val="center"/>
          </w:tcPr>
          <w:p w14:paraId="4581781F">
            <w:pPr>
              <w:adjustRightInd w:val="0"/>
              <w:snapToGrid w:val="0"/>
              <w:spacing w:line="560" w:lineRule="exact"/>
              <w:jc w:val="center"/>
              <w:textAlignment w:val="baseline"/>
              <w:rPr>
                <w:color w:val="auto"/>
                <w:szCs w:val="21"/>
                <w:highlight w:val="none"/>
              </w:rPr>
            </w:pPr>
            <w:r>
              <w:rPr>
                <w:color w:val="auto"/>
                <w:szCs w:val="21"/>
                <w:highlight w:val="none"/>
              </w:rPr>
              <w:t>权利义务</w:t>
            </w:r>
          </w:p>
        </w:tc>
        <w:tc>
          <w:tcPr>
            <w:tcW w:w="4452" w:type="dxa"/>
            <w:noWrap w:val="0"/>
            <w:vAlign w:val="center"/>
          </w:tcPr>
          <w:p w14:paraId="7B7EA531">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符合第五章“合同条款及格式”规定。</w:t>
            </w:r>
          </w:p>
        </w:tc>
      </w:tr>
      <w:tr w14:paraId="5B39D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08" w:type="dxa"/>
            <w:vMerge w:val="continue"/>
            <w:noWrap w:val="0"/>
            <w:vAlign w:val="top"/>
          </w:tcPr>
          <w:p w14:paraId="336C07E3">
            <w:pPr>
              <w:adjustRightInd w:val="0"/>
              <w:snapToGrid w:val="0"/>
              <w:spacing w:line="560" w:lineRule="exact"/>
              <w:jc w:val="center"/>
              <w:rPr>
                <w:rFonts w:hint="eastAsia" w:ascii="宋体" w:hAnsi="宋体" w:cs="宋体"/>
                <w:color w:val="auto"/>
                <w:szCs w:val="21"/>
                <w:highlight w:val="none"/>
              </w:rPr>
            </w:pPr>
          </w:p>
        </w:tc>
        <w:tc>
          <w:tcPr>
            <w:tcW w:w="1276" w:type="dxa"/>
            <w:vMerge w:val="continue"/>
            <w:noWrap w:val="0"/>
            <w:vAlign w:val="center"/>
          </w:tcPr>
          <w:p w14:paraId="550D1C0B">
            <w:pPr>
              <w:adjustRightInd w:val="0"/>
              <w:snapToGrid w:val="0"/>
              <w:spacing w:line="560" w:lineRule="exact"/>
              <w:jc w:val="center"/>
              <w:rPr>
                <w:rFonts w:hint="eastAsia" w:ascii="宋体" w:hAnsi="宋体" w:cs="宋体"/>
                <w:color w:val="auto"/>
                <w:szCs w:val="21"/>
                <w:highlight w:val="none"/>
              </w:rPr>
            </w:pPr>
          </w:p>
        </w:tc>
        <w:tc>
          <w:tcPr>
            <w:tcW w:w="3355" w:type="dxa"/>
            <w:gridSpan w:val="3"/>
            <w:noWrap w:val="0"/>
            <w:vAlign w:val="center"/>
          </w:tcPr>
          <w:p w14:paraId="7094F8FE">
            <w:pPr>
              <w:adjustRightInd w:val="0"/>
              <w:snapToGrid w:val="0"/>
              <w:spacing w:line="560" w:lineRule="exact"/>
              <w:jc w:val="center"/>
              <w:textAlignment w:val="baseline"/>
              <w:rPr>
                <w:color w:val="auto"/>
                <w:szCs w:val="21"/>
                <w:highlight w:val="none"/>
              </w:rPr>
            </w:pPr>
            <w:r>
              <w:rPr>
                <w:rFonts w:hint="eastAsia"/>
                <w:color w:val="auto"/>
                <w:szCs w:val="21"/>
                <w:highlight w:val="none"/>
              </w:rPr>
              <w:t>技术标准和要求</w:t>
            </w:r>
          </w:p>
        </w:tc>
        <w:tc>
          <w:tcPr>
            <w:tcW w:w="4452" w:type="dxa"/>
            <w:noWrap w:val="0"/>
            <w:vAlign w:val="center"/>
          </w:tcPr>
          <w:p w14:paraId="05CAEE73">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符合第八章“技术标准和要求”规定。</w:t>
            </w:r>
          </w:p>
        </w:tc>
      </w:tr>
      <w:tr w14:paraId="22368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08" w:type="dxa"/>
            <w:vMerge w:val="continue"/>
            <w:noWrap w:val="0"/>
            <w:vAlign w:val="top"/>
          </w:tcPr>
          <w:p w14:paraId="2387AEA5">
            <w:pPr>
              <w:adjustRightInd w:val="0"/>
              <w:snapToGrid w:val="0"/>
              <w:spacing w:line="560" w:lineRule="exact"/>
              <w:rPr>
                <w:rFonts w:hint="eastAsia" w:ascii="宋体" w:hAnsi="宋体" w:cs="宋体"/>
                <w:color w:val="auto"/>
                <w:szCs w:val="21"/>
                <w:highlight w:val="none"/>
              </w:rPr>
            </w:pPr>
          </w:p>
        </w:tc>
        <w:tc>
          <w:tcPr>
            <w:tcW w:w="1276" w:type="dxa"/>
            <w:vMerge w:val="restart"/>
            <w:noWrap w:val="0"/>
            <w:vAlign w:val="center"/>
          </w:tcPr>
          <w:p w14:paraId="46E87900">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响应性评审标准（符合性评审）</w:t>
            </w:r>
          </w:p>
        </w:tc>
        <w:tc>
          <w:tcPr>
            <w:tcW w:w="675" w:type="dxa"/>
            <w:vMerge w:val="restart"/>
            <w:noWrap w:val="0"/>
            <w:vAlign w:val="center"/>
          </w:tcPr>
          <w:p w14:paraId="7507017E">
            <w:pPr>
              <w:adjustRightInd w:val="0"/>
              <w:snapToGrid w:val="0"/>
              <w:spacing w:line="560" w:lineRule="exact"/>
              <w:jc w:val="center"/>
              <w:rPr>
                <w:rFonts w:hint="eastAsia" w:ascii="宋体" w:hAnsi="宋体" w:cs="宋体"/>
                <w:color w:val="auto"/>
                <w:szCs w:val="21"/>
                <w:highlight w:val="none"/>
              </w:rPr>
            </w:pPr>
          </w:p>
          <w:p w14:paraId="52DD174E">
            <w:pPr>
              <w:adjustRightInd w:val="0"/>
              <w:snapToGrid w:val="0"/>
              <w:spacing w:line="560" w:lineRule="exact"/>
              <w:jc w:val="center"/>
              <w:rPr>
                <w:rFonts w:hint="eastAsia" w:ascii="宋体" w:hAnsi="宋体" w:cs="宋体"/>
                <w:color w:val="auto"/>
                <w:szCs w:val="21"/>
                <w:highlight w:val="none"/>
              </w:rPr>
            </w:pPr>
          </w:p>
          <w:p w14:paraId="411327C0">
            <w:pPr>
              <w:adjustRightInd w:val="0"/>
              <w:snapToGrid w:val="0"/>
              <w:spacing w:line="560" w:lineRule="exact"/>
              <w:jc w:val="center"/>
              <w:rPr>
                <w:rFonts w:hint="eastAsia" w:ascii="宋体" w:hAnsi="宋体" w:cs="宋体"/>
                <w:color w:val="auto"/>
                <w:szCs w:val="21"/>
                <w:highlight w:val="none"/>
              </w:rPr>
            </w:pPr>
          </w:p>
          <w:p w14:paraId="5D0A60F4">
            <w:pPr>
              <w:adjustRightInd w:val="0"/>
              <w:snapToGrid w:val="0"/>
              <w:spacing w:line="560" w:lineRule="exact"/>
              <w:jc w:val="center"/>
              <w:rPr>
                <w:rFonts w:hint="eastAsia" w:ascii="宋体" w:hAnsi="宋体" w:cs="宋体"/>
                <w:color w:val="auto"/>
                <w:szCs w:val="21"/>
                <w:highlight w:val="none"/>
              </w:rPr>
            </w:pPr>
          </w:p>
          <w:p w14:paraId="7EF89C5D">
            <w:pPr>
              <w:adjustRightInd w:val="0"/>
              <w:snapToGrid w:val="0"/>
              <w:spacing w:line="560" w:lineRule="exact"/>
              <w:rPr>
                <w:rFonts w:hint="eastAsia" w:ascii="宋体" w:hAnsi="宋体" w:cs="宋体"/>
                <w:color w:val="auto"/>
                <w:szCs w:val="21"/>
                <w:highlight w:val="none"/>
              </w:rPr>
            </w:pPr>
          </w:p>
          <w:p w14:paraId="5354A6D1">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施工组织设计</w:t>
            </w:r>
          </w:p>
        </w:tc>
        <w:tc>
          <w:tcPr>
            <w:tcW w:w="545" w:type="dxa"/>
            <w:noWrap w:val="0"/>
            <w:vAlign w:val="center"/>
          </w:tcPr>
          <w:p w14:paraId="7A5D70DD">
            <w:pPr>
              <w:adjustRightInd w:val="0"/>
              <w:snapToGrid w:val="0"/>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1</w:t>
            </w:r>
          </w:p>
        </w:tc>
        <w:tc>
          <w:tcPr>
            <w:tcW w:w="2135" w:type="dxa"/>
            <w:noWrap w:val="0"/>
            <w:vAlign w:val="center"/>
          </w:tcPr>
          <w:p w14:paraId="6A580744">
            <w:pPr>
              <w:adjustRightInd w:val="0"/>
              <w:snapToGrid w:val="0"/>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工程概况</w:t>
            </w:r>
          </w:p>
        </w:tc>
        <w:tc>
          <w:tcPr>
            <w:tcW w:w="4452" w:type="dxa"/>
            <w:noWrap w:val="0"/>
            <w:vAlign w:val="center"/>
          </w:tcPr>
          <w:p w14:paraId="089574EE">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描述是否准确。</w:t>
            </w:r>
          </w:p>
        </w:tc>
      </w:tr>
      <w:tr w14:paraId="57B3E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continue"/>
            <w:noWrap w:val="0"/>
            <w:vAlign w:val="top"/>
          </w:tcPr>
          <w:p w14:paraId="27647E24">
            <w:pPr>
              <w:adjustRightInd w:val="0"/>
              <w:snapToGrid w:val="0"/>
              <w:spacing w:line="560" w:lineRule="exact"/>
              <w:rPr>
                <w:rFonts w:hint="eastAsia" w:ascii="宋体" w:hAnsi="宋体" w:cs="宋体"/>
                <w:color w:val="auto"/>
                <w:szCs w:val="21"/>
                <w:highlight w:val="none"/>
              </w:rPr>
            </w:pPr>
          </w:p>
        </w:tc>
        <w:tc>
          <w:tcPr>
            <w:tcW w:w="1276" w:type="dxa"/>
            <w:vMerge w:val="continue"/>
            <w:noWrap w:val="0"/>
            <w:vAlign w:val="top"/>
          </w:tcPr>
          <w:p w14:paraId="7C3CFE8F">
            <w:pPr>
              <w:adjustRightInd w:val="0"/>
              <w:snapToGrid w:val="0"/>
              <w:spacing w:line="560" w:lineRule="exact"/>
              <w:rPr>
                <w:rFonts w:hint="eastAsia" w:ascii="宋体" w:hAnsi="宋体" w:cs="宋体"/>
                <w:color w:val="auto"/>
                <w:szCs w:val="21"/>
                <w:highlight w:val="none"/>
              </w:rPr>
            </w:pPr>
          </w:p>
        </w:tc>
        <w:tc>
          <w:tcPr>
            <w:tcW w:w="675" w:type="dxa"/>
            <w:vMerge w:val="continue"/>
            <w:noWrap w:val="0"/>
            <w:vAlign w:val="top"/>
          </w:tcPr>
          <w:p w14:paraId="6378327B">
            <w:pPr>
              <w:adjustRightInd w:val="0"/>
              <w:snapToGrid w:val="0"/>
              <w:spacing w:line="560" w:lineRule="exact"/>
              <w:rPr>
                <w:rFonts w:hint="eastAsia" w:ascii="宋体" w:hAnsi="宋体" w:cs="宋体"/>
                <w:color w:val="auto"/>
                <w:szCs w:val="21"/>
                <w:highlight w:val="none"/>
              </w:rPr>
            </w:pPr>
          </w:p>
        </w:tc>
        <w:tc>
          <w:tcPr>
            <w:tcW w:w="545" w:type="dxa"/>
            <w:noWrap w:val="0"/>
            <w:vAlign w:val="center"/>
          </w:tcPr>
          <w:p w14:paraId="786AE853">
            <w:pPr>
              <w:adjustRightInd w:val="0"/>
              <w:snapToGrid w:val="0"/>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2</w:t>
            </w:r>
          </w:p>
        </w:tc>
        <w:tc>
          <w:tcPr>
            <w:tcW w:w="2135" w:type="dxa"/>
            <w:noWrap w:val="0"/>
            <w:vAlign w:val="center"/>
          </w:tcPr>
          <w:p w14:paraId="57903660">
            <w:pPr>
              <w:adjustRightInd w:val="0"/>
              <w:snapToGrid w:val="0"/>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主要施工方法</w:t>
            </w:r>
          </w:p>
        </w:tc>
        <w:tc>
          <w:tcPr>
            <w:tcW w:w="4452" w:type="dxa"/>
            <w:noWrap w:val="0"/>
            <w:vAlign w:val="center"/>
          </w:tcPr>
          <w:p w14:paraId="0ACE0EDE">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各主要分部施工方法符合项目实际，须有详尽的施工技术方案，工艺先进、方法科学合理、可行，能指导具体施工并确保安全。</w:t>
            </w:r>
          </w:p>
        </w:tc>
      </w:tr>
      <w:tr w14:paraId="441C4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08" w:type="dxa"/>
            <w:vMerge w:val="continue"/>
            <w:noWrap w:val="0"/>
            <w:vAlign w:val="top"/>
          </w:tcPr>
          <w:p w14:paraId="5A2500E4">
            <w:pPr>
              <w:adjustRightInd w:val="0"/>
              <w:snapToGrid w:val="0"/>
              <w:spacing w:line="560" w:lineRule="exact"/>
              <w:rPr>
                <w:rFonts w:hint="eastAsia" w:ascii="宋体" w:hAnsi="宋体" w:cs="宋体"/>
                <w:color w:val="auto"/>
                <w:szCs w:val="21"/>
                <w:highlight w:val="none"/>
              </w:rPr>
            </w:pPr>
          </w:p>
        </w:tc>
        <w:tc>
          <w:tcPr>
            <w:tcW w:w="1276" w:type="dxa"/>
            <w:vMerge w:val="continue"/>
            <w:noWrap w:val="0"/>
            <w:vAlign w:val="top"/>
          </w:tcPr>
          <w:p w14:paraId="5B33F529">
            <w:pPr>
              <w:adjustRightInd w:val="0"/>
              <w:snapToGrid w:val="0"/>
              <w:spacing w:line="560" w:lineRule="exact"/>
              <w:rPr>
                <w:rFonts w:hint="eastAsia" w:ascii="宋体" w:hAnsi="宋体" w:cs="宋体"/>
                <w:color w:val="auto"/>
                <w:szCs w:val="21"/>
                <w:highlight w:val="none"/>
              </w:rPr>
            </w:pPr>
          </w:p>
        </w:tc>
        <w:tc>
          <w:tcPr>
            <w:tcW w:w="675" w:type="dxa"/>
            <w:vMerge w:val="continue"/>
            <w:noWrap w:val="0"/>
            <w:vAlign w:val="top"/>
          </w:tcPr>
          <w:p w14:paraId="3F766B71">
            <w:pPr>
              <w:adjustRightInd w:val="0"/>
              <w:snapToGrid w:val="0"/>
              <w:spacing w:line="560" w:lineRule="exact"/>
              <w:rPr>
                <w:rFonts w:hint="eastAsia" w:ascii="宋体" w:hAnsi="宋体" w:cs="宋体"/>
                <w:color w:val="auto"/>
                <w:szCs w:val="21"/>
                <w:highlight w:val="none"/>
              </w:rPr>
            </w:pPr>
          </w:p>
        </w:tc>
        <w:tc>
          <w:tcPr>
            <w:tcW w:w="545" w:type="dxa"/>
            <w:noWrap w:val="0"/>
            <w:vAlign w:val="center"/>
          </w:tcPr>
          <w:p w14:paraId="32969009">
            <w:pPr>
              <w:adjustRightInd w:val="0"/>
              <w:snapToGrid w:val="0"/>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3</w:t>
            </w:r>
          </w:p>
        </w:tc>
        <w:tc>
          <w:tcPr>
            <w:tcW w:w="2135" w:type="dxa"/>
            <w:noWrap w:val="0"/>
            <w:vAlign w:val="center"/>
          </w:tcPr>
          <w:p w14:paraId="6FA69C8E">
            <w:pPr>
              <w:adjustRightInd w:val="0"/>
              <w:snapToGrid w:val="0"/>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拟投入的主要物资计划</w:t>
            </w:r>
          </w:p>
        </w:tc>
        <w:tc>
          <w:tcPr>
            <w:tcW w:w="4452" w:type="dxa"/>
            <w:noWrap w:val="0"/>
            <w:vAlign w:val="center"/>
          </w:tcPr>
          <w:p w14:paraId="7CA3F7AF">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投入的施工材料有详细计划且计划周密，数量、选型配置、进场数量、时间安排合理，满足施工需要。</w:t>
            </w:r>
          </w:p>
        </w:tc>
      </w:tr>
      <w:tr w14:paraId="1911D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908" w:type="dxa"/>
            <w:vMerge w:val="continue"/>
            <w:noWrap w:val="0"/>
            <w:vAlign w:val="top"/>
          </w:tcPr>
          <w:p w14:paraId="35F54CF0">
            <w:pPr>
              <w:adjustRightInd w:val="0"/>
              <w:snapToGrid w:val="0"/>
              <w:spacing w:line="560" w:lineRule="exact"/>
              <w:rPr>
                <w:rFonts w:hint="eastAsia" w:ascii="宋体" w:hAnsi="宋体" w:cs="宋体"/>
                <w:color w:val="auto"/>
                <w:szCs w:val="21"/>
                <w:highlight w:val="none"/>
              </w:rPr>
            </w:pPr>
          </w:p>
        </w:tc>
        <w:tc>
          <w:tcPr>
            <w:tcW w:w="1276" w:type="dxa"/>
            <w:vMerge w:val="continue"/>
            <w:noWrap w:val="0"/>
            <w:vAlign w:val="top"/>
          </w:tcPr>
          <w:p w14:paraId="1BCF7CF7">
            <w:pPr>
              <w:adjustRightInd w:val="0"/>
              <w:snapToGrid w:val="0"/>
              <w:spacing w:line="560" w:lineRule="exact"/>
              <w:rPr>
                <w:rFonts w:hint="eastAsia" w:ascii="宋体" w:hAnsi="宋体" w:cs="宋体"/>
                <w:color w:val="auto"/>
                <w:szCs w:val="21"/>
                <w:highlight w:val="none"/>
              </w:rPr>
            </w:pPr>
          </w:p>
        </w:tc>
        <w:tc>
          <w:tcPr>
            <w:tcW w:w="675" w:type="dxa"/>
            <w:vMerge w:val="continue"/>
            <w:noWrap w:val="0"/>
            <w:vAlign w:val="top"/>
          </w:tcPr>
          <w:p w14:paraId="0C8A5D68">
            <w:pPr>
              <w:adjustRightInd w:val="0"/>
              <w:snapToGrid w:val="0"/>
              <w:spacing w:line="560" w:lineRule="exact"/>
              <w:rPr>
                <w:rFonts w:hint="eastAsia" w:ascii="宋体" w:hAnsi="宋体" w:cs="宋体"/>
                <w:color w:val="auto"/>
                <w:szCs w:val="21"/>
                <w:highlight w:val="none"/>
              </w:rPr>
            </w:pPr>
          </w:p>
        </w:tc>
        <w:tc>
          <w:tcPr>
            <w:tcW w:w="545" w:type="dxa"/>
            <w:noWrap w:val="0"/>
            <w:vAlign w:val="center"/>
          </w:tcPr>
          <w:p w14:paraId="0A7D8678">
            <w:pPr>
              <w:adjustRightInd w:val="0"/>
              <w:snapToGrid w:val="0"/>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4</w:t>
            </w:r>
          </w:p>
        </w:tc>
        <w:tc>
          <w:tcPr>
            <w:tcW w:w="2135" w:type="dxa"/>
            <w:noWrap w:val="0"/>
            <w:vAlign w:val="center"/>
          </w:tcPr>
          <w:p w14:paraId="468783F1">
            <w:pPr>
              <w:adjustRightInd w:val="0"/>
              <w:snapToGrid w:val="0"/>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拟投入的主要施工机械、设备计划</w:t>
            </w:r>
          </w:p>
        </w:tc>
        <w:tc>
          <w:tcPr>
            <w:tcW w:w="4452" w:type="dxa"/>
            <w:noWrap w:val="0"/>
            <w:vAlign w:val="center"/>
          </w:tcPr>
          <w:p w14:paraId="5379E92E">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投入的施工机械、设备、机具有详细计划且计划周密，设备数量、选型配置、进场数量、时间 合理、满足施工需要。</w:t>
            </w:r>
          </w:p>
        </w:tc>
      </w:tr>
      <w:tr w14:paraId="5896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08" w:type="dxa"/>
            <w:vMerge w:val="continue"/>
            <w:noWrap w:val="0"/>
            <w:vAlign w:val="top"/>
          </w:tcPr>
          <w:p w14:paraId="7FA4026F">
            <w:pPr>
              <w:adjustRightInd w:val="0"/>
              <w:snapToGrid w:val="0"/>
              <w:spacing w:line="560" w:lineRule="exact"/>
              <w:rPr>
                <w:rFonts w:hint="eastAsia" w:ascii="宋体" w:hAnsi="宋体" w:cs="宋体"/>
                <w:color w:val="auto"/>
                <w:szCs w:val="21"/>
                <w:highlight w:val="none"/>
              </w:rPr>
            </w:pPr>
          </w:p>
        </w:tc>
        <w:tc>
          <w:tcPr>
            <w:tcW w:w="1276" w:type="dxa"/>
            <w:vMerge w:val="continue"/>
            <w:noWrap w:val="0"/>
            <w:vAlign w:val="top"/>
          </w:tcPr>
          <w:p w14:paraId="1781E3E9">
            <w:pPr>
              <w:adjustRightInd w:val="0"/>
              <w:snapToGrid w:val="0"/>
              <w:spacing w:line="560" w:lineRule="exact"/>
              <w:rPr>
                <w:rFonts w:hint="eastAsia" w:ascii="宋体" w:hAnsi="宋体" w:cs="宋体"/>
                <w:color w:val="auto"/>
                <w:szCs w:val="21"/>
                <w:highlight w:val="none"/>
              </w:rPr>
            </w:pPr>
          </w:p>
        </w:tc>
        <w:tc>
          <w:tcPr>
            <w:tcW w:w="675" w:type="dxa"/>
            <w:vMerge w:val="continue"/>
            <w:noWrap w:val="0"/>
            <w:vAlign w:val="top"/>
          </w:tcPr>
          <w:p w14:paraId="55DABDD1">
            <w:pPr>
              <w:adjustRightInd w:val="0"/>
              <w:snapToGrid w:val="0"/>
              <w:spacing w:line="560" w:lineRule="exact"/>
              <w:rPr>
                <w:rFonts w:hint="eastAsia" w:ascii="宋体" w:hAnsi="宋体" w:cs="宋体"/>
                <w:color w:val="auto"/>
                <w:szCs w:val="21"/>
                <w:highlight w:val="none"/>
              </w:rPr>
            </w:pPr>
          </w:p>
        </w:tc>
        <w:tc>
          <w:tcPr>
            <w:tcW w:w="545" w:type="dxa"/>
            <w:noWrap w:val="0"/>
            <w:vAlign w:val="center"/>
          </w:tcPr>
          <w:p w14:paraId="4C4C0CBC">
            <w:pPr>
              <w:adjustRightInd w:val="0"/>
              <w:snapToGrid w:val="0"/>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5</w:t>
            </w:r>
          </w:p>
        </w:tc>
        <w:tc>
          <w:tcPr>
            <w:tcW w:w="2135" w:type="dxa"/>
            <w:noWrap w:val="0"/>
            <w:vAlign w:val="center"/>
          </w:tcPr>
          <w:p w14:paraId="5630DFB2">
            <w:pPr>
              <w:adjustRightInd w:val="0"/>
              <w:snapToGrid w:val="0"/>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劳动力安排计划</w:t>
            </w:r>
          </w:p>
        </w:tc>
        <w:tc>
          <w:tcPr>
            <w:tcW w:w="4452" w:type="dxa"/>
            <w:noWrap w:val="0"/>
            <w:vAlign w:val="center"/>
          </w:tcPr>
          <w:p w14:paraId="079FA0BD">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各主要施工工序应有详细周密的劳动力安排计划明细，有各工种劳动力安排计划。劳动力投入经济合理，满足施工需要。</w:t>
            </w:r>
          </w:p>
        </w:tc>
      </w:tr>
      <w:tr w14:paraId="36294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908" w:type="dxa"/>
            <w:vMerge w:val="continue"/>
            <w:noWrap w:val="0"/>
            <w:vAlign w:val="top"/>
          </w:tcPr>
          <w:p w14:paraId="56388D99">
            <w:pPr>
              <w:adjustRightInd w:val="0"/>
              <w:snapToGrid w:val="0"/>
              <w:spacing w:line="560" w:lineRule="exact"/>
              <w:rPr>
                <w:rFonts w:hint="eastAsia" w:ascii="宋体" w:hAnsi="宋体" w:cs="宋体"/>
                <w:color w:val="auto"/>
                <w:szCs w:val="21"/>
                <w:highlight w:val="none"/>
              </w:rPr>
            </w:pPr>
          </w:p>
        </w:tc>
        <w:tc>
          <w:tcPr>
            <w:tcW w:w="1276" w:type="dxa"/>
            <w:vMerge w:val="continue"/>
            <w:noWrap w:val="0"/>
            <w:vAlign w:val="top"/>
          </w:tcPr>
          <w:p w14:paraId="5BCD2909">
            <w:pPr>
              <w:adjustRightInd w:val="0"/>
              <w:snapToGrid w:val="0"/>
              <w:spacing w:line="560" w:lineRule="exact"/>
              <w:rPr>
                <w:rFonts w:hint="eastAsia" w:ascii="宋体" w:hAnsi="宋体" w:cs="宋体"/>
                <w:color w:val="auto"/>
                <w:szCs w:val="21"/>
                <w:highlight w:val="none"/>
              </w:rPr>
            </w:pPr>
          </w:p>
        </w:tc>
        <w:tc>
          <w:tcPr>
            <w:tcW w:w="675" w:type="dxa"/>
            <w:vMerge w:val="continue"/>
            <w:noWrap w:val="0"/>
            <w:vAlign w:val="top"/>
          </w:tcPr>
          <w:p w14:paraId="4EDA7205">
            <w:pPr>
              <w:adjustRightInd w:val="0"/>
              <w:snapToGrid w:val="0"/>
              <w:spacing w:line="560" w:lineRule="exact"/>
              <w:rPr>
                <w:rFonts w:hint="eastAsia" w:ascii="宋体" w:hAnsi="宋体" w:cs="宋体"/>
                <w:color w:val="auto"/>
                <w:szCs w:val="21"/>
                <w:highlight w:val="none"/>
              </w:rPr>
            </w:pPr>
          </w:p>
        </w:tc>
        <w:tc>
          <w:tcPr>
            <w:tcW w:w="545" w:type="dxa"/>
            <w:noWrap w:val="0"/>
            <w:vAlign w:val="center"/>
          </w:tcPr>
          <w:p w14:paraId="02CB97D0">
            <w:pPr>
              <w:adjustRightInd w:val="0"/>
              <w:snapToGrid w:val="0"/>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6</w:t>
            </w:r>
          </w:p>
        </w:tc>
        <w:tc>
          <w:tcPr>
            <w:tcW w:w="2135" w:type="dxa"/>
            <w:noWrap w:val="0"/>
            <w:vAlign w:val="center"/>
          </w:tcPr>
          <w:p w14:paraId="22F4C078">
            <w:pPr>
              <w:adjustRightInd w:val="0"/>
              <w:snapToGrid w:val="0"/>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确保工程质量的技术组织措施</w:t>
            </w:r>
          </w:p>
        </w:tc>
        <w:tc>
          <w:tcPr>
            <w:tcW w:w="4452" w:type="dxa"/>
            <w:noWrap w:val="0"/>
            <w:vAlign w:val="center"/>
          </w:tcPr>
          <w:p w14:paraId="17772703">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施工项目应有专门的质量技术管理班子和制度，且人员配备合理，制度健全，主要工序应有质量技术保证措施和手段，自控体系完整，能有效的保证技术质量，达到承诺的质量标准。</w:t>
            </w:r>
          </w:p>
        </w:tc>
      </w:tr>
      <w:tr w14:paraId="30264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908" w:type="dxa"/>
            <w:vMerge w:val="continue"/>
            <w:noWrap w:val="0"/>
            <w:vAlign w:val="top"/>
          </w:tcPr>
          <w:p w14:paraId="175419E3">
            <w:pPr>
              <w:adjustRightInd w:val="0"/>
              <w:snapToGrid w:val="0"/>
              <w:spacing w:line="560" w:lineRule="exact"/>
              <w:rPr>
                <w:rFonts w:hint="eastAsia" w:ascii="宋体" w:hAnsi="宋体" w:cs="宋体"/>
                <w:color w:val="auto"/>
                <w:szCs w:val="21"/>
                <w:highlight w:val="none"/>
              </w:rPr>
            </w:pPr>
          </w:p>
        </w:tc>
        <w:tc>
          <w:tcPr>
            <w:tcW w:w="1276" w:type="dxa"/>
            <w:vMerge w:val="continue"/>
            <w:noWrap w:val="0"/>
            <w:vAlign w:val="top"/>
          </w:tcPr>
          <w:p w14:paraId="58E2438D">
            <w:pPr>
              <w:adjustRightInd w:val="0"/>
              <w:snapToGrid w:val="0"/>
              <w:spacing w:line="560" w:lineRule="exact"/>
              <w:rPr>
                <w:rFonts w:hint="eastAsia" w:ascii="宋体" w:hAnsi="宋体" w:cs="宋体"/>
                <w:color w:val="auto"/>
                <w:szCs w:val="21"/>
                <w:highlight w:val="none"/>
              </w:rPr>
            </w:pPr>
          </w:p>
        </w:tc>
        <w:tc>
          <w:tcPr>
            <w:tcW w:w="675" w:type="dxa"/>
            <w:vMerge w:val="continue"/>
            <w:noWrap w:val="0"/>
            <w:vAlign w:val="top"/>
          </w:tcPr>
          <w:p w14:paraId="028A0482">
            <w:pPr>
              <w:adjustRightInd w:val="0"/>
              <w:snapToGrid w:val="0"/>
              <w:spacing w:line="560" w:lineRule="exact"/>
              <w:rPr>
                <w:rFonts w:hint="eastAsia" w:ascii="宋体" w:hAnsi="宋体" w:cs="宋体"/>
                <w:color w:val="auto"/>
                <w:szCs w:val="21"/>
                <w:highlight w:val="none"/>
              </w:rPr>
            </w:pPr>
          </w:p>
        </w:tc>
        <w:tc>
          <w:tcPr>
            <w:tcW w:w="545" w:type="dxa"/>
            <w:noWrap w:val="0"/>
            <w:vAlign w:val="center"/>
          </w:tcPr>
          <w:p w14:paraId="3E862BDE">
            <w:pPr>
              <w:adjustRightInd w:val="0"/>
              <w:snapToGrid w:val="0"/>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7</w:t>
            </w:r>
          </w:p>
        </w:tc>
        <w:tc>
          <w:tcPr>
            <w:tcW w:w="2135" w:type="dxa"/>
            <w:noWrap w:val="0"/>
            <w:vAlign w:val="center"/>
          </w:tcPr>
          <w:p w14:paraId="39D89257">
            <w:pPr>
              <w:adjustRightInd w:val="0"/>
              <w:snapToGrid w:val="0"/>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确保安全生产的技术组织措施</w:t>
            </w:r>
          </w:p>
        </w:tc>
        <w:tc>
          <w:tcPr>
            <w:tcW w:w="4452" w:type="dxa"/>
            <w:noWrap w:val="0"/>
            <w:vAlign w:val="center"/>
          </w:tcPr>
          <w:p w14:paraId="68AD6633">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施工项目应有专门的安全管理人员和制度，且人员配备合理，制度健全，各道工序安全技术措施针对性强，符合实际且满足有关安全技术标准要求。现场防火、社会治安安全措施得力。</w:t>
            </w:r>
          </w:p>
        </w:tc>
      </w:tr>
      <w:tr w14:paraId="7596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jc w:val="center"/>
        </w:trPr>
        <w:tc>
          <w:tcPr>
            <w:tcW w:w="908" w:type="dxa"/>
            <w:vMerge w:val="continue"/>
            <w:noWrap w:val="0"/>
            <w:vAlign w:val="top"/>
          </w:tcPr>
          <w:p w14:paraId="63159667">
            <w:pPr>
              <w:adjustRightInd w:val="0"/>
              <w:snapToGrid w:val="0"/>
              <w:spacing w:line="560" w:lineRule="exact"/>
              <w:rPr>
                <w:rFonts w:hint="eastAsia" w:ascii="宋体" w:hAnsi="宋体" w:cs="宋体"/>
                <w:color w:val="auto"/>
                <w:szCs w:val="21"/>
                <w:highlight w:val="none"/>
              </w:rPr>
            </w:pPr>
          </w:p>
        </w:tc>
        <w:tc>
          <w:tcPr>
            <w:tcW w:w="1276" w:type="dxa"/>
            <w:vMerge w:val="continue"/>
            <w:noWrap w:val="0"/>
            <w:vAlign w:val="top"/>
          </w:tcPr>
          <w:p w14:paraId="4F33C4AB">
            <w:pPr>
              <w:adjustRightInd w:val="0"/>
              <w:snapToGrid w:val="0"/>
              <w:spacing w:line="560" w:lineRule="exact"/>
              <w:rPr>
                <w:rFonts w:hint="eastAsia" w:ascii="宋体" w:hAnsi="宋体" w:cs="宋体"/>
                <w:color w:val="auto"/>
                <w:szCs w:val="21"/>
                <w:highlight w:val="none"/>
              </w:rPr>
            </w:pPr>
          </w:p>
        </w:tc>
        <w:tc>
          <w:tcPr>
            <w:tcW w:w="675" w:type="dxa"/>
            <w:vMerge w:val="continue"/>
            <w:noWrap w:val="0"/>
            <w:vAlign w:val="top"/>
          </w:tcPr>
          <w:p w14:paraId="5AEFDC26">
            <w:pPr>
              <w:adjustRightInd w:val="0"/>
              <w:snapToGrid w:val="0"/>
              <w:spacing w:line="560" w:lineRule="exact"/>
              <w:rPr>
                <w:rFonts w:hint="eastAsia" w:ascii="宋体" w:hAnsi="宋体" w:cs="宋体"/>
                <w:color w:val="auto"/>
                <w:szCs w:val="21"/>
                <w:highlight w:val="none"/>
              </w:rPr>
            </w:pPr>
          </w:p>
        </w:tc>
        <w:tc>
          <w:tcPr>
            <w:tcW w:w="545" w:type="dxa"/>
            <w:noWrap w:val="0"/>
            <w:vAlign w:val="center"/>
          </w:tcPr>
          <w:p w14:paraId="0323F2D6">
            <w:pPr>
              <w:adjustRightInd w:val="0"/>
              <w:snapToGrid w:val="0"/>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8</w:t>
            </w:r>
          </w:p>
        </w:tc>
        <w:tc>
          <w:tcPr>
            <w:tcW w:w="2135" w:type="dxa"/>
            <w:noWrap w:val="0"/>
            <w:vAlign w:val="center"/>
          </w:tcPr>
          <w:p w14:paraId="33DE06D6">
            <w:pPr>
              <w:adjustRightInd w:val="0"/>
              <w:snapToGrid w:val="0"/>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确保工期的技术组织措施</w:t>
            </w:r>
          </w:p>
        </w:tc>
        <w:tc>
          <w:tcPr>
            <w:tcW w:w="4452" w:type="dxa"/>
            <w:noWrap w:val="0"/>
            <w:vAlign w:val="center"/>
          </w:tcPr>
          <w:p w14:paraId="7CB251C9">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tc>
      </w:tr>
      <w:tr w14:paraId="44EE7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908" w:type="dxa"/>
            <w:vMerge w:val="continue"/>
            <w:noWrap w:val="0"/>
            <w:vAlign w:val="top"/>
          </w:tcPr>
          <w:p w14:paraId="5EB1DA1C">
            <w:pPr>
              <w:adjustRightInd w:val="0"/>
              <w:snapToGrid w:val="0"/>
              <w:spacing w:line="560" w:lineRule="exact"/>
              <w:rPr>
                <w:rFonts w:hint="eastAsia" w:ascii="宋体" w:hAnsi="宋体" w:cs="宋体"/>
                <w:color w:val="auto"/>
                <w:szCs w:val="21"/>
                <w:highlight w:val="none"/>
              </w:rPr>
            </w:pPr>
          </w:p>
        </w:tc>
        <w:tc>
          <w:tcPr>
            <w:tcW w:w="1276" w:type="dxa"/>
            <w:vMerge w:val="continue"/>
            <w:noWrap w:val="0"/>
            <w:vAlign w:val="top"/>
          </w:tcPr>
          <w:p w14:paraId="234FFA4D">
            <w:pPr>
              <w:adjustRightInd w:val="0"/>
              <w:snapToGrid w:val="0"/>
              <w:spacing w:line="560" w:lineRule="exact"/>
              <w:rPr>
                <w:rFonts w:hint="eastAsia" w:ascii="宋体" w:hAnsi="宋体" w:cs="宋体"/>
                <w:color w:val="auto"/>
                <w:szCs w:val="21"/>
                <w:highlight w:val="none"/>
              </w:rPr>
            </w:pPr>
          </w:p>
        </w:tc>
        <w:tc>
          <w:tcPr>
            <w:tcW w:w="675" w:type="dxa"/>
            <w:vMerge w:val="continue"/>
            <w:noWrap w:val="0"/>
            <w:vAlign w:val="top"/>
          </w:tcPr>
          <w:p w14:paraId="3DCE748B">
            <w:pPr>
              <w:adjustRightInd w:val="0"/>
              <w:snapToGrid w:val="0"/>
              <w:spacing w:line="560" w:lineRule="exact"/>
              <w:rPr>
                <w:rFonts w:hint="eastAsia" w:ascii="宋体" w:hAnsi="宋体" w:cs="宋体"/>
                <w:color w:val="auto"/>
                <w:szCs w:val="21"/>
                <w:highlight w:val="none"/>
              </w:rPr>
            </w:pPr>
          </w:p>
        </w:tc>
        <w:tc>
          <w:tcPr>
            <w:tcW w:w="545" w:type="dxa"/>
            <w:noWrap w:val="0"/>
            <w:vAlign w:val="center"/>
          </w:tcPr>
          <w:p w14:paraId="2F2A5DA1">
            <w:pPr>
              <w:adjustRightInd w:val="0"/>
              <w:snapToGrid w:val="0"/>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9</w:t>
            </w:r>
          </w:p>
        </w:tc>
        <w:tc>
          <w:tcPr>
            <w:tcW w:w="2135" w:type="dxa"/>
            <w:noWrap w:val="0"/>
            <w:vAlign w:val="center"/>
          </w:tcPr>
          <w:p w14:paraId="4036AB6A">
            <w:pPr>
              <w:adjustRightInd w:val="0"/>
              <w:snapToGrid w:val="0"/>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确保文明施工的技术组织措施</w:t>
            </w:r>
          </w:p>
        </w:tc>
        <w:tc>
          <w:tcPr>
            <w:tcW w:w="4452" w:type="dxa"/>
            <w:noWrap w:val="0"/>
            <w:vAlign w:val="center"/>
          </w:tcPr>
          <w:p w14:paraId="05C7013A">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针对本工程特点，应有现场文明施工计划，环境保护措施，且计划措施内容应达到“安全文明示范工地”标准。各项措施周全、具体、有效。有具体实现现场文明施工目标的承诺。</w:t>
            </w:r>
          </w:p>
        </w:tc>
      </w:tr>
      <w:tr w14:paraId="0583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08" w:type="dxa"/>
            <w:vMerge w:val="continue"/>
            <w:noWrap w:val="0"/>
            <w:vAlign w:val="top"/>
          </w:tcPr>
          <w:p w14:paraId="6C4D79EB">
            <w:pPr>
              <w:adjustRightInd w:val="0"/>
              <w:snapToGrid w:val="0"/>
              <w:spacing w:line="560" w:lineRule="exact"/>
              <w:rPr>
                <w:rFonts w:hint="eastAsia" w:ascii="宋体" w:hAnsi="宋体" w:cs="宋体"/>
                <w:color w:val="auto"/>
                <w:szCs w:val="21"/>
                <w:highlight w:val="none"/>
              </w:rPr>
            </w:pPr>
          </w:p>
        </w:tc>
        <w:tc>
          <w:tcPr>
            <w:tcW w:w="1276" w:type="dxa"/>
            <w:vMerge w:val="continue"/>
            <w:noWrap w:val="0"/>
            <w:vAlign w:val="top"/>
          </w:tcPr>
          <w:p w14:paraId="6B8CF4BB">
            <w:pPr>
              <w:adjustRightInd w:val="0"/>
              <w:snapToGrid w:val="0"/>
              <w:spacing w:line="560" w:lineRule="exact"/>
              <w:rPr>
                <w:rFonts w:hint="eastAsia" w:ascii="宋体" w:hAnsi="宋体" w:cs="宋体"/>
                <w:color w:val="auto"/>
                <w:szCs w:val="21"/>
                <w:highlight w:val="none"/>
              </w:rPr>
            </w:pPr>
          </w:p>
        </w:tc>
        <w:tc>
          <w:tcPr>
            <w:tcW w:w="675" w:type="dxa"/>
            <w:vMerge w:val="continue"/>
            <w:noWrap w:val="0"/>
            <w:vAlign w:val="top"/>
          </w:tcPr>
          <w:p w14:paraId="51DED56F">
            <w:pPr>
              <w:adjustRightInd w:val="0"/>
              <w:snapToGrid w:val="0"/>
              <w:spacing w:line="560" w:lineRule="exact"/>
              <w:rPr>
                <w:rFonts w:hint="eastAsia" w:ascii="宋体" w:hAnsi="宋体" w:cs="宋体"/>
                <w:color w:val="auto"/>
                <w:szCs w:val="21"/>
                <w:highlight w:val="none"/>
              </w:rPr>
            </w:pPr>
          </w:p>
        </w:tc>
        <w:tc>
          <w:tcPr>
            <w:tcW w:w="545" w:type="dxa"/>
            <w:noWrap w:val="0"/>
            <w:vAlign w:val="center"/>
          </w:tcPr>
          <w:p w14:paraId="483BB911">
            <w:pPr>
              <w:adjustRightInd w:val="0"/>
              <w:snapToGrid w:val="0"/>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10</w:t>
            </w:r>
          </w:p>
        </w:tc>
        <w:tc>
          <w:tcPr>
            <w:tcW w:w="2135" w:type="dxa"/>
            <w:noWrap w:val="0"/>
            <w:vAlign w:val="center"/>
          </w:tcPr>
          <w:p w14:paraId="53F6EE94">
            <w:pPr>
              <w:adjustRightInd w:val="0"/>
              <w:snapToGrid w:val="0"/>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工程施工重点和难点及保证措施</w:t>
            </w:r>
          </w:p>
        </w:tc>
        <w:tc>
          <w:tcPr>
            <w:tcW w:w="4452" w:type="dxa"/>
            <w:noWrap w:val="0"/>
            <w:vAlign w:val="center"/>
          </w:tcPr>
          <w:p w14:paraId="2A1E4C26">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是否正确（本条内容须与前附表要求对应）。</w:t>
            </w:r>
          </w:p>
        </w:tc>
      </w:tr>
      <w:tr w14:paraId="7EC1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08" w:type="dxa"/>
            <w:vMerge w:val="continue"/>
            <w:noWrap w:val="0"/>
            <w:vAlign w:val="top"/>
          </w:tcPr>
          <w:p w14:paraId="5C1D692C">
            <w:pPr>
              <w:adjustRightInd w:val="0"/>
              <w:snapToGrid w:val="0"/>
              <w:spacing w:line="560" w:lineRule="exact"/>
              <w:rPr>
                <w:rFonts w:hint="eastAsia" w:ascii="宋体" w:hAnsi="宋体" w:cs="宋体"/>
                <w:color w:val="auto"/>
                <w:szCs w:val="21"/>
                <w:highlight w:val="none"/>
              </w:rPr>
            </w:pPr>
          </w:p>
        </w:tc>
        <w:tc>
          <w:tcPr>
            <w:tcW w:w="1276" w:type="dxa"/>
            <w:vMerge w:val="continue"/>
            <w:noWrap w:val="0"/>
            <w:vAlign w:val="top"/>
          </w:tcPr>
          <w:p w14:paraId="5174201D">
            <w:pPr>
              <w:adjustRightInd w:val="0"/>
              <w:snapToGrid w:val="0"/>
              <w:spacing w:line="560" w:lineRule="exact"/>
              <w:rPr>
                <w:rFonts w:hint="eastAsia" w:ascii="宋体" w:hAnsi="宋体" w:cs="宋体"/>
                <w:color w:val="auto"/>
                <w:szCs w:val="21"/>
                <w:highlight w:val="none"/>
              </w:rPr>
            </w:pPr>
          </w:p>
        </w:tc>
        <w:tc>
          <w:tcPr>
            <w:tcW w:w="675" w:type="dxa"/>
            <w:vMerge w:val="continue"/>
            <w:noWrap w:val="0"/>
            <w:vAlign w:val="top"/>
          </w:tcPr>
          <w:p w14:paraId="1395A141">
            <w:pPr>
              <w:adjustRightInd w:val="0"/>
              <w:snapToGrid w:val="0"/>
              <w:spacing w:line="560" w:lineRule="exact"/>
              <w:rPr>
                <w:rFonts w:hint="eastAsia" w:ascii="宋体" w:hAnsi="宋体" w:cs="宋体"/>
                <w:color w:val="auto"/>
                <w:szCs w:val="21"/>
                <w:highlight w:val="none"/>
              </w:rPr>
            </w:pPr>
          </w:p>
        </w:tc>
        <w:tc>
          <w:tcPr>
            <w:tcW w:w="545" w:type="dxa"/>
            <w:noWrap w:val="0"/>
            <w:vAlign w:val="center"/>
          </w:tcPr>
          <w:p w14:paraId="1E2E7717">
            <w:pPr>
              <w:adjustRightInd w:val="0"/>
              <w:snapToGrid w:val="0"/>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11</w:t>
            </w:r>
          </w:p>
        </w:tc>
        <w:tc>
          <w:tcPr>
            <w:tcW w:w="2135" w:type="dxa"/>
            <w:noWrap w:val="0"/>
            <w:vAlign w:val="center"/>
          </w:tcPr>
          <w:p w14:paraId="2F83FB9B">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危大工程安全管理（如有）</w:t>
            </w:r>
          </w:p>
        </w:tc>
        <w:tc>
          <w:tcPr>
            <w:tcW w:w="4452" w:type="dxa"/>
            <w:noWrap w:val="0"/>
            <w:vAlign w:val="top"/>
          </w:tcPr>
          <w:p w14:paraId="60FB6895">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根据招标人在招标文件中列明的危大工程清单及结合招标项目实际情况补充完善危大工程清单，编制专项施工方案并明确相应的安全管理措施。</w:t>
            </w:r>
          </w:p>
        </w:tc>
      </w:tr>
      <w:tr w14:paraId="1C60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8" w:type="dxa"/>
            <w:vMerge w:val="continue"/>
            <w:noWrap w:val="0"/>
            <w:vAlign w:val="top"/>
          </w:tcPr>
          <w:p w14:paraId="1F7DECAC">
            <w:pPr>
              <w:adjustRightInd w:val="0"/>
              <w:snapToGrid w:val="0"/>
              <w:spacing w:line="560" w:lineRule="exact"/>
              <w:rPr>
                <w:rFonts w:hint="eastAsia" w:ascii="宋体" w:hAnsi="宋体" w:cs="宋体"/>
                <w:color w:val="auto"/>
                <w:szCs w:val="21"/>
                <w:highlight w:val="none"/>
              </w:rPr>
            </w:pPr>
          </w:p>
        </w:tc>
        <w:tc>
          <w:tcPr>
            <w:tcW w:w="1276" w:type="dxa"/>
            <w:vMerge w:val="continue"/>
            <w:noWrap w:val="0"/>
            <w:vAlign w:val="top"/>
          </w:tcPr>
          <w:p w14:paraId="1B2A03E2">
            <w:pPr>
              <w:adjustRightInd w:val="0"/>
              <w:snapToGrid w:val="0"/>
              <w:spacing w:line="560" w:lineRule="exact"/>
              <w:rPr>
                <w:rFonts w:hint="eastAsia" w:ascii="宋体" w:hAnsi="宋体" w:cs="宋体"/>
                <w:color w:val="auto"/>
                <w:szCs w:val="21"/>
                <w:highlight w:val="none"/>
              </w:rPr>
            </w:pPr>
          </w:p>
        </w:tc>
        <w:tc>
          <w:tcPr>
            <w:tcW w:w="675" w:type="dxa"/>
            <w:vMerge w:val="continue"/>
            <w:noWrap w:val="0"/>
            <w:vAlign w:val="top"/>
          </w:tcPr>
          <w:p w14:paraId="1BAE94D5">
            <w:pPr>
              <w:adjustRightInd w:val="0"/>
              <w:snapToGrid w:val="0"/>
              <w:spacing w:line="560" w:lineRule="exact"/>
              <w:rPr>
                <w:rFonts w:hint="eastAsia" w:ascii="宋体" w:hAnsi="宋体" w:cs="宋体"/>
                <w:color w:val="auto"/>
                <w:szCs w:val="21"/>
                <w:highlight w:val="none"/>
              </w:rPr>
            </w:pPr>
          </w:p>
        </w:tc>
        <w:tc>
          <w:tcPr>
            <w:tcW w:w="545" w:type="dxa"/>
            <w:noWrap w:val="0"/>
            <w:vAlign w:val="center"/>
          </w:tcPr>
          <w:p w14:paraId="299A989B">
            <w:pPr>
              <w:adjustRightInd w:val="0"/>
              <w:snapToGrid w:val="0"/>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12</w:t>
            </w:r>
          </w:p>
        </w:tc>
        <w:tc>
          <w:tcPr>
            <w:tcW w:w="2135" w:type="dxa"/>
            <w:noWrap w:val="0"/>
            <w:vAlign w:val="center"/>
          </w:tcPr>
          <w:p w14:paraId="07C94632">
            <w:pPr>
              <w:adjustRightInd w:val="0"/>
              <w:snapToGrid w:val="0"/>
              <w:spacing w:line="560" w:lineRule="exact"/>
              <w:jc w:val="center"/>
              <w:rPr>
                <w:rFonts w:hint="eastAsia" w:ascii="宋体" w:hAnsi="宋体" w:cs="宋体"/>
                <w:color w:val="auto"/>
                <w:szCs w:val="21"/>
                <w:highlight w:val="none"/>
              </w:rPr>
            </w:pPr>
            <w:r>
              <w:rPr>
                <w:rFonts w:hint="eastAsia" w:ascii="宋体" w:hAnsi="宋体" w:cs="宋体"/>
                <w:color w:val="auto"/>
                <w:szCs w:val="21"/>
                <w:highlight w:val="none"/>
              </w:rPr>
              <w:t>施工总平面布置图</w:t>
            </w:r>
          </w:p>
        </w:tc>
        <w:tc>
          <w:tcPr>
            <w:tcW w:w="4452" w:type="dxa"/>
            <w:noWrap w:val="0"/>
            <w:vAlign w:val="center"/>
          </w:tcPr>
          <w:p w14:paraId="0DAE5236">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应有施工总平面布置图，安排科学合理，符合本项目施工实际要求。</w:t>
            </w:r>
          </w:p>
        </w:tc>
      </w:tr>
      <w:tr w14:paraId="0103A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08" w:type="dxa"/>
            <w:vMerge w:val="continue"/>
            <w:noWrap w:val="0"/>
            <w:vAlign w:val="top"/>
          </w:tcPr>
          <w:p w14:paraId="6B1CF1F2">
            <w:pPr>
              <w:adjustRightInd w:val="0"/>
              <w:snapToGrid w:val="0"/>
              <w:spacing w:line="560" w:lineRule="exact"/>
              <w:rPr>
                <w:rFonts w:hint="eastAsia" w:ascii="宋体" w:hAnsi="宋体" w:cs="宋体"/>
                <w:color w:val="auto"/>
                <w:szCs w:val="21"/>
                <w:highlight w:val="none"/>
              </w:rPr>
            </w:pPr>
          </w:p>
        </w:tc>
        <w:tc>
          <w:tcPr>
            <w:tcW w:w="1276" w:type="dxa"/>
            <w:vMerge w:val="continue"/>
            <w:noWrap w:val="0"/>
            <w:vAlign w:val="top"/>
          </w:tcPr>
          <w:p w14:paraId="10EA60E4">
            <w:pPr>
              <w:adjustRightInd w:val="0"/>
              <w:snapToGrid w:val="0"/>
              <w:spacing w:line="560" w:lineRule="exact"/>
              <w:rPr>
                <w:rFonts w:hint="eastAsia" w:ascii="宋体" w:hAnsi="宋体" w:cs="宋体"/>
                <w:color w:val="auto"/>
                <w:szCs w:val="21"/>
                <w:highlight w:val="none"/>
              </w:rPr>
            </w:pPr>
          </w:p>
        </w:tc>
        <w:tc>
          <w:tcPr>
            <w:tcW w:w="675" w:type="dxa"/>
            <w:vMerge w:val="continue"/>
            <w:noWrap w:val="0"/>
            <w:vAlign w:val="top"/>
          </w:tcPr>
          <w:p w14:paraId="6D40CFBB">
            <w:pPr>
              <w:adjustRightInd w:val="0"/>
              <w:snapToGrid w:val="0"/>
              <w:spacing w:line="560" w:lineRule="exact"/>
              <w:rPr>
                <w:rFonts w:hint="eastAsia" w:ascii="宋体" w:hAnsi="宋体" w:cs="宋体"/>
                <w:color w:val="auto"/>
                <w:szCs w:val="21"/>
                <w:highlight w:val="none"/>
              </w:rPr>
            </w:pPr>
          </w:p>
        </w:tc>
        <w:tc>
          <w:tcPr>
            <w:tcW w:w="545" w:type="dxa"/>
            <w:noWrap w:val="0"/>
            <w:vAlign w:val="center"/>
          </w:tcPr>
          <w:p w14:paraId="39EAE6C0">
            <w:pPr>
              <w:adjustRightInd w:val="0"/>
              <w:snapToGrid w:val="0"/>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13</w:t>
            </w:r>
          </w:p>
        </w:tc>
        <w:tc>
          <w:tcPr>
            <w:tcW w:w="2135" w:type="dxa"/>
            <w:noWrap w:val="0"/>
            <w:vAlign w:val="center"/>
          </w:tcPr>
          <w:p w14:paraId="46634758">
            <w:pPr>
              <w:adjustRightInd w:val="0"/>
              <w:snapToGrid w:val="0"/>
              <w:spacing w:line="560" w:lineRule="exact"/>
              <w:jc w:val="left"/>
              <w:rPr>
                <w:rFonts w:hint="eastAsia" w:ascii="宋体" w:hAnsi="宋体" w:cs="宋体"/>
                <w:color w:val="auto"/>
                <w:szCs w:val="21"/>
                <w:highlight w:val="none"/>
              </w:rPr>
            </w:pPr>
            <w:r>
              <w:rPr>
                <w:rFonts w:hint="eastAsia" w:ascii="宋体" w:hAnsi="宋体" w:cs="宋体"/>
                <w:color w:val="auto"/>
                <w:szCs w:val="21"/>
                <w:highlight w:val="none"/>
              </w:rPr>
              <w:t>施工组织设计整体</w:t>
            </w:r>
          </w:p>
        </w:tc>
        <w:tc>
          <w:tcPr>
            <w:tcW w:w="4452" w:type="dxa"/>
            <w:noWrap w:val="0"/>
            <w:vAlign w:val="center"/>
          </w:tcPr>
          <w:p w14:paraId="33C4C361">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针对性、完整性符合要求。</w:t>
            </w:r>
          </w:p>
        </w:tc>
      </w:tr>
    </w:tbl>
    <w:p w14:paraId="0E04F289">
      <w:pPr>
        <w:pStyle w:val="14"/>
        <w:adjustRightInd w:val="0"/>
        <w:snapToGrid w:val="0"/>
        <w:spacing w:after="0" w:line="560" w:lineRule="exact"/>
        <w:ind w:left="0" w:leftChars="0" w:firstLine="0" w:firstLineChars="0"/>
        <w:jc w:val="center"/>
        <w:rPr>
          <w:rFonts w:hint="eastAsia"/>
          <w:b/>
          <w:bCs/>
          <w:color w:val="auto"/>
          <w:sz w:val="28"/>
          <w:szCs w:val="28"/>
          <w:highlight w:val="none"/>
        </w:rPr>
      </w:pPr>
      <w:r>
        <w:rPr>
          <w:rFonts w:hint="eastAsia"/>
          <w:b/>
          <w:bCs/>
          <w:color w:val="auto"/>
          <w:sz w:val="28"/>
          <w:szCs w:val="28"/>
          <w:highlight w:val="none"/>
        </w:rPr>
        <w:t>（二）商务标评审</w:t>
      </w:r>
    </w:p>
    <w:tbl>
      <w:tblPr>
        <w:tblStyle w:val="47"/>
        <w:tblW w:w="10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780"/>
        <w:gridCol w:w="846"/>
        <w:gridCol w:w="1985"/>
        <w:gridCol w:w="5794"/>
      </w:tblGrid>
      <w:tr w14:paraId="1DE62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61" w:type="dxa"/>
            <w:gridSpan w:val="2"/>
            <w:noWrap w:val="0"/>
            <w:vAlign w:val="center"/>
          </w:tcPr>
          <w:p w14:paraId="38B50079">
            <w:pPr>
              <w:adjustRightInd w:val="0"/>
              <w:snapToGrid w:val="0"/>
              <w:spacing w:line="560" w:lineRule="exact"/>
              <w:jc w:val="center"/>
              <w:rPr>
                <w:rFonts w:ascii="宋体" w:hAnsi="宋体"/>
                <w:color w:val="auto"/>
                <w:szCs w:val="21"/>
                <w:highlight w:val="none"/>
              </w:rPr>
            </w:pPr>
            <w:r>
              <w:rPr>
                <w:rFonts w:hint="eastAsia" w:ascii="宋体" w:hAnsi="宋体"/>
                <w:color w:val="auto"/>
                <w:szCs w:val="21"/>
                <w:highlight w:val="none"/>
              </w:rPr>
              <w:t>条款号</w:t>
            </w:r>
          </w:p>
        </w:tc>
        <w:tc>
          <w:tcPr>
            <w:tcW w:w="2831" w:type="dxa"/>
            <w:gridSpan w:val="2"/>
            <w:noWrap w:val="0"/>
            <w:vAlign w:val="center"/>
          </w:tcPr>
          <w:p w14:paraId="2716B85D">
            <w:pPr>
              <w:adjustRightInd w:val="0"/>
              <w:snapToGrid w:val="0"/>
              <w:spacing w:line="560" w:lineRule="exact"/>
              <w:jc w:val="center"/>
              <w:rPr>
                <w:rFonts w:ascii="宋体" w:hAnsi="宋体"/>
                <w:color w:val="auto"/>
                <w:szCs w:val="21"/>
                <w:highlight w:val="none"/>
              </w:rPr>
            </w:pPr>
            <w:r>
              <w:rPr>
                <w:rFonts w:hint="eastAsia" w:ascii="宋体" w:hAnsi="宋体"/>
                <w:color w:val="auto"/>
                <w:szCs w:val="21"/>
                <w:highlight w:val="none"/>
              </w:rPr>
              <w:t>评审因素</w:t>
            </w:r>
          </w:p>
        </w:tc>
        <w:tc>
          <w:tcPr>
            <w:tcW w:w="5794" w:type="dxa"/>
            <w:noWrap w:val="0"/>
            <w:vAlign w:val="center"/>
          </w:tcPr>
          <w:p w14:paraId="56471F7B">
            <w:pPr>
              <w:adjustRightInd w:val="0"/>
              <w:snapToGrid w:val="0"/>
              <w:spacing w:line="560" w:lineRule="exact"/>
              <w:jc w:val="center"/>
              <w:rPr>
                <w:rFonts w:ascii="宋体" w:hAnsi="宋体"/>
                <w:color w:val="auto"/>
                <w:szCs w:val="21"/>
                <w:highlight w:val="none"/>
              </w:rPr>
            </w:pPr>
            <w:r>
              <w:rPr>
                <w:rFonts w:hint="eastAsia" w:ascii="宋体" w:hAnsi="宋体"/>
                <w:color w:val="auto"/>
                <w:szCs w:val="21"/>
                <w:highlight w:val="none"/>
              </w:rPr>
              <w:t>评审标准</w:t>
            </w:r>
          </w:p>
        </w:tc>
      </w:tr>
      <w:tr w14:paraId="4B525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81" w:type="dxa"/>
            <w:vMerge w:val="restart"/>
            <w:noWrap w:val="0"/>
            <w:vAlign w:val="center"/>
          </w:tcPr>
          <w:p w14:paraId="469A0E36">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4.2.1</w:t>
            </w:r>
          </w:p>
        </w:tc>
        <w:tc>
          <w:tcPr>
            <w:tcW w:w="780" w:type="dxa"/>
            <w:vMerge w:val="restart"/>
            <w:noWrap w:val="0"/>
            <w:vAlign w:val="center"/>
          </w:tcPr>
          <w:p w14:paraId="285838C8">
            <w:pPr>
              <w:adjustRightInd w:val="0"/>
              <w:snapToGrid w:val="0"/>
              <w:spacing w:line="560" w:lineRule="exact"/>
              <w:jc w:val="center"/>
              <w:rPr>
                <w:rFonts w:ascii="宋体" w:hAnsi="宋体"/>
                <w:color w:val="auto"/>
                <w:szCs w:val="21"/>
                <w:highlight w:val="none"/>
              </w:rPr>
            </w:pPr>
            <w:r>
              <w:rPr>
                <w:rFonts w:hint="eastAsia" w:ascii="宋体" w:hAnsi="宋体"/>
                <w:color w:val="auto"/>
                <w:szCs w:val="21"/>
                <w:highlight w:val="none"/>
              </w:rPr>
              <w:t>形式评审标准</w:t>
            </w:r>
          </w:p>
        </w:tc>
        <w:tc>
          <w:tcPr>
            <w:tcW w:w="2831" w:type="dxa"/>
            <w:gridSpan w:val="2"/>
            <w:noWrap w:val="0"/>
            <w:vAlign w:val="center"/>
          </w:tcPr>
          <w:p w14:paraId="1D4C053A">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投标函签字盖章</w:t>
            </w:r>
          </w:p>
        </w:tc>
        <w:tc>
          <w:tcPr>
            <w:tcW w:w="5794" w:type="dxa"/>
            <w:noWrap w:val="0"/>
            <w:vAlign w:val="center"/>
          </w:tcPr>
          <w:p w14:paraId="0CA55300">
            <w:pPr>
              <w:adjustRightInd w:val="0"/>
              <w:snapToGrid w:val="0"/>
              <w:spacing w:line="560" w:lineRule="exact"/>
              <w:jc w:val="left"/>
              <w:rPr>
                <w:rFonts w:ascii="宋体" w:hAnsi="宋体"/>
                <w:color w:val="auto"/>
                <w:szCs w:val="21"/>
                <w:highlight w:val="none"/>
              </w:rPr>
            </w:pPr>
            <w:r>
              <w:rPr>
                <w:rFonts w:hint="eastAsia" w:ascii="宋体" w:hAnsi="宋体"/>
                <w:color w:val="auto"/>
                <w:szCs w:val="21"/>
                <w:highlight w:val="none"/>
              </w:rPr>
              <w:t>有投标人及其法定代表人签章。</w:t>
            </w:r>
          </w:p>
        </w:tc>
      </w:tr>
      <w:tr w14:paraId="38774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81" w:type="dxa"/>
            <w:vMerge w:val="continue"/>
            <w:noWrap w:val="0"/>
            <w:vAlign w:val="center"/>
          </w:tcPr>
          <w:p w14:paraId="554B4EC6">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72099F4B">
            <w:pPr>
              <w:widowControl/>
              <w:adjustRightInd w:val="0"/>
              <w:snapToGrid w:val="0"/>
              <w:spacing w:line="560" w:lineRule="exact"/>
              <w:jc w:val="left"/>
              <w:rPr>
                <w:rFonts w:ascii="宋体" w:hAnsi="宋体"/>
                <w:color w:val="auto"/>
                <w:szCs w:val="21"/>
                <w:highlight w:val="none"/>
              </w:rPr>
            </w:pPr>
          </w:p>
        </w:tc>
        <w:tc>
          <w:tcPr>
            <w:tcW w:w="2831" w:type="dxa"/>
            <w:gridSpan w:val="2"/>
            <w:noWrap w:val="0"/>
            <w:vAlign w:val="center"/>
          </w:tcPr>
          <w:p w14:paraId="64E5C336">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投标文件格式</w:t>
            </w:r>
          </w:p>
        </w:tc>
        <w:tc>
          <w:tcPr>
            <w:tcW w:w="5794" w:type="dxa"/>
            <w:noWrap w:val="0"/>
            <w:vAlign w:val="center"/>
          </w:tcPr>
          <w:p w14:paraId="52F99CA5">
            <w:pPr>
              <w:adjustRightInd w:val="0"/>
              <w:snapToGrid w:val="0"/>
              <w:spacing w:line="560" w:lineRule="exact"/>
              <w:jc w:val="left"/>
              <w:rPr>
                <w:rFonts w:ascii="宋体" w:hAnsi="宋体"/>
                <w:color w:val="auto"/>
                <w:szCs w:val="21"/>
                <w:highlight w:val="none"/>
              </w:rPr>
            </w:pPr>
            <w:r>
              <w:rPr>
                <w:rFonts w:hint="eastAsia" w:ascii="宋体" w:hAnsi="宋体"/>
                <w:color w:val="auto"/>
                <w:szCs w:val="21"/>
                <w:highlight w:val="none"/>
              </w:rPr>
              <w:t>符合第九章“投标文件格式”的要求。</w:t>
            </w:r>
          </w:p>
        </w:tc>
      </w:tr>
      <w:tr w14:paraId="4B1F2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81" w:type="dxa"/>
            <w:vMerge w:val="continue"/>
            <w:noWrap w:val="0"/>
            <w:vAlign w:val="center"/>
          </w:tcPr>
          <w:p w14:paraId="04D1395F">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342FBF40">
            <w:pPr>
              <w:widowControl/>
              <w:adjustRightInd w:val="0"/>
              <w:snapToGrid w:val="0"/>
              <w:spacing w:line="560" w:lineRule="exact"/>
              <w:jc w:val="left"/>
              <w:rPr>
                <w:rFonts w:ascii="宋体" w:hAnsi="宋体"/>
                <w:color w:val="auto"/>
                <w:szCs w:val="21"/>
                <w:highlight w:val="none"/>
              </w:rPr>
            </w:pPr>
          </w:p>
        </w:tc>
        <w:tc>
          <w:tcPr>
            <w:tcW w:w="2831" w:type="dxa"/>
            <w:gridSpan w:val="2"/>
            <w:noWrap w:val="0"/>
            <w:vAlign w:val="center"/>
          </w:tcPr>
          <w:p w14:paraId="5E14D9B4">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商务标签字盖章</w:t>
            </w:r>
          </w:p>
        </w:tc>
        <w:tc>
          <w:tcPr>
            <w:tcW w:w="5794" w:type="dxa"/>
            <w:noWrap w:val="0"/>
            <w:vAlign w:val="center"/>
          </w:tcPr>
          <w:p w14:paraId="2AE0B018">
            <w:pPr>
              <w:adjustRightInd w:val="0"/>
              <w:snapToGrid w:val="0"/>
              <w:spacing w:line="560" w:lineRule="exact"/>
              <w:jc w:val="left"/>
              <w:rPr>
                <w:rFonts w:ascii="宋体" w:hAnsi="宋体"/>
                <w:color w:val="auto"/>
                <w:szCs w:val="21"/>
                <w:highlight w:val="none"/>
              </w:rPr>
            </w:pPr>
            <w:r>
              <w:rPr>
                <w:rFonts w:hint="eastAsia" w:ascii="宋体" w:hAnsi="宋体"/>
                <w:color w:val="auto"/>
                <w:szCs w:val="21"/>
                <w:highlight w:val="none"/>
              </w:rPr>
              <w:t>按投标文件格式要求签章。</w:t>
            </w:r>
          </w:p>
        </w:tc>
      </w:tr>
      <w:tr w14:paraId="568E5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81" w:type="dxa"/>
            <w:vMerge w:val="continue"/>
            <w:noWrap w:val="0"/>
            <w:vAlign w:val="center"/>
          </w:tcPr>
          <w:p w14:paraId="34F15FF7">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71E93531">
            <w:pPr>
              <w:widowControl/>
              <w:adjustRightInd w:val="0"/>
              <w:snapToGrid w:val="0"/>
              <w:spacing w:line="560" w:lineRule="exact"/>
              <w:jc w:val="left"/>
              <w:rPr>
                <w:rFonts w:ascii="宋体" w:hAnsi="宋体"/>
                <w:color w:val="auto"/>
                <w:szCs w:val="21"/>
                <w:highlight w:val="none"/>
              </w:rPr>
            </w:pPr>
          </w:p>
        </w:tc>
        <w:tc>
          <w:tcPr>
            <w:tcW w:w="2831" w:type="dxa"/>
            <w:gridSpan w:val="2"/>
            <w:noWrap w:val="0"/>
            <w:vAlign w:val="center"/>
          </w:tcPr>
          <w:p w14:paraId="060AEB57">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报价唯一</w:t>
            </w:r>
          </w:p>
        </w:tc>
        <w:tc>
          <w:tcPr>
            <w:tcW w:w="5794" w:type="dxa"/>
            <w:noWrap w:val="0"/>
            <w:vAlign w:val="center"/>
          </w:tcPr>
          <w:p w14:paraId="5BF02E57">
            <w:pPr>
              <w:adjustRightInd w:val="0"/>
              <w:snapToGrid w:val="0"/>
              <w:spacing w:line="560" w:lineRule="exact"/>
              <w:jc w:val="left"/>
              <w:rPr>
                <w:rFonts w:ascii="宋体" w:hAnsi="宋体"/>
                <w:color w:val="auto"/>
                <w:szCs w:val="21"/>
                <w:highlight w:val="none"/>
              </w:rPr>
            </w:pPr>
            <w:r>
              <w:rPr>
                <w:rFonts w:hint="eastAsia" w:ascii="宋体" w:hAnsi="宋体"/>
                <w:color w:val="auto"/>
                <w:szCs w:val="21"/>
                <w:highlight w:val="none"/>
              </w:rPr>
              <w:t>只能有一个报价。</w:t>
            </w:r>
          </w:p>
        </w:tc>
      </w:tr>
      <w:tr w14:paraId="726F5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81" w:type="dxa"/>
            <w:vMerge w:val="restart"/>
            <w:noWrap w:val="0"/>
            <w:vAlign w:val="center"/>
          </w:tcPr>
          <w:p w14:paraId="095E0726">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4.2.2</w:t>
            </w:r>
          </w:p>
        </w:tc>
        <w:tc>
          <w:tcPr>
            <w:tcW w:w="780" w:type="dxa"/>
            <w:vMerge w:val="restart"/>
            <w:noWrap w:val="0"/>
            <w:vAlign w:val="center"/>
          </w:tcPr>
          <w:p w14:paraId="799611DE">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响应性评审标准</w:t>
            </w:r>
          </w:p>
          <w:p w14:paraId="73E66452">
            <w:pPr>
              <w:adjustRightInd w:val="0"/>
              <w:snapToGrid w:val="0"/>
              <w:spacing w:line="560" w:lineRule="exact"/>
              <w:jc w:val="center"/>
              <w:rPr>
                <w:rFonts w:ascii="宋体" w:hAnsi="宋体"/>
                <w:color w:val="auto"/>
                <w:szCs w:val="21"/>
                <w:highlight w:val="none"/>
              </w:rPr>
            </w:pPr>
          </w:p>
        </w:tc>
        <w:tc>
          <w:tcPr>
            <w:tcW w:w="2831" w:type="dxa"/>
            <w:gridSpan w:val="2"/>
            <w:noWrap w:val="0"/>
            <w:vAlign w:val="center"/>
          </w:tcPr>
          <w:p w14:paraId="0039CD7F">
            <w:pPr>
              <w:adjustRightInd w:val="0"/>
              <w:snapToGrid w:val="0"/>
              <w:spacing w:line="560" w:lineRule="exact"/>
              <w:jc w:val="left"/>
              <w:rPr>
                <w:rFonts w:ascii="宋体" w:hAnsi="宋体"/>
                <w:color w:val="auto"/>
                <w:szCs w:val="21"/>
                <w:highlight w:val="none"/>
              </w:rPr>
            </w:pPr>
            <w:r>
              <w:rPr>
                <w:rFonts w:hint="eastAsia" w:ascii="宋体" w:hAnsi="宋体"/>
                <w:color w:val="auto"/>
                <w:szCs w:val="21"/>
                <w:highlight w:val="none"/>
              </w:rPr>
              <w:t>工期</w:t>
            </w:r>
          </w:p>
        </w:tc>
        <w:tc>
          <w:tcPr>
            <w:tcW w:w="5794" w:type="dxa"/>
            <w:noWrap w:val="0"/>
            <w:vAlign w:val="center"/>
          </w:tcPr>
          <w:p w14:paraId="516A76EF">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符合投标须知前附表规定。</w:t>
            </w:r>
          </w:p>
        </w:tc>
      </w:tr>
      <w:tr w14:paraId="4AD99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81" w:type="dxa"/>
            <w:vMerge w:val="continue"/>
            <w:noWrap w:val="0"/>
            <w:vAlign w:val="center"/>
          </w:tcPr>
          <w:p w14:paraId="2CD8A891">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56C3000C">
            <w:pPr>
              <w:widowControl/>
              <w:adjustRightInd w:val="0"/>
              <w:snapToGrid w:val="0"/>
              <w:spacing w:line="560" w:lineRule="exact"/>
              <w:jc w:val="left"/>
              <w:rPr>
                <w:rFonts w:ascii="宋体" w:hAnsi="宋体"/>
                <w:color w:val="auto"/>
                <w:szCs w:val="21"/>
                <w:highlight w:val="none"/>
              </w:rPr>
            </w:pPr>
          </w:p>
        </w:tc>
        <w:tc>
          <w:tcPr>
            <w:tcW w:w="2831" w:type="dxa"/>
            <w:gridSpan w:val="2"/>
            <w:noWrap w:val="0"/>
            <w:vAlign w:val="center"/>
          </w:tcPr>
          <w:p w14:paraId="06B0F4AC">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工程质量</w:t>
            </w:r>
          </w:p>
        </w:tc>
        <w:tc>
          <w:tcPr>
            <w:tcW w:w="5794" w:type="dxa"/>
            <w:noWrap w:val="0"/>
            <w:vAlign w:val="center"/>
          </w:tcPr>
          <w:p w14:paraId="48F633F0">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符合投标须知前附表规定。</w:t>
            </w:r>
          </w:p>
        </w:tc>
      </w:tr>
      <w:tr w14:paraId="2F9A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81" w:type="dxa"/>
            <w:vMerge w:val="continue"/>
            <w:noWrap w:val="0"/>
            <w:vAlign w:val="center"/>
          </w:tcPr>
          <w:p w14:paraId="2E17DB8F">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42850274">
            <w:pPr>
              <w:widowControl/>
              <w:adjustRightInd w:val="0"/>
              <w:snapToGrid w:val="0"/>
              <w:spacing w:line="560" w:lineRule="exact"/>
              <w:jc w:val="left"/>
              <w:rPr>
                <w:rFonts w:ascii="宋体" w:hAnsi="宋体"/>
                <w:color w:val="auto"/>
                <w:szCs w:val="21"/>
                <w:highlight w:val="none"/>
              </w:rPr>
            </w:pPr>
          </w:p>
        </w:tc>
        <w:tc>
          <w:tcPr>
            <w:tcW w:w="2831" w:type="dxa"/>
            <w:gridSpan w:val="2"/>
            <w:noWrap w:val="0"/>
            <w:vAlign w:val="center"/>
          </w:tcPr>
          <w:p w14:paraId="556762C3">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投标有效期</w:t>
            </w:r>
          </w:p>
        </w:tc>
        <w:tc>
          <w:tcPr>
            <w:tcW w:w="5794" w:type="dxa"/>
            <w:noWrap w:val="0"/>
            <w:vAlign w:val="center"/>
          </w:tcPr>
          <w:p w14:paraId="1BFD3B43">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符合投标须知前附表规定。</w:t>
            </w:r>
          </w:p>
        </w:tc>
      </w:tr>
      <w:tr w14:paraId="5B8D4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81" w:type="dxa"/>
            <w:vMerge w:val="continue"/>
            <w:noWrap w:val="0"/>
            <w:vAlign w:val="center"/>
          </w:tcPr>
          <w:p w14:paraId="40A2F1BE">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414363FB">
            <w:pPr>
              <w:widowControl/>
              <w:adjustRightInd w:val="0"/>
              <w:snapToGrid w:val="0"/>
              <w:spacing w:line="560" w:lineRule="exact"/>
              <w:jc w:val="left"/>
              <w:rPr>
                <w:rFonts w:ascii="宋体" w:hAnsi="宋体"/>
                <w:color w:val="auto"/>
                <w:szCs w:val="21"/>
                <w:highlight w:val="none"/>
              </w:rPr>
            </w:pPr>
          </w:p>
        </w:tc>
        <w:tc>
          <w:tcPr>
            <w:tcW w:w="2831" w:type="dxa"/>
            <w:gridSpan w:val="2"/>
            <w:noWrap w:val="0"/>
            <w:vAlign w:val="center"/>
          </w:tcPr>
          <w:p w14:paraId="65297D36">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已标价工程量清单</w:t>
            </w:r>
          </w:p>
        </w:tc>
        <w:tc>
          <w:tcPr>
            <w:tcW w:w="5794" w:type="dxa"/>
            <w:noWrap w:val="0"/>
            <w:vAlign w:val="center"/>
          </w:tcPr>
          <w:p w14:paraId="59C28EEA">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与招标人发布的招标工程量清单（含需评审材料清单）排序一致。</w:t>
            </w:r>
          </w:p>
        </w:tc>
      </w:tr>
      <w:tr w14:paraId="163D8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81" w:type="dxa"/>
            <w:vMerge w:val="continue"/>
            <w:noWrap w:val="0"/>
            <w:vAlign w:val="center"/>
          </w:tcPr>
          <w:p w14:paraId="346EA969">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5C143CE0">
            <w:pPr>
              <w:widowControl/>
              <w:adjustRightInd w:val="0"/>
              <w:snapToGrid w:val="0"/>
              <w:spacing w:line="560" w:lineRule="exact"/>
              <w:jc w:val="left"/>
              <w:rPr>
                <w:rFonts w:ascii="宋体" w:hAnsi="宋体"/>
                <w:color w:val="auto"/>
                <w:szCs w:val="21"/>
                <w:highlight w:val="none"/>
              </w:rPr>
            </w:pPr>
          </w:p>
        </w:tc>
        <w:tc>
          <w:tcPr>
            <w:tcW w:w="2831" w:type="dxa"/>
            <w:gridSpan w:val="2"/>
            <w:noWrap w:val="0"/>
            <w:vAlign w:val="center"/>
          </w:tcPr>
          <w:p w14:paraId="39943431">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投标总价评审</w:t>
            </w:r>
          </w:p>
        </w:tc>
        <w:tc>
          <w:tcPr>
            <w:tcW w:w="5794" w:type="dxa"/>
            <w:noWrap w:val="0"/>
            <w:vAlign w:val="center"/>
          </w:tcPr>
          <w:p w14:paraId="7DBF7E78">
            <w:pPr>
              <w:adjustRightInd w:val="0"/>
              <w:snapToGrid w:val="0"/>
              <w:spacing w:line="560" w:lineRule="exact"/>
              <w:rPr>
                <w:rFonts w:ascii="宋体" w:hAnsi="宋体"/>
                <w:color w:val="auto"/>
                <w:spacing w:val="-6"/>
                <w:szCs w:val="21"/>
                <w:highlight w:val="none"/>
              </w:rPr>
            </w:pPr>
            <w:r>
              <w:rPr>
                <w:rFonts w:hint="eastAsia" w:ascii="宋体" w:hAnsi="宋体"/>
                <w:color w:val="auto"/>
                <w:spacing w:val="-6"/>
                <w:szCs w:val="21"/>
                <w:highlight w:val="none"/>
              </w:rPr>
              <w:t>不得高于最高投标限价，也不得低于工程成本价。</w:t>
            </w:r>
          </w:p>
        </w:tc>
      </w:tr>
      <w:tr w14:paraId="70755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81" w:type="dxa"/>
            <w:vMerge w:val="continue"/>
            <w:noWrap w:val="0"/>
            <w:vAlign w:val="center"/>
          </w:tcPr>
          <w:p w14:paraId="7A629124">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5D4EB9D7">
            <w:pPr>
              <w:widowControl/>
              <w:adjustRightInd w:val="0"/>
              <w:snapToGrid w:val="0"/>
              <w:spacing w:line="560" w:lineRule="exact"/>
              <w:jc w:val="left"/>
              <w:rPr>
                <w:rFonts w:ascii="宋体" w:hAnsi="宋体"/>
                <w:color w:val="auto"/>
                <w:szCs w:val="21"/>
                <w:highlight w:val="none"/>
              </w:rPr>
            </w:pPr>
          </w:p>
        </w:tc>
        <w:tc>
          <w:tcPr>
            <w:tcW w:w="2831" w:type="dxa"/>
            <w:gridSpan w:val="2"/>
            <w:noWrap w:val="0"/>
            <w:vAlign w:val="center"/>
          </w:tcPr>
          <w:p w14:paraId="41D689D5">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暂列金额、专业工程暂估价、分部分项工程材料及设备暂估价</w:t>
            </w:r>
          </w:p>
        </w:tc>
        <w:tc>
          <w:tcPr>
            <w:tcW w:w="5794" w:type="dxa"/>
            <w:noWrap w:val="0"/>
            <w:vAlign w:val="center"/>
          </w:tcPr>
          <w:p w14:paraId="4746D197">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与招标人发布的招标工程量清单一致。</w:t>
            </w:r>
          </w:p>
        </w:tc>
      </w:tr>
      <w:tr w14:paraId="2E986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81" w:type="dxa"/>
            <w:vMerge w:val="restart"/>
            <w:noWrap w:val="0"/>
            <w:vAlign w:val="center"/>
          </w:tcPr>
          <w:p w14:paraId="2460167D">
            <w:pPr>
              <w:adjustRightInd w:val="0"/>
              <w:snapToGrid w:val="0"/>
              <w:spacing w:line="560" w:lineRule="exact"/>
              <w:rPr>
                <w:rFonts w:ascii="宋体" w:hAnsi="宋体"/>
                <w:color w:val="auto"/>
                <w:szCs w:val="21"/>
                <w:highlight w:val="none"/>
              </w:rPr>
            </w:pPr>
            <w:r>
              <w:rPr>
                <w:rFonts w:ascii="宋体" w:hAnsi="宋体"/>
                <w:color w:val="auto"/>
                <w:szCs w:val="21"/>
                <w:highlight w:val="none"/>
              </w:rPr>
              <w:t>4.2.3</w:t>
            </w:r>
          </w:p>
        </w:tc>
        <w:tc>
          <w:tcPr>
            <w:tcW w:w="780" w:type="dxa"/>
            <w:vMerge w:val="restart"/>
            <w:noWrap w:val="0"/>
            <w:vAlign w:val="center"/>
          </w:tcPr>
          <w:p w14:paraId="14503F64">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详细评审标准</w:t>
            </w:r>
          </w:p>
        </w:tc>
        <w:tc>
          <w:tcPr>
            <w:tcW w:w="846" w:type="dxa"/>
            <w:vMerge w:val="restart"/>
            <w:noWrap w:val="0"/>
            <w:vAlign w:val="center"/>
          </w:tcPr>
          <w:p w14:paraId="151B2DC3">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工程成本评审</w:t>
            </w:r>
          </w:p>
        </w:tc>
        <w:tc>
          <w:tcPr>
            <w:tcW w:w="7779" w:type="dxa"/>
            <w:gridSpan w:val="2"/>
            <w:noWrap w:val="0"/>
            <w:vAlign w:val="center"/>
          </w:tcPr>
          <w:p w14:paraId="44533B7A">
            <w:pPr>
              <w:adjustRightInd w:val="0"/>
              <w:snapToGrid w:val="0"/>
              <w:spacing w:line="560" w:lineRule="exact"/>
              <w:rPr>
                <w:rFonts w:ascii="宋体" w:hAnsi="宋体"/>
                <w:color w:val="auto"/>
                <w:spacing w:val="-6"/>
                <w:szCs w:val="21"/>
                <w:highlight w:val="none"/>
              </w:rPr>
            </w:pPr>
            <w:r>
              <w:rPr>
                <w:rFonts w:hint="eastAsia" w:ascii="宋体" w:hAnsi="宋体"/>
                <w:color w:val="auto"/>
                <w:szCs w:val="21"/>
                <w:highlight w:val="none"/>
              </w:rPr>
              <w:t>投标报价出现下列情形之一的，由评标委员会重点评审后界定其报价是否低于工程成本：</w:t>
            </w:r>
          </w:p>
        </w:tc>
      </w:tr>
      <w:tr w14:paraId="54A96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81" w:type="dxa"/>
            <w:vMerge w:val="continue"/>
            <w:noWrap w:val="0"/>
            <w:vAlign w:val="center"/>
          </w:tcPr>
          <w:p w14:paraId="1F2FE3B0">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5B47E5D1">
            <w:pPr>
              <w:widowControl/>
              <w:adjustRightInd w:val="0"/>
              <w:snapToGrid w:val="0"/>
              <w:spacing w:line="560" w:lineRule="exact"/>
              <w:jc w:val="left"/>
              <w:rPr>
                <w:rFonts w:ascii="宋体" w:hAnsi="宋体"/>
                <w:color w:val="auto"/>
                <w:szCs w:val="21"/>
                <w:highlight w:val="none"/>
              </w:rPr>
            </w:pPr>
          </w:p>
        </w:tc>
        <w:tc>
          <w:tcPr>
            <w:tcW w:w="846" w:type="dxa"/>
            <w:vMerge w:val="continue"/>
            <w:noWrap w:val="0"/>
            <w:vAlign w:val="center"/>
          </w:tcPr>
          <w:p w14:paraId="0424F296">
            <w:pPr>
              <w:adjustRightInd w:val="0"/>
              <w:snapToGrid w:val="0"/>
              <w:spacing w:line="560" w:lineRule="exact"/>
              <w:rPr>
                <w:rFonts w:ascii="宋体" w:hAnsi="宋体"/>
                <w:color w:val="auto"/>
                <w:szCs w:val="21"/>
                <w:highlight w:val="none"/>
              </w:rPr>
            </w:pPr>
          </w:p>
        </w:tc>
        <w:tc>
          <w:tcPr>
            <w:tcW w:w="1985" w:type="dxa"/>
            <w:noWrap w:val="0"/>
            <w:vAlign w:val="center"/>
          </w:tcPr>
          <w:p w14:paraId="4E2F49E9">
            <w:pPr>
              <w:adjustRightInd w:val="0"/>
              <w:snapToGrid w:val="0"/>
              <w:spacing w:line="560" w:lineRule="exact"/>
              <w:rPr>
                <w:rFonts w:hint="eastAsia" w:ascii="宋体" w:hAnsi="宋体"/>
                <w:color w:val="auto"/>
                <w:szCs w:val="21"/>
                <w:highlight w:val="none"/>
              </w:rPr>
            </w:pPr>
            <w:r>
              <w:rPr>
                <w:rFonts w:hint="eastAsia" w:ascii="宋体" w:hAnsi="宋体"/>
                <w:color w:val="auto"/>
                <w:szCs w:val="21"/>
                <w:highlight w:val="none"/>
              </w:rPr>
              <w:t>投标报价</w:t>
            </w:r>
          </w:p>
        </w:tc>
        <w:tc>
          <w:tcPr>
            <w:tcW w:w="5794" w:type="dxa"/>
            <w:noWrap w:val="0"/>
            <w:vAlign w:val="center"/>
          </w:tcPr>
          <w:p w14:paraId="2A93A2A2">
            <w:pPr>
              <w:adjustRightInd w:val="0"/>
              <w:snapToGrid w:val="0"/>
              <w:spacing w:line="560" w:lineRule="exact"/>
              <w:rPr>
                <w:rFonts w:hint="eastAsia" w:ascii="宋体" w:hAnsi="宋体"/>
                <w:color w:val="auto"/>
                <w:szCs w:val="21"/>
                <w:highlight w:val="none"/>
              </w:rPr>
            </w:pPr>
            <w:r>
              <w:rPr>
                <w:rFonts w:hint="eastAsia" w:ascii="宋体" w:hAnsi="宋体"/>
                <w:color w:val="auto"/>
                <w:szCs w:val="21"/>
                <w:highlight w:val="none"/>
              </w:rPr>
              <w:t>投标报价低于本项目通过资信、技术评审且商务标初步评审合格的有效投标报价平均值10%以上。</w:t>
            </w:r>
          </w:p>
        </w:tc>
      </w:tr>
      <w:tr w14:paraId="37637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81" w:type="dxa"/>
            <w:vMerge w:val="continue"/>
            <w:noWrap w:val="0"/>
            <w:vAlign w:val="center"/>
          </w:tcPr>
          <w:p w14:paraId="2A95FFE3">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46BEEBE9">
            <w:pPr>
              <w:widowControl/>
              <w:adjustRightInd w:val="0"/>
              <w:snapToGrid w:val="0"/>
              <w:spacing w:line="560" w:lineRule="exact"/>
              <w:jc w:val="left"/>
              <w:rPr>
                <w:rFonts w:ascii="宋体" w:hAnsi="宋体"/>
                <w:color w:val="auto"/>
                <w:szCs w:val="21"/>
                <w:highlight w:val="none"/>
              </w:rPr>
            </w:pPr>
          </w:p>
        </w:tc>
        <w:tc>
          <w:tcPr>
            <w:tcW w:w="846" w:type="dxa"/>
            <w:vMerge w:val="continue"/>
            <w:noWrap w:val="0"/>
            <w:vAlign w:val="center"/>
          </w:tcPr>
          <w:p w14:paraId="2943415F">
            <w:pPr>
              <w:adjustRightInd w:val="0"/>
              <w:snapToGrid w:val="0"/>
              <w:spacing w:line="560" w:lineRule="exact"/>
              <w:rPr>
                <w:rFonts w:ascii="宋体" w:hAnsi="宋体"/>
                <w:color w:val="auto"/>
                <w:szCs w:val="21"/>
                <w:highlight w:val="none"/>
              </w:rPr>
            </w:pPr>
          </w:p>
        </w:tc>
        <w:tc>
          <w:tcPr>
            <w:tcW w:w="1985" w:type="dxa"/>
            <w:noWrap w:val="0"/>
            <w:vAlign w:val="center"/>
          </w:tcPr>
          <w:p w14:paraId="1EF1CCF4">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报价内容完整性</w:t>
            </w:r>
          </w:p>
        </w:tc>
        <w:tc>
          <w:tcPr>
            <w:tcW w:w="5794" w:type="dxa"/>
            <w:noWrap w:val="0"/>
            <w:vAlign w:val="center"/>
          </w:tcPr>
          <w:p w14:paraId="1277F00D">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因投标人原因造成投标报价清单缺漏，缺漏项总额（多算或多报总额不得抵消缺漏项目总额）累计占本项目通过资信、技术评审且商务标初步评审合格</w:t>
            </w:r>
            <w:r>
              <w:rPr>
                <w:rFonts w:hint="eastAsia" w:ascii="宋体" w:hAnsi="宋体"/>
                <w:color w:val="auto"/>
                <w:spacing w:val="-6"/>
                <w:szCs w:val="21"/>
                <w:highlight w:val="none"/>
              </w:rPr>
              <w:t>有效投标总报价平均值</w:t>
            </w:r>
            <w:r>
              <w:rPr>
                <w:rFonts w:ascii="宋体" w:hAnsi="宋体"/>
                <w:color w:val="auto"/>
                <w:spacing w:val="-6"/>
                <w:szCs w:val="21"/>
                <w:highlight w:val="none"/>
              </w:rPr>
              <w:t>5%</w:t>
            </w:r>
            <w:r>
              <w:rPr>
                <w:rFonts w:hint="eastAsia" w:ascii="宋体" w:hAnsi="宋体"/>
                <w:color w:val="auto"/>
                <w:spacing w:val="-6"/>
                <w:szCs w:val="21"/>
                <w:highlight w:val="none"/>
              </w:rPr>
              <w:t>以上。</w:t>
            </w:r>
          </w:p>
        </w:tc>
      </w:tr>
      <w:tr w14:paraId="5B1CA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1" w:type="dxa"/>
            <w:noWrap w:val="0"/>
            <w:vAlign w:val="center"/>
          </w:tcPr>
          <w:p w14:paraId="4F351CE9">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.1</w:t>
            </w:r>
          </w:p>
        </w:tc>
        <w:tc>
          <w:tcPr>
            <w:tcW w:w="780" w:type="dxa"/>
            <w:noWrap w:val="0"/>
            <w:vAlign w:val="center"/>
          </w:tcPr>
          <w:p w14:paraId="449E4BA3">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商务</w:t>
            </w:r>
          </w:p>
          <w:p w14:paraId="01693717">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评分</w:t>
            </w:r>
          </w:p>
          <w:p w14:paraId="1CF03D7F">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100</w:t>
            </w:r>
            <w:r>
              <w:rPr>
                <w:rFonts w:ascii="宋体" w:hAnsi="宋体"/>
                <w:color w:val="auto"/>
                <w:szCs w:val="21"/>
                <w:highlight w:val="none"/>
              </w:rPr>
              <w:t>分）</w:t>
            </w:r>
          </w:p>
        </w:tc>
        <w:tc>
          <w:tcPr>
            <w:tcW w:w="8625" w:type="dxa"/>
            <w:gridSpan w:val="3"/>
            <w:noWrap w:val="0"/>
            <w:vAlign w:val="center"/>
          </w:tcPr>
          <w:p w14:paraId="0EEB6BD1">
            <w:pPr>
              <w:spacing w:line="560" w:lineRule="exact"/>
              <w:ind w:firstLine="420" w:firstLineChars="200"/>
              <w:rPr>
                <w:rFonts w:hint="eastAsia" w:ascii="宋体" w:hAnsi="宋体" w:cs="宋体"/>
                <w:color w:val="auto"/>
                <w:highlight w:val="none"/>
              </w:rPr>
            </w:pPr>
            <w:r>
              <w:rPr>
                <w:rFonts w:hint="eastAsia" w:ascii="宋体" w:hAnsi="宋体" w:cs="宋体"/>
                <w:color w:val="auto"/>
                <w:highlight w:val="none"/>
              </w:rPr>
              <w:t>商务标评分按下列步骤计算：</w:t>
            </w:r>
          </w:p>
          <w:p w14:paraId="0778FF90">
            <w:pPr>
              <w:spacing w:line="560" w:lineRule="exact"/>
              <w:ind w:firstLine="420" w:firstLineChars="200"/>
              <w:rPr>
                <w:rFonts w:hint="eastAsia" w:ascii="宋体" w:hAnsi="宋体" w:cs="宋体"/>
                <w:color w:val="auto"/>
                <w:highlight w:val="none"/>
              </w:rPr>
            </w:pPr>
            <w:r>
              <w:rPr>
                <w:rFonts w:hint="eastAsia" w:ascii="宋体" w:hAnsi="宋体" w:cs="宋体"/>
                <w:color w:val="auto"/>
                <w:highlight w:val="none"/>
              </w:rPr>
              <w:t>第一步：计算B值。</w:t>
            </w:r>
          </w:p>
          <w:p w14:paraId="57A1D035">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①B</w:t>
            </w:r>
            <w:r>
              <w:rPr>
                <w:rFonts w:hint="eastAsia" w:ascii="宋体" w:hAnsi="宋体" w:cs="宋体"/>
                <w:color w:val="auto"/>
                <w:kern w:val="0"/>
                <w:szCs w:val="21"/>
                <w:highlight w:val="none"/>
              </w:rPr>
              <w:t>值</w:t>
            </w:r>
            <w:r>
              <w:rPr>
                <w:rFonts w:hint="eastAsia" w:ascii="宋体" w:hAnsi="宋体" w:cs="宋体"/>
                <w:color w:val="auto"/>
                <w:szCs w:val="21"/>
                <w:highlight w:val="none"/>
              </w:rPr>
              <w:t>为计算范围内有效投标人报价的算术平均值。</w:t>
            </w:r>
          </w:p>
          <w:p w14:paraId="40753253">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第二步：计算评标基准价F值。</w:t>
            </w:r>
          </w:p>
          <w:p w14:paraId="5CD4DA6B">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①F=B×（1-K），其中K为调整系数，K的取值</w:t>
            </w:r>
            <w:r>
              <w:rPr>
                <w:rFonts w:hint="eastAsia" w:ascii="宋体" w:hAnsi="宋体" w:cs="宋体"/>
                <w:color w:val="auto"/>
                <w:szCs w:val="21"/>
                <w:highlight w:val="none"/>
              </w:rPr>
              <w:t>为-</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%（1号），</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%（2号），0%（3号），</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%（4号），1.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%（5号）。</w:t>
            </w:r>
          </w:p>
          <w:p w14:paraId="4B46002F">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第三步：计算报价偏差率。</w:t>
            </w:r>
          </w:p>
          <w:p w14:paraId="252A26CB">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①偏差率=|（投标报价-评标基准价）/评标基准价|×100%</w:t>
            </w:r>
          </w:p>
          <w:p w14:paraId="15145459">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第四步：计算报价得分</w:t>
            </w:r>
          </w:p>
          <w:p w14:paraId="35518BC0">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①投标报价等于评标基准价的得满分。</w:t>
            </w:r>
          </w:p>
          <w:p w14:paraId="4B72C20F">
            <w:pPr>
              <w:spacing w:line="56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②投标报价高于评标基准价的，投标报价得分=报价满分值-偏差率×100×</w:t>
            </w:r>
            <w:r>
              <w:rPr>
                <w:rFonts w:hint="eastAsia" w:ascii="宋体" w:hAnsi="宋体" w:cs="宋体"/>
                <w:color w:val="auto"/>
                <w:szCs w:val="21"/>
                <w:highlight w:val="none"/>
                <w:lang w:val="en-US" w:eastAsia="zh-CN"/>
              </w:rPr>
              <w:t>0.5</w:t>
            </w:r>
          </w:p>
          <w:p w14:paraId="45251F0D">
            <w:pPr>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③投标报价低于评标基准价的，投标报价得分=报价满分值-偏差率×100×0.</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5</w:t>
            </w:r>
          </w:p>
          <w:p w14:paraId="00095112">
            <w:pPr>
              <w:pStyle w:val="14"/>
              <w:adjustRightInd w:val="0"/>
              <w:snapToGrid w:val="0"/>
              <w:spacing w:after="0" w:line="560" w:lineRule="exact"/>
              <w:ind w:left="0" w:leftChars="0" w:firstLine="422" w:firstLineChars="0"/>
              <w:jc w:val="left"/>
              <w:rPr>
                <w:rFonts w:ascii="宋体" w:hAnsi="宋体" w:cs="宋体"/>
                <w:color w:val="auto"/>
                <w:szCs w:val="21"/>
                <w:highlight w:val="none"/>
              </w:rPr>
            </w:pPr>
            <w:r>
              <w:rPr>
                <w:rFonts w:hint="eastAsia" w:ascii="宋体" w:hAnsi="宋体" w:cs="宋体"/>
                <w:b/>
                <w:color w:val="auto"/>
                <w:szCs w:val="21"/>
                <w:highlight w:val="none"/>
              </w:rPr>
              <w:t>注：计算过程中，B值、评标基准价F值、偏差率、报价得分均保留两位小数，小</w:t>
            </w:r>
            <w:r>
              <w:rPr>
                <w:rFonts w:hint="eastAsia" w:ascii="宋体" w:hAnsi="宋体" w:cs="宋体"/>
                <w:b/>
                <w:color w:val="auto"/>
                <w:szCs w:val="21"/>
                <w:highlight w:val="none"/>
              </w:rPr>
              <w:t>数点后第三位四舍五入。</w:t>
            </w:r>
          </w:p>
        </w:tc>
      </w:tr>
    </w:tbl>
    <w:p w14:paraId="47AD1304">
      <w:pPr>
        <w:adjustRightInd w:val="0"/>
        <w:snapToGrid w:val="0"/>
        <w:spacing w:line="560" w:lineRule="exact"/>
        <w:ind w:firstLine="316" w:firstLineChars="150"/>
        <w:rPr>
          <w:rFonts w:hint="eastAsia" w:ascii="黑体" w:hAnsi="黑体" w:eastAsia="黑体" w:cs="黑体"/>
          <w:b/>
          <w:color w:val="auto"/>
          <w:szCs w:val="21"/>
          <w:highlight w:val="none"/>
        </w:rPr>
      </w:pPr>
      <w:r>
        <w:rPr>
          <w:rFonts w:hint="eastAsia" w:ascii="黑体" w:hAnsi="黑体" w:eastAsia="黑体" w:cs="黑体"/>
          <w:b/>
          <w:color w:val="auto"/>
          <w:szCs w:val="21"/>
          <w:highlight w:val="none"/>
        </w:rPr>
        <w:t>商务标评审表注：</w:t>
      </w:r>
    </w:p>
    <w:p w14:paraId="0CCA0481">
      <w:pPr>
        <w:adjustRightInd w:val="0"/>
        <w:snapToGrid w:val="0"/>
        <w:spacing w:line="560" w:lineRule="exact"/>
        <w:ind w:firstLine="422" w:firstLineChars="200"/>
        <w:rPr>
          <w:rFonts w:hint="eastAsia" w:ascii="黑体" w:hAnsi="黑体" w:eastAsia="黑体" w:cs="黑体"/>
          <w:b/>
          <w:bCs/>
          <w:color w:val="auto"/>
          <w:szCs w:val="21"/>
          <w:highlight w:val="none"/>
          <w:u w:val="single"/>
        </w:rPr>
      </w:pPr>
      <w:r>
        <w:rPr>
          <w:rFonts w:hint="eastAsia" w:ascii="黑体" w:hAnsi="黑体" w:eastAsia="黑体" w:cs="黑体"/>
          <w:b/>
          <w:color w:val="auto"/>
          <w:szCs w:val="21"/>
          <w:highlight w:val="none"/>
        </w:rPr>
        <w:t>1、</w:t>
      </w:r>
      <w:r>
        <w:rPr>
          <w:rFonts w:hint="eastAsia" w:ascii="黑体" w:hAnsi="黑体" w:eastAsia="黑体" w:cs="黑体"/>
          <w:b/>
          <w:bCs/>
          <w:color w:val="auto"/>
          <w:szCs w:val="21"/>
          <w:highlight w:val="none"/>
        </w:rPr>
        <w:t>投标人总报价如超过A值，A值=</w:t>
      </w:r>
      <w:r>
        <w:rPr>
          <w:rFonts w:hint="eastAsia" w:ascii="黑体" w:hAnsi="黑体" w:eastAsia="黑体" w:cs="黑体"/>
          <w:b/>
          <w:bCs/>
          <w:color w:val="auto"/>
          <w:szCs w:val="21"/>
          <w:highlight w:val="none"/>
          <w:u w:val="single"/>
        </w:rPr>
        <w:t>最高投标限价×（1-J） +（暂列金额+暂估价）</w:t>
      </w:r>
      <w:r>
        <w:rPr>
          <w:rFonts w:hint="eastAsia" w:ascii="黑体" w:hAnsi="黑体" w:eastAsia="黑体" w:cs="黑体"/>
          <w:b/>
          <w:bCs/>
          <w:strike w:val="0"/>
          <w:dstrike w:val="0"/>
          <w:color w:val="auto"/>
          <w:szCs w:val="21"/>
          <w:highlight w:val="none"/>
          <w:u w:val="single"/>
        </w:rPr>
        <w:t>×1.09</w:t>
      </w:r>
      <w:r>
        <w:rPr>
          <w:rFonts w:hint="eastAsia" w:ascii="黑体" w:hAnsi="黑体" w:eastAsia="黑体" w:cs="黑体"/>
          <w:b/>
          <w:bCs/>
          <w:color w:val="auto"/>
          <w:szCs w:val="21"/>
          <w:highlight w:val="none"/>
          <w:u w:val="single"/>
        </w:rPr>
        <w:t>×J（其中J=</w:t>
      </w:r>
      <w:r>
        <w:rPr>
          <w:rFonts w:hint="eastAsia" w:ascii="黑体" w:hAnsi="黑体" w:eastAsia="黑体" w:cs="黑体"/>
          <w:b/>
          <w:bCs/>
          <w:color w:val="auto"/>
          <w:szCs w:val="21"/>
          <w:highlight w:val="none"/>
          <w:u w:val="single"/>
          <w:lang w:val="en-US" w:eastAsia="zh-CN"/>
        </w:rPr>
        <w:t>10</w:t>
      </w:r>
      <w:r>
        <w:rPr>
          <w:rFonts w:hint="eastAsia" w:ascii="黑体" w:hAnsi="黑体" w:eastAsia="黑体" w:cs="黑体"/>
          <w:b/>
          <w:bCs/>
          <w:color w:val="auto"/>
          <w:szCs w:val="21"/>
          <w:highlight w:val="none"/>
          <w:u w:val="single"/>
        </w:rPr>
        <w:t>%</w:t>
      </w:r>
      <w:r>
        <w:rPr>
          <w:rFonts w:hint="eastAsia" w:ascii="黑体" w:hAnsi="黑体" w:eastAsia="黑体" w:cs="黑体"/>
          <w:b/>
          <w:bCs/>
          <w:color w:val="auto"/>
          <w:szCs w:val="21"/>
          <w:highlight w:val="none"/>
          <w:u w:val="single"/>
        </w:rPr>
        <w:t xml:space="preserve">，该值由招标人根据具体项目情况自行设定），则商务标不得分，且该投标报价不参与B值计算。 </w:t>
      </w:r>
    </w:p>
    <w:p w14:paraId="38B13108">
      <w:pPr>
        <w:adjustRightInd w:val="0"/>
        <w:snapToGrid w:val="0"/>
        <w:spacing w:line="560" w:lineRule="exact"/>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、只有通过详细评审的投标人才能参加评分。</w:t>
      </w:r>
    </w:p>
    <w:p w14:paraId="243244E1">
      <w:pPr>
        <w:adjustRightInd w:val="0"/>
        <w:snapToGrid w:val="0"/>
        <w:spacing w:line="560" w:lineRule="exact"/>
        <w:ind w:firstLine="420" w:firstLineChars="200"/>
        <w:rPr>
          <w:rFonts w:hint="eastAsia" w:ascii="宋体" w:hAnsi="宋体" w:cs="宋体"/>
          <w:strike/>
          <w:dstrike w:val="0"/>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、本表所称投标报价是指按招标文件规定修正后的投标总报价（多算投标报价、多报费用不扣减），报价以元为单位，保留两位小数，小数点后第三位四舍五入。</w:t>
      </w:r>
    </w:p>
    <w:p w14:paraId="34824778">
      <w:pPr>
        <w:adjustRightInd w:val="0"/>
        <w:snapToGrid w:val="0"/>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4、B 值计算方法</w:t>
      </w:r>
      <w:r>
        <w:rPr>
          <w:rFonts w:hint="eastAsia" w:ascii="宋体" w:hAnsi="宋体" w:eastAsia="宋体" w:cs="宋体"/>
          <w:color w:val="auto"/>
          <w:szCs w:val="21"/>
          <w:highlight w:val="none"/>
        </w:rPr>
        <w:t>：</w:t>
      </w:r>
    </w:p>
    <w:p w14:paraId="797B11DD">
      <w:pPr>
        <w:adjustRightInd w:val="0"/>
        <w:snapToGrid w:val="0"/>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 T 取值为</w:t>
      </w:r>
      <w:r>
        <w:rPr>
          <w:rFonts w:hint="eastAsia" w:ascii="宋体" w:hAnsi="宋体" w:eastAsia="宋体" w:cs="宋体"/>
          <w:color w:val="auto"/>
          <w:szCs w:val="21"/>
          <w:highlight w:val="none"/>
          <w:u w:val="single"/>
          <w:lang w:val="en-US" w:eastAsia="zh-CN"/>
        </w:rPr>
        <w:t>10</w:t>
      </w:r>
      <w:r>
        <w:rPr>
          <w:rFonts w:hint="eastAsia" w:ascii="宋体" w:hAnsi="宋体" w:eastAsia="宋体" w:cs="宋体"/>
          <w:color w:val="auto"/>
          <w:szCs w:val="21"/>
          <w:highlight w:val="none"/>
        </w:rPr>
        <w:t>。</w:t>
      </w:r>
    </w:p>
    <w:p w14:paraId="274F3511">
      <w:pPr>
        <w:adjustRightInd w:val="0"/>
        <w:snapToGrid w:val="0"/>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（2）投标报价不超过A值且资信技术合计分值大于等于所有通过（资信、技术、商务）详细评审有效投标人资信技术平均分值的投标人数量为M。</w:t>
      </w:r>
    </w:p>
    <w:p w14:paraId="4A553136">
      <w:pPr>
        <w:adjustRightInd w:val="0"/>
        <w:snapToGrid w:val="0"/>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（3）若M 未超过 T 时，B 值为符合上述条件的 M 个投标人投标报价的算术平均值。</w:t>
      </w:r>
    </w:p>
    <w:p w14:paraId="7C648187">
      <w:pPr>
        <w:adjustRightInd w:val="0"/>
        <w:snapToGrid w:val="0"/>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（4）若M 超过 T 时，B 值为符合上述条件的 M 个投标人投标报价中去除(M-T)/2【M-T 为奇数时，则为(M-T+1)/2】个最高价和(M-T)/2【M-T 为奇数时，则为(M-T-1)/2】个最低价后，剩余有效投标报价的算术平均值（如去高去低的最后一名存在报价相同的，则通过随机抽取确定被去除的投标人。只保留T个投标人的投标报价）。</w:t>
      </w:r>
    </w:p>
    <w:p w14:paraId="71D3D464">
      <w:pPr>
        <w:adjustRightInd w:val="0"/>
        <w:snapToGrid w:val="0"/>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5、K值（评标基准价系数）的抽取：资信标、技术标、商务标详细评审完成后，招标人在线抽取K值，并根据抽取的K值计算F值，评标办法中的评标基准价计算出来后，除数字计算错误外，其他情况均不再调整。</w:t>
      </w:r>
    </w:p>
    <w:p w14:paraId="3D665F3B">
      <w:pPr>
        <w:adjustRightInd w:val="0"/>
        <w:snapToGrid w:val="0"/>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6、其他</w:t>
      </w:r>
    </w:p>
    <w:p w14:paraId="63554FA1">
      <w:pPr>
        <w:adjustRightInd w:val="0"/>
        <w:snapToGrid w:val="0"/>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 缺漏项金额是指投标人漏计招标人发布的清单项目，按最高投标限价对应清单综合单价计算缺漏金额。</w:t>
      </w:r>
    </w:p>
    <w:p w14:paraId="24C66B7C">
      <w:pPr>
        <w:adjustRightInd w:val="0"/>
        <w:snapToGrid w:val="0"/>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 本表所述累计投标报价缺漏错总额占原投标报价格 5%以下者，视为投标人主动让利或包含在其他项目中，不修正总价，工程结算时亦不予调整。</w:t>
      </w:r>
    </w:p>
    <w:p w14:paraId="34700D88">
      <w:pPr>
        <w:adjustRightInd w:val="0"/>
        <w:snapToGrid w:val="0"/>
        <w:spacing w:line="5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人的注册建造师必须满足相应建筑业企业资质标准要求，评标委员会在评审时，将对此进行评审。投标单位应在商务标文件中提供全国建筑市场监管公共服务平台(四库一平台)企业注册人员网页截图，未提供相关截图，按无效标处理。</w:t>
      </w:r>
    </w:p>
    <w:p w14:paraId="59E5148A">
      <w:pPr>
        <w:pStyle w:val="3"/>
        <w:spacing w:beforeLines="50" w:afterLines="50"/>
        <w:ind w:firstLine="422" w:firstLineChars="200"/>
        <w:rPr>
          <w:rFonts w:ascii="宋体" w:hAnsi="宋体" w:eastAsia="宋体" w:cs="宋体"/>
          <w:color w:val="auto"/>
          <w:highlight w:val="none"/>
        </w:rPr>
      </w:pPr>
      <w:bookmarkStart w:id="786" w:name="_Toc35425113"/>
      <w:bookmarkStart w:id="787" w:name="_Toc6491"/>
      <w:bookmarkStart w:id="788" w:name="_Toc152042366"/>
      <w:bookmarkStart w:id="789" w:name="_Toc506107324"/>
      <w:bookmarkStart w:id="790" w:name="_Toc247085747"/>
      <w:bookmarkStart w:id="791" w:name="_Toc144974556"/>
      <w:bookmarkStart w:id="792" w:name="_Toc179632607"/>
      <w:bookmarkStart w:id="793" w:name="_Toc15058913"/>
      <w:bookmarkStart w:id="794" w:name="_Toc78803381"/>
      <w:bookmarkStart w:id="795" w:name="_Toc152045589"/>
      <w:bookmarkStart w:id="796" w:name="_Toc324404872"/>
      <w:bookmarkStart w:id="797" w:name="_Toc246996232"/>
      <w:bookmarkStart w:id="798" w:name="_Toc35424947"/>
      <w:bookmarkStart w:id="799" w:name="_Toc246996975"/>
      <w:r>
        <w:rPr>
          <w:rFonts w:hint="eastAsia" w:ascii="宋体" w:hAnsi="宋体" w:eastAsia="宋体" w:cs="宋体"/>
          <w:color w:val="auto"/>
          <w:highlight w:val="none"/>
        </w:rPr>
        <w:t>1.评标方法</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p>
    <w:p w14:paraId="0F3637AA">
      <w:pPr>
        <w:adjustRightInd w:val="0"/>
        <w:snapToGrid w:val="0"/>
        <w:spacing w:line="560" w:lineRule="exact"/>
        <w:ind w:firstLine="420" w:firstLineChars="200"/>
        <w:jc w:val="left"/>
        <w:rPr>
          <w:rFonts w:hint="eastAsia" w:ascii="宋体" w:hAnsi="宋体" w:cs="宋体"/>
          <w:color w:val="auto"/>
          <w:szCs w:val="21"/>
          <w:highlight w:val="none"/>
        </w:rPr>
      </w:pPr>
      <w:bookmarkStart w:id="800" w:name="_Toc35424948"/>
      <w:bookmarkStart w:id="801" w:name="_Toc35425114"/>
      <w:bookmarkStart w:id="802" w:name="_Toc11945"/>
      <w:bookmarkStart w:id="803" w:name="_Toc78803382"/>
      <w:bookmarkStart w:id="804" w:name="_Toc506107325"/>
      <w:bookmarkStart w:id="805" w:name="_Toc324404873"/>
      <w:bookmarkStart w:id="806" w:name="_Toc15058914"/>
      <w:bookmarkStart w:id="807" w:name="_Toc144974557"/>
      <w:bookmarkStart w:id="808" w:name="_Toc247085748"/>
      <w:bookmarkStart w:id="809" w:name="_Toc296602478"/>
      <w:bookmarkStart w:id="810" w:name="_Toc179632608"/>
      <w:bookmarkStart w:id="811" w:name="_Toc152045590"/>
      <w:bookmarkStart w:id="812" w:name="_Toc246996233"/>
      <w:bookmarkStart w:id="813" w:name="_Toc152042367"/>
      <w:bookmarkStart w:id="814" w:name="_Toc246996976"/>
      <w:r>
        <w:rPr>
          <w:rFonts w:hint="eastAsia" w:ascii="宋体" w:hAnsi="宋体" w:cs="宋体"/>
          <w:color w:val="auto"/>
          <w:szCs w:val="21"/>
          <w:highlight w:val="none"/>
        </w:rPr>
        <w:t>本次评标采用综合评估法。评标委员会对满足招标文件实质性要求的投标文件，按照本章规定的评分标准计算得分，并按总得分由高到低顺序推荐中标候选人（3名），并标明排序，但投标报价低于其成本的除外。如总得分相等，以投标报价低的优先，投标报价仍相等，由评标委员会主任委员或招标人随机抽取确定排名。</w:t>
      </w:r>
    </w:p>
    <w:p w14:paraId="05E7D3FF">
      <w:pPr>
        <w:widowControl/>
        <w:adjustRightInd w:val="0"/>
        <w:snapToGrid w:val="0"/>
        <w:spacing w:line="5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根据评标委员会评审初步结论，项目单位（代理机构）对预中标候选人、法定代表人及其项目经理（建造师）是否存在招标文件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2D02D1A3">
      <w:pPr>
        <w:wordWrap w:val="0"/>
        <w:adjustRightInd w:val="0"/>
        <w:snapToGrid w:val="0"/>
        <w:spacing w:line="5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（2）评标委员会登录全国建筑市场监管公共服务平台(四库-平台)https://jzsc.mohurd.gov.cn/home 进行实时查询，并结合《住房城乡建设部关于进一步加强建设工程企业资质审批管理工作的通知》（建市规〔2023〕3号）、《住房和城乡建设部办公厅关于建设工程企业资质有关事项的通知》（建办市函〔2022〕361号）和安徽省住建厅《关于建设工程企业资质有关事宜的通知》（建市函〔2022〕748 号），对中标候选人的关系企业履约能力的建造师数量进行评审：</w:t>
      </w:r>
    </w:p>
    <w:p w14:paraId="5E1DD67B">
      <w:pPr>
        <w:widowControl/>
        <w:adjustRightInd w:val="0"/>
        <w:snapToGrid w:val="0"/>
        <w:spacing w:line="5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（以建筑工程施工总承包资质企业注册建造师数量要求为例，具体项目应根据投标人资质条件和《建筑业企业资质标准》进行要求）</w:t>
      </w:r>
    </w:p>
    <w:p w14:paraId="4C369C38">
      <w:pPr>
        <w:widowControl/>
        <w:adjustRightInd w:val="0"/>
        <w:snapToGrid w:val="0"/>
        <w:spacing w:line="560" w:lineRule="exact"/>
        <w:ind w:firstLine="420" w:firstLineChars="200"/>
        <w:jc w:val="left"/>
        <w:rPr>
          <w:rFonts w:hint="eastAsia" w:ascii="宋体" w:hAnsi="宋体" w:cs="宋体"/>
          <w:color w:val="auto"/>
          <w:szCs w:val="21"/>
          <w:highlight w:val="none"/>
        </w:rPr>
      </w:pPr>
      <w:r>
        <w:rPr>
          <w:rFonts w:hint="eastAsia" w:ascii="仿宋_GB2312" w:hAnsi="宋体" w:eastAsia="仿宋_GB2312" w:cs="宋体"/>
          <w:color w:val="auto"/>
          <w:szCs w:val="21"/>
          <w:highlight w:val="none"/>
        </w:rPr>
        <w:t>①</w:t>
      </w:r>
      <w:r>
        <w:rPr>
          <w:rFonts w:hint="eastAsia" w:ascii="宋体" w:hAnsi="宋体" w:cs="宋体"/>
          <w:color w:val="auto"/>
          <w:szCs w:val="21"/>
          <w:highlight w:val="none"/>
        </w:rPr>
        <w:t>建筑工程施工总承包特级资质企业：注册一级建造师50人以上。</w:t>
      </w:r>
    </w:p>
    <w:p w14:paraId="54423EA9">
      <w:pPr>
        <w:widowControl/>
        <w:adjustRightInd w:val="0"/>
        <w:snapToGrid w:val="0"/>
        <w:spacing w:line="560" w:lineRule="exact"/>
        <w:ind w:firstLine="420" w:firstLineChars="200"/>
        <w:jc w:val="left"/>
        <w:rPr>
          <w:rFonts w:hint="eastAsia" w:ascii="宋体" w:hAnsi="宋体" w:cs="宋体"/>
          <w:color w:val="auto"/>
          <w:szCs w:val="21"/>
          <w:highlight w:val="none"/>
        </w:rPr>
      </w:pPr>
      <w:r>
        <w:rPr>
          <w:rFonts w:hint="eastAsia" w:ascii="仿宋_GB2312" w:hAnsi="宋体" w:eastAsia="仿宋_GB2312" w:cs="宋体"/>
          <w:color w:val="auto"/>
          <w:szCs w:val="21"/>
          <w:highlight w:val="none"/>
        </w:rPr>
        <w:t>②</w:t>
      </w:r>
      <w:r>
        <w:rPr>
          <w:rFonts w:hint="eastAsia" w:ascii="宋体" w:hAnsi="宋体" w:cs="宋体"/>
          <w:color w:val="auto"/>
          <w:szCs w:val="21"/>
          <w:highlight w:val="none"/>
        </w:rPr>
        <w:t>建筑工程施工总承包壹级资质企业：建筑工程、机电工程专业一级注册建造师合计不少于12人，其中建筑工程专业一级注册建造师不少于9人。</w:t>
      </w:r>
    </w:p>
    <w:p w14:paraId="6CEF63FF">
      <w:pPr>
        <w:widowControl/>
        <w:adjustRightInd w:val="0"/>
        <w:snapToGrid w:val="0"/>
        <w:spacing w:line="560" w:lineRule="exact"/>
        <w:ind w:firstLine="420" w:firstLineChars="200"/>
        <w:jc w:val="left"/>
        <w:rPr>
          <w:rFonts w:hint="eastAsia" w:ascii="宋体" w:hAnsi="宋体" w:cs="宋体"/>
          <w:color w:val="auto"/>
          <w:szCs w:val="21"/>
          <w:highlight w:val="none"/>
        </w:rPr>
      </w:pPr>
      <w:r>
        <w:rPr>
          <w:rFonts w:hint="eastAsia" w:ascii="仿宋_GB2312" w:hAnsi="宋体" w:eastAsia="仿宋_GB2312" w:cs="宋体"/>
          <w:color w:val="auto"/>
          <w:szCs w:val="21"/>
          <w:highlight w:val="none"/>
        </w:rPr>
        <w:t>③</w:t>
      </w:r>
      <w:r>
        <w:rPr>
          <w:rFonts w:hint="eastAsia" w:ascii="宋体" w:hAnsi="宋体" w:cs="宋体"/>
          <w:color w:val="auto"/>
          <w:szCs w:val="21"/>
          <w:highlight w:val="none"/>
        </w:rPr>
        <w:t>建筑工程施工总承包贰级、叁级资质企业：建筑工程、机电工程专业注册建造师合计不少于5人，其中建筑工程专业注册建造师不少于4人。</w:t>
      </w:r>
    </w:p>
    <w:p w14:paraId="6A161807">
      <w:pPr>
        <w:widowControl/>
        <w:adjustRightInd w:val="0"/>
        <w:snapToGrid w:val="0"/>
        <w:spacing w:line="5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中标候选人的注册建造师不满足上述要求的，评标委员会对该投标不予认可，并将该情形报送相关行政主管部门。中标候选人依次替补，评标委员会再次对替补单位进行核查。</w:t>
      </w:r>
    </w:p>
    <w:p w14:paraId="3F12DD3B">
      <w:pPr>
        <w:pStyle w:val="3"/>
        <w:spacing w:beforeLines="50" w:afterLines="50"/>
        <w:ind w:firstLine="422" w:firstLineChars="200"/>
        <w:rPr>
          <w:rFonts w:hint="eastAsia" w:ascii="宋体" w:hAnsi="宋体" w:eastAsia="宋体" w:cs="宋体"/>
          <w:color w:val="auto"/>
          <w:highlight w:val="none"/>
        </w:rPr>
      </w:pPr>
      <w:r>
        <w:rPr>
          <w:rFonts w:hint="eastAsia" w:ascii="宋体" w:hAnsi="宋体" w:eastAsia="宋体" w:cs="宋体"/>
          <w:color w:val="auto"/>
          <w:highlight w:val="none"/>
        </w:rPr>
        <w:t>2.评标委员会的职责</w:t>
      </w:r>
      <w:bookmarkEnd w:id="800"/>
      <w:bookmarkEnd w:id="801"/>
      <w:bookmarkEnd w:id="802"/>
      <w:bookmarkEnd w:id="803"/>
      <w:bookmarkEnd w:id="804"/>
      <w:bookmarkEnd w:id="805"/>
      <w:bookmarkEnd w:id="806"/>
    </w:p>
    <w:p w14:paraId="2366AE8E">
      <w:pPr>
        <w:shd w:val="clear"/>
        <w:adjustRightInd w:val="0"/>
        <w:snapToGrid w:val="0"/>
        <w:spacing w:line="560" w:lineRule="exact"/>
        <w:ind w:firstLine="420" w:firstLineChars="200"/>
        <w:jc w:val="left"/>
        <w:rPr>
          <w:rFonts w:hint="eastAsia" w:ascii="宋体" w:hAnsi="宋体" w:eastAsia="宋体" w:cs="宋体"/>
          <w:color w:val="auto"/>
          <w:szCs w:val="21"/>
          <w:highlight w:val="none"/>
        </w:rPr>
      </w:pPr>
      <w:bookmarkStart w:id="815" w:name="_Toc35425115"/>
      <w:bookmarkStart w:id="816" w:name="_Toc506107326"/>
      <w:bookmarkStart w:id="817" w:name="_Toc78803384"/>
      <w:bookmarkStart w:id="818" w:name="_Toc324404874"/>
      <w:bookmarkStart w:id="819" w:name="_Toc17377"/>
      <w:bookmarkStart w:id="820" w:name="_Toc15058915"/>
      <w:bookmarkStart w:id="821" w:name="_Toc35424949"/>
      <w:r>
        <w:rPr>
          <w:rFonts w:hint="eastAsia" w:ascii="宋体" w:hAnsi="宋体" w:eastAsia="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3220F0DC">
      <w:pPr>
        <w:shd w:val="clear"/>
        <w:adjustRightInd w:val="0"/>
        <w:snapToGrid w:val="0"/>
        <w:spacing w:line="5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2EE942C7">
      <w:pPr>
        <w:pStyle w:val="3"/>
        <w:spacing w:beforeLines="50" w:afterLines="50"/>
        <w:ind w:firstLine="422" w:firstLineChars="200"/>
        <w:rPr>
          <w:rFonts w:hint="eastAsia" w:ascii="宋体" w:hAnsi="宋体" w:eastAsia="宋体" w:cs="宋体"/>
          <w:color w:val="auto"/>
          <w:highlight w:val="none"/>
        </w:rPr>
      </w:pPr>
      <w:r>
        <w:rPr>
          <w:rFonts w:hint="eastAsia" w:ascii="宋体" w:hAnsi="宋体" w:eastAsia="宋体" w:cs="宋体"/>
          <w:color w:val="auto"/>
          <w:highlight w:val="none"/>
        </w:rPr>
        <w:t>3.评标程序</w:t>
      </w:r>
      <w:bookmarkEnd w:id="815"/>
      <w:bookmarkEnd w:id="816"/>
      <w:bookmarkEnd w:id="817"/>
      <w:bookmarkEnd w:id="818"/>
      <w:bookmarkEnd w:id="819"/>
      <w:bookmarkEnd w:id="820"/>
      <w:bookmarkEnd w:id="821"/>
    </w:p>
    <w:p w14:paraId="74F4CF37">
      <w:pPr>
        <w:shd w:val="clear"/>
        <w:adjustRightInd w:val="0"/>
        <w:snapToGrid w:val="0"/>
        <w:spacing w:line="560" w:lineRule="exact"/>
        <w:ind w:firstLine="420" w:firstLineChars="200"/>
        <w:jc w:val="left"/>
        <w:rPr>
          <w:rFonts w:hint="eastAsia" w:ascii="宋体" w:hAnsi="宋体" w:eastAsia="宋体" w:cs="宋体"/>
          <w:color w:val="auto"/>
          <w:szCs w:val="21"/>
          <w:highlight w:val="none"/>
        </w:rPr>
      </w:pPr>
      <w:bookmarkStart w:id="822" w:name="_Toc27389"/>
      <w:bookmarkStart w:id="823" w:name="_Toc35424950"/>
      <w:bookmarkStart w:id="824" w:name="_Toc78803385"/>
      <w:bookmarkStart w:id="825" w:name="_Toc15058916"/>
      <w:bookmarkStart w:id="826" w:name="_Toc35425116"/>
      <w:r>
        <w:rPr>
          <w:rFonts w:hint="eastAsia" w:ascii="宋体" w:hAnsi="宋体" w:eastAsia="宋体" w:cs="宋体"/>
          <w:color w:val="auto"/>
          <w:szCs w:val="21"/>
          <w:highlight w:val="none"/>
        </w:rPr>
        <w:t>评标先做准备工作，再进行资格、技术标评审，然后进行商务标评审。</w:t>
      </w:r>
    </w:p>
    <w:p w14:paraId="6E980930">
      <w:pPr>
        <w:pStyle w:val="3"/>
        <w:ind w:firstLine="422" w:firstLineChars="200"/>
        <w:rPr>
          <w:rFonts w:ascii="宋体" w:hAnsi="宋体" w:eastAsia="宋体" w:cs="宋体"/>
          <w:color w:val="auto"/>
          <w:highlight w:val="none"/>
        </w:rPr>
      </w:pPr>
      <w:r>
        <w:rPr>
          <w:rFonts w:hint="eastAsia" w:ascii="宋体" w:hAnsi="宋体" w:eastAsia="宋体" w:cs="宋体"/>
          <w:color w:val="auto"/>
          <w:highlight w:val="none"/>
        </w:rPr>
        <w:t>3.1评标准备工作</w:t>
      </w:r>
      <w:bookmarkEnd w:id="822"/>
      <w:bookmarkEnd w:id="823"/>
      <w:bookmarkEnd w:id="824"/>
      <w:bookmarkEnd w:id="825"/>
      <w:bookmarkEnd w:id="826"/>
    </w:p>
    <w:p w14:paraId="12DD11ED">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评标委员会熟悉评标工作情况：</w:t>
      </w:r>
    </w:p>
    <w:p w14:paraId="61A7679E">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14:paraId="33273880">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14:paraId="3514C364">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14:paraId="0377C0C5">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（4）核对评标工作用表。</w:t>
      </w:r>
    </w:p>
    <w:p w14:paraId="11CF5DD7">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827" w:name="_Toc95223433"/>
      <w:bookmarkStart w:id="828" w:name="_Toc35425120"/>
      <w:bookmarkStart w:id="829" w:name="_Toc35424954"/>
      <w:bookmarkStart w:id="830" w:name="_Toc78803389"/>
      <w:bookmarkStart w:id="831" w:name="_Toc506107327"/>
      <w:bookmarkStart w:id="832" w:name="_Toc15058919"/>
      <w:bookmarkStart w:id="833" w:name="_Toc324404875"/>
      <w:bookmarkStart w:id="834" w:name="_Toc12200"/>
      <w:r>
        <w:rPr>
          <w:rFonts w:hint="eastAsia" w:ascii="黑体" w:hAnsi="黑体" w:cs="黑体"/>
          <w:color w:val="auto"/>
          <w:sz w:val="21"/>
          <w:szCs w:val="21"/>
          <w:highlight w:val="none"/>
        </w:rPr>
        <w:t>3.2技术标评审</w:t>
      </w:r>
      <w:bookmarkEnd w:id="827"/>
    </w:p>
    <w:p w14:paraId="0D2D6BD1">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详见技术标评审表。</w:t>
      </w:r>
    </w:p>
    <w:p w14:paraId="2DE8CA6E">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835" w:name="_Toc95223434"/>
      <w:r>
        <w:rPr>
          <w:rFonts w:hint="eastAsia" w:ascii="黑体" w:hAnsi="黑体" w:cs="黑体"/>
          <w:color w:val="auto"/>
          <w:sz w:val="21"/>
          <w:szCs w:val="21"/>
          <w:highlight w:val="none"/>
        </w:rPr>
        <w:t>3.3商务标评审</w:t>
      </w:r>
      <w:bookmarkEnd w:id="835"/>
    </w:p>
    <w:p w14:paraId="53463FF0">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详见商务标评审表。</w:t>
      </w:r>
    </w:p>
    <w:p w14:paraId="617E89B0">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r>
        <w:rPr>
          <w:rFonts w:hint="eastAsia" w:ascii="黑体" w:hAnsi="黑体" w:cs="黑体"/>
          <w:color w:val="auto"/>
          <w:sz w:val="21"/>
          <w:szCs w:val="21"/>
          <w:highlight w:val="none"/>
        </w:rPr>
        <w:t>3.4推荐中标候选人</w:t>
      </w:r>
    </w:p>
    <w:p w14:paraId="18371287">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资信评审、技术标评审、商务标评审后，推荐中标候选人，并标明排序。</w:t>
      </w:r>
    </w:p>
    <w:p w14:paraId="3113A55A">
      <w:pPr>
        <w:pStyle w:val="3"/>
        <w:spacing w:beforeLines="50" w:afterLines="50"/>
        <w:ind w:firstLine="422" w:firstLineChars="200"/>
        <w:rPr>
          <w:rFonts w:ascii="宋体" w:hAnsi="宋体" w:eastAsia="宋体" w:cs="宋体"/>
          <w:color w:val="auto"/>
          <w:highlight w:val="none"/>
        </w:rPr>
      </w:pPr>
      <w:r>
        <w:rPr>
          <w:rFonts w:hint="eastAsia" w:ascii="宋体" w:hAnsi="宋体" w:eastAsia="宋体" w:cs="宋体"/>
          <w:color w:val="auto"/>
          <w:highlight w:val="none"/>
        </w:rPr>
        <w:t>4.评审内容</w:t>
      </w:r>
      <w:bookmarkEnd w:id="828"/>
      <w:bookmarkEnd w:id="829"/>
      <w:bookmarkEnd w:id="830"/>
      <w:bookmarkEnd w:id="831"/>
      <w:bookmarkEnd w:id="832"/>
      <w:bookmarkEnd w:id="833"/>
      <w:bookmarkEnd w:id="834"/>
    </w:p>
    <w:p w14:paraId="3980C2DF">
      <w:pPr>
        <w:pStyle w:val="3"/>
        <w:ind w:firstLine="422" w:firstLineChars="200"/>
        <w:rPr>
          <w:rFonts w:hint="eastAsia" w:ascii="宋体" w:hAnsi="宋体" w:eastAsia="宋体" w:cs="宋体"/>
          <w:color w:val="auto"/>
          <w:highlight w:val="none"/>
        </w:rPr>
      </w:pPr>
      <w:bookmarkStart w:id="836" w:name="_Toc95223436"/>
      <w:bookmarkStart w:id="837" w:name="_Toc78803390"/>
      <w:bookmarkStart w:id="838" w:name="_Toc9630"/>
      <w:r>
        <w:rPr>
          <w:rFonts w:hint="eastAsia" w:ascii="宋体" w:hAnsi="宋体" w:eastAsia="宋体" w:cs="宋体"/>
          <w:color w:val="auto"/>
          <w:highlight w:val="none"/>
        </w:rPr>
        <w:t>4.1技术标评审</w:t>
      </w:r>
      <w:bookmarkEnd w:id="836"/>
    </w:p>
    <w:p w14:paraId="4D238764">
      <w:pPr>
        <w:shd w:val="clear"/>
        <w:adjustRightInd w:val="0"/>
        <w:snapToGrid w:val="0"/>
        <w:spacing w:line="5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4.1.1形式性评审标准：见技术标评审表。</w:t>
      </w:r>
    </w:p>
    <w:p w14:paraId="24C8A179">
      <w:pPr>
        <w:shd w:val="clear"/>
        <w:adjustRightInd w:val="0"/>
        <w:snapToGrid w:val="0"/>
        <w:spacing w:line="5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4.1.2响应性评审标准：见技术标评审表。</w:t>
      </w:r>
    </w:p>
    <w:p w14:paraId="4B6D9D4A">
      <w:pPr>
        <w:shd w:val="clear"/>
        <w:adjustRightInd w:val="0"/>
        <w:snapToGrid w:val="0"/>
        <w:spacing w:line="5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评标委员会依据上述标准对投标文件进行形式性评审和响应性评审。有一项不符合评审标准的，作无效投标处理。对否定的技术标，评标委员会要提出充足的否定理由，并填写在技术标评标记录上。</w:t>
      </w:r>
    </w:p>
    <w:bookmarkEnd w:id="837"/>
    <w:bookmarkEnd w:id="838"/>
    <w:p w14:paraId="55926CFF">
      <w:pPr>
        <w:pStyle w:val="3"/>
        <w:adjustRightInd w:val="0"/>
        <w:snapToGrid w:val="0"/>
        <w:spacing w:before="0" w:after="0" w:line="560" w:lineRule="exact"/>
        <w:ind w:firstLine="422" w:firstLineChars="200"/>
        <w:rPr>
          <w:rFonts w:hint="eastAsia" w:ascii="黑体" w:hAnsi="黑体" w:cs="黑体"/>
          <w:color w:val="auto"/>
          <w:sz w:val="21"/>
          <w:szCs w:val="21"/>
          <w:highlight w:val="none"/>
        </w:rPr>
      </w:pPr>
      <w:bookmarkStart w:id="839" w:name="_Toc95223437"/>
      <w:bookmarkStart w:id="840" w:name="_Toc35425123"/>
      <w:bookmarkStart w:id="841" w:name="_Toc324404876"/>
      <w:bookmarkStart w:id="842" w:name="_Toc13125"/>
      <w:bookmarkStart w:id="843" w:name="_Toc15058922"/>
      <w:bookmarkStart w:id="844" w:name="_Toc35424957"/>
      <w:bookmarkStart w:id="845" w:name="_Toc506107328"/>
      <w:bookmarkStart w:id="846" w:name="_Toc78803392"/>
      <w:r>
        <w:rPr>
          <w:rFonts w:hint="eastAsia" w:ascii="黑体" w:hAnsi="黑体" w:cs="黑体"/>
          <w:color w:val="auto"/>
          <w:sz w:val="21"/>
          <w:szCs w:val="21"/>
          <w:highlight w:val="none"/>
        </w:rPr>
        <w:t>4.2商务标评审</w:t>
      </w:r>
      <w:bookmarkEnd w:id="839"/>
    </w:p>
    <w:p w14:paraId="05C9FD15">
      <w:pPr>
        <w:shd w:val="clear"/>
        <w:adjustRightInd w:val="0"/>
        <w:snapToGrid w:val="0"/>
        <w:spacing w:line="5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只有通过技术标评审的投标才能够进入本阶段评审。</w:t>
      </w:r>
    </w:p>
    <w:p w14:paraId="640ECBF6">
      <w:pPr>
        <w:shd w:val="clear"/>
        <w:adjustRightInd w:val="0"/>
        <w:snapToGrid w:val="0"/>
        <w:spacing w:line="5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4.2.1形式性评审标准：见商务标评审表。</w:t>
      </w:r>
    </w:p>
    <w:p w14:paraId="4F79532E">
      <w:pPr>
        <w:shd w:val="clear"/>
        <w:adjustRightInd w:val="0"/>
        <w:snapToGrid w:val="0"/>
        <w:spacing w:line="5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4.2.2响应性评审标准：见商务标评审表。</w:t>
      </w:r>
    </w:p>
    <w:p w14:paraId="2AEC4164">
      <w:pPr>
        <w:shd w:val="clear"/>
        <w:adjustRightInd w:val="0"/>
        <w:snapToGrid w:val="0"/>
        <w:spacing w:line="5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评标委员会依据上述标准对投标文件进行初步评审。有一项不符合评审标准的，作无效投标处理。</w:t>
      </w:r>
    </w:p>
    <w:p w14:paraId="3D50DD69">
      <w:pPr>
        <w:shd w:val="clear"/>
        <w:adjustRightInd w:val="0"/>
        <w:snapToGrid w:val="0"/>
        <w:spacing w:line="5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4.2.3详细评审标准：见商务标评审表。</w:t>
      </w:r>
    </w:p>
    <w:p w14:paraId="7DFCA053">
      <w:pPr>
        <w:shd w:val="clear"/>
        <w:adjustRightInd w:val="0"/>
        <w:snapToGrid w:val="0"/>
        <w:spacing w:line="5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4.2.4评标委员会审查投标文件，审核并确认清标结果，包括工程投标报价的校核、审查全部数据计算的正确性、分析各种费用构成的合理性和正确性等内容，看其是否有计算或表达上的错误，投标报价有错误的，评标委员会按以下原则对投标报价进行修正。</w:t>
      </w:r>
    </w:p>
    <w:p w14:paraId="1FF06586">
      <w:pPr>
        <w:shd w:val="clear"/>
        <w:adjustRightInd w:val="0"/>
        <w:snapToGrid w:val="0"/>
        <w:spacing w:line="5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（1）投标文件中的大写金额与小写金额不一致的，以大写金额为准。</w:t>
      </w:r>
    </w:p>
    <w:p w14:paraId="5C529CE2">
      <w:pPr>
        <w:shd w:val="clear"/>
        <w:adjustRightInd w:val="0"/>
        <w:snapToGrid w:val="0"/>
        <w:spacing w:line="5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（2）总价金额与依据单价计算出的结果不一致的，以单价金额为准修正总价，但单价金额小数点有明显错误的除外。</w:t>
      </w:r>
    </w:p>
    <w:p w14:paraId="7371A27A">
      <w:pPr>
        <w:shd w:val="clear"/>
        <w:adjustRightInd w:val="0"/>
        <w:snapToGrid w:val="0"/>
        <w:spacing w:line="5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（3）工程量清单报价表中综合单价与工程量清单项目价格分析表相对应综合单价不一致时，以工程量清单项目价格分析表中标出的综合单价为准。</w:t>
      </w:r>
    </w:p>
    <w:p w14:paraId="255794AA">
      <w:pPr>
        <w:shd w:val="clear"/>
        <w:adjustRightInd w:val="0"/>
        <w:snapToGrid w:val="0"/>
        <w:spacing w:line="5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14:paraId="0D8AA3CD">
      <w:pPr>
        <w:pStyle w:val="3"/>
        <w:spacing w:beforeLines="50" w:afterLines="50"/>
        <w:ind w:firstLine="422" w:firstLineChars="200"/>
        <w:rPr>
          <w:rFonts w:hint="eastAsia" w:ascii="宋体" w:hAnsi="宋体" w:eastAsia="宋体" w:cs="宋体"/>
          <w:color w:val="auto"/>
          <w:highlight w:val="none"/>
        </w:rPr>
      </w:pPr>
      <w:r>
        <w:rPr>
          <w:rFonts w:hint="eastAsia" w:ascii="宋体" w:hAnsi="宋体" w:eastAsia="宋体" w:cs="宋体"/>
          <w:color w:val="auto"/>
          <w:highlight w:val="none"/>
        </w:rPr>
        <w:t>5.无效投标条款</w:t>
      </w:r>
      <w:bookmarkEnd w:id="840"/>
      <w:bookmarkEnd w:id="841"/>
      <w:bookmarkEnd w:id="842"/>
      <w:bookmarkEnd w:id="843"/>
      <w:bookmarkEnd w:id="844"/>
      <w:bookmarkEnd w:id="845"/>
      <w:bookmarkEnd w:id="846"/>
    </w:p>
    <w:p w14:paraId="3E3E65E8">
      <w:pPr>
        <w:spacing w:line="440" w:lineRule="exact"/>
        <w:ind w:firstLine="420" w:firstLineChars="200"/>
        <w:jc w:val="left"/>
        <w:rPr>
          <w:rFonts w:hint="eastAsia" w:ascii="宋体" w:hAnsi="宋体" w:eastAsia="宋体" w:cs="宋体"/>
          <w:color w:val="auto"/>
          <w:highlight w:val="none"/>
        </w:rPr>
      </w:pPr>
      <w:bookmarkStart w:id="847" w:name="_Toc15058923"/>
      <w:bookmarkStart w:id="848" w:name="_Toc78803393"/>
      <w:bookmarkStart w:id="849" w:name="_Toc35425124"/>
      <w:bookmarkStart w:id="850" w:name="_Toc35424958"/>
      <w:bookmarkStart w:id="851" w:name="_Toc324404877"/>
      <w:bookmarkStart w:id="852" w:name="_Toc27846"/>
      <w:bookmarkStart w:id="853" w:name="_Toc506107329"/>
      <w:r>
        <w:rPr>
          <w:rFonts w:hint="eastAsia" w:ascii="宋体" w:hAnsi="宋体" w:eastAsia="宋体" w:cs="宋体"/>
          <w:color w:val="auto"/>
          <w:highlight w:val="none"/>
        </w:rPr>
        <w:t>5.1投标人存在下列情形的招标人将拒收投标文件：</w:t>
      </w:r>
    </w:p>
    <w:p w14:paraId="7C3A9FFB">
      <w:pPr>
        <w:spacing w:line="440" w:lineRule="exact"/>
        <w:ind w:firstLine="420" w:firstLineChars="200"/>
        <w:jc w:val="left"/>
        <w:rPr>
          <w:rFonts w:hint="eastAsia" w:ascii="宋体" w:hAnsi="宋体" w:eastAsia="宋体" w:cs="宋体"/>
          <w:color w:val="auto"/>
          <w:highlight w:val="none"/>
          <w:lang w:eastAsia="zh-CN"/>
        </w:rPr>
      </w:pPr>
      <w:bookmarkStart w:id="854" w:name="_Toc60061505"/>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）未在投标截止时</w:t>
      </w:r>
      <w:bookmarkEnd w:id="854"/>
      <w:r>
        <w:rPr>
          <w:rFonts w:hint="eastAsia" w:ascii="宋体" w:hAnsi="宋体" w:eastAsia="宋体" w:cs="宋体"/>
          <w:color w:val="auto"/>
          <w:highlight w:val="none"/>
        </w:rPr>
        <w:t>间前通过网上招标投标系统递交有效电子投标文件的，开标系统不予接收，投标将被拒绝</w:t>
      </w:r>
      <w:r>
        <w:rPr>
          <w:rFonts w:hint="eastAsia" w:ascii="宋体" w:hAnsi="宋体" w:eastAsia="宋体" w:cs="宋体"/>
          <w:color w:val="auto"/>
          <w:highlight w:val="none"/>
          <w:lang w:eastAsia="zh-CN"/>
        </w:rPr>
        <w:t>。</w:t>
      </w:r>
    </w:p>
    <w:p w14:paraId="0794123B">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所有投标人应在规定时间里完成投标文件的解密工作【投标企业接到远程解密指令后，须在规定时间内解密（以网上开评标系统解密倒计时为准）。因投标人自身原因导致投标文件在规定时间内未能解密、解密失败或解密超时，投标文件无效</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t>
      </w:r>
    </w:p>
    <w:p w14:paraId="66C9671D">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5.2投标人有下列情形的，经评审后其投标作无效投标处理：</w:t>
      </w:r>
    </w:p>
    <w:p w14:paraId="34DC5366">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5.2.1技术标评审</w:t>
      </w:r>
    </w:p>
    <w:p w14:paraId="039E0426">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评标委员会依据《技术标评审表》进行形式性评审和响应性评审。有一项不符合评审标准的，做无效投标处理；对否定的技术标，评标委员会要提出充足的否定理由，并填写在技术标评标记录上。</w:t>
      </w:r>
    </w:p>
    <w:p w14:paraId="7B09A123">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5.2.2商务标评审</w:t>
      </w:r>
    </w:p>
    <w:p w14:paraId="169EECD8">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(1)评标委员会依据《商务标评审表》进行形式性评审和响应性评审。有一项不符合评审标准的，做无效投标处理；</w:t>
      </w:r>
    </w:p>
    <w:p w14:paraId="520DB812">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（2）商务标详细评审标准中有任何一项不能通过评审的，作无效投标处理。</w:t>
      </w:r>
    </w:p>
    <w:p w14:paraId="11B68C29">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5.3其他无效投标情况：</w:t>
      </w:r>
    </w:p>
    <w:p w14:paraId="5D501451">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214A4A89">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（2）按第四章“评标方法”第4.2.4项修正错误的原则及方法调整或修正投标文件的投标报价，调整或修正的价格经投标人书面确认后具有约束力。投标人不接受修正价格的，其投标将被拒绝。</w:t>
      </w:r>
    </w:p>
    <w:p w14:paraId="7C1D2B26">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（3）第二章“投标人须知”第1.4.3项规定的任何一种情形的。</w:t>
      </w:r>
    </w:p>
    <w:p w14:paraId="48DD6505">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（4）投标人有串通投标、视为串通投标、弄虚作假、行贿等违法行为。</w:t>
      </w:r>
    </w:p>
    <w:p w14:paraId="7AE90BB0">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（5）投标文件没有对招标文件的实质性要求和条件作出响应。</w:t>
      </w:r>
    </w:p>
    <w:p w14:paraId="08A90169">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（6）未按规定的格式填写导致实质性内容不全以及实质上不响应，或者关键字迹模糊、无法辨认。</w:t>
      </w:r>
    </w:p>
    <w:p w14:paraId="00808C1E">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（7）同一投标人提交两个以上不同的投标文件或者投标报价，但招标文件规定提交备选投标的除外。</w:t>
      </w:r>
    </w:p>
    <w:p w14:paraId="2533827A">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（8）投标文件中存在招标人不能接受的其他实质性条件。</w:t>
      </w:r>
    </w:p>
    <w:p w14:paraId="524D53D9">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（9）投标文件中填报的拟任项目经理（建造师）与资格审查通过的项目经理（建造师）前后不一致的。</w:t>
      </w:r>
    </w:p>
    <w:p w14:paraId="3D744B31">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（10）投标人拒不按照要求对投标文件进行澄清、说明、补正的，或评标委员会根据招标文件的规定对招标文件的计算错误进行修正后，投标人不接受修正的投标报价的。</w:t>
      </w:r>
    </w:p>
    <w:p w14:paraId="512E080E">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）投标人单方面出现其他投标人材料。</w:t>
      </w:r>
    </w:p>
    <w:p w14:paraId="47D8332E">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）投标人联系人或联系电话相同的。</w:t>
      </w:r>
    </w:p>
    <w:p w14:paraId="14639CA5">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rPr>
        <w:t>）法律、法规规定的其他情形。</w:t>
      </w:r>
    </w:p>
    <w:p w14:paraId="5A018EF6">
      <w:pPr>
        <w:pStyle w:val="3"/>
        <w:spacing w:beforeLines="50" w:afterLines="50"/>
        <w:ind w:firstLine="422" w:firstLineChars="200"/>
        <w:rPr>
          <w:rFonts w:hint="eastAsia" w:ascii="宋体" w:hAnsi="宋体" w:eastAsia="宋体" w:cs="宋体"/>
          <w:color w:val="auto"/>
          <w:highlight w:val="none"/>
        </w:rPr>
      </w:pPr>
      <w:bookmarkStart w:id="855" w:name="_Toc95223409"/>
      <w:r>
        <w:rPr>
          <w:rFonts w:hint="eastAsia" w:ascii="宋体" w:hAnsi="宋体" w:eastAsia="宋体" w:cs="宋体"/>
          <w:color w:val="auto"/>
          <w:highlight w:val="none"/>
        </w:rPr>
        <w:t>6.投标文件的澄清和补正</w:t>
      </w:r>
      <w:bookmarkEnd w:id="855"/>
    </w:p>
    <w:p w14:paraId="4C9D7324">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6.1在评标过程中，评标委员会可以书面形式要求投标</w:t>
      </w:r>
      <w:bookmarkStart w:id="856" w:name="_Toc60061506"/>
      <w:r>
        <w:rPr>
          <w:rFonts w:hint="eastAsia" w:ascii="宋体" w:hAnsi="宋体" w:eastAsia="宋体" w:cs="宋体"/>
          <w:color w:val="auto"/>
          <w:highlight w:val="none"/>
        </w:rPr>
        <w:t>人对所提交的投标文件中含</w:t>
      </w:r>
      <w:bookmarkEnd w:id="856"/>
      <w:r>
        <w:rPr>
          <w:rFonts w:hint="eastAsia" w:ascii="宋体" w:hAnsi="宋体" w:eastAsia="宋体" w:cs="宋体"/>
          <w:color w:val="auto"/>
          <w:highlight w:val="none"/>
        </w:rPr>
        <w:t>义不明确、对同类问题表述不一致或者有明显文字和计算错误的内容进行书面澄清或说明，或者对细微偏差进行补正。评标委员会不接受投标人主动提出的澄清、说明或补正。</w:t>
      </w:r>
    </w:p>
    <w:p w14:paraId="4AF5F2BE">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6.2澄清、说明和补正不得改变投标文件的实质性内容（算术性错误修正的除外）。投标人的书面澄清、说明和补正属于投标文件的组成部分。</w:t>
      </w:r>
    </w:p>
    <w:p w14:paraId="5067B074">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6.3评标委员会对投标人提交的澄清、说明和补正有疑问的，可以要求投标人进一步澄清、说明或补正、直至满足评标委员会的要求。</w:t>
      </w:r>
    </w:p>
    <w:p w14:paraId="42BDF8A3">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按照投标文件规定进行澄清、补正后的投标报价经投标人的法定代表人或其委托代理人确认后即为该投标人的最终投标报价。投标人一旦中标，此报价即为中标价。</w:t>
      </w:r>
    </w:p>
    <w:bookmarkEnd w:id="807"/>
    <w:bookmarkEnd w:id="808"/>
    <w:bookmarkEnd w:id="809"/>
    <w:bookmarkEnd w:id="810"/>
    <w:bookmarkEnd w:id="811"/>
    <w:bookmarkEnd w:id="812"/>
    <w:bookmarkEnd w:id="813"/>
    <w:bookmarkEnd w:id="814"/>
    <w:bookmarkEnd w:id="847"/>
    <w:bookmarkEnd w:id="848"/>
    <w:bookmarkEnd w:id="849"/>
    <w:bookmarkEnd w:id="850"/>
    <w:bookmarkEnd w:id="851"/>
    <w:bookmarkEnd w:id="852"/>
    <w:bookmarkEnd w:id="853"/>
    <w:p w14:paraId="7BC20C8A">
      <w:pPr>
        <w:pStyle w:val="3"/>
        <w:spacing w:beforeLines="50" w:afterLines="50"/>
        <w:ind w:firstLine="422" w:firstLineChars="200"/>
        <w:rPr>
          <w:rFonts w:hint="eastAsia" w:ascii="宋体" w:hAnsi="宋体" w:eastAsia="宋体" w:cs="宋体"/>
          <w:color w:val="auto"/>
          <w:highlight w:val="none"/>
        </w:rPr>
      </w:pPr>
      <w:bookmarkStart w:id="857" w:name="_Toc95223410"/>
      <w:bookmarkStart w:id="858" w:name="_Toc506107333"/>
      <w:bookmarkStart w:id="859" w:name="_Toc35425128"/>
      <w:bookmarkStart w:id="860" w:name="_Toc15058927"/>
      <w:bookmarkStart w:id="861" w:name="_Toc35424962"/>
      <w:bookmarkStart w:id="862" w:name="_Toc179632785"/>
      <w:bookmarkStart w:id="863" w:name="_Toc152045767"/>
      <w:bookmarkStart w:id="864" w:name="_Toc152042546"/>
      <w:bookmarkStart w:id="865" w:name="_Toc144974826"/>
      <w:r>
        <w:rPr>
          <w:rFonts w:hint="eastAsia" w:ascii="宋体" w:hAnsi="宋体" w:eastAsia="宋体" w:cs="宋体"/>
          <w:color w:val="auto"/>
          <w:highlight w:val="none"/>
        </w:rPr>
        <w:t>7.评分标准</w:t>
      </w:r>
      <w:bookmarkEnd w:id="857"/>
    </w:p>
    <w:p w14:paraId="1CE63C2D">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7.1商务标评分标准：见商务标评</w:t>
      </w:r>
      <w:r>
        <w:rPr>
          <w:rFonts w:hint="eastAsia" w:ascii="宋体" w:hAnsi="宋体" w:cs="宋体"/>
          <w:color w:val="auto"/>
          <w:highlight w:val="none"/>
          <w:lang w:val="en-US" w:eastAsia="zh-CN"/>
        </w:rPr>
        <w:t>分</w:t>
      </w:r>
      <w:r>
        <w:rPr>
          <w:rFonts w:hint="eastAsia" w:ascii="宋体" w:hAnsi="宋体" w:eastAsia="宋体" w:cs="宋体"/>
          <w:color w:val="auto"/>
          <w:highlight w:val="none"/>
        </w:rPr>
        <w:t>表。</w:t>
      </w:r>
    </w:p>
    <w:p w14:paraId="1ED9F886">
      <w:pPr>
        <w:pStyle w:val="3"/>
        <w:spacing w:beforeLines="50" w:afterLines="50"/>
        <w:ind w:firstLine="422" w:firstLineChars="200"/>
        <w:rPr>
          <w:rFonts w:hint="eastAsia" w:ascii="宋体" w:hAnsi="宋体" w:eastAsia="宋体" w:cs="宋体"/>
          <w:color w:val="auto"/>
          <w:highlight w:val="none"/>
        </w:rPr>
      </w:pPr>
      <w:bookmarkStart w:id="866" w:name="_Toc95223411"/>
      <w:r>
        <w:rPr>
          <w:rFonts w:hint="eastAsia" w:ascii="宋体" w:hAnsi="宋体" w:eastAsia="宋体" w:cs="宋体"/>
          <w:color w:val="auto"/>
          <w:highlight w:val="none"/>
        </w:rPr>
        <w:t>8.评审结果</w:t>
      </w:r>
      <w:bookmarkEnd w:id="866"/>
    </w:p>
    <w:p w14:paraId="5A148736">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8.1除第二章“投标人须知”及其前附表授权直接确定中标人外，评</w:t>
      </w:r>
      <w:bookmarkStart w:id="867" w:name="_Toc506107331"/>
      <w:bookmarkStart w:id="868" w:name="_Toc60061508"/>
      <w:bookmarkStart w:id="869" w:name="_Toc324404879"/>
      <w:bookmarkStart w:id="870" w:name="_Toc15058925"/>
      <w:r>
        <w:rPr>
          <w:rFonts w:hint="eastAsia" w:ascii="宋体" w:hAnsi="宋体" w:eastAsia="宋体" w:cs="宋体"/>
          <w:color w:val="auto"/>
          <w:highlight w:val="none"/>
        </w:rPr>
        <w:t>标委员会</w:t>
      </w:r>
      <w:bookmarkEnd w:id="867"/>
      <w:bookmarkEnd w:id="868"/>
      <w:bookmarkEnd w:id="869"/>
      <w:bookmarkEnd w:id="870"/>
      <w:r>
        <w:rPr>
          <w:rFonts w:hint="eastAsia" w:ascii="宋体" w:hAnsi="宋体" w:eastAsia="宋体" w:cs="宋体"/>
          <w:color w:val="auto"/>
          <w:highlight w:val="none"/>
        </w:rPr>
        <w:t>按有效报价由低到高的顺序推荐中标候选人）。</w:t>
      </w:r>
    </w:p>
    <w:p w14:paraId="0586443D">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8.2评标委员会完成评标后，应当向招标人提交书面评标报告。评标报告应当如实记载以下内容：</w:t>
      </w:r>
    </w:p>
    <w:p w14:paraId="60C496F3">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（1）基本情况和数据表。</w:t>
      </w:r>
    </w:p>
    <w:p w14:paraId="2FF38250">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（2）评标委员会成员名单。</w:t>
      </w:r>
    </w:p>
    <w:p w14:paraId="3E8F5A80">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（3）开标记录。</w:t>
      </w:r>
    </w:p>
    <w:p w14:paraId="77CE3783">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（4）符合要求的投标人一览表。</w:t>
      </w:r>
    </w:p>
    <w:p w14:paraId="1A0FCCDD">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（5）否决投标情况说明。</w:t>
      </w:r>
    </w:p>
    <w:p w14:paraId="18FE4A2D">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（6）评标标准、评标方法或者评标因素。</w:t>
      </w:r>
    </w:p>
    <w:p w14:paraId="4F8B3E86">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（7）经评审的价格比较一览表。</w:t>
      </w:r>
    </w:p>
    <w:p w14:paraId="4B89E24A">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（8）经评审的投标人排序。</w:t>
      </w:r>
    </w:p>
    <w:p w14:paraId="3C2A0C70">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（9）推荐的中标候选人名单与签订合同前要处理的事宜。</w:t>
      </w:r>
    </w:p>
    <w:p w14:paraId="03A977F1">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（10）澄清、说明、补正事项纪要。</w:t>
      </w:r>
    </w:p>
    <w:p w14:paraId="7CC0D938">
      <w:pPr>
        <w:spacing w:line="440" w:lineRule="exact"/>
        <w:ind w:firstLine="420" w:firstLineChars="200"/>
        <w:jc w:val="left"/>
        <w:rPr>
          <w:rFonts w:hint="eastAsia" w:ascii="宋体" w:hAnsi="宋体" w:eastAsia="宋体" w:cs="宋体"/>
          <w:color w:val="auto"/>
          <w:highlight w:val="none"/>
        </w:rPr>
      </w:pPr>
      <w:bookmarkStart w:id="871" w:name="_Toc95223412"/>
      <w:r>
        <w:rPr>
          <w:rFonts w:hint="eastAsia" w:ascii="宋体" w:hAnsi="宋体" w:eastAsia="宋体" w:cs="宋体"/>
          <w:color w:val="auto"/>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15095E2F">
      <w:pPr>
        <w:spacing w:line="44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22FE37EA">
      <w:pPr>
        <w:pStyle w:val="3"/>
        <w:spacing w:beforeLines="50" w:afterLines="50"/>
        <w:ind w:firstLine="422" w:firstLineChars="200"/>
        <w:rPr>
          <w:rFonts w:hint="eastAsia" w:ascii="宋体" w:hAnsi="宋体" w:eastAsia="宋体" w:cs="宋体"/>
          <w:color w:val="auto"/>
          <w:highlight w:val="none"/>
        </w:rPr>
      </w:pPr>
      <w:r>
        <w:rPr>
          <w:rFonts w:hint="eastAsia" w:ascii="宋体" w:hAnsi="宋体" w:eastAsia="宋体" w:cs="宋体"/>
          <w:color w:val="auto"/>
          <w:highlight w:val="none"/>
        </w:rPr>
        <w:t>9.其他</w:t>
      </w:r>
      <w:bookmarkEnd w:id="871"/>
    </w:p>
    <w:p w14:paraId="754314B4">
      <w:pPr>
        <w:adjustRightInd w:val="0"/>
        <w:snapToGrid w:val="0"/>
        <w:spacing w:line="520" w:lineRule="exact"/>
        <w:ind w:firstLine="420" w:firstLineChars="200"/>
        <w:rPr>
          <w:color w:val="auto"/>
          <w:highlight w:val="none"/>
        </w:rPr>
        <w:sectPr>
          <w:footerReference r:id="rId6" w:type="default"/>
          <w:footnotePr>
            <w:numFmt w:val="decimalEnclosedCircleChinese"/>
            <w:numRestart w:val="eachPage"/>
          </w:footnotePr>
          <w:pgSz w:w="11907" w:h="16840"/>
          <w:pgMar w:top="1474" w:right="1474" w:bottom="1474" w:left="1474" w:header="799" w:footer="907" w:gutter="0"/>
          <w:pgNumType w:start="1"/>
          <w:cols w:space="720" w:num="1"/>
          <w:docGrid w:linePitch="271" w:charSpace="0"/>
        </w:sectPr>
      </w:pPr>
      <w:r>
        <w:rPr>
          <w:rFonts w:hint="eastAsia" w:ascii="宋体" w:hAnsi="宋体" w:cs="宋体"/>
          <w:color w:val="auto"/>
          <w:szCs w:val="21"/>
          <w:highlight w:val="none"/>
        </w:rPr>
        <w:t>投标人提供的与投标文件有关的各类证书、证明、文件、资料等的真实性、合法性由投标人负全责。</w:t>
      </w:r>
    </w:p>
    <w:p w14:paraId="65923B12">
      <w:pPr>
        <w:rPr>
          <w:rFonts w:hint="eastAsia"/>
          <w:color w:val="auto"/>
          <w:highlight w:val="none"/>
        </w:rPr>
      </w:pPr>
      <w:bookmarkStart w:id="872" w:name="_Toc78803397"/>
    </w:p>
    <w:bookmarkEnd w:id="858"/>
    <w:bookmarkEnd w:id="859"/>
    <w:bookmarkEnd w:id="860"/>
    <w:bookmarkEnd w:id="861"/>
    <w:bookmarkEnd w:id="872"/>
    <w:p w14:paraId="226BC7FC">
      <w:pPr>
        <w:pStyle w:val="2"/>
        <w:spacing w:beforeLines="50" w:afterLines="50"/>
        <w:rPr>
          <w:rFonts w:hint="eastAsia" w:ascii="Arial" w:hAnsi="Arial" w:eastAsia="宋体" w:cs="Times New Roman"/>
          <w:color w:val="auto"/>
          <w:kern w:val="0"/>
          <w:sz w:val="32"/>
          <w:szCs w:val="32"/>
          <w:highlight w:val="none"/>
          <w:lang w:val="en-US" w:eastAsia="zh-CN"/>
        </w:rPr>
      </w:pPr>
      <w:bookmarkStart w:id="873" w:name="_Toc16721"/>
      <w:r>
        <w:rPr>
          <w:rFonts w:hint="eastAsia" w:ascii="Arial" w:hAnsi="Arial" w:eastAsia="宋体" w:cs="Times New Roman"/>
          <w:color w:val="auto"/>
          <w:kern w:val="0"/>
          <w:sz w:val="32"/>
          <w:szCs w:val="32"/>
          <w:highlight w:val="none"/>
          <w:lang w:val="en-US" w:eastAsia="zh-CN"/>
        </w:rPr>
        <w:t>第五章  合同条款及格式</w:t>
      </w:r>
      <w:bookmarkEnd w:id="873"/>
    </w:p>
    <w:p w14:paraId="4CE3F04B">
      <w:pPr>
        <w:spacing w:line="360" w:lineRule="auto"/>
        <w:jc w:val="center"/>
        <w:rPr>
          <w:rFonts w:ascii="仿宋_GB2312" w:eastAsia="仿宋_GB2312"/>
          <w:b/>
          <w:color w:val="auto"/>
          <w:sz w:val="28"/>
          <w:szCs w:val="28"/>
          <w:highlight w:val="none"/>
        </w:rPr>
      </w:pPr>
    </w:p>
    <w:p w14:paraId="5957ECD4">
      <w:pPr>
        <w:jc w:val="center"/>
        <w:rPr>
          <w:rFonts w:hint="eastAsia" w:ascii="宋体" w:hAnsi="宋体" w:cs="宋体"/>
          <w:bCs/>
          <w:color w:val="auto"/>
          <w:sz w:val="32"/>
          <w:szCs w:val="32"/>
          <w:highlight w:val="none"/>
          <w:u w:val="single"/>
        </w:rPr>
      </w:pPr>
      <w:r>
        <w:rPr>
          <w:rFonts w:hint="eastAsia" w:ascii="宋体" w:hAnsi="宋体" w:cs="宋体"/>
          <w:bCs/>
          <w:color w:val="auto"/>
          <w:sz w:val="32"/>
          <w:szCs w:val="32"/>
          <w:highlight w:val="none"/>
        </w:rPr>
        <w:t>合同编号：</w:t>
      </w:r>
      <w:r>
        <w:rPr>
          <w:rFonts w:hint="eastAsia" w:ascii="宋体" w:hAnsi="宋体" w:cs="宋体"/>
          <w:bCs/>
          <w:color w:val="auto"/>
          <w:sz w:val="32"/>
          <w:szCs w:val="32"/>
          <w:highlight w:val="none"/>
          <w:u w:val="single"/>
        </w:rPr>
        <w:t>（HT-YL- ）</w:t>
      </w:r>
    </w:p>
    <w:p w14:paraId="00921190">
      <w:pPr>
        <w:ind w:firstLine="1771" w:firstLineChars="245"/>
        <w:rPr>
          <w:rFonts w:hint="eastAsia" w:ascii="宋体" w:hAnsi="宋体" w:cs="宋体"/>
          <w:b/>
          <w:color w:val="auto"/>
          <w:sz w:val="72"/>
          <w:szCs w:val="52"/>
          <w:highlight w:val="none"/>
        </w:rPr>
      </w:pPr>
    </w:p>
    <w:p w14:paraId="01221F91">
      <w:pPr>
        <w:jc w:val="center"/>
        <w:rPr>
          <w:rFonts w:hint="eastAsia" w:ascii="宋体" w:hAnsi="宋体" w:cs="宋体"/>
          <w:b/>
          <w:color w:val="auto"/>
          <w:sz w:val="52"/>
          <w:szCs w:val="52"/>
          <w:highlight w:val="none"/>
        </w:rPr>
      </w:pPr>
      <w:r>
        <w:rPr>
          <w:rFonts w:hint="eastAsia" w:ascii="宋体" w:hAnsi="宋体" w:cs="宋体"/>
          <w:b/>
          <w:color w:val="auto"/>
          <w:sz w:val="56"/>
          <w:szCs w:val="44"/>
          <w:highlight w:val="none"/>
          <w:lang w:eastAsia="zh-CN"/>
        </w:rPr>
        <w:t>2026年滁宁公司房屋修缮工程</w:t>
      </w:r>
      <w:r>
        <w:rPr>
          <w:rFonts w:hint="eastAsia" w:ascii="宋体" w:hAnsi="宋体" w:cs="宋体"/>
          <w:b/>
          <w:color w:val="auto"/>
          <w:sz w:val="56"/>
          <w:szCs w:val="44"/>
          <w:highlight w:val="none"/>
        </w:rPr>
        <w:t>施工合同</w:t>
      </w:r>
      <w:r>
        <w:rPr>
          <w:rFonts w:hint="eastAsia" w:ascii="宋体" w:hAnsi="宋体" w:cs="宋体"/>
          <w:b/>
          <w:color w:val="auto"/>
          <w:sz w:val="52"/>
          <w:szCs w:val="52"/>
          <w:highlight w:val="none"/>
        </w:rPr>
        <w:br w:type="textWrapping"/>
      </w:r>
    </w:p>
    <w:p w14:paraId="48820318">
      <w:pPr>
        <w:jc w:val="center"/>
        <w:rPr>
          <w:rFonts w:hint="eastAsia" w:ascii="宋体" w:hAnsi="宋体" w:cs="宋体"/>
          <w:b/>
          <w:color w:val="auto"/>
          <w:sz w:val="52"/>
          <w:szCs w:val="52"/>
          <w:highlight w:val="none"/>
        </w:rPr>
      </w:pPr>
    </w:p>
    <w:p w14:paraId="2F116064">
      <w:pPr>
        <w:jc w:val="center"/>
        <w:rPr>
          <w:rFonts w:hint="eastAsia" w:ascii="宋体" w:hAnsi="宋体" w:cs="宋体"/>
          <w:b/>
          <w:color w:val="auto"/>
          <w:sz w:val="72"/>
          <w:szCs w:val="72"/>
          <w:highlight w:val="none"/>
        </w:rPr>
      </w:pPr>
    </w:p>
    <w:p w14:paraId="57BFE166">
      <w:pPr>
        <w:jc w:val="center"/>
        <w:rPr>
          <w:rFonts w:hint="eastAsia" w:ascii="宋体" w:hAnsi="宋体" w:cs="宋体"/>
          <w:b/>
          <w:color w:val="auto"/>
          <w:sz w:val="72"/>
          <w:szCs w:val="72"/>
          <w:highlight w:val="none"/>
        </w:rPr>
      </w:pPr>
    </w:p>
    <w:p w14:paraId="4ACEE727">
      <w:pPr>
        <w:jc w:val="center"/>
        <w:rPr>
          <w:rFonts w:hint="eastAsia" w:ascii="宋体" w:hAnsi="宋体" w:cs="宋体"/>
          <w:b/>
          <w:color w:val="auto"/>
          <w:sz w:val="52"/>
          <w:szCs w:val="52"/>
          <w:highlight w:val="none"/>
        </w:rPr>
      </w:pPr>
    </w:p>
    <w:p w14:paraId="24241A9D">
      <w:pPr>
        <w:rPr>
          <w:rFonts w:hint="eastAsia" w:ascii="宋体" w:hAnsi="宋体" w:cs="宋体"/>
          <w:b/>
          <w:color w:val="auto"/>
          <w:sz w:val="28"/>
          <w:szCs w:val="28"/>
          <w:highlight w:val="none"/>
        </w:rPr>
      </w:pPr>
    </w:p>
    <w:p w14:paraId="7E8F0CD5">
      <w:pPr>
        <w:pStyle w:val="14"/>
        <w:rPr>
          <w:rFonts w:hint="eastAsia" w:ascii="宋体" w:hAnsi="宋体" w:cs="宋体"/>
          <w:b/>
          <w:color w:val="auto"/>
          <w:sz w:val="28"/>
          <w:szCs w:val="28"/>
          <w:highlight w:val="none"/>
        </w:rPr>
      </w:pPr>
    </w:p>
    <w:p w14:paraId="07304872">
      <w:pPr>
        <w:rPr>
          <w:rFonts w:hint="eastAsia" w:ascii="宋体" w:hAnsi="宋体" w:cs="宋体"/>
          <w:b/>
          <w:color w:val="auto"/>
          <w:sz w:val="28"/>
          <w:szCs w:val="28"/>
          <w:highlight w:val="none"/>
        </w:rPr>
      </w:pPr>
    </w:p>
    <w:p w14:paraId="632E45DF">
      <w:pPr>
        <w:pStyle w:val="14"/>
        <w:rPr>
          <w:rFonts w:hint="eastAsia" w:ascii="宋体" w:hAnsi="宋体" w:cs="宋体"/>
          <w:b/>
          <w:color w:val="auto"/>
          <w:sz w:val="28"/>
          <w:szCs w:val="28"/>
          <w:highlight w:val="none"/>
        </w:rPr>
      </w:pPr>
    </w:p>
    <w:p w14:paraId="2591F34C">
      <w:pPr>
        <w:rPr>
          <w:rFonts w:hint="eastAsia"/>
          <w:color w:val="auto"/>
          <w:highlight w:val="none"/>
        </w:rPr>
      </w:pPr>
    </w:p>
    <w:p w14:paraId="6BF65F7C">
      <w:pPr>
        <w:pStyle w:val="27"/>
        <w:rPr>
          <w:rFonts w:hint="eastAsia" w:ascii="宋体" w:hAnsi="宋体" w:cs="宋体"/>
          <w:b/>
          <w:color w:val="auto"/>
          <w:sz w:val="28"/>
          <w:szCs w:val="28"/>
          <w:highlight w:val="none"/>
        </w:rPr>
      </w:pPr>
    </w:p>
    <w:p w14:paraId="6A708499">
      <w:pPr>
        <w:rPr>
          <w:b/>
          <w:color w:val="auto"/>
          <w:sz w:val="28"/>
          <w:szCs w:val="28"/>
          <w:highlight w:val="none"/>
        </w:rPr>
      </w:pPr>
    </w:p>
    <w:p w14:paraId="0EBB5AE7">
      <w:pPr>
        <w:jc w:val="center"/>
        <w:rPr>
          <w:b/>
          <w:color w:val="auto"/>
          <w:sz w:val="28"/>
          <w:szCs w:val="28"/>
          <w:highlight w:val="none"/>
        </w:rPr>
      </w:pPr>
    </w:p>
    <w:p w14:paraId="2405A6FC">
      <w:pPr>
        <w:jc w:val="center"/>
        <w:rPr>
          <w:b/>
          <w:color w:val="auto"/>
          <w:sz w:val="32"/>
          <w:szCs w:val="28"/>
          <w:highlight w:val="none"/>
        </w:rPr>
      </w:pPr>
      <w:r>
        <w:rPr>
          <w:color w:val="auto"/>
          <w:szCs w:val="22"/>
          <w:highlight w:val="none"/>
        </w:rPr>
        <mc:AlternateContent>
          <mc:Choice Requires="wps">
            <w:drawing>
              <wp:anchor distT="0" distB="0" distL="114300" distR="114300" simplePos="0" relativeHeight="251659264" behindDoc="0" locked="0" layoutInCell="1" allowOverlap="1">
                <wp:simplePos x="0" y="0"/>
                <wp:positionH relativeFrom="column">
                  <wp:posOffset>4495800</wp:posOffset>
                </wp:positionH>
                <wp:positionV relativeFrom="paragraph">
                  <wp:posOffset>213360</wp:posOffset>
                </wp:positionV>
                <wp:extent cx="723900" cy="457200"/>
                <wp:effectExtent l="4445" t="4445" r="14605" b="14605"/>
                <wp:wrapNone/>
                <wp:docPr id="30" name="文本框 30"/>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0C2B60C3">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54pt;margin-top:16.8pt;height:36pt;width:57pt;z-index:251659264;mso-width-relative:page;mso-height-relative:page;" filled="f" stroked="t" coordsize="21600,21600" o:gfxdata="UEsDBAoAAAAAAIdO4kAAAAAAAAAAAAAAAAAEAAAAZHJzL1BLAwQUAAAACACHTuJAu3MqatkAAAAK&#10;AQAADwAAAGRycy9kb3ducmV2LnhtbE2PQU7DMBBF90jcwRokNhW1m0IahThdILFgUaClB3BjNw7Y&#10;4yh2knJ7hhUsZ+bpz/vV9uIdm8wQu4ASVksBzGATdIethOPH810BLCaFWrmARsK3ibCtr68qVeow&#10;495Mh9QyCsFYKgk2pb7kPDbWeBWXoTdIt3MYvEo0Di3Xg5op3DueCZFzrzqkD1b15sma5uswegn7&#10;F/u+wPvdzmk+5Z/H1/FtLhZS3t6sxCOwZC7pD4ZffVKHmpxOYUQdmZOwEQV1SRLW6xwYAUWW0eJE&#10;pHjIgdcV/1+h/gFQSwMEFAAAAAgAh07iQP/KFbELAgAAHAQAAA4AAABkcnMvZTJvRG9jLnhtbK1T&#10;zY7TMBC+I/EOlu803S5l2ajpSlDKBQHSwgO4ziSx5D953CZ9AXgDTly481x9jh073e4Plx7IIZnM&#10;jL+Z75vx4mYwmu0goHK24heTKWdgpauVbSv+/dv61VvOMApbC+0sVHwPyG+WL18sel/CzHVO1xAY&#10;gVgse1/xLkZfFgXKDozAifNgKdi4YESk39AWdRA9oRtdzKbTN0XvQu2Dk4BI3tUY5EfEcA6gaxol&#10;YeXk1oCNI2oALSJRwk555MvcbdOAjF+aBiEyXXFiGvObipC9Se9iuRBlG4TvlDy2IM5p4RknI5Sl&#10;oieolYiCbYP6B8ooGRy6Jk6kM8VIJCtCLC6mz7S57YSHzIWkRn8SHf8frPy8+xqYqit+SZJYYWji&#10;h18/D7//Hv78YOQjgXqPJeXdesqMwzs30Nrc+5GciffQBJO+xIhRnLD2J3lhiEyS82p2eT2liKTQ&#10;6/kVLUNCKR4O+4DxIzjDklHxQNPLoordJ4xj6n1KqmXdWmmdJ6gt6yt+PZ/NCV7QVja0DWQaT8zQ&#10;thkGnVZ1OpIOY2g373VgO0Gbsc7PsZsnaaneSmA35uVQShOlURFCtjoQ9Qdbs7j3JJ6lS8NTMwZq&#10;zjTQHUtWzoxC6XMySRJtUxHIG3wkn8Ywyp2sOGwGAk3mxtV7Gs3WB9V2pFseTpEitDRZ4OOCp618&#10;/E/240u9vA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7cypq2QAAAAoBAAAPAAAAAAAAAAEAIAAA&#10;ACIAAABkcnMvZG93bnJldi54bWxQSwECFAAUAAAACACHTuJA/8oVsQsCAAAcBAAADgAAAAAAAAAB&#10;ACAAAAAoAQAAZHJzL2Uyb0RvYy54bWxQSwUGAAAAAAYABgBZAQAApQUAAAAA&#10;">
                <v:fill on="f" focussize="0,0"/>
                <v:stroke color="#FFFFFF" joinstyle="miter"/>
                <v:imagedata o:title=""/>
                <o:lock v:ext="edit" aspectratio="f"/>
                <v:textbox>
                  <w:txbxContent>
                    <w:p w14:paraId="0C2B60C3">
                      <w:pPr>
                        <w:rPr>
                          <w:b/>
                          <w:bCs/>
                          <w:sz w:val="32"/>
                        </w:rPr>
                      </w:pPr>
                      <w:r>
                        <w:rPr>
                          <w:rFonts w:hint="eastAsia"/>
                          <w:b/>
                          <w:bCs/>
                          <w:sz w:val="32"/>
                        </w:rPr>
                        <w:t>制定</w:t>
                      </w:r>
                    </w:p>
                  </w:txbxContent>
                </v:textbox>
              </v:shape>
            </w:pict>
          </mc:Fallback>
        </mc:AlternateContent>
      </w:r>
      <w:r>
        <w:rPr>
          <w:rFonts w:hint="eastAsia"/>
          <w:b/>
          <w:color w:val="auto"/>
          <w:sz w:val="32"/>
          <w:szCs w:val="28"/>
          <w:highlight w:val="none"/>
        </w:rPr>
        <w:t>住房和城乡建设部</w:t>
      </w:r>
    </w:p>
    <w:p w14:paraId="7F94B3DC">
      <w:pPr>
        <w:jc w:val="center"/>
        <w:rPr>
          <w:rFonts w:hint="eastAsia" w:ascii="黑体" w:eastAsia="黑体" w:cs="黑体"/>
          <w:color w:val="auto"/>
          <w:highlight w:val="none"/>
        </w:rPr>
      </w:pPr>
      <w:r>
        <w:rPr>
          <w:rFonts w:hint="eastAsia"/>
          <w:b/>
          <w:color w:val="auto"/>
          <w:sz w:val="32"/>
          <w:szCs w:val="28"/>
          <w:highlight w:val="none"/>
        </w:rPr>
        <w:t>国家工商行政管理总局</w:t>
      </w:r>
    </w:p>
    <w:p w14:paraId="2758F104">
      <w:pPr>
        <w:rPr>
          <w:rFonts w:hint="eastAsia" w:ascii="黑体" w:eastAsia="黑体" w:cs="黑体"/>
          <w:color w:val="auto"/>
          <w:highlight w:val="none"/>
        </w:rPr>
      </w:pPr>
      <w:r>
        <w:rPr>
          <w:rFonts w:hint="eastAsia" w:ascii="黑体" w:eastAsia="黑体" w:cs="黑体"/>
          <w:color w:val="auto"/>
          <w:highlight w:val="none"/>
        </w:rPr>
        <w:br w:type="page"/>
      </w:r>
    </w:p>
    <w:p w14:paraId="5CFCB6A7">
      <w:pPr>
        <w:pStyle w:val="4"/>
        <w:jc w:val="center"/>
        <w:rPr>
          <w:rFonts w:ascii="黑体" w:eastAsia="黑体" w:cs="黑体"/>
          <w:b w:val="0"/>
          <w:color w:val="auto"/>
          <w:highlight w:val="none"/>
        </w:rPr>
      </w:pPr>
      <w:r>
        <w:rPr>
          <w:rFonts w:hint="eastAsia" w:ascii="黑体" w:eastAsia="黑体" w:cs="黑体"/>
          <w:color w:val="auto"/>
          <w:highlight w:val="none"/>
        </w:rPr>
        <w:t>第一节 合同协议书</w:t>
      </w:r>
    </w:p>
    <w:p w14:paraId="2A6C10D9">
      <w:pPr>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发包人（全称）：</w:t>
      </w:r>
      <w:r>
        <w:rPr>
          <w:rFonts w:hint="eastAsia" w:ascii="宋体" w:cs="宋体"/>
          <w:color w:val="auto"/>
          <w:szCs w:val="21"/>
          <w:highlight w:val="none"/>
          <w:u w:val="single"/>
        </w:rPr>
        <w:t xml:space="preserve">    </w:t>
      </w:r>
      <w:r>
        <w:rPr>
          <w:rFonts w:hint="eastAsia" w:ascii="宋体" w:cs="宋体"/>
          <w:color w:val="auto"/>
          <w:szCs w:val="21"/>
          <w:highlight w:val="none"/>
          <w:u w:val="single"/>
          <w:lang w:eastAsia="zh-CN"/>
        </w:rPr>
        <w:t>安徽滁宁高速公路股份有限公司</w:t>
      </w:r>
      <w:r>
        <w:rPr>
          <w:rFonts w:hint="eastAsia" w:ascii="宋体" w:cs="宋体"/>
          <w:color w:val="auto"/>
          <w:szCs w:val="21"/>
          <w:highlight w:val="none"/>
          <w:u w:val="single"/>
        </w:rPr>
        <w:t xml:space="preserve">     </w:t>
      </w:r>
    </w:p>
    <w:p w14:paraId="6B96C0CD">
      <w:pPr>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承包人（全称）：</w:t>
      </w:r>
      <w:r>
        <w:rPr>
          <w:rFonts w:hint="eastAsia" w:ascii="宋体" w:cs="宋体"/>
          <w:color w:val="auto"/>
          <w:szCs w:val="21"/>
          <w:highlight w:val="none"/>
          <w:u w:val="single"/>
        </w:rPr>
        <w:t xml:space="preserve">                                    </w:t>
      </w:r>
    </w:p>
    <w:p w14:paraId="3DCEDB6F">
      <w:pPr>
        <w:pStyle w:val="14"/>
        <w:ind w:left="0" w:leftChars="0" w:firstLine="0" w:firstLineChars="0"/>
        <w:jc w:val="left"/>
        <w:rPr>
          <w:rFonts w:hint="eastAsia" w:ascii="宋体" w:cs="宋体"/>
          <w:color w:val="auto"/>
          <w:szCs w:val="21"/>
          <w:highlight w:val="none"/>
        </w:rPr>
      </w:pPr>
      <w:r>
        <w:rPr>
          <w:rFonts w:hint="eastAsia" w:ascii="宋体" w:cs="宋体"/>
          <w:color w:val="auto"/>
          <w:szCs w:val="21"/>
          <w:highlight w:val="none"/>
        </w:rPr>
        <w:t>根据《中华人民共和国民法典》、《中华人民共和国建筑法》及有关法律规定，遵循平等、自愿、公平和诚实信用的原则，双方就</w:t>
      </w:r>
      <w:r>
        <w:rPr>
          <w:rFonts w:hint="eastAsia" w:ascii="宋体" w:cs="宋体"/>
          <w:color w:val="auto"/>
          <w:szCs w:val="21"/>
          <w:highlight w:val="none"/>
          <w:u w:val="single"/>
          <w:lang w:val="en-US" w:eastAsia="zh-CN"/>
        </w:rPr>
        <w:t xml:space="preserve"> </w:t>
      </w:r>
      <w:r>
        <w:rPr>
          <w:rFonts w:hint="eastAsia" w:cs="宋体"/>
          <w:color w:val="auto"/>
          <w:szCs w:val="21"/>
          <w:highlight w:val="none"/>
          <w:u w:val="single"/>
          <w:lang w:eastAsia="zh-CN"/>
        </w:rPr>
        <w:t>2026年滁宁公司房屋修缮工程</w:t>
      </w:r>
      <w:r>
        <w:rPr>
          <w:rFonts w:hint="eastAsia" w:ascii="宋体" w:cs="宋体"/>
          <w:color w:val="auto"/>
          <w:szCs w:val="21"/>
          <w:highlight w:val="none"/>
          <w:u w:val="single"/>
        </w:rPr>
        <w:t xml:space="preserve"> </w:t>
      </w:r>
      <w:r>
        <w:rPr>
          <w:rFonts w:hint="eastAsia" w:ascii="宋体" w:cs="宋体"/>
          <w:color w:val="auto"/>
          <w:szCs w:val="21"/>
          <w:highlight w:val="none"/>
        </w:rPr>
        <w:t>施工及有关事项协商一致，共同达成如下协议：</w:t>
      </w:r>
    </w:p>
    <w:p w14:paraId="1300C206">
      <w:pPr>
        <w:pStyle w:val="5"/>
        <w:spacing w:before="0" w:after="0" w:line="440" w:lineRule="exact"/>
        <w:ind w:firstLine="420" w:firstLineChars="200"/>
        <w:rPr>
          <w:rFonts w:hint="eastAsia" w:ascii="宋体" w:eastAsia="宋体" w:cs="宋体"/>
          <w:bCs w:val="0"/>
          <w:color w:val="auto"/>
          <w:sz w:val="21"/>
          <w:szCs w:val="21"/>
          <w:highlight w:val="none"/>
        </w:rPr>
      </w:pPr>
      <w:r>
        <w:rPr>
          <w:rFonts w:hint="eastAsia" w:ascii="宋体" w:eastAsia="宋体" w:cs="宋体"/>
          <w:b w:val="0"/>
          <w:color w:val="auto"/>
          <w:sz w:val="21"/>
          <w:szCs w:val="21"/>
          <w:highlight w:val="none"/>
        </w:rPr>
        <w:t>一、工程概况</w:t>
      </w:r>
    </w:p>
    <w:p w14:paraId="236F5668">
      <w:pPr>
        <w:spacing w:line="440" w:lineRule="exact"/>
        <w:ind w:firstLine="420" w:firstLineChars="200"/>
        <w:rPr>
          <w:rFonts w:hint="eastAsia" w:ascii="宋体" w:cs="宋体"/>
          <w:color w:val="auto"/>
          <w:szCs w:val="21"/>
          <w:highlight w:val="none"/>
          <w:u w:val="single"/>
        </w:rPr>
      </w:pPr>
      <w:r>
        <w:rPr>
          <w:rFonts w:hint="eastAsia" w:ascii="宋体" w:cs="宋体"/>
          <w:bCs/>
          <w:color w:val="auto"/>
          <w:szCs w:val="21"/>
          <w:highlight w:val="none"/>
        </w:rPr>
        <w:t>1.工程名称</w:t>
      </w:r>
      <w:r>
        <w:rPr>
          <w:rFonts w:hint="eastAsia" w:ascii="宋体" w:cs="宋体"/>
          <w:color w:val="auto"/>
          <w:szCs w:val="21"/>
          <w:highlight w:val="none"/>
        </w:rPr>
        <w:t>：</w:t>
      </w:r>
      <w:r>
        <w:rPr>
          <w:rFonts w:hint="eastAsia" w:ascii="宋体" w:cs="宋体"/>
          <w:color w:val="auto"/>
          <w:szCs w:val="21"/>
          <w:highlight w:val="none"/>
          <w:u w:val="single"/>
        </w:rPr>
        <w:t xml:space="preserve">  </w:t>
      </w:r>
      <w:r>
        <w:rPr>
          <w:rFonts w:hint="eastAsia" w:ascii="宋体" w:cs="宋体"/>
          <w:color w:val="auto"/>
          <w:szCs w:val="21"/>
          <w:highlight w:val="none"/>
          <w:u w:val="single"/>
          <w:lang w:eastAsia="zh-CN"/>
        </w:rPr>
        <w:t>2026年滁宁公司房屋修缮</w:t>
      </w:r>
      <w:r>
        <w:rPr>
          <w:rFonts w:hint="eastAsia" w:ascii="宋体" w:cs="宋体"/>
          <w:color w:val="auto"/>
          <w:szCs w:val="21"/>
          <w:highlight w:val="none"/>
          <w:u w:val="single"/>
          <w:lang w:val="en-US" w:eastAsia="zh-CN"/>
        </w:rPr>
        <w:t>工程</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05EDF5A6">
      <w:pPr>
        <w:spacing w:line="440" w:lineRule="exact"/>
        <w:ind w:firstLine="420" w:firstLineChars="200"/>
        <w:rPr>
          <w:rFonts w:hint="eastAsia" w:ascii="宋体" w:cs="宋体"/>
          <w:bCs/>
          <w:color w:val="auto"/>
          <w:szCs w:val="21"/>
          <w:highlight w:val="none"/>
        </w:rPr>
      </w:pPr>
      <w:r>
        <w:rPr>
          <w:rFonts w:hint="eastAsia" w:ascii="宋体" w:cs="宋体"/>
          <w:bCs/>
          <w:color w:val="auto"/>
          <w:szCs w:val="21"/>
          <w:highlight w:val="none"/>
        </w:rPr>
        <w:t>2.工程地点：</w:t>
      </w:r>
      <w:r>
        <w:rPr>
          <w:rFonts w:hint="eastAsia" w:ascii="宋体" w:cs="宋体"/>
          <w:color w:val="auto"/>
          <w:szCs w:val="21"/>
          <w:highlight w:val="none"/>
          <w:u w:val="single"/>
        </w:rPr>
        <w:t xml:space="preserve">  </w:t>
      </w:r>
      <w:r>
        <w:rPr>
          <w:rFonts w:hint="eastAsia" w:ascii="宋体" w:hAnsi="Times New Roman" w:eastAsia="宋体" w:cs="宋体"/>
          <w:color w:val="auto"/>
          <w:szCs w:val="21"/>
          <w:highlight w:val="none"/>
          <w:u w:val="single"/>
          <w:lang w:val="en-US" w:eastAsia="zh-CN"/>
        </w:rPr>
        <w:t>招标人指定地点</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22B63F7C">
      <w:pPr>
        <w:spacing w:line="440" w:lineRule="exact"/>
        <w:ind w:firstLine="420" w:firstLineChars="200"/>
        <w:rPr>
          <w:rFonts w:hint="eastAsia" w:ascii="宋体" w:cs="宋体"/>
          <w:bCs/>
          <w:strike w:val="0"/>
          <w:dstrike w:val="0"/>
          <w:color w:val="auto"/>
          <w:szCs w:val="21"/>
          <w:highlight w:val="none"/>
        </w:rPr>
      </w:pPr>
      <w:r>
        <w:rPr>
          <w:rFonts w:hint="eastAsia" w:ascii="宋体" w:cs="宋体"/>
          <w:bCs/>
          <w:strike w:val="0"/>
          <w:dstrike w:val="0"/>
          <w:color w:val="auto"/>
          <w:szCs w:val="21"/>
          <w:highlight w:val="none"/>
        </w:rPr>
        <w:t>3.工程立项批准文号：</w:t>
      </w:r>
      <w:r>
        <w:rPr>
          <w:rFonts w:hint="eastAsia" w:ascii="宋体" w:cs="宋体"/>
          <w:bCs/>
          <w:strike w:val="0"/>
          <w:dstrike w:val="0"/>
          <w:color w:val="auto"/>
          <w:szCs w:val="21"/>
          <w:highlight w:val="none"/>
          <w:u w:val="single"/>
          <w:lang w:val="en-US" w:eastAsia="zh-CN"/>
        </w:rPr>
        <w:t xml:space="preserve"> </w:t>
      </w:r>
      <w:r>
        <w:rPr>
          <w:rFonts w:hint="eastAsia" w:ascii="宋体" w:hAnsi="宋体"/>
          <w:strike w:val="0"/>
          <w:dstrike w:val="0"/>
          <w:color w:val="auto"/>
          <w:szCs w:val="21"/>
          <w:highlight w:val="none"/>
          <w:u w:val="single"/>
          <w:lang w:val="en-US" w:eastAsia="zh-CN"/>
        </w:rPr>
        <w:t>/</w:t>
      </w:r>
      <w:r>
        <w:rPr>
          <w:rFonts w:hint="eastAsia" w:ascii="宋体" w:cs="宋体"/>
          <w:bCs/>
          <w:strike w:val="0"/>
          <w:dstrike w:val="0"/>
          <w:color w:val="auto"/>
          <w:szCs w:val="21"/>
          <w:highlight w:val="none"/>
        </w:rPr>
        <w:t>。</w:t>
      </w:r>
    </w:p>
    <w:p w14:paraId="2A46B856">
      <w:pPr>
        <w:spacing w:line="440" w:lineRule="exact"/>
        <w:ind w:firstLine="420" w:firstLineChars="200"/>
        <w:rPr>
          <w:rFonts w:hint="eastAsia" w:ascii="宋体" w:cs="宋体"/>
          <w:bCs/>
          <w:color w:val="auto"/>
          <w:szCs w:val="21"/>
          <w:highlight w:val="none"/>
        </w:rPr>
      </w:pPr>
      <w:r>
        <w:rPr>
          <w:rFonts w:hint="eastAsia" w:ascii="宋体" w:cs="宋体"/>
          <w:bCs/>
          <w:color w:val="auto"/>
          <w:szCs w:val="21"/>
          <w:highlight w:val="none"/>
        </w:rPr>
        <w:t>4.资金来源：</w:t>
      </w:r>
      <w:r>
        <w:rPr>
          <w:rFonts w:hint="eastAsia" w:ascii="宋体" w:cs="宋体"/>
          <w:bCs/>
          <w:color w:val="auto"/>
          <w:szCs w:val="21"/>
          <w:highlight w:val="none"/>
          <w:u w:val="single"/>
        </w:rPr>
        <w:t xml:space="preserve">         </w:t>
      </w:r>
      <w:r>
        <w:rPr>
          <w:rFonts w:hint="eastAsia" w:ascii="宋体" w:cs="宋体"/>
          <w:bCs/>
          <w:color w:val="auto"/>
          <w:szCs w:val="21"/>
          <w:highlight w:val="none"/>
          <w:u w:val="single"/>
          <w:lang w:val="en-US" w:eastAsia="zh-CN"/>
        </w:rPr>
        <w:t>自筹资金</w:t>
      </w:r>
      <w:r>
        <w:rPr>
          <w:rFonts w:hint="eastAsia" w:ascii="宋体" w:cs="宋体"/>
          <w:bCs/>
          <w:color w:val="auto"/>
          <w:szCs w:val="21"/>
          <w:highlight w:val="none"/>
          <w:u w:val="single"/>
        </w:rPr>
        <w:t xml:space="preserve">           </w:t>
      </w:r>
      <w:r>
        <w:rPr>
          <w:rFonts w:hint="eastAsia" w:ascii="宋体" w:cs="宋体"/>
          <w:color w:val="auto"/>
          <w:szCs w:val="21"/>
          <w:highlight w:val="none"/>
          <w:u w:val="single"/>
        </w:rPr>
        <w:t xml:space="preserve">       </w:t>
      </w:r>
      <w:r>
        <w:rPr>
          <w:rFonts w:hint="eastAsia" w:ascii="宋体" w:cs="宋体"/>
          <w:bCs/>
          <w:color w:val="auto"/>
          <w:szCs w:val="21"/>
          <w:highlight w:val="none"/>
        </w:rPr>
        <w:t>。</w:t>
      </w:r>
    </w:p>
    <w:p w14:paraId="2F00C2D8">
      <w:pPr>
        <w:spacing w:line="440" w:lineRule="exact"/>
        <w:ind w:firstLine="420" w:firstLineChars="200"/>
        <w:rPr>
          <w:rFonts w:hint="eastAsia" w:ascii="宋体" w:cs="宋体"/>
          <w:bCs/>
          <w:color w:val="auto"/>
          <w:szCs w:val="21"/>
          <w:highlight w:val="none"/>
        </w:rPr>
      </w:pPr>
      <w:r>
        <w:rPr>
          <w:rFonts w:hint="eastAsia" w:ascii="宋体" w:cs="宋体"/>
          <w:bCs/>
          <w:color w:val="auto"/>
          <w:szCs w:val="21"/>
          <w:highlight w:val="none"/>
        </w:rPr>
        <w:t>5.工程内容：</w:t>
      </w:r>
      <w:r>
        <w:rPr>
          <w:rFonts w:hint="eastAsia" w:ascii="宋体" w:hAnsi="Times New Roman" w:cs="宋体"/>
          <w:bCs/>
          <w:color w:val="auto"/>
          <w:szCs w:val="21"/>
          <w:highlight w:val="none"/>
          <w:u w:val="single"/>
          <w:lang w:val="en-US" w:eastAsia="zh-CN"/>
        </w:rPr>
        <w:t xml:space="preserve"> 详见工程量清单 </w:t>
      </w:r>
      <w:r>
        <w:rPr>
          <w:rFonts w:hint="eastAsia" w:ascii="宋体" w:cs="宋体"/>
          <w:bCs/>
          <w:color w:val="auto"/>
          <w:szCs w:val="21"/>
          <w:highlight w:val="none"/>
        </w:rPr>
        <w:t>。</w:t>
      </w:r>
    </w:p>
    <w:p w14:paraId="0B09708D">
      <w:pPr>
        <w:spacing w:line="440" w:lineRule="exact"/>
        <w:ind w:firstLine="420" w:firstLineChars="200"/>
        <w:rPr>
          <w:rFonts w:hint="eastAsia" w:ascii="宋体" w:cs="宋体"/>
          <w:bCs/>
          <w:color w:val="auto"/>
          <w:szCs w:val="21"/>
          <w:highlight w:val="none"/>
        </w:rPr>
      </w:pPr>
      <w:r>
        <w:rPr>
          <w:rFonts w:hint="eastAsia" w:ascii="宋体" w:cs="宋体"/>
          <w:color w:val="auto"/>
          <w:szCs w:val="21"/>
          <w:highlight w:val="none"/>
        </w:rPr>
        <w:t>群体工程应附《承包人承揽工程项目一览表》（附件1）。</w:t>
      </w:r>
    </w:p>
    <w:p w14:paraId="3EA9822A">
      <w:pPr>
        <w:spacing w:line="440" w:lineRule="exact"/>
        <w:ind w:firstLine="420" w:firstLineChars="200"/>
        <w:rPr>
          <w:rFonts w:hint="eastAsia" w:ascii="宋体" w:cs="宋体"/>
          <w:color w:val="auto"/>
          <w:szCs w:val="21"/>
          <w:highlight w:val="none"/>
        </w:rPr>
      </w:pPr>
      <w:r>
        <w:rPr>
          <w:rFonts w:hint="eastAsia" w:ascii="宋体" w:cs="宋体"/>
          <w:bCs/>
          <w:color w:val="auto"/>
          <w:szCs w:val="21"/>
          <w:highlight w:val="none"/>
        </w:rPr>
        <w:t>6.工程承包范围：</w:t>
      </w:r>
      <w:r>
        <w:rPr>
          <w:rFonts w:hint="eastAsia" w:ascii="宋体" w:cs="宋体"/>
          <w:color w:val="auto"/>
          <w:szCs w:val="21"/>
          <w:highlight w:val="none"/>
          <w:u w:val="single"/>
        </w:rPr>
        <w:t xml:space="preserve"> </w:t>
      </w:r>
      <w:r>
        <w:rPr>
          <w:rFonts w:hint="eastAsia" w:ascii="宋体" w:hAnsi="宋体" w:cs="宋体"/>
          <w:b/>
          <w:bCs/>
          <w:strike w:val="0"/>
          <w:dstrike w:val="0"/>
          <w:color w:val="auto"/>
          <w:szCs w:val="21"/>
          <w:highlight w:val="none"/>
          <w:u w:val="single"/>
        </w:rPr>
        <w:t>工程量清单</w:t>
      </w:r>
      <w:r>
        <w:rPr>
          <w:rFonts w:hint="eastAsia" w:ascii="宋体" w:hAnsi="宋体" w:cs="宋体"/>
          <w:b/>
          <w:bCs/>
          <w:color w:val="auto"/>
          <w:szCs w:val="21"/>
          <w:highlight w:val="none"/>
          <w:u w:val="single"/>
        </w:rPr>
        <w:t>载明的施工内容及施工过程中的变更调整内容</w:t>
      </w:r>
      <w:r>
        <w:rPr>
          <w:rFonts w:hint="eastAsia" w:ascii="宋体" w:cs="宋体"/>
          <w:color w:val="auto"/>
          <w:szCs w:val="21"/>
          <w:highlight w:val="none"/>
          <w:u w:val="single"/>
        </w:rPr>
        <w:t></w:t>
      </w:r>
      <w:r>
        <w:rPr>
          <w:rFonts w:hint="eastAsia" w:ascii="宋体" w:cs="宋体"/>
          <w:color w:val="auto"/>
          <w:szCs w:val="21"/>
          <w:highlight w:val="none"/>
        </w:rPr>
        <w:t>。</w:t>
      </w:r>
    </w:p>
    <w:p w14:paraId="497ADE28">
      <w:pPr>
        <w:pStyle w:val="5"/>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二、合同工期</w:t>
      </w:r>
    </w:p>
    <w:p w14:paraId="73E52071">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计划开工日期：</w:t>
      </w:r>
      <w:r>
        <w:rPr>
          <w:rFonts w:hint="eastAsia" w:ascii="宋体" w:cs="宋体"/>
          <w:color w:val="auto"/>
          <w:szCs w:val="21"/>
          <w:highlight w:val="none"/>
          <w:u w:val="single"/>
        </w:rPr>
        <w:t xml:space="preserve">       </w:t>
      </w:r>
      <w:r>
        <w:rPr>
          <w:rFonts w:hint="eastAsia" w:ascii="宋体" w:cs="宋体"/>
          <w:color w:val="auto"/>
          <w:szCs w:val="21"/>
          <w:highlight w:val="none"/>
        </w:rPr>
        <w:t>年</w:t>
      </w:r>
      <w:r>
        <w:rPr>
          <w:rFonts w:hint="eastAsia" w:ascii="宋体" w:cs="宋体"/>
          <w:color w:val="auto"/>
          <w:szCs w:val="21"/>
          <w:highlight w:val="none"/>
          <w:u w:val="single"/>
        </w:rPr>
        <w:t xml:space="preserve">          </w:t>
      </w:r>
      <w:r>
        <w:rPr>
          <w:rFonts w:hint="eastAsia" w:ascii="宋体" w:cs="宋体"/>
          <w:color w:val="auto"/>
          <w:szCs w:val="21"/>
          <w:highlight w:val="none"/>
        </w:rPr>
        <w:t>月</w:t>
      </w:r>
      <w:r>
        <w:rPr>
          <w:rFonts w:hint="eastAsia" w:ascii="宋体" w:cs="宋体"/>
          <w:color w:val="auto"/>
          <w:szCs w:val="21"/>
          <w:highlight w:val="none"/>
          <w:u w:val="single"/>
        </w:rPr>
        <w:t xml:space="preserve">       </w:t>
      </w:r>
      <w:r>
        <w:rPr>
          <w:rFonts w:hint="eastAsia" w:ascii="宋体" w:cs="宋体"/>
          <w:color w:val="auto"/>
          <w:szCs w:val="21"/>
          <w:highlight w:val="none"/>
        </w:rPr>
        <w:t>日。</w:t>
      </w:r>
      <w:r>
        <w:rPr>
          <w:rFonts w:hint="eastAsia" w:ascii="宋体" w:cs="宋体"/>
          <w:color w:val="auto"/>
          <w:szCs w:val="21"/>
          <w:highlight w:val="none"/>
          <w:lang w:eastAsia="zh-CN"/>
        </w:rPr>
        <w:t>（</w:t>
      </w:r>
      <w:r>
        <w:rPr>
          <w:rFonts w:hint="eastAsia" w:ascii="宋体" w:cs="宋体"/>
          <w:color w:val="auto"/>
          <w:szCs w:val="21"/>
          <w:highlight w:val="none"/>
        </w:rPr>
        <w:t>以开工令为准</w:t>
      </w:r>
      <w:r>
        <w:rPr>
          <w:rFonts w:hint="eastAsia" w:ascii="宋体" w:cs="宋体"/>
          <w:color w:val="auto"/>
          <w:szCs w:val="21"/>
          <w:highlight w:val="none"/>
          <w:lang w:eastAsia="zh-CN"/>
        </w:rPr>
        <w:t>）</w:t>
      </w:r>
    </w:p>
    <w:p w14:paraId="094895E8">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计划竣工日期：</w:t>
      </w:r>
      <w:r>
        <w:rPr>
          <w:rFonts w:hint="eastAsia" w:ascii="宋体" w:cs="宋体"/>
          <w:color w:val="auto"/>
          <w:szCs w:val="21"/>
          <w:highlight w:val="none"/>
          <w:u w:val="single"/>
        </w:rPr>
        <w:t xml:space="preserve">       </w:t>
      </w:r>
      <w:r>
        <w:rPr>
          <w:rFonts w:hint="eastAsia" w:ascii="宋体" w:cs="宋体"/>
          <w:color w:val="auto"/>
          <w:szCs w:val="21"/>
          <w:highlight w:val="none"/>
        </w:rPr>
        <w:t>年</w:t>
      </w:r>
      <w:r>
        <w:rPr>
          <w:rFonts w:hint="eastAsia" w:ascii="宋体" w:cs="宋体"/>
          <w:color w:val="auto"/>
          <w:szCs w:val="21"/>
          <w:highlight w:val="none"/>
          <w:u w:val="single"/>
        </w:rPr>
        <w:t xml:space="preserve">          </w:t>
      </w:r>
      <w:r>
        <w:rPr>
          <w:rFonts w:hint="eastAsia" w:ascii="宋体" w:cs="宋体"/>
          <w:color w:val="auto"/>
          <w:szCs w:val="21"/>
          <w:highlight w:val="none"/>
        </w:rPr>
        <w:t>月</w:t>
      </w:r>
      <w:r>
        <w:rPr>
          <w:rFonts w:hint="eastAsia" w:ascii="宋体" w:cs="宋体"/>
          <w:color w:val="auto"/>
          <w:szCs w:val="21"/>
          <w:highlight w:val="none"/>
          <w:u w:val="single"/>
        </w:rPr>
        <w:t xml:space="preserve">       </w:t>
      </w:r>
      <w:r>
        <w:rPr>
          <w:rFonts w:hint="eastAsia" w:ascii="宋体" w:cs="宋体"/>
          <w:color w:val="auto"/>
          <w:szCs w:val="21"/>
          <w:highlight w:val="none"/>
        </w:rPr>
        <w:t>日。</w:t>
      </w:r>
    </w:p>
    <w:p w14:paraId="1FB9E0BE">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工期总日历天数：</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150</w:t>
      </w:r>
      <w:r>
        <w:rPr>
          <w:rFonts w:hint="eastAsia" w:ascii="宋体" w:cs="宋体"/>
          <w:color w:val="auto"/>
          <w:szCs w:val="21"/>
          <w:highlight w:val="none"/>
          <w:u w:val="single"/>
        </w:rPr>
        <w:t xml:space="preserve">  </w:t>
      </w:r>
      <w:r>
        <w:rPr>
          <w:rFonts w:hint="eastAsia" w:ascii="宋体" w:cs="宋体"/>
          <w:color w:val="auto"/>
          <w:szCs w:val="21"/>
          <w:highlight w:val="none"/>
        </w:rPr>
        <w:t>天。工期总日历天数与根据前述计划开竣工日期计算的工期天数不一致的，以工期总日历天数为准。</w:t>
      </w:r>
    </w:p>
    <w:p w14:paraId="5131FFEB">
      <w:pPr>
        <w:pStyle w:val="5"/>
        <w:spacing w:before="0" w:after="0" w:line="440" w:lineRule="exact"/>
        <w:ind w:firstLine="420" w:firstLineChars="200"/>
        <w:rPr>
          <w:rFonts w:hint="eastAsia" w:ascii="宋体" w:eastAsia="宋体" w:cs="宋体"/>
          <w:bCs w:val="0"/>
          <w:color w:val="auto"/>
          <w:sz w:val="21"/>
          <w:szCs w:val="21"/>
          <w:highlight w:val="none"/>
        </w:rPr>
      </w:pPr>
      <w:r>
        <w:rPr>
          <w:rFonts w:hint="eastAsia" w:ascii="宋体" w:eastAsia="宋体" w:cs="宋体"/>
          <w:b w:val="0"/>
          <w:color w:val="auto"/>
          <w:sz w:val="21"/>
          <w:szCs w:val="21"/>
          <w:highlight w:val="none"/>
        </w:rPr>
        <w:t>三、质量标准</w:t>
      </w:r>
    </w:p>
    <w:p w14:paraId="6380E96E">
      <w:pPr>
        <w:spacing w:line="440" w:lineRule="exact"/>
        <w:ind w:firstLine="420" w:firstLineChars="200"/>
        <w:rPr>
          <w:rFonts w:hint="eastAsia" w:ascii="宋体" w:cs="宋体"/>
          <w:color w:val="auto"/>
          <w:szCs w:val="21"/>
          <w:highlight w:val="none"/>
        </w:rPr>
      </w:pPr>
      <w:r>
        <w:rPr>
          <w:rFonts w:hint="eastAsia"/>
          <w:color w:val="auto"/>
          <w:szCs w:val="21"/>
          <w:highlight w:val="none"/>
        </w:rPr>
        <w:t>工程质量必须达到国家工程施工质量验收</w:t>
      </w:r>
      <w:r>
        <w:rPr>
          <w:rFonts w:hint="eastAsia"/>
          <w:b/>
          <w:color w:val="auto"/>
          <w:szCs w:val="21"/>
          <w:highlight w:val="none"/>
          <w:u w:val="single"/>
        </w:rPr>
        <w:t xml:space="preserve">  合格  </w:t>
      </w:r>
      <w:r>
        <w:rPr>
          <w:rFonts w:hint="eastAsia"/>
          <w:color w:val="auto"/>
          <w:szCs w:val="21"/>
          <w:highlight w:val="none"/>
        </w:rPr>
        <w:t>标准。</w:t>
      </w:r>
    </w:p>
    <w:p w14:paraId="5A41FA8D">
      <w:pPr>
        <w:pStyle w:val="5"/>
        <w:pageBreakBefore w:val="0"/>
        <w:widowControl w:val="0"/>
        <w:kinsoku/>
        <w:wordWrap/>
        <w:overflowPunct/>
        <w:topLinePunct w:val="0"/>
        <w:autoSpaceDE/>
        <w:autoSpaceDN/>
        <w:bidi w:val="0"/>
        <w:adjustRightInd/>
        <w:snapToGrid/>
        <w:spacing w:before="0" w:after="0" w:line="440" w:lineRule="exact"/>
        <w:ind w:firstLine="420" w:firstLineChars="200"/>
        <w:textAlignment w:val="auto"/>
        <w:rPr>
          <w:rFonts w:hint="eastAsia" w:ascii="宋体" w:eastAsia="宋体" w:cs="宋体"/>
          <w:bCs w:val="0"/>
          <w:color w:val="auto"/>
          <w:sz w:val="21"/>
          <w:szCs w:val="21"/>
          <w:highlight w:val="none"/>
        </w:rPr>
      </w:pPr>
      <w:r>
        <w:rPr>
          <w:rFonts w:hint="eastAsia" w:ascii="宋体" w:eastAsia="宋体" w:cs="宋体"/>
          <w:b w:val="0"/>
          <w:color w:val="auto"/>
          <w:sz w:val="21"/>
          <w:szCs w:val="21"/>
          <w:highlight w:val="none"/>
        </w:rPr>
        <w:t>四、签约合同价与合同价格形式</w:t>
      </w:r>
      <w:r>
        <w:rPr>
          <w:rFonts w:hint="eastAsia" w:ascii="宋体" w:eastAsia="宋体" w:cs="宋体"/>
          <w:b w:val="0"/>
          <w:color w:val="auto"/>
          <w:sz w:val="21"/>
          <w:szCs w:val="21"/>
          <w:highlight w:val="none"/>
        </w:rPr>
        <w:tab/>
      </w:r>
    </w:p>
    <w:p w14:paraId="2A2832C0">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u w:val="single"/>
          <w:lang w:val="en-US" w:eastAsia="zh-CN"/>
        </w:rPr>
      </w:pPr>
      <w:r>
        <w:rPr>
          <w:rFonts w:hint="eastAsia" w:ascii="宋体" w:hAnsi="宋体" w:cs="宋体"/>
          <w:color w:val="auto"/>
          <w:szCs w:val="21"/>
          <w:highlight w:val="none"/>
          <w:u w:val="single"/>
        </w:rPr>
        <w:t>1. 签约合同价为：人民币（大写）                 (¥          元)；</w:t>
      </w:r>
      <w:r>
        <w:rPr>
          <w:rFonts w:hint="eastAsia" w:ascii="宋体" w:hAnsi="宋体" w:cs="宋体"/>
          <w:color w:val="auto"/>
          <w:szCs w:val="21"/>
          <w:highlight w:val="none"/>
          <w:u w:val="single"/>
          <w:lang w:eastAsia="zh-CN"/>
        </w:rPr>
        <w:t>其中不含税价为　　　元，税费　　　　元。</w:t>
      </w:r>
    </w:p>
    <w:p w14:paraId="2319A16F">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 合同价格形式：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固定单价合同</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952254A">
      <w:pPr>
        <w:pStyle w:val="5"/>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五、项目</w:t>
      </w:r>
      <w:r>
        <w:rPr>
          <w:rFonts w:hint="eastAsia" w:ascii="宋体" w:eastAsia="宋体" w:cs="宋体"/>
          <w:b w:val="0"/>
          <w:color w:val="auto"/>
          <w:sz w:val="21"/>
          <w:szCs w:val="21"/>
          <w:highlight w:val="none"/>
          <w:lang w:val="en-US" w:eastAsia="zh-CN"/>
        </w:rPr>
        <w:t>经理</w:t>
      </w:r>
    </w:p>
    <w:p w14:paraId="71CB4DD1">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承包人项目经理：</w:t>
      </w:r>
      <w:r>
        <w:rPr>
          <w:rFonts w:hint="eastAsia" w:ascii="宋体" w:cs="宋体"/>
          <w:color w:val="auto"/>
          <w:szCs w:val="21"/>
          <w:highlight w:val="none"/>
          <w:u w:val="single"/>
        </w:rPr>
        <w:t xml:space="preserve">               </w:t>
      </w:r>
      <w:r>
        <w:rPr>
          <w:rFonts w:hint="eastAsia" w:ascii="宋体" w:cs="宋体"/>
          <w:color w:val="auto"/>
          <w:szCs w:val="21"/>
          <w:highlight w:val="none"/>
        </w:rPr>
        <w:t>。</w:t>
      </w:r>
    </w:p>
    <w:p w14:paraId="32977BEF">
      <w:pPr>
        <w:pStyle w:val="5"/>
        <w:spacing w:before="0" w:after="0" w:line="440" w:lineRule="exact"/>
        <w:ind w:firstLine="420" w:firstLineChars="200"/>
        <w:rPr>
          <w:rFonts w:hint="eastAsia" w:ascii="宋体" w:eastAsia="宋体" w:cs="宋体"/>
          <w:bCs w:val="0"/>
          <w:color w:val="auto"/>
          <w:sz w:val="21"/>
          <w:szCs w:val="21"/>
          <w:highlight w:val="none"/>
        </w:rPr>
      </w:pPr>
      <w:r>
        <w:rPr>
          <w:rFonts w:hint="eastAsia" w:ascii="宋体" w:eastAsia="宋体" w:cs="宋体"/>
          <w:b w:val="0"/>
          <w:color w:val="auto"/>
          <w:sz w:val="21"/>
          <w:szCs w:val="21"/>
          <w:highlight w:val="none"/>
        </w:rPr>
        <w:t>六、合同文件构成</w:t>
      </w:r>
    </w:p>
    <w:p w14:paraId="3F438B89">
      <w:pPr>
        <w:spacing w:line="440" w:lineRule="exact"/>
        <w:ind w:firstLine="420" w:firstLineChars="200"/>
        <w:rPr>
          <w:rFonts w:hint="eastAsia" w:ascii="宋体" w:cs="宋体"/>
          <w:bCs/>
          <w:color w:val="auto"/>
          <w:szCs w:val="21"/>
          <w:highlight w:val="none"/>
        </w:rPr>
      </w:pPr>
      <w:r>
        <w:rPr>
          <w:rFonts w:hint="eastAsia" w:ascii="宋体" w:cs="宋体"/>
          <w:bCs/>
          <w:color w:val="auto"/>
          <w:szCs w:val="21"/>
          <w:highlight w:val="none"/>
        </w:rPr>
        <w:t>本协议书与下列文件一起构成合同文件：</w:t>
      </w:r>
    </w:p>
    <w:p w14:paraId="45E7BAD1">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（1）中</w:t>
      </w:r>
      <w:r>
        <w:rPr>
          <w:rFonts w:hint="eastAsia" w:ascii="宋体" w:cs="宋体"/>
          <w:color w:val="auto"/>
          <w:szCs w:val="21"/>
          <w:highlight w:val="none"/>
          <w:lang w:val="en-US" w:eastAsia="zh-CN"/>
        </w:rPr>
        <w:t>标</w:t>
      </w:r>
      <w:r>
        <w:rPr>
          <w:rFonts w:hint="eastAsia" w:ascii="宋体" w:cs="宋体"/>
          <w:color w:val="auto"/>
          <w:szCs w:val="21"/>
          <w:highlight w:val="none"/>
        </w:rPr>
        <w:t>通知书；</w:t>
      </w:r>
    </w:p>
    <w:p w14:paraId="53227739">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 xml:space="preserve">（2）确认函及其附录； </w:t>
      </w:r>
    </w:p>
    <w:p w14:paraId="46087623">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（3）专用合同条款及其附件；</w:t>
      </w:r>
    </w:p>
    <w:p w14:paraId="39FFA3B8">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（4）通用合同条款；</w:t>
      </w:r>
    </w:p>
    <w:p w14:paraId="36334CD8">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（5）技术标准和要求；</w:t>
      </w:r>
    </w:p>
    <w:p w14:paraId="30225A2D">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（6）图纸</w:t>
      </w:r>
      <w:r>
        <w:rPr>
          <w:rFonts w:hint="eastAsia" w:ascii="宋体" w:cs="宋体"/>
          <w:color w:val="auto"/>
          <w:szCs w:val="21"/>
          <w:highlight w:val="none"/>
          <w:lang w:eastAsia="zh-CN"/>
        </w:rPr>
        <w:t>（</w:t>
      </w:r>
      <w:r>
        <w:rPr>
          <w:rFonts w:hint="eastAsia" w:ascii="宋体" w:cs="宋体"/>
          <w:color w:val="auto"/>
          <w:szCs w:val="21"/>
          <w:highlight w:val="none"/>
          <w:lang w:val="en-US" w:eastAsia="zh-CN"/>
        </w:rPr>
        <w:t>本项目无</w:t>
      </w:r>
      <w:r>
        <w:rPr>
          <w:rFonts w:hint="eastAsia" w:ascii="宋体" w:cs="宋体"/>
          <w:color w:val="auto"/>
          <w:szCs w:val="21"/>
          <w:highlight w:val="none"/>
          <w:lang w:eastAsia="zh-CN"/>
        </w:rPr>
        <w:t>）</w:t>
      </w:r>
      <w:r>
        <w:rPr>
          <w:rFonts w:hint="eastAsia" w:ascii="宋体" w:cs="宋体"/>
          <w:color w:val="auto"/>
          <w:szCs w:val="21"/>
          <w:highlight w:val="none"/>
        </w:rPr>
        <w:t>；</w:t>
      </w:r>
    </w:p>
    <w:p w14:paraId="0F8AFA18">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（7）已标价工程量清单或预算书；</w:t>
      </w:r>
    </w:p>
    <w:p w14:paraId="5EB9179B">
      <w:pPr>
        <w:spacing w:line="440" w:lineRule="exact"/>
        <w:ind w:firstLine="420" w:firstLineChars="200"/>
        <w:rPr>
          <w:rFonts w:hint="eastAsia" w:ascii="宋体" w:hAnsi="Times New Roman" w:eastAsia="宋体" w:cs="宋体"/>
          <w:color w:val="auto"/>
          <w:szCs w:val="21"/>
          <w:highlight w:val="none"/>
        </w:rPr>
      </w:pPr>
      <w:r>
        <w:rPr>
          <w:rFonts w:hint="eastAsia" w:ascii="宋体" w:hAnsi="Times New Roman" w:eastAsia="宋体" w:cs="宋体"/>
          <w:color w:val="auto"/>
          <w:szCs w:val="21"/>
          <w:highlight w:val="none"/>
        </w:rPr>
        <w:t>（8）其他合同文件。</w:t>
      </w:r>
    </w:p>
    <w:p w14:paraId="6BD3A458">
      <w:pPr>
        <w:spacing w:line="440" w:lineRule="exact"/>
        <w:ind w:firstLine="420" w:firstLineChars="200"/>
        <w:rPr>
          <w:rFonts w:hint="eastAsia" w:ascii="宋体" w:hAnsi="Times New Roman" w:eastAsia="宋体" w:cs="宋体"/>
          <w:color w:val="auto"/>
          <w:szCs w:val="21"/>
          <w:highlight w:val="none"/>
        </w:rPr>
      </w:pPr>
      <w:r>
        <w:rPr>
          <w:rFonts w:hint="eastAsia" w:ascii="宋体" w:hAnsi="Times New Roman" w:eastAsia="宋体" w:cs="宋体"/>
          <w:color w:val="auto"/>
          <w:szCs w:val="21"/>
          <w:highlight w:val="none"/>
        </w:rPr>
        <w:t>在合同订立及履行过程中形成的与合同有关的文件均构成合同文件组成部分。</w:t>
      </w:r>
    </w:p>
    <w:p w14:paraId="7E9714A5">
      <w:pPr>
        <w:spacing w:line="440" w:lineRule="exact"/>
        <w:ind w:firstLine="420" w:firstLineChars="200"/>
        <w:rPr>
          <w:rFonts w:hint="eastAsia" w:ascii="宋体" w:hAnsi="Times New Roman" w:eastAsia="宋体" w:cs="宋体"/>
          <w:color w:val="auto"/>
          <w:szCs w:val="21"/>
          <w:highlight w:val="none"/>
        </w:rPr>
      </w:pPr>
      <w:r>
        <w:rPr>
          <w:rFonts w:hint="eastAsia" w:ascii="宋体" w:hAnsi="Times New Roman" w:eastAsia="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16010B41">
      <w:pPr>
        <w:pStyle w:val="5"/>
        <w:spacing w:before="0" w:after="0" w:line="440" w:lineRule="exact"/>
        <w:ind w:firstLine="420" w:firstLineChars="200"/>
        <w:rPr>
          <w:rFonts w:hint="eastAsia" w:ascii="宋体" w:eastAsia="宋体" w:cs="宋体"/>
          <w:b w:val="0"/>
          <w:bCs w:val="0"/>
          <w:color w:val="auto"/>
          <w:sz w:val="21"/>
          <w:szCs w:val="21"/>
          <w:highlight w:val="none"/>
        </w:rPr>
      </w:pPr>
      <w:r>
        <w:rPr>
          <w:rFonts w:hint="eastAsia" w:ascii="宋体" w:eastAsia="宋体" w:cs="宋体"/>
          <w:b w:val="0"/>
          <w:color w:val="auto"/>
          <w:sz w:val="21"/>
          <w:szCs w:val="21"/>
          <w:highlight w:val="none"/>
        </w:rPr>
        <w:t>七、承诺</w:t>
      </w:r>
    </w:p>
    <w:p w14:paraId="4EB03A8A">
      <w:pPr>
        <w:spacing w:line="440" w:lineRule="exact"/>
        <w:ind w:firstLine="420" w:firstLineChars="200"/>
        <w:rPr>
          <w:rFonts w:hint="eastAsia" w:ascii="宋体" w:cs="宋体"/>
          <w:bCs/>
          <w:color w:val="auto"/>
          <w:szCs w:val="21"/>
          <w:highlight w:val="none"/>
        </w:rPr>
      </w:pPr>
      <w:r>
        <w:rPr>
          <w:rFonts w:hint="eastAsia" w:ascii="宋体" w:cs="宋体"/>
          <w:bCs/>
          <w:color w:val="auto"/>
          <w:szCs w:val="21"/>
          <w:highlight w:val="none"/>
        </w:rPr>
        <w:t>1.发包人承诺按照法律规定履行项目审批手续、筹集工程建设资金并按照合同约定的期限和方式支付合同价款。</w:t>
      </w:r>
    </w:p>
    <w:p w14:paraId="3C0F0D61">
      <w:pPr>
        <w:spacing w:line="440" w:lineRule="exact"/>
        <w:ind w:firstLine="420" w:firstLineChars="200"/>
        <w:rPr>
          <w:rFonts w:hint="eastAsia" w:ascii="宋体" w:cs="宋体"/>
          <w:bCs/>
          <w:color w:val="auto"/>
          <w:szCs w:val="21"/>
          <w:highlight w:val="none"/>
        </w:rPr>
      </w:pPr>
      <w:r>
        <w:rPr>
          <w:rFonts w:hint="eastAsia" w:ascii="宋体" w:cs="宋体"/>
          <w:bCs/>
          <w:color w:val="auto"/>
          <w:szCs w:val="21"/>
          <w:highlight w:val="none"/>
        </w:rPr>
        <w:t>2.承包人承诺按照法律规定及合同约定组织完成工程施工，确保工程质量和安全，不进行转包及违法分包，并在缺陷责任期及保修期内承担相应的工程维修责任。</w:t>
      </w:r>
    </w:p>
    <w:p w14:paraId="2928C31B">
      <w:pPr>
        <w:spacing w:line="440" w:lineRule="exact"/>
        <w:ind w:firstLine="420" w:firstLineChars="200"/>
        <w:rPr>
          <w:rFonts w:hint="eastAsia" w:ascii="宋体" w:cs="宋体"/>
          <w:bCs/>
          <w:color w:val="auto"/>
          <w:szCs w:val="21"/>
          <w:highlight w:val="none"/>
        </w:rPr>
      </w:pPr>
      <w:r>
        <w:rPr>
          <w:rFonts w:hint="eastAsia" w:ascii="宋体" w:cs="宋体"/>
          <w:bCs/>
          <w:color w:val="auto"/>
          <w:szCs w:val="21"/>
          <w:highlight w:val="none"/>
        </w:rPr>
        <w:t>3.发包人和承包人通过招投标形式签订合同的，双方理解并承诺不再就同一工程另行签订与合同实质性内容相背离的协议。</w:t>
      </w:r>
    </w:p>
    <w:p w14:paraId="08E1DCA2">
      <w:pPr>
        <w:spacing w:line="440" w:lineRule="exact"/>
        <w:ind w:firstLine="420" w:firstLineChars="200"/>
        <w:rPr>
          <w:rFonts w:hint="eastAsia" w:ascii="宋体" w:cs="宋体"/>
          <w:bCs/>
          <w:color w:val="auto"/>
          <w:szCs w:val="21"/>
          <w:highlight w:val="none"/>
        </w:rPr>
      </w:pPr>
      <w:r>
        <w:rPr>
          <w:rFonts w:hint="eastAsia" w:ascii="宋体" w:cs="宋体"/>
          <w:color w:val="auto"/>
          <w:szCs w:val="21"/>
          <w:highlight w:val="none"/>
        </w:rPr>
        <w:t>八、词语含义</w:t>
      </w:r>
    </w:p>
    <w:p w14:paraId="31689870">
      <w:pPr>
        <w:spacing w:line="440" w:lineRule="exact"/>
        <w:ind w:firstLine="420" w:firstLineChars="200"/>
        <w:rPr>
          <w:rFonts w:hint="eastAsia" w:ascii="宋体" w:cs="宋体"/>
          <w:bCs/>
          <w:color w:val="auto"/>
          <w:szCs w:val="21"/>
          <w:highlight w:val="none"/>
        </w:rPr>
      </w:pPr>
      <w:r>
        <w:rPr>
          <w:rFonts w:hint="eastAsia" w:ascii="宋体" w:cs="宋体"/>
          <w:bCs/>
          <w:color w:val="auto"/>
          <w:szCs w:val="21"/>
          <w:highlight w:val="none"/>
        </w:rPr>
        <w:t>本协议书中词语含义与第二部分通用合同条款中赋予的含义相同。</w:t>
      </w:r>
    </w:p>
    <w:p w14:paraId="31603E32">
      <w:pPr>
        <w:pStyle w:val="5"/>
        <w:spacing w:before="0" w:after="0" w:line="440" w:lineRule="exact"/>
        <w:ind w:firstLine="420" w:firstLineChars="200"/>
        <w:rPr>
          <w:rFonts w:hint="eastAsia" w:ascii="宋体" w:eastAsia="宋体" w:cs="宋体"/>
          <w:bCs w:val="0"/>
          <w:color w:val="auto"/>
          <w:sz w:val="21"/>
          <w:szCs w:val="21"/>
          <w:highlight w:val="none"/>
        </w:rPr>
      </w:pPr>
      <w:r>
        <w:rPr>
          <w:rFonts w:hint="eastAsia" w:ascii="宋体" w:eastAsia="宋体" w:cs="宋体"/>
          <w:b w:val="0"/>
          <w:color w:val="auto"/>
          <w:sz w:val="21"/>
          <w:szCs w:val="21"/>
          <w:highlight w:val="none"/>
        </w:rPr>
        <w:t>九、签订时间</w:t>
      </w:r>
    </w:p>
    <w:p w14:paraId="168B7B41">
      <w:pPr>
        <w:spacing w:line="440" w:lineRule="exact"/>
        <w:ind w:firstLine="420" w:firstLineChars="200"/>
        <w:rPr>
          <w:rFonts w:hint="eastAsia" w:ascii="宋体" w:cs="宋体"/>
          <w:bCs/>
          <w:color w:val="auto"/>
          <w:szCs w:val="21"/>
          <w:highlight w:val="none"/>
        </w:rPr>
      </w:pPr>
      <w:r>
        <w:rPr>
          <w:rFonts w:hint="eastAsia" w:ascii="宋体" w:cs="宋体"/>
          <w:bCs/>
          <w:color w:val="auto"/>
          <w:szCs w:val="21"/>
          <w:highlight w:val="none"/>
        </w:rPr>
        <w:t>本合同于</w:t>
      </w:r>
      <w:r>
        <w:rPr>
          <w:rFonts w:hint="eastAsia" w:ascii="宋体" w:cs="宋体"/>
          <w:bCs/>
          <w:color w:val="auto"/>
          <w:szCs w:val="21"/>
          <w:highlight w:val="none"/>
          <w:u w:val="single"/>
        </w:rPr>
        <w:t xml:space="preserve">         </w:t>
      </w:r>
      <w:r>
        <w:rPr>
          <w:rFonts w:hint="eastAsia" w:ascii="宋体" w:cs="宋体"/>
          <w:bCs/>
          <w:color w:val="auto"/>
          <w:szCs w:val="21"/>
          <w:highlight w:val="none"/>
        </w:rPr>
        <w:t>年</w:t>
      </w:r>
      <w:r>
        <w:rPr>
          <w:rFonts w:hint="eastAsia" w:ascii="宋体" w:cs="宋体"/>
          <w:bCs/>
          <w:color w:val="auto"/>
          <w:szCs w:val="21"/>
          <w:highlight w:val="none"/>
          <w:u w:val="single"/>
        </w:rPr>
        <w:t xml:space="preserve">       </w:t>
      </w:r>
      <w:r>
        <w:rPr>
          <w:rFonts w:hint="eastAsia" w:ascii="宋体" w:cs="宋体"/>
          <w:bCs/>
          <w:color w:val="auto"/>
          <w:szCs w:val="21"/>
          <w:highlight w:val="none"/>
        </w:rPr>
        <w:t>月</w:t>
      </w:r>
      <w:r>
        <w:rPr>
          <w:rFonts w:hint="eastAsia" w:ascii="宋体" w:cs="宋体"/>
          <w:bCs/>
          <w:color w:val="auto"/>
          <w:szCs w:val="21"/>
          <w:highlight w:val="none"/>
          <w:u w:val="single"/>
        </w:rPr>
        <w:t xml:space="preserve">        </w:t>
      </w:r>
      <w:r>
        <w:rPr>
          <w:rFonts w:hint="eastAsia" w:ascii="宋体" w:cs="宋体"/>
          <w:bCs/>
          <w:color w:val="auto"/>
          <w:szCs w:val="21"/>
          <w:highlight w:val="none"/>
        </w:rPr>
        <w:t>日签订。</w:t>
      </w:r>
    </w:p>
    <w:p w14:paraId="6A42F258">
      <w:pPr>
        <w:pStyle w:val="5"/>
        <w:spacing w:before="0" w:after="0" w:line="440" w:lineRule="exact"/>
        <w:ind w:firstLine="420" w:firstLineChars="200"/>
        <w:rPr>
          <w:rFonts w:hint="eastAsia" w:ascii="宋体" w:eastAsia="宋体" w:cs="宋体"/>
          <w:bCs w:val="0"/>
          <w:color w:val="auto"/>
          <w:sz w:val="21"/>
          <w:szCs w:val="21"/>
          <w:highlight w:val="none"/>
        </w:rPr>
      </w:pPr>
      <w:r>
        <w:rPr>
          <w:rFonts w:hint="eastAsia" w:ascii="宋体" w:eastAsia="宋体" w:cs="宋体"/>
          <w:b w:val="0"/>
          <w:color w:val="auto"/>
          <w:sz w:val="21"/>
          <w:szCs w:val="21"/>
          <w:highlight w:val="none"/>
        </w:rPr>
        <w:t>十、签订地点</w:t>
      </w:r>
    </w:p>
    <w:p w14:paraId="6BF73051">
      <w:pPr>
        <w:spacing w:line="440" w:lineRule="exact"/>
        <w:ind w:firstLine="420" w:firstLineChars="200"/>
        <w:rPr>
          <w:rFonts w:hint="eastAsia" w:ascii="宋体" w:cs="宋体"/>
          <w:bCs/>
          <w:color w:val="auto"/>
          <w:szCs w:val="21"/>
          <w:highlight w:val="none"/>
        </w:rPr>
      </w:pPr>
      <w:r>
        <w:rPr>
          <w:rFonts w:hint="eastAsia" w:ascii="宋体" w:cs="宋体"/>
          <w:bCs/>
          <w:color w:val="auto"/>
          <w:szCs w:val="21"/>
          <w:highlight w:val="none"/>
        </w:rPr>
        <w:t>本合同在</w:t>
      </w:r>
      <w:r>
        <w:rPr>
          <w:rFonts w:hint="eastAsia" w:ascii="宋体" w:cs="宋体"/>
          <w:bCs/>
          <w:color w:val="auto"/>
          <w:szCs w:val="21"/>
          <w:highlight w:val="none"/>
          <w:u w:val="single"/>
        </w:rPr>
        <w:t xml:space="preserve">              </w:t>
      </w:r>
      <w:r>
        <w:rPr>
          <w:rFonts w:hint="eastAsia" w:ascii="宋体" w:cs="宋体"/>
          <w:bCs/>
          <w:color w:val="auto"/>
          <w:szCs w:val="21"/>
          <w:highlight w:val="none"/>
        </w:rPr>
        <w:t>签订。</w:t>
      </w:r>
    </w:p>
    <w:p w14:paraId="12148FBD">
      <w:pPr>
        <w:pStyle w:val="5"/>
        <w:spacing w:before="0" w:after="0" w:line="440" w:lineRule="exact"/>
        <w:ind w:firstLine="420" w:firstLineChars="200"/>
        <w:rPr>
          <w:rFonts w:hint="eastAsia" w:ascii="宋体" w:eastAsia="宋体" w:cs="宋体"/>
          <w:bCs w:val="0"/>
          <w:color w:val="auto"/>
          <w:sz w:val="21"/>
          <w:szCs w:val="21"/>
          <w:highlight w:val="none"/>
        </w:rPr>
      </w:pPr>
      <w:r>
        <w:rPr>
          <w:rFonts w:hint="eastAsia" w:ascii="宋体" w:eastAsia="宋体" w:cs="宋体"/>
          <w:b w:val="0"/>
          <w:color w:val="auto"/>
          <w:sz w:val="21"/>
          <w:szCs w:val="21"/>
          <w:highlight w:val="none"/>
        </w:rPr>
        <w:t>十一、补充协议</w:t>
      </w:r>
    </w:p>
    <w:p w14:paraId="55238B76">
      <w:pPr>
        <w:spacing w:line="440" w:lineRule="exact"/>
        <w:ind w:firstLine="420" w:firstLineChars="200"/>
        <w:rPr>
          <w:rFonts w:hint="eastAsia" w:ascii="宋体" w:cs="宋体"/>
          <w:b/>
          <w:bCs/>
          <w:color w:val="auto"/>
          <w:szCs w:val="21"/>
          <w:highlight w:val="none"/>
        </w:rPr>
      </w:pPr>
      <w:r>
        <w:rPr>
          <w:rFonts w:hint="eastAsia" w:ascii="宋体" w:cs="宋体"/>
          <w:bCs/>
          <w:color w:val="auto"/>
          <w:szCs w:val="21"/>
          <w:highlight w:val="none"/>
        </w:rPr>
        <w:t>合同未尽事宜，合同当事人另行签订补充协议，补充协议是合同的组成部分。</w:t>
      </w:r>
    </w:p>
    <w:p w14:paraId="0C8BEAE8">
      <w:pPr>
        <w:pStyle w:val="5"/>
        <w:spacing w:before="0" w:after="0" w:line="440" w:lineRule="exact"/>
        <w:ind w:firstLine="420" w:firstLineChars="200"/>
        <w:rPr>
          <w:rFonts w:hint="eastAsia" w:ascii="宋体" w:eastAsia="宋体" w:cs="宋体"/>
          <w:bCs w:val="0"/>
          <w:color w:val="auto"/>
          <w:sz w:val="21"/>
          <w:szCs w:val="21"/>
          <w:highlight w:val="none"/>
        </w:rPr>
      </w:pPr>
      <w:r>
        <w:rPr>
          <w:rFonts w:hint="eastAsia" w:ascii="宋体" w:eastAsia="宋体" w:cs="宋体"/>
          <w:b w:val="0"/>
          <w:color w:val="auto"/>
          <w:sz w:val="21"/>
          <w:szCs w:val="21"/>
          <w:highlight w:val="none"/>
        </w:rPr>
        <w:t>十二、合同生效</w:t>
      </w:r>
    </w:p>
    <w:p w14:paraId="5BF34A4F">
      <w:pPr>
        <w:spacing w:line="440" w:lineRule="exact"/>
        <w:ind w:firstLine="420" w:firstLineChars="200"/>
        <w:rPr>
          <w:rFonts w:hint="eastAsia" w:ascii="宋体" w:cs="宋体"/>
          <w:bCs/>
          <w:color w:val="auto"/>
          <w:szCs w:val="21"/>
          <w:highlight w:val="none"/>
        </w:rPr>
      </w:pPr>
      <w:r>
        <w:rPr>
          <w:rFonts w:hint="eastAsia" w:ascii="宋体" w:cs="宋体"/>
          <w:bCs/>
          <w:color w:val="auto"/>
          <w:szCs w:val="21"/>
          <w:highlight w:val="none"/>
        </w:rPr>
        <w:t>本合同自</w:t>
      </w:r>
      <w:r>
        <w:rPr>
          <w:rFonts w:hint="eastAsia" w:ascii="宋体" w:cs="宋体"/>
          <w:bCs/>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eastAsia="宋体" w:cs="宋体"/>
          <w:color w:val="auto"/>
          <w:sz w:val="21"/>
          <w:szCs w:val="21"/>
          <w:highlight w:val="none"/>
          <w:u w:val="single"/>
          <w:shd w:val="clear" w:color="auto" w:fill="auto"/>
        </w:rPr>
        <w:t>双方签字盖章后</w:t>
      </w:r>
      <w:r>
        <w:rPr>
          <w:rFonts w:hint="eastAsia" w:ascii="宋体" w:cs="宋体"/>
          <w:color w:val="auto"/>
          <w:szCs w:val="21"/>
          <w:highlight w:val="none"/>
          <w:u w:val="single"/>
        </w:rPr>
        <w:t xml:space="preserve">   </w:t>
      </w:r>
      <w:r>
        <w:rPr>
          <w:rFonts w:hint="eastAsia" w:ascii="宋体" w:cs="宋体"/>
          <w:bCs/>
          <w:color w:val="auto"/>
          <w:szCs w:val="21"/>
          <w:highlight w:val="none"/>
        </w:rPr>
        <w:t>生效。</w:t>
      </w:r>
    </w:p>
    <w:p w14:paraId="0CD88474">
      <w:pPr>
        <w:pStyle w:val="5"/>
        <w:spacing w:before="0" w:after="0" w:line="440" w:lineRule="exact"/>
        <w:ind w:firstLine="420" w:firstLineChars="200"/>
        <w:rPr>
          <w:rFonts w:hint="eastAsia" w:ascii="宋体" w:eastAsia="宋体" w:cs="宋体"/>
          <w:bCs w:val="0"/>
          <w:color w:val="auto"/>
          <w:sz w:val="21"/>
          <w:szCs w:val="21"/>
          <w:highlight w:val="none"/>
        </w:rPr>
      </w:pPr>
      <w:r>
        <w:rPr>
          <w:rFonts w:hint="eastAsia" w:ascii="宋体" w:eastAsia="宋体" w:cs="宋体"/>
          <w:b w:val="0"/>
          <w:color w:val="auto"/>
          <w:sz w:val="21"/>
          <w:szCs w:val="21"/>
          <w:highlight w:val="none"/>
        </w:rPr>
        <w:t>十三、合同份数</w:t>
      </w:r>
    </w:p>
    <w:p w14:paraId="5C5834D4">
      <w:pPr>
        <w:spacing w:line="440" w:lineRule="exact"/>
        <w:ind w:firstLine="420" w:firstLineChars="200"/>
        <w:rPr>
          <w:rFonts w:hint="eastAsia" w:ascii="宋体" w:cs="宋体"/>
          <w:bCs/>
          <w:color w:val="auto"/>
          <w:szCs w:val="21"/>
          <w:highlight w:val="none"/>
        </w:rPr>
      </w:pPr>
      <w:r>
        <w:rPr>
          <w:rFonts w:hint="eastAsia" w:ascii="宋体" w:cs="宋体"/>
          <w:bCs/>
          <w:color w:val="auto"/>
          <w:szCs w:val="21"/>
          <w:highlight w:val="none"/>
        </w:rPr>
        <w:t>本合同一式</w:t>
      </w:r>
      <w:r>
        <w:rPr>
          <w:rFonts w:hint="eastAsia" w:ascii="宋体" w:cs="宋体"/>
          <w:bCs/>
          <w:color w:val="auto"/>
          <w:szCs w:val="21"/>
          <w:highlight w:val="none"/>
          <w:lang w:eastAsia="zh-CN"/>
        </w:rPr>
        <w:t>肆</w:t>
      </w:r>
      <w:r>
        <w:rPr>
          <w:rFonts w:hint="eastAsia" w:ascii="宋体" w:cs="宋体"/>
          <w:bCs/>
          <w:color w:val="auto"/>
          <w:szCs w:val="21"/>
          <w:highlight w:val="none"/>
        </w:rPr>
        <w:t>份，正本贰份、副本贰份，</w:t>
      </w:r>
      <w:r>
        <w:rPr>
          <w:rFonts w:hint="eastAsia" w:ascii="宋体" w:cs="宋体"/>
          <w:bCs/>
          <w:color w:val="auto"/>
          <w:szCs w:val="21"/>
          <w:highlight w:val="none"/>
        </w:rPr>
        <w:t>均具有同等法律效力，发包人执正本壹份、副本叁份，承包人执正本壹份、副本叁份。</w:t>
      </w:r>
    </w:p>
    <w:p w14:paraId="5622B22D">
      <w:pPr>
        <w:keepNext w:val="0"/>
        <w:keepLines w:val="0"/>
        <w:pageBreakBefore w:val="0"/>
        <w:widowControl w:val="0"/>
        <w:kinsoku/>
        <w:wordWrap/>
        <w:overflowPunct/>
        <w:topLinePunct w:val="0"/>
        <w:autoSpaceDE/>
        <w:autoSpaceDN/>
        <w:bidi w:val="0"/>
        <w:adjustRightInd/>
        <w:snapToGrid w:val="0"/>
        <w:spacing w:line="440" w:lineRule="exact"/>
        <w:ind w:firstLine="630" w:firstLineChars="300"/>
        <w:textAlignment w:val="auto"/>
        <w:rPr>
          <w:rFonts w:hint="eastAsia" w:ascii="宋体" w:cs="宋体"/>
          <w:color w:val="auto"/>
          <w:szCs w:val="21"/>
          <w:highlight w:val="none"/>
        </w:rPr>
      </w:pPr>
      <w:r>
        <w:rPr>
          <w:rFonts w:hint="eastAsia" w:ascii="宋体" w:cs="宋体"/>
          <w:color w:val="auto"/>
          <w:szCs w:val="21"/>
          <w:highlight w:val="none"/>
        </w:rPr>
        <w:t xml:space="preserve">发包人：  </w:t>
      </w:r>
      <w:r>
        <w:rPr>
          <w:rFonts w:hint="eastAsia" w:ascii="宋体" w:cs="宋体"/>
          <w:color w:val="auto"/>
          <w:szCs w:val="21"/>
          <w:highlight w:val="none"/>
          <w:lang w:eastAsia="zh-CN"/>
        </w:rPr>
        <w:t>（</w:t>
      </w:r>
      <w:r>
        <w:rPr>
          <w:rFonts w:hint="eastAsia" w:ascii="宋体" w:cs="宋体"/>
          <w:color w:val="auto"/>
          <w:szCs w:val="21"/>
          <w:highlight w:val="none"/>
        </w:rPr>
        <w:t>公章</w:t>
      </w:r>
      <w:r>
        <w:rPr>
          <w:rFonts w:hint="eastAsia" w:ascii="宋体" w:cs="宋体"/>
          <w:color w:val="auto"/>
          <w:szCs w:val="21"/>
          <w:highlight w:val="none"/>
          <w:lang w:eastAsia="zh-CN"/>
        </w:rPr>
        <w:t>）</w:t>
      </w:r>
      <w:r>
        <w:rPr>
          <w:rFonts w:hint="eastAsia" w:ascii="宋体" w:cs="宋体"/>
          <w:color w:val="auto"/>
          <w:szCs w:val="21"/>
          <w:highlight w:val="none"/>
        </w:rPr>
        <w:t xml:space="preserve">                   承包人：  </w:t>
      </w:r>
      <w:r>
        <w:rPr>
          <w:rFonts w:hint="eastAsia" w:ascii="宋体" w:cs="宋体"/>
          <w:color w:val="auto"/>
          <w:szCs w:val="21"/>
          <w:highlight w:val="none"/>
          <w:lang w:eastAsia="zh-CN"/>
        </w:rPr>
        <w:t>（</w:t>
      </w:r>
      <w:r>
        <w:rPr>
          <w:rFonts w:hint="eastAsia" w:ascii="宋体" w:cs="宋体"/>
          <w:color w:val="auto"/>
          <w:szCs w:val="21"/>
          <w:highlight w:val="none"/>
        </w:rPr>
        <w:t>公章</w:t>
      </w:r>
      <w:r>
        <w:rPr>
          <w:rFonts w:hint="eastAsia" w:ascii="宋体" w:cs="宋体"/>
          <w:color w:val="auto"/>
          <w:szCs w:val="21"/>
          <w:highlight w:val="none"/>
          <w:lang w:eastAsia="zh-CN"/>
        </w:rPr>
        <w:t>）</w:t>
      </w:r>
    </w:p>
    <w:p w14:paraId="7D78721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 法定代表人或其委托代理人：           法定代表人或其委托代理人：</w:t>
      </w:r>
    </w:p>
    <w:p w14:paraId="2A2E54F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                  （签字）                             （签字）</w:t>
      </w:r>
    </w:p>
    <w:p w14:paraId="0B2CEB30">
      <w:pPr>
        <w:tabs>
          <w:tab w:val="left" w:pos="4410"/>
        </w:tabs>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组织机构代码：                        组织机构代码：                                   </w:t>
      </w:r>
    </w:p>
    <w:p w14:paraId="492F88C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地  址：                           地  址：                                    </w:t>
      </w:r>
    </w:p>
    <w:p w14:paraId="18CB7EC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邮政编码：                             邮政编码：                       </w:t>
      </w:r>
    </w:p>
    <w:p w14:paraId="4DF92D5C">
      <w:pPr>
        <w:tabs>
          <w:tab w:val="left" w:pos="180"/>
        </w:tabs>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法定代表人：                       法定代表人： </w:t>
      </w:r>
    </w:p>
    <w:p w14:paraId="395E339B">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委托代理人：                           委托代理人：  </w:t>
      </w:r>
    </w:p>
    <w:p w14:paraId="7C85FBF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电  话：                               电  话：</w:t>
      </w:r>
    </w:p>
    <w:p w14:paraId="51C1F91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传  真：                             传  真：    </w:t>
      </w:r>
    </w:p>
    <w:p w14:paraId="5105395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电子信箱：                             电子信箱：                       </w:t>
      </w:r>
    </w:p>
    <w:p w14:paraId="76F5084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开户银行：                             开户银行：                        </w:t>
      </w:r>
    </w:p>
    <w:p w14:paraId="2421115B">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账  号：                               账  号：                         </w:t>
      </w:r>
    </w:p>
    <w:p w14:paraId="47DE9D2C">
      <w:pPr>
        <w:spacing w:line="440" w:lineRule="exact"/>
        <w:ind w:firstLine="4410" w:firstLineChars="2100"/>
        <w:rPr>
          <w:rFonts w:hint="eastAsia" w:ascii="宋体" w:cs="宋体"/>
          <w:color w:val="auto"/>
          <w:szCs w:val="21"/>
          <w:highlight w:val="none"/>
        </w:rPr>
      </w:pPr>
    </w:p>
    <w:p w14:paraId="73F4574A">
      <w:pPr>
        <w:spacing w:line="440" w:lineRule="exact"/>
        <w:ind w:firstLine="4410" w:firstLineChars="2100"/>
        <w:rPr>
          <w:rFonts w:hint="eastAsia" w:ascii="宋体" w:cs="宋体"/>
          <w:color w:val="auto"/>
          <w:szCs w:val="21"/>
          <w:highlight w:val="none"/>
        </w:rPr>
      </w:pPr>
    </w:p>
    <w:p w14:paraId="3943C5F0">
      <w:pPr>
        <w:spacing w:line="440" w:lineRule="exact"/>
        <w:ind w:firstLine="4410" w:firstLineChars="2100"/>
        <w:rPr>
          <w:rFonts w:hint="eastAsia" w:ascii="宋体" w:cs="宋体"/>
          <w:color w:val="auto"/>
          <w:szCs w:val="21"/>
          <w:highlight w:val="none"/>
        </w:rPr>
      </w:pPr>
    </w:p>
    <w:p w14:paraId="7FDB86E4">
      <w:pPr>
        <w:pStyle w:val="14"/>
        <w:rPr>
          <w:rFonts w:hint="eastAsia" w:ascii="宋体" w:cs="宋体"/>
          <w:color w:val="auto"/>
          <w:szCs w:val="21"/>
          <w:highlight w:val="none"/>
        </w:rPr>
      </w:pPr>
    </w:p>
    <w:p w14:paraId="45D8C436">
      <w:pPr>
        <w:rPr>
          <w:rFonts w:hint="eastAsia" w:ascii="宋体" w:cs="宋体"/>
          <w:color w:val="auto"/>
          <w:szCs w:val="21"/>
          <w:highlight w:val="none"/>
        </w:rPr>
      </w:pPr>
    </w:p>
    <w:p w14:paraId="68996332">
      <w:pPr>
        <w:spacing w:line="440" w:lineRule="exact"/>
        <w:rPr>
          <w:rFonts w:hint="eastAsia" w:ascii="宋体" w:cs="宋体"/>
          <w:color w:val="auto"/>
          <w:szCs w:val="21"/>
          <w:highlight w:val="none"/>
        </w:rPr>
      </w:pPr>
      <w:r>
        <w:rPr>
          <w:rFonts w:hint="eastAsia" w:ascii="宋体" w:cs="宋体"/>
          <w:color w:val="auto"/>
          <w:szCs w:val="21"/>
          <w:highlight w:val="none"/>
        </w:rPr>
        <w:t xml:space="preserve">           </w:t>
      </w:r>
    </w:p>
    <w:p w14:paraId="6E6FB372">
      <w:pPr>
        <w:rPr>
          <w:rFonts w:hint="eastAsia" w:ascii="黑体" w:eastAsia="黑体" w:cs="黑体"/>
          <w:color w:val="auto"/>
          <w:highlight w:val="none"/>
        </w:rPr>
      </w:pPr>
      <w:r>
        <w:rPr>
          <w:rFonts w:hint="eastAsia" w:ascii="黑体" w:eastAsia="黑体" w:cs="黑体"/>
          <w:color w:val="auto"/>
          <w:highlight w:val="none"/>
        </w:rPr>
        <w:br w:type="page"/>
      </w:r>
    </w:p>
    <w:p w14:paraId="5D951C3C">
      <w:pPr>
        <w:pStyle w:val="4"/>
        <w:jc w:val="center"/>
        <w:rPr>
          <w:rFonts w:hint="eastAsia" w:ascii="黑体" w:eastAsia="黑体" w:cs="黑体"/>
          <w:color w:val="auto"/>
          <w:highlight w:val="none"/>
        </w:rPr>
      </w:pPr>
      <w:r>
        <w:rPr>
          <w:rFonts w:hint="eastAsia" w:ascii="黑体" w:eastAsia="黑体" w:cs="黑体"/>
          <w:color w:val="auto"/>
          <w:highlight w:val="none"/>
        </w:rPr>
        <w:t>第二节 通用合同条款</w:t>
      </w:r>
    </w:p>
    <w:p w14:paraId="3BD1B480">
      <w:pPr>
        <w:adjustRightInd w:val="0"/>
        <w:snapToGrid w:val="0"/>
        <w:spacing w:line="480" w:lineRule="auto"/>
        <w:ind w:firstLine="562" w:firstLineChars="200"/>
        <w:rPr>
          <w:rFonts w:hint="eastAsia" w:ascii="宋体" w:hAnsi="宋体" w:cs="宋体"/>
          <w:b/>
          <w:bCs/>
          <w:snapToGrid w:val="0"/>
          <w:color w:val="auto"/>
          <w:kern w:val="0"/>
          <w:sz w:val="28"/>
          <w:highlight w:val="none"/>
        </w:rPr>
      </w:pPr>
      <w:r>
        <w:rPr>
          <w:rFonts w:hint="eastAsia" w:ascii="宋体" w:hAnsi="宋体" w:cs="宋体"/>
          <w:b/>
          <w:bCs/>
          <w:snapToGrid w:val="0"/>
          <w:color w:val="auto"/>
          <w:kern w:val="0"/>
          <w:sz w:val="28"/>
          <w:highlight w:val="none"/>
        </w:rPr>
        <w:t>采用《建设工程施工合同(示范文本)》（GF-2017-0201）中通用合同条款。上述资料由</w:t>
      </w:r>
      <w:r>
        <w:rPr>
          <w:rFonts w:hint="eastAsia" w:ascii="宋体" w:hAnsi="宋体" w:cs="宋体"/>
          <w:b/>
          <w:bCs/>
          <w:snapToGrid w:val="0"/>
          <w:color w:val="auto"/>
          <w:kern w:val="0"/>
          <w:sz w:val="28"/>
          <w:highlight w:val="none"/>
          <w:lang w:val="en-US" w:eastAsia="zh-CN"/>
        </w:rPr>
        <w:t>中</w:t>
      </w:r>
      <w:r>
        <w:rPr>
          <w:rFonts w:hint="eastAsia" w:ascii="宋体" w:hAnsi="宋体" w:cs="宋体"/>
          <w:b/>
          <w:bCs/>
          <w:snapToGrid w:val="0"/>
          <w:color w:val="auto"/>
          <w:kern w:val="0"/>
          <w:sz w:val="28"/>
          <w:highlight w:val="none"/>
        </w:rPr>
        <w:t>标人自行准备。</w:t>
      </w:r>
    </w:p>
    <w:p w14:paraId="48D17398">
      <w:pPr>
        <w:spacing w:line="440" w:lineRule="exact"/>
        <w:ind w:firstLine="420" w:firstLineChars="200"/>
        <w:rPr>
          <w:rFonts w:hint="eastAsia"/>
          <w:color w:val="auto"/>
          <w:highlight w:val="none"/>
        </w:rPr>
      </w:pPr>
    </w:p>
    <w:p w14:paraId="20A9D62C">
      <w:pPr>
        <w:pStyle w:val="4"/>
        <w:jc w:val="center"/>
        <w:rPr>
          <w:rFonts w:hint="eastAsia" w:ascii="黑体" w:eastAsia="黑体" w:cs="黑体"/>
          <w:color w:val="auto"/>
          <w:highlight w:val="none"/>
        </w:rPr>
      </w:pPr>
      <w:r>
        <w:rPr>
          <w:rFonts w:hint="eastAsia" w:ascii="黑体" w:eastAsia="黑体" w:cs="黑体"/>
          <w:color w:val="auto"/>
          <w:highlight w:val="none"/>
        </w:rPr>
        <w:t>第三节 专用合同条款</w:t>
      </w:r>
    </w:p>
    <w:p w14:paraId="0E66893B">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 一般约定</w:t>
      </w:r>
    </w:p>
    <w:p w14:paraId="564E7E8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 词语定义</w:t>
      </w:r>
    </w:p>
    <w:p w14:paraId="0352C5D3">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1.1.1合同</w:t>
      </w:r>
    </w:p>
    <w:p w14:paraId="6EA12D57">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1.1.1.1其他合同文件包括：</w:t>
      </w:r>
      <w:r>
        <w:rPr>
          <w:rFonts w:hint="eastAsia" w:ascii="宋体" w:cs="宋体"/>
          <w:color w:val="auto"/>
          <w:szCs w:val="21"/>
          <w:highlight w:val="none"/>
          <w:u w:val="single"/>
        </w:rPr>
        <w:t xml:space="preserve">本项目招标文件、在合同订立及履行过程中形成的与合同有关的文件均构成合同文件组成部分。 </w:t>
      </w:r>
    </w:p>
    <w:p w14:paraId="3A8F2FC2">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color w:val="auto"/>
          <w:szCs w:val="21"/>
          <w:highlight w:val="none"/>
          <w:lang w:eastAsia="zh-CN"/>
        </w:rPr>
      </w:pPr>
      <w:r>
        <w:rPr>
          <w:rFonts w:hint="eastAsia" w:ascii="宋体" w:cs="宋体"/>
          <w:color w:val="auto"/>
          <w:szCs w:val="21"/>
          <w:highlight w:val="none"/>
        </w:rPr>
        <w:t>1.1.2 合同其他相关方</w:t>
      </w:r>
      <w:r>
        <w:rPr>
          <w:rFonts w:hint="eastAsia" w:ascii="宋体" w:cs="宋体"/>
          <w:color w:val="auto"/>
          <w:szCs w:val="21"/>
          <w:highlight w:val="none"/>
          <w:lang w:eastAsia="zh-CN"/>
        </w:rPr>
        <w:t>：</w:t>
      </w:r>
    </w:p>
    <w:p w14:paraId="6FC2FD5D">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1.1.2.4 监理人：</w:t>
      </w:r>
    </w:p>
    <w:p w14:paraId="77E4271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名    称：</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1DF6448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资质类别和等级：</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w:t>
      </w:r>
      <w:r>
        <w:rPr>
          <w:rFonts w:hint="eastAsia" w:ascii="宋体" w:hAnsi="宋体" w:cs="宋体"/>
          <w:color w:val="auto"/>
          <w:highlight w:val="none"/>
        </w:rPr>
        <w:t>；</w:t>
      </w:r>
    </w:p>
    <w:p w14:paraId="05C8B7B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281D6EB5">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8AA596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通信地址：</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43B9DEF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1.1.2.5 设计人：</w:t>
      </w:r>
    </w:p>
    <w:p w14:paraId="18D24B2F">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名    称：</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8FA030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资质类别和等级：</w:t>
      </w:r>
      <w:r>
        <w:rPr>
          <w:rFonts w:hint="eastAsia" w:ascii="宋体" w:hAnsi="宋体" w:cs="宋体"/>
          <w:color w:val="auto"/>
          <w:highlight w:val="none"/>
          <w:u w:val="single"/>
        </w:rPr>
        <w:t></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w:t>
      </w:r>
      <w:r>
        <w:rPr>
          <w:rFonts w:hint="eastAsia" w:ascii="宋体" w:hAnsi="宋体" w:cs="宋体"/>
          <w:color w:val="auto"/>
          <w:highlight w:val="none"/>
        </w:rPr>
        <w:t>；</w:t>
      </w:r>
    </w:p>
    <w:p w14:paraId="30AB8948">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1C7D3A05">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0F3F02F6">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通信地址：</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72FB9889">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1.1.3 工程和设备</w:t>
      </w:r>
    </w:p>
    <w:p w14:paraId="3185AED4">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1.1.3.7 作为施工现场组成部分的其他场所包括：</w:t>
      </w:r>
      <w:r>
        <w:rPr>
          <w:rFonts w:hint="eastAsia" w:ascii="宋体" w:hAnsi="宋体" w:cs="宋体"/>
          <w:color w:val="auto"/>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3AF81C8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kern w:val="0"/>
          <w:highlight w:val="none"/>
        </w:rPr>
      </w:pPr>
      <w:r>
        <w:rPr>
          <w:rFonts w:hint="eastAsia" w:ascii="宋体" w:hAnsi="宋体" w:cs="宋体"/>
          <w:color w:val="auto"/>
          <w:kern w:val="0"/>
          <w:highlight w:val="none"/>
        </w:rPr>
        <w:t>1.1.3.9 永久占地包括：</w:t>
      </w:r>
      <w:r>
        <w:rPr>
          <w:rFonts w:hint="eastAsia" w:ascii="宋体" w:hAnsi="宋体" w:cs="宋体"/>
          <w:color w:val="auto"/>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highlight w:val="none"/>
          <w:u w:val="single"/>
        </w:rPr>
        <w:t xml:space="preserve">       </w:t>
      </w:r>
      <w:r>
        <w:rPr>
          <w:rFonts w:hint="eastAsia" w:ascii="宋体" w:hAnsi="宋体" w:cs="宋体"/>
          <w:color w:val="auto"/>
          <w:kern w:val="0"/>
          <w:highlight w:val="none"/>
        </w:rPr>
        <w:t>。</w:t>
      </w:r>
    </w:p>
    <w:p w14:paraId="02E584D3">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highlight w:val="none"/>
        </w:rPr>
      </w:pPr>
      <w:r>
        <w:rPr>
          <w:rFonts w:hint="eastAsia" w:ascii="宋体" w:hAnsi="宋体" w:cs="宋体"/>
          <w:color w:val="auto"/>
          <w:kern w:val="0"/>
          <w:highlight w:val="none"/>
        </w:rPr>
        <w:t>1.1.3.10 临时占地包括：</w:t>
      </w:r>
      <w:r>
        <w:rPr>
          <w:rFonts w:hint="eastAsia" w:ascii="宋体" w:hAnsi="宋体" w:cs="宋体"/>
          <w:color w:val="auto"/>
          <w:highlight w:val="none"/>
          <w:u w:val="single"/>
        </w:rPr>
        <w:t xml:space="preserve">     </w:t>
      </w:r>
      <w:r>
        <w:rPr>
          <w:rFonts w:hint="eastAsia" w:ascii="宋体" w:hAnsi="宋体" w:eastAsia="宋体" w:cs="宋体"/>
          <w:color w:val="auto"/>
          <w:szCs w:val="21"/>
          <w:highlight w:val="none"/>
          <w:u w:val="single"/>
          <w:lang w:val="en-US" w:eastAsia="zh-CN"/>
        </w:rPr>
        <w:t>自行解决</w:t>
      </w:r>
      <w:r>
        <w:rPr>
          <w:rFonts w:hint="eastAsia" w:ascii="宋体" w:hAnsi="宋体" w:cs="宋体"/>
          <w:color w:val="auto"/>
          <w:highlight w:val="none"/>
          <w:u w:val="single"/>
        </w:rPr>
        <w:t>  </w:t>
      </w:r>
      <w:r>
        <w:rPr>
          <w:rFonts w:hint="eastAsia" w:ascii="宋体" w:hAnsi="宋体" w:cs="宋体"/>
          <w:color w:val="auto"/>
          <w:kern w:val="0"/>
          <w:highlight w:val="none"/>
        </w:rPr>
        <w:t>。</w:t>
      </w:r>
    </w:p>
    <w:p w14:paraId="3C9BD10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1.3法律 </w:t>
      </w:r>
    </w:p>
    <w:p w14:paraId="606A4442">
      <w:pPr>
        <w:autoSpaceDE w:val="0"/>
        <w:autoSpaceDN w:val="0"/>
        <w:adjustRightInd w:val="0"/>
        <w:snapToGrid w:val="0"/>
        <w:spacing w:line="440" w:lineRule="exact"/>
        <w:ind w:firstLine="420" w:firstLineChars="200"/>
        <w:jc w:val="left"/>
        <w:rPr>
          <w:rFonts w:hint="eastAsia" w:ascii="宋体" w:eastAsia="宋体" w:cs="宋体"/>
          <w:color w:val="auto"/>
          <w:szCs w:val="21"/>
          <w:highlight w:val="none"/>
          <w:u w:val="none"/>
          <w:lang w:eastAsia="zh-CN"/>
        </w:rPr>
      </w:pPr>
      <w:r>
        <w:rPr>
          <w:rFonts w:hint="eastAsia" w:ascii="宋体" w:cs="宋体"/>
          <w:color w:val="auto"/>
          <w:szCs w:val="21"/>
          <w:highlight w:val="none"/>
        </w:rPr>
        <w:t>适用于合同的其他规范性文件：</w:t>
      </w:r>
      <w:r>
        <w:rPr>
          <w:rFonts w:hint="eastAsia" w:ascii="宋体" w:cs="宋体"/>
          <w:color w:val="auto"/>
          <w:szCs w:val="21"/>
          <w:highlight w:val="none"/>
          <w:u w:val="single"/>
        </w:rPr>
        <w:t xml:space="preserve"> </w:t>
      </w:r>
      <w:r>
        <w:rPr>
          <w:rFonts w:hint="eastAsia" w:ascii="宋体" w:hAnsi="宋体" w:cs="宋体"/>
          <w:color w:val="auto"/>
          <w:szCs w:val="21"/>
          <w:highlight w:val="none"/>
          <w:u w:val="single"/>
        </w:rPr>
        <w:t>《中华人民共和国民法典》、《中华人民共和国建筑法》、《中华人民共和国招标投标法》、《建设工程质量管理条例》、《建设工程安全生产管理条例》等国家及工程所在地现行有效的法律法规和规章</w:t>
      </w:r>
      <w:r>
        <w:rPr>
          <w:rFonts w:hint="eastAsia" w:ascii="宋体" w:hAnsi="宋体" w:cs="宋体"/>
          <w:color w:val="auto"/>
          <w:szCs w:val="21"/>
          <w:highlight w:val="none"/>
          <w:u w:val="none"/>
          <w:lang w:eastAsia="zh-CN"/>
        </w:rPr>
        <w:t>。</w:t>
      </w:r>
    </w:p>
    <w:p w14:paraId="2E3CF4F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 标准和规范</w:t>
      </w:r>
    </w:p>
    <w:p w14:paraId="2A88176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1.4.1适用于工程的标准规范包括：</w:t>
      </w:r>
      <w:r>
        <w:rPr>
          <w:rFonts w:hint="eastAsia" w:ascii="宋体" w:cs="宋体"/>
          <w:color w:val="auto"/>
          <w:szCs w:val="21"/>
          <w:highlight w:val="none"/>
          <w:u w:val="single"/>
        </w:rPr>
        <w:t>中华人民共和国住房和城乡建设部等部门及省、市发布的有关文件</w:t>
      </w:r>
      <w:r>
        <w:rPr>
          <w:rFonts w:hint="eastAsia" w:ascii="宋体" w:cs="宋体"/>
          <w:color w:val="auto"/>
          <w:szCs w:val="21"/>
          <w:highlight w:val="none"/>
        </w:rPr>
        <w:t>。</w:t>
      </w:r>
    </w:p>
    <w:p w14:paraId="17E50D49">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1.4.2 发包人提供国外标准、规范的名称：</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承包人自备国内现行适用的标准、规范</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5628EBE8">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发包人提供国外标准、规范的份数：</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51E7E4F3">
      <w:pPr>
        <w:snapToGrid w:val="0"/>
        <w:spacing w:line="440" w:lineRule="exact"/>
        <w:ind w:firstLine="420" w:firstLineChars="200"/>
        <w:rPr>
          <w:rFonts w:hint="eastAsia" w:ascii="宋体" w:cs="宋体"/>
          <w:color w:val="auto"/>
          <w:szCs w:val="21"/>
          <w:highlight w:val="none"/>
        </w:rPr>
      </w:pPr>
      <w:r>
        <w:rPr>
          <w:rFonts w:hint="eastAsia" w:ascii="宋体" w:cs="宋体"/>
          <w:color w:val="auto"/>
          <w:kern w:val="0"/>
          <w:szCs w:val="21"/>
          <w:highlight w:val="none"/>
        </w:rPr>
        <w:t>发包人提供国外标准、规范的名称：</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111A04C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1.4.3发包人对工程的技术标准和功能要求的特殊要求：</w:t>
      </w:r>
      <w:r>
        <w:rPr>
          <w:rFonts w:hint="eastAsia" w:ascii="宋体" w:cs="宋体"/>
          <w:color w:val="auto"/>
          <w:szCs w:val="21"/>
          <w:highlight w:val="none"/>
          <w:u w:val="single"/>
        </w:rPr>
        <w:t xml:space="preserve">按现行规范执行  </w:t>
      </w:r>
      <w:r>
        <w:rPr>
          <w:rFonts w:hint="eastAsia" w:ascii="宋体" w:cs="宋体"/>
          <w:color w:val="auto"/>
          <w:szCs w:val="21"/>
          <w:highlight w:val="none"/>
        </w:rPr>
        <w:t>。</w:t>
      </w:r>
    </w:p>
    <w:p w14:paraId="55F8614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 合同文件的优先顺序</w:t>
      </w:r>
    </w:p>
    <w:p w14:paraId="07F18978">
      <w:pPr>
        <w:snapToGrid w:val="0"/>
        <w:spacing w:line="440" w:lineRule="exact"/>
        <w:ind w:firstLine="420" w:firstLineChars="200"/>
        <w:rPr>
          <w:color w:val="auto"/>
          <w:highlight w:val="none"/>
        </w:rPr>
      </w:pPr>
      <w:r>
        <w:rPr>
          <w:rFonts w:hint="eastAsia" w:ascii="宋体" w:cs="宋体"/>
          <w:color w:val="auto"/>
          <w:szCs w:val="21"/>
          <w:highlight w:val="none"/>
        </w:rPr>
        <w:t>合同文件组成及优先顺序为：</w:t>
      </w:r>
      <w:r>
        <w:rPr>
          <w:rFonts w:hint="eastAsia" w:ascii="宋体" w:cs="宋体"/>
          <w:color w:val="auto"/>
          <w:szCs w:val="21"/>
          <w:highlight w:val="none"/>
          <w:u w:val="single"/>
        </w:rPr>
        <w:t>（1）合同协议书；（2）中</w:t>
      </w:r>
      <w:r>
        <w:rPr>
          <w:rFonts w:hint="eastAsia" w:ascii="宋体" w:cs="宋体"/>
          <w:color w:val="auto"/>
          <w:szCs w:val="21"/>
          <w:highlight w:val="none"/>
          <w:u w:val="single"/>
          <w:lang w:val="en-US" w:eastAsia="zh-CN"/>
        </w:rPr>
        <w:t>标</w:t>
      </w:r>
      <w:r>
        <w:rPr>
          <w:rFonts w:hint="eastAsia" w:ascii="宋体" w:cs="宋体"/>
          <w:color w:val="auto"/>
          <w:szCs w:val="21"/>
          <w:highlight w:val="none"/>
          <w:u w:val="single"/>
        </w:rPr>
        <w:t>通知书；（3）确认函及其附录；（4）招标文件；（5）专用合同条款及其附件；（6）通用合同条款；（7）技术标准和要求；（8）图纸</w:t>
      </w:r>
      <w:r>
        <w:rPr>
          <w:rFonts w:hint="eastAsia" w:ascii="宋体" w:cs="宋体"/>
          <w:color w:val="auto"/>
          <w:szCs w:val="21"/>
          <w:highlight w:val="none"/>
          <w:u w:val="single"/>
          <w:lang w:eastAsia="zh-CN"/>
        </w:rPr>
        <w:t>（</w:t>
      </w:r>
      <w:r>
        <w:rPr>
          <w:rFonts w:hint="eastAsia" w:ascii="宋体" w:cs="宋体"/>
          <w:color w:val="auto"/>
          <w:szCs w:val="21"/>
          <w:highlight w:val="none"/>
          <w:u w:val="single"/>
          <w:lang w:val="en-US" w:eastAsia="zh-CN"/>
        </w:rPr>
        <w:t>本项目无</w:t>
      </w:r>
      <w:r>
        <w:rPr>
          <w:rFonts w:hint="eastAsia" w:ascii="宋体" w:cs="宋体"/>
          <w:color w:val="auto"/>
          <w:szCs w:val="21"/>
          <w:highlight w:val="none"/>
          <w:u w:val="single"/>
          <w:lang w:eastAsia="zh-CN"/>
        </w:rPr>
        <w:t>）</w:t>
      </w:r>
      <w:r>
        <w:rPr>
          <w:rFonts w:hint="eastAsia" w:ascii="宋体" w:cs="宋体"/>
          <w:color w:val="auto"/>
          <w:szCs w:val="21"/>
          <w:highlight w:val="none"/>
          <w:u w:val="single"/>
        </w:rPr>
        <w:t>；（9）已标价工程量清单或预算书；（10）其他合同文件。</w:t>
      </w:r>
    </w:p>
    <w:p w14:paraId="2514E7E6">
      <w:pPr>
        <w:pStyle w:val="14"/>
        <w:spacing w:after="0" w:line="440" w:lineRule="exact"/>
        <w:ind w:left="0" w:leftChars="0"/>
        <w:rPr>
          <w:color w:val="auto"/>
          <w:highlight w:val="none"/>
        </w:rPr>
      </w:pPr>
      <w:r>
        <w:rPr>
          <w:color w:val="auto"/>
          <w:highlight w:val="none"/>
        </w:rPr>
        <w:t>上述各项合同文件包括合同当事人就该项合同文件所作出的补充和修改，属于同一类内容的文件，应以最新签署的为准。</w:t>
      </w:r>
    </w:p>
    <w:p w14:paraId="3FF7D5E3">
      <w:pPr>
        <w:pStyle w:val="14"/>
        <w:spacing w:after="0" w:line="440" w:lineRule="exact"/>
        <w:ind w:left="0" w:leftChars="0"/>
        <w:rPr>
          <w:color w:val="auto"/>
          <w:highlight w:val="none"/>
        </w:rPr>
      </w:pPr>
      <w:r>
        <w:rPr>
          <w:color w:val="auto"/>
          <w:highlight w:val="none"/>
        </w:rPr>
        <w:t>在合同订立及履行过程中形成的与合同有关的文件均构成合同文件组成部分，并根据其性质确定优先解释顺序。</w:t>
      </w:r>
    </w:p>
    <w:p w14:paraId="6CE4F3D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 图纸和承包人文件</w:t>
      </w:r>
      <w:r>
        <w:rPr>
          <w:rFonts w:hint="eastAsia" w:ascii="宋体" w:cs="宋体"/>
          <w:color w:val="auto"/>
          <w:szCs w:val="21"/>
          <w:highlight w:val="none"/>
        </w:rPr>
        <w:tab/>
      </w:r>
    </w:p>
    <w:p w14:paraId="49AE4B8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1.6.1 图纸的提供</w:t>
      </w:r>
    </w:p>
    <w:p w14:paraId="4006C2E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发包人向承包人提供图纸的期限：</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    </w:t>
      </w:r>
      <w:r>
        <w:rPr>
          <w:rFonts w:hint="eastAsia" w:ascii="宋体" w:cs="宋体"/>
          <w:color w:val="auto"/>
          <w:szCs w:val="21"/>
          <w:highlight w:val="none"/>
          <w:u w:val="single"/>
        </w:rPr>
        <w:t></w:t>
      </w:r>
      <w:r>
        <w:rPr>
          <w:rFonts w:hint="eastAsia" w:ascii="宋体" w:cs="宋体"/>
          <w:color w:val="auto"/>
          <w:szCs w:val="21"/>
          <w:highlight w:val="none"/>
        </w:rPr>
        <w:t>；</w:t>
      </w:r>
    </w:p>
    <w:p w14:paraId="0DB10BD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发包人向承包人提供图纸的数量：</w:t>
      </w:r>
      <w:r>
        <w:rPr>
          <w:rFonts w:hint="eastAsia" w:ascii="宋体" w:cs="宋体"/>
          <w:color w:val="auto"/>
          <w:szCs w:val="21"/>
          <w:highlight w:val="none"/>
          <w:u w:val="single"/>
        </w:rPr>
        <w:t></w:t>
      </w:r>
      <w:r>
        <w:rPr>
          <w:rFonts w:hint="eastAsia" w:ascii="宋体" w:cs="宋体"/>
          <w:color w:val="auto"/>
          <w:szCs w:val="21"/>
          <w:highlight w:val="none"/>
          <w:u w:val="single"/>
          <w:lang w:val="en-US" w:eastAsia="zh-CN"/>
        </w:rPr>
        <w:t xml:space="preserve">   /      </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6F02725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发包人向承包人提供图纸的内容：</w:t>
      </w:r>
      <w:r>
        <w:rPr>
          <w:rFonts w:hint="eastAsia" w:ascii="宋体" w:cs="宋体"/>
          <w:color w:val="auto"/>
          <w:szCs w:val="21"/>
          <w:highlight w:val="none"/>
          <w:u w:val="single"/>
        </w:rPr>
        <w:t></w:t>
      </w:r>
      <w:r>
        <w:rPr>
          <w:rFonts w:hint="eastAsia" w:ascii="宋体" w:cs="宋体"/>
          <w:color w:val="auto"/>
          <w:szCs w:val="21"/>
          <w:highlight w:val="none"/>
          <w:u w:val="single"/>
          <w:lang w:val="en-US" w:eastAsia="zh-CN"/>
        </w:rPr>
        <w:t xml:space="preserve">  /      </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0FFF32E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1.6.4 承包人文件</w:t>
      </w:r>
    </w:p>
    <w:p w14:paraId="4D3450EB">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需要由承包人提供的文件，包括：</w:t>
      </w:r>
      <w:r>
        <w:rPr>
          <w:rFonts w:hint="eastAsia" w:ascii="宋体" w:cs="宋体"/>
          <w:color w:val="auto"/>
          <w:szCs w:val="21"/>
          <w:highlight w:val="none"/>
          <w:u w:val="single"/>
        </w:rPr>
        <w:t></w:t>
      </w:r>
      <w:r>
        <w:rPr>
          <w:rFonts w:hint="eastAsia" w:ascii="宋体" w:hAnsi="宋体" w:eastAsia="宋体" w:cs="宋体"/>
          <w:color w:val="auto"/>
          <w:szCs w:val="21"/>
          <w:highlight w:val="none"/>
          <w:u w:val="single"/>
        </w:rPr>
        <w:t>按监理要求执行，包括但不限于项目部人员证书、项目部任命文、实施性施工组织设计等</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7F094FB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承包人提供的文件的期限为：</w:t>
      </w:r>
      <w:r>
        <w:rPr>
          <w:rFonts w:hint="eastAsia" w:ascii="宋体" w:cs="宋体"/>
          <w:color w:val="auto"/>
          <w:szCs w:val="21"/>
          <w:highlight w:val="none"/>
          <w:u w:val="single"/>
        </w:rPr>
        <w:t xml:space="preserve">按监理要求执行    </w:t>
      </w:r>
      <w:r>
        <w:rPr>
          <w:rFonts w:hint="eastAsia" w:ascii="宋体" w:cs="宋体"/>
          <w:color w:val="auto"/>
          <w:szCs w:val="21"/>
          <w:highlight w:val="none"/>
        </w:rPr>
        <w:t>；</w:t>
      </w:r>
    </w:p>
    <w:p w14:paraId="4FDFFB2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承包人提供的文件的数量为：</w:t>
      </w:r>
      <w:r>
        <w:rPr>
          <w:rFonts w:hint="eastAsia" w:ascii="宋体" w:cs="宋体"/>
          <w:color w:val="auto"/>
          <w:szCs w:val="21"/>
          <w:highlight w:val="none"/>
          <w:u w:val="single"/>
        </w:rPr>
        <w:t>  按</w:t>
      </w:r>
      <w:r>
        <w:rPr>
          <w:rFonts w:hint="eastAsia" w:ascii="宋体" w:hAnsi="Times New Roman" w:eastAsia="宋体" w:cs="宋体"/>
          <w:color w:val="auto"/>
          <w:szCs w:val="21"/>
          <w:highlight w:val="none"/>
          <w:u w:val="single"/>
        </w:rPr>
        <w:t>监理</w:t>
      </w:r>
      <w:r>
        <w:rPr>
          <w:rFonts w:hint="eastAsia" w:ascii="宋体" w:cs="宋体"/>
          <w:color w:val="auto"/>
          <w:szCs w:val="21"/>
          <w:highlight w:val="none"/>
          <w:u w:val="single"/>
        </w:rPr>
        <w:t xml:space="preserve">要求执行    </w:t>
      </w:r>
      <w:r>
        <w:rPr>
          <w:rFonts w:hint="eastAsia" w:ascii="宋体" w:cs="宋体"/>
          <w:color w:val="auto"/>
          <w:szCs w:val="21"/>
          <w:highlight w:val="none"/>
        </w:rPr>
        <w:t>；</w:t>
      </w:r>
    </w:p>
    <w:p w14:paraId="0D7ADC3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承包人提供的文件的形式为：</w:t>
      </w:r>
      <w:r>
        <w:rPr>
          <w:rFonts w:hint="eastAsia" w:ascii="宋体" w:cs="宋体"/>
          <w:color w:val="auto"/>
          <w:szCs w:val="21"/>
          <w:highlight w:val="none"/>
          <w:u w:val="single"/>
        </w:rPr>
        <w:t>按</w:t>
      </w:r>
      <w:r>
        <w:rPr>
          <w:rFonts w:hint="eastAsia" w:ascii="宋体" w:hAnsi="Times New Roman" w:eastAsia="宋体" w:cs="宋体"/>
          <w:color w:val="auto"/>
          <w:szCs w:val="21"/>
          <w:highlight w:val="none"/>
          <w:u w:val="single"/>
        </w:rPr>
        <w:t>监理</w:t>
      </w:r>
      <w:r>
        <w:rPr>
          <w:rFonts w:hint="eastAsia" w:ascii="宋体" w:cs="宋体"/>
          <w:color w:val="auto"/>
          <w:szCs w:val="21"/>
          <w:highlight w:val="none"/>
          <w:u w:val="single"/>
        </w:rPr>
        <w:t>要求执行  </w:t>
      </w:r>
      <w:r>
        <w:rPr>
          <w:rFonts w:hint="eastAsia" w:ascii="宋体" w:cs="宋体"/>
          <w:color w:val="auto"/>
          <w:szCs w:val="21"/>
          <w:highlight w:val="none"/>
        </w:rPr>
        <w:t>；</w:t>
      </w:r>
    </w:p>
    <w:p w14:paraId="46811BD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发包人审批承包人文件的期限：</w:t>
      </w:r>
      <w:r>
        <w:rPr>
          <w:rFonts w:hint="eastAsia" w:ascii="宋体" w:cs="宋体"/>
          <w:color w:val="auto"/>
          <w:szCs w:val="21"/>
          <w:highlight w:val="none"/>
          <w:u w:val="single"/>
        </w:rPr>
        <w:t></w:t>
      </w:r>
      <w:r>
        <w:rPr>
          <w:rFonts w:ascii="宋体" w:hAnsi="宋体" w:eastAsia="宋体" w:cs="宋体"/>
          <w:color w:val="auto"/>
          <w:spacing w:val="-1"/>
          <w:sz w:val="21"/>
          <w:szCs w:val="21"/>
          <w:highlight w:val="none"/>
          <w:u w:val="single" w:color="auto"/>
        </w:rPr>
        <w:t>收到文件后七日内</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459C45CB">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1.6.5 图纸和承包人文件的保管</w:t>
      </w:r>
    </w:p>
    <w:p w14:paraId="31BDD3B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关于图纸和承包人文件的保管的约定：</w:t>
      </w:r>
      <w:r>
        <w:rPr>
          <w:rFonts w:hint="eastAsia" w:ascii="宋体" w:cs="宋体"/>
          <w:color w:val="auto"/>
          <w:szCs w:val="21"/>
          <w:highlight w:val="none"/>
          <w:u w:val="single"/>
        </w:rPr>
        <w:t>除专用合同条款另有约定外，承包人应在施工现场另外</w:t>
      </w:r>
      <w:r>
        <w:rPr>
          <w:rFonts w:hint="eastAsia" w:ascii="宋体" w:cs="宋体"/>
          <w:color w:val="auto"/>
          <w:szCs w:val="21"/>
          <w:highlight w:val="none"/>
          <w:u w:val="single"/>
        </w:rPr>
        <w:t>保存一套完整的图纸和承包人文件，供发包人、</w:t>
      </w:r>
      <w:r>
        <w:rPr>
          <w:rFonts w:hint="eastAsia" w:ascii="宋体" w:hAnsi="Times New Roman" w:eastAsia="宋体" w:cs="宋体"/>
          <w:color w:val="auto"/>
          <w:szCs w:val="21"/>
          <w:highlight w:val="none"/>
          <w:u w:val="single"/>
        </w:rPr>
        <w:t>监理人</w:t>
      </w:r>
      <w:r>
        <w:rPr>
          <w:rFonts w:hint="eastAsia" w:ascii="宋体" w:cs="宋体"/>
          <w:color w:val="auto"/>
          <w:szCs w:val="21"/>
          <w:highlight w:val="none"/>
          <w:u w:val="single"/>
        </w:rPr>
        <w:t>及有关人员进行工程检查时使用</w:t>
      </w:r>
      <w:r>
        <w:rPr>
          <w:rFonts w:hint="eastAsia" w:ascii="宋体" w:cs="宋体"/>
          <w:color w:val="auto"/>
          <w:szCs w:val="21"/>
          <w:highlight w:val="none"/>
        </w:rPr>
        <w:t>。</w:t>
      </w:r>
    </w:p>
    <w:p w14:paraId="1B98A67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1.7 联络</w:t>
      </w:r>
    </w:p>
    <w:p w14:paraId="5082B600">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1.7.1发包人和承包人应当在</w:t>
      </w:r>
      <w:r>
        <w:rPr>
          <w:rFonts w:hint="eastAsia" w:ascii="宋体" w:cs="宋体"/>
          <w:color w:val="auto"/>
          <w:szCs w:val="21"/>
          <w:highlight w:val="none"/>
          <w:u w:val="single"/>
        </w:rPr>
        <w:t xml:space="preserve">7  </w:t>
      </w:r>
      <w:r>
        <w:rPr>
          <w:rFonts w:hint="eastAsia" w:ascii="宋体" w:cs="宋体"/>
          <w:color w:val="auto"/>
          <w:kern w:val="0"/>
          <w:szCs w:val="21"/>
          <w:highlight w:val="none"/>
        </w:rPr>
        <w:t>天内将与合同有关的通知、批准、证明、证书、指示、指令、要求、请求、同意、意见、确定和决定等书面函件送达对方当事人。</w:t>
      </w:r>
    </w:p>
    <w:p w14:paraId="49589ADB">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1.7.2 发包人接收文件的地点：</w:t>
      </w:r>
      <w:r>
        <w:rPr>
          <w:rFonts w:hint="eastAsia" w:ascii="宋体" w:cs="宋体"/>
          <w:color w:val="auto"/>
          <w:szCs w:val="21"/>
          <w:highlight w:val="none"/>
          <w:u w:val="single"/>
        </w:rPr>
        <w:t></w:t>
      </w:r>
      <w:r>
        <w:rPr>
          <w:rFonts w:hint="eastAsia"/>
          <w:color w:val="auto"/>
          <w:highlight w:val="none"/>
          <w:u w:val="single"/>
        </w:rPr>
        <w:t>安徽省滁州市来安经济开发区裕安西路188号</w:t>
      </w:r>
      <w:r>
        <w:rPr>
          <w:rFonts w:hint="eastAsia" w:ascii="宋体" w:cs="宋体"/>
          <w:color w:val="auto"/>
          <w:szCs w:val="21"/>
          <w:highlight w:val="none"/>
          <w:u w:val="single"/>
        </w:rPr>
        <w:t></w:t>
      </w:r>
      <w:r>
        <w:rPr>
          <w:rFonts w:hint="eastAsia" w:ascii="宋体" w:cs="宋体"/>
          <w:color w:val="auto"/>
          <w:kern w:val="0"/>
          <w:szCs w:val="21"/>
          <w:highlight w:val="none"/>
        </w:rPr>
        <w:t>；</w:t>
      </w:r>
    </w:p>
    <w:p w14:paraId="7F9F8532">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发包人指定的接收人为：</w:t>
      </w:r>
      <w:r>
        <w:rPr>
          <w:rFonts w:hint="eastAsia" w:ascii="宋体" w:cs="宋体"/>
          <w:color w:val="auto"/>
          <w:szCs w:val="21"/>
          <w:highlight w:val="none"/>
          <w:u w:val="single"/>
        </w:rPr>
        <w:t>发包人代表</w:t>
      </w:r>
      <w:r>
        <w:rPr>
          <w:rFonts w:hint="eastAsia" w:ascii="宋体" w:cs="宋体"/>
          <w:color w:val="auto"/>
          <w:kern w:val="0"/>
          <w:szCs w:val="21"/>
          <w:highlight w:val="none"/>
        </w:rPr>
        <w:t>；</w:t>
      </w:r>
    </w:p>
    <w:p w14:paraId="1AB726B2">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承包人接收文件的地点：</w:t>
      </w:r>
      <w:r>
        <w:rPr>
          <w:rFonts w:hint="eastAsia" w:ascii="宋体" w:cs="宋体"/>
          <w:color w:val="auto"/>
          <w:szCs w:val="21"/>
          <w:highlight w:val="none"/>
          <w:u w:val="single"/>
        </w:rPr>
        <w:t></w:t>
      </w:r>
      <w:r>
        <w:rPr>
          <w:rFonts w:hint="eastAsia"/>
          <w:color w:val="auto"/>
          <w:highlight w:val="none"/>
          <w:u w:val="single"/>
        </w:rPr>
        <w:t>项目所在地承包人项目部</w:t>
      </w:r>
      <w:r>
        <w:rPr>
          <w:rFonts w:hint="eastAsia" w:ascii="宋体" w:cs="宋体"/>
          <w:color w:val="auto"/>
          <w:szCs w:val="21"/>
          <w:highlight w:val="none"/>
          <w:u w:val="single"/>
        </w:rPr>
        <w:t></w:t>
      </w:r>
      <w:r>
        <w:rPr>
          <w:rFonts w:hint="eastAsia" w:ascii="宋体" w:cs="宋体"/>
          <w:color w:val="auto"/>
          <w:kern w:val="0"/>
          <w:szCs w:val="21"/>
          <w:highlight w:val="none"/>
        </w:rPr>
        <w:t>；</w:t>
      </w:r>
    </w:p>
    <w:p w14:paraId="07356DA8">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承包人指定的接收人为：</w:t>
      </w:r>
      <w:r>
        <w:rPr>
          <w:rFonts w:hint="eastAsia" w:ascii="宋体" w:cs="宋体"/>
          <w:color w:val="auto"/>
          <w:szCs w:val="21"/>
          <w:highlight w:val="none"/>
          <w:u w:val="single"/>
        </w:rPr>
        <w:t>项目负责人</w:t>
      </w:r>
      <w:r>
        <w:rPr>
          <w:rFonts w:hint="eastAsia" w:ascii="宋体" w:cs="宋体"/>
          <w:color w:val="auto"/>
          <w:kern w:val="0"/>
          <w:szCs w:val="21"/>
          <w:highlight w:val="none"/>
        </w:rPr>
        <w:t>。</w:t>
      </w:r>
    </w:p>
    <w:p w14:paraId="4C410AE1">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监理人接收文件的地点：</w:t>
      </w:r>
      <w:r>
        <w:rPr>
          <w:rFonts w:hint="eastAsia" w:ascii="宋体" w:cs="宋体"/>
          <w:color w:val="auto"/>
          <w:szCs w:val="21"/>
          <w:highlight w:val="none"/>
          <w:u w:val="single"/>
        </w:rPr>
        <w:t xml:space="preserve"> </w:t>
      </w:r>
      <w:r>
        <w:rPr>
          <w:rFonts w:hint="eastAsia"/>
          <w:color w:val="auto"/>
          <w:highlight w:val="none"/>
          <w:u w:val="single"/>
        </w:rPr>
        <w:t>项目所在地监理人</w:t>
      </w:r>
      <w:r>
        <w:rPr>
          <w:rFonts w:hint="eastAsia"/>
          <w:color w:val="auto"/>
          <w:highlight w:val="none"/>
          <w:u w:val="single"/>
          <w:lang w:eastAsia="zh-CN"/>
        </w:rPr>
        <w:t>办公处</w:t>
      </w:r>
      <w:r>
        <w:rPr>
          <w:rFonts w:hint="eastAsia" w:ascii="宋体" w:cs="宋体"/>
          <w:color w:val="auto"/>
          <w:szCs w:val="21"/>
          <w:highlight w:val="none"/>
          <w:u w:val="single"/>
        </w:rPr>
        <w:t></w:t>
      </w:r>
      <w:r>
        <w:rPr>
          <w:rFonts w:hint="eastAsia" w:ascii="宋体" w:cs="宋体"/>
          <w:color w:val="auto"/>
          <w:kern w:val="0"/>
          <w:szCs w:val="21"/>
          <w:highlight w:val="none"/>
        </w:rPr>
        <w:t>；</w:t>
      </w:r>
    </w:p>
    <w:p w14:paraId="3E8F5999">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监理人指定的接收人为：</w:t>
      </w:r>
      <w:r>
        <w:rPr>
          <w:rFonts w:hint="eastAsia" w:ascii="宋体" w:cs="宋体"/>
          <w:color w:val="auto"/>
          <w:szCs w:val="21"/>
          <w:highlight w:val="none"/>
          <w:u w:val="single"/>
        </w:rPr>
        <w:t></w:t>
      </w:r>
      <w:r>
        <w:rPr>
          <w:rFonts w:hint="eastAsia" w:ascii="宋体" w:hAnsi="Times New Roman" w:eastAsia="宋体" w:cs="宋体"/>
          <w:color w:val="auto"/>
          <w:szCs w:val="21"/>
          <w:highlight w:val="none"/>
          <w:u w:val="single"/>
        </w:rPr>
        <w:t xml:space="preserve">总监理工程师或总监代表 </w:t>
      </w:r>
      <w:r>
        <w:rPr>
          <w:rFonts w:hint="eastAsia" w:ascii="宋体" w:cs="宋体"/>
          <w:color w:val="auto"/>
          <w:szCs w:val="21"/>
          <w:highlight w:val="none"/>
          <w:u w:val="single"/>
        </w:rPr>
        <w:t></w:t>
      </w:r>
      <w:r>
        <w:rPr>
          <w:rFonts w:hint="eastAsia" w:ascii="宋体" w:cs="宋体"/>
          <w:color w:val="auto"/>
          <w:kern w:val="0"/>
          <w:szCs w:val="21"/>
          <w:highlight w:val="none"/>
        </w:rPr>
        <w:t>。</w:t>
      </w:r>
    </w:p>
    <w:p w14:paraId="4F9B4DB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1.10 交通运输</w:t>
      </w:r>
    </w:p>
    <w:p w14:paraId="617E6E3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1.10.1 出入现场的权利</w:t>
      </w:r>
    </w:p>
    <w:p w14:paraId="634FADF8">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关于出入现场的权利的约定：</w:t>
      </w:r>
      <w:r>
        <w:rPr>
          <w:rFonts w:hint="eastAsia" w:ascii="宋体" w:hAnsi="宋体" w:cs="宋体"/>
          <w:color w:val="auto"/>
          <w:szCs w:val="21"/>
          <w:highlight w:val="none"/>
          <w:u w:val="single"/>
          <w:lang w:val="en-US" w:eastAsia="zh-CN"/>
        </w:rPr>
        <w:t>承包人</w:t>
      </w:r>
      <w:r>
        <w:rPr>
          <w:rFonts w:hint="eastAsia" w:ascii="宋体" w:hAnsi="宋体" w:eastAsia="宋体" w:cs="宋体"/>
          <w:color w:val="auto"/>
          <w:szCs w:val="21"/>
          <w:highlight w:val="none"/>
          <w:u w:val="single"/>
        </w:rPr>
        <w:t>应根据施工需要，</w:t>
      </w:r>
      <w:r>
        <w:rPr>
          <w:rFonts w:hint="eastAsia" w:ascii="宋体" w:hAnsi="宋体" w:eastAsia="宋体" w:cs="宋体"/>
          <w:color w:val="auto"/>
          <w:szCs w:val="21"/>
          <w:highlight w:val="none"/>
          <w:u w:val="single"/>
          <w:lang w:val="en-US" w:eastAsia="zh-CN"/>
        </w:rPr>
        <w:t>自行</w:t>
      </w:r>
      <w:r>
        <w:rPr>
          <w:rFonts w:hint="eastAsia" w:ascii="宋体" w:hAnsi="宋体" w:eastAsia="宋体" w:cs="宋体"/>
          <w:color w:val="auto"/>
          <w:szCs w:val="21"/>
          <w:highlight w:val="none"/>
          <w:u w:val="single"/>
        </w:rPr>
        <w:t>负责取得出入施工现场所需的批准手续，以及取得因施工所需修建道路、桥梁以及其他基础设施并承担相关手续费用和建设费用</w:t>
      </w:r>
      <w:r>
        <w:rPr>
          <w:rFonts w:hint="eastAsia" w:ascii="宋体" w:cs="宋体"/>
          <w:color w:val="auto"/>
          <w:szCs w:val="21"/>
          <w:highlight w:val="none"/>
          <w:u w:val="single"/>
        </w:rPr>
        <w:t>。</w:t>
      </w:r>
    </w:p>
    <w:p w14:paraId="38163A1B">
      <w:pPr>
        <w:widowControl/>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1.10.3 场内交通</w:t>
      </w:r>
    </w:p>
    <w:p w14:paraId="77E56A02">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关于场外交通和场内交通的边界的约定：</w:t>
      </w:r>
      <w:r>
        <w:rPr>
          <w:rFonts w:hint="eastAsia" w:ascii="宋体" w:hAnsi="宋体" w:eastAsia="宋体" w:cs="宋体"/>
          <w:color w:val="auto"/>
          <w:szCs w:val="21"/>
          <w:highlight w:val="none"/>
          <w:u w:val="single"/>
        </w:rPr>
        <w:t>场内交通设施和道路由承包人负责建设，发包人不另支付费用，场内交通边界现场确定</w:t>
      </w:r>
      <w:r>
        <w:rPr>
          <w:rFonts w:hint="eastAsia" w:ascii="宋体" w:cs="宋体"/>
          <w:color w:val="auto"/>
          <w:szCs w:val="21"/>
          <w:highlight w:val="none"/>
        </w:rPr>
        <w:t>。</w:t>
      </w:r>
    </w:p>
    <w:p w14:paraId="214E44E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关于发包人向承包人免费提供满足工程施工需要的场内道路和交通设施的约定：</w:t>
      </w:r>
      <w:r>
        <w:rPr>
          <w:rFonts w:hint="eastAsia" w:ascii="宋体" w:cs="宋体"/>
          <w:color w:val="auto"/>
          <w:szCs w:val="21"/>
          <w:highlight w:val="none"/>
          <w:u w:val="single"/>
        </w:rPr>
        <w:t xml:space="preserve">自行踏勘，自行解决 </w:t>
      </w:r>
      <w:r>
        <w:rPr>
          <w:rFonts w:hint="eastAsia" w:ascii="宋体" w:cs="宋体"/>
          <w:color w:val="auto"/>
          <w:szCs w:val="21"/>
          <w:highlight w:val="none"/>
        </w:rPr>
        <w:t>。</w:t>
      </w:r>
    </w:p>
    <w:p w14:paraId="7078FB7B">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1.10.4超大件和超重件的运输</w:t>
      </w:r>
    </w:p>
    <w:p w14:paraId="6D78890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运输超大件或超重件所需的道路和桥梁临时加固改造费用和其他有关费用由</w:t>
      </w:r>
      <w:r>
        <w:rPr>
          <w:rFonts w:hint="eastAsia" w:ascii="宋体" w:cs="宋体"/>
          <w:color w:val="auto"/>
          <w:szCs w:val="21"/>
          <w:highlight w:val="none"/>
          <w:u w:val="single"/>
        </w:rPr>
        <w:t xml:space="preserve">  承包</w:t>
      </w:r>
      <w:r>
        <w:rPr>
          <w:rFonts w:hint="eastAsia" w:ascii="宋体" w:cs="宋体"/>
          <w:color w:val="auto"/>
          <w:szCs w:val="21"/>
          <w:highlight w:val="none"/>
          <w:u w:val="single"/>
          <w:lang w:val="en-US" w:eastAsia="zh-CN"/>
        </w:rPr>
        <w:t>人</w:t>
      </w:r>
      <w:r>
        <w:rPr>
          <w:rFonts w:hint="eastAsia" w:ascii="宋体" w:cs="宋体"/>
          <w:color w:val="auto"/>
          <w:szCs w:val="21"/>
          <w:highlight w:val="none"/>
          <w:u w:val="single"/>
        </w:rPr>
        <w:t xml:space="preserve"> </w:t>
      </w:r>
      <w:r>
        <w:rPr>
          <w:rFonts w:hint="eastAsia" w:ascii="宋体" w:cs="宋体"/>
          <w:color w:val="auto"/>
          <w:szCs w:val="21"/>
          <w:highlight w:val="none"/>
        </w:rPr>
        <w:t>承担。</w:t>
      </w:r>
    </w:p>
    <w:p w14:paraId="35C87F9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1.11 知识产权</w:t>
      </w:r>
    </w:p>
    <w:p w14:paraId="544F09B6">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1.11.1关于发包人为实施工程自行编制或委托编制的技术规范以及反映发包人关于合同要求或其他类似性质的文件的著作权的归属：</w:t>
      </w:r>
      <w:r>
        <w:rPr>
          <w:rFonts w:hint="eastAsia" w:ascii="宋体" w:cs="宋体"/>
          <w:color w:val="auto"/>
          <w:szCs w:val="21"/>
          <w:highlight w:val="none"/>
          <w:u w:val="single"/>
        </w:rPr>
        <w:t xml:space="preserve">发包人 </w:t>
      </w:r>
      <w:r>
        <w:rPr>
          <w:rFonts w:hint="eastAsia" w:ascii="宋体" w:cs="宋体"/>
          <w:color w:val="auto"/>
          <w:szCs w:val="21"/>
          <w:highlight w:val="none"/>
        </w:rPr>
        <w:t>。</w:t>
      </w:r>
    </w:p>
    <w:p w14:paraId="577765A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关于发包人提供的上述文件的使用限制的要求：</w:t>
      </w:r>
      <w:r>
        <w:rPr>
          <w:rFonts w:hint="eastAsia" w:ascii="宋体" w:hAnsi="宋体" w:eastAsia="宋体" w:cs="宋体"/>
          <w:color w:val="auto"/>
          <w:szCs w:val="21"/>
          <w:highlight w:val="none"/>
          <w:u w:val="single"/>
        </w:rPr>
        <w:t>未经发包人书面同意，承包人不得为了合同以外的目的而复制、使用上述文件或将之提供给任何第三方</w:t>
      </w:r>
      <w:r>
        <w:rPr>
          <w:rFonts w:hint="eastAsia" w:ascii="宋体" w:cs="宋体"/>
          <w:color w:val="auto"/>
          <w:szCs w:val="21"/>
          <w:highlight w:val="none"/>
          <w:u w:val="single"/>
        </w:rPr>
        <w:t>。</w:t>
      </w:r>
    </w:p>
    <w:p w14:paraId="0A5E29E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1.11.2 关于承包人为实施工程所编制文件的著作权的归属：</w:t>
      </w:r>
      <w:r>
        <w:rPr>
          <w:rFonts w:hint="eastAsia" w:ascii="宋体" w:cs="宋体"/>
          <w:color w:val="auto"/>
          <w:szCs w:val="21"/>
          <w:highlight w:val="none"/>
          <w:u w:val="single"/>
        </w:rPr>
        <w:t xml:space="preserve"> 发包人  </w:t>
      </w:r>
      <w:r>
        <w:rPr>
          <w:rFonts w:hint="eastAsia" w:ascii="宋体" w:cs="宋体"/>
          <w:color w:val="auto"/>
          <w:szCs w:val="21"/>
          <w:highlight w:val="none"/>
        </w:rPr>
        <w:t>。</w:t>
      </w:r>
    </w:p>
    <w:p w14:paraId="0A376C87">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关于承包人提供的上述文件的使用限制的要求：</w:t>
      </w:r>
      <w:r>
        <w:rPr>
          <w:rFonts w:hint="eastAsia" w:ascii="宋体" w:cs="宋体"/>
          <w:color w:val="auto"/>
          <w:szCs w:val="21"/>
          <w:highlight w:val="none"/>
          <w:u w:val="single"/>
        </w:rPr>
        <w:t xml:space="preserve">承包人可因实施工程的运行、调试、维修、改造等目的而复制、使用此类文件，但不能用于与合同无关的其他事项。未经发包人书面同意，承包人不得为了合同以外的目的而复制、使用上述文件或将之提供给任何第三方。 </w:t>
      </w:r>
    </w:p>
    <w:p w14:paraId="595F448B">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szCs w:val="21"/>
          <w:highlight w:val="none"/>
        </w:rPr>
        <w:t>1.11.4 承包人在施工过程中所采用的专利、专有技术、技术秘密的使用费的承担方式：</w:t>
      </w:r>
      <w:r>
        <w:rPr>
          <w:rFonts w:hint="eastAsia" w:ascii="宋体" w:cs="宋体"/>
          <w:color w:val="auto"/>
          <w:szCs w:val="21"/>
          <w:highlight w:val="none"/>
          <w:u w:val="single"/>
        </w:rPr>
        <w:t>该费用已包含在签约合同价中。</w:t>
      </w:r>
    </w:p>
    <w:p w14:paraId="64136266">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1.13工程量清单错误的修正</w:t>
      </w:r>
    </w:p>
    <w:p w14:paraId="092541A9">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出现工程量清单错误时，是否调整合同价格：</w:t>
      </w:r>
      <w:r>
        <w:rPr>
          <w:rFonts w:hint="eastAsia" w:ascii="宋体" w:hAnsi="宋体" w:cs="宋体"/>
          <w:color w:val="auto"/>
          <w:szCs w:val="21"/>
          <w:highlight w:val="none"/>
          <w:u w:val="single"/>
        </w:rPr>
        <w:t xml:space="preserve">  是，具体调整方式见下款  </w:t>
      </w:r>
      <w:r>
        <w:rPr>
          <w:rFonts w:hint="eastAsia" w:ascii="宋体" w:hAnsi="宋体" w:cs="宋体"/>
          <w:color w:val="auto"/>
          <w:szCs w:val="21"/>
          <w:highlight w:val="none"/>
        </w:rPr>
        <w:t>。</w:t>
      </w:r>
    </w:p>
    <w:p w14:paraId="3BDB4DB3">
      <w:pPr>
        <w:snapToGrid w:val="0"/>
        <w:spacing w:line="440" w:lineRule="exact"/>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允许调整合同价格的工程量偏差范围：</w:t>
      </w:r>
      <w:r>
        <w:rPr>
          <w:rFonts w:hint="eastAsia" w:ascii="宋体" w:hAnsi="宋体" w:cs="宋体"/>
          <w:color w:val="auto"/>
          <w:szCs w:val="21"/>
          <w:highlight w:val="none"/>
          <w:lang w:eastAsia="zh-CN"/>
        </w:rPr>
        <w:t>招标发布的施工图纸以外的，在施工过程中工程量。</w:t>
      </w:r>
    </w:p>
    <w:p w14:paraId="4F56EEE7">
      <w:pPr>
        <w:spacing w:line="440" w:lineRule="exact"/>
        <w:ind w:firstLine="420" w:firstLineChars="200"/>
        <w:rPr>
          <w:rFonts w:hint="eastAsia"/>
          <w:color w:val="auto"/>
          <w:highlight w:val="none"/>
          <w:lang w:eastAsia="zh-CN"/>
        </w:rPr>
      </w:pPr>
      <w:r>
        <w:rPr>
          <w:rFonts w:hint="eastAsia" w:ascii="宋体" w:hAnsi="Times New Roman" w:eastAsia="宋体" w:cs="宋体"/>
          <w:b w:val="0"/>
          <w:bCs w:val="0"/>
          <w:color w:val="auto"/>
          <w:kern w:val="2"/>
          <w:sz w:val="21"/>
          <w:szCs w:val="21"/>
          <w:highlight w:val="none"/>
          <w:u w:val="single"/>
          <w:lang w:val="en-US" w:eastAsia="zh-CN" w:bidi="ar-SA"/>
        </w:rPr>
        <w:t>施工过程出现招标发布的施工设计文件范围以外的项目，以及业主新增工作要求，通过变更方式计入暂列金进行结算。</w:t>
      </w:r>
    </w:p>
    <w:p w14:paraId="1265A23C">
      <w:pPr>
        <w:snapToGrid w:val="0"/>
        <w:spacing w:line="440" w:lineRule="exact"/>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u w:val="single"/>
        </w:rPr>
        <w:t>承包人拒绝实施因</w:t>
      </w:r>
      <w:r>
        <w:rPr>
          <w:rFonts w:hint="eastAsia" w:ascii="宋体" w:hAnsi="宋体" w:eastAsia="宋体" w:cs="宋体"/>
          <w:b/>
          <w:bCs/>
          <w:color w:val="auto"/>
          <w:spacing w:val="-6"/>
          <w:kern w:val="0"/>
          <w:szCs w:val="21"/>
          <w:highlight w:val="none"/>
          <w:u w:val="single"/>
        </w:rPr>
        <w:t>此产生变化的施工内容或范围</w:t>
      </w:r>
      <w:r>
        <w:rPr>
          <w:rFonts w:hint="eastAsia" w:ascii="宋体" w:hAnsi="宋体" w:eastAsia="宋体" w:cs="宋体"/>
          <w:b/>
          <w:bCs/>
          <w:color w:val="auto"/>
          <w:szCs w:val="21"/>
          <w:highlight w:val="none"/>
          <w:u w:val="single"/>
        </w:rPr>
        <w:t>，将被视为违约，发包人视情节轻重给予违约处罚。结算时，工程量按实计算。结算工程量减少或增加</w:t>
      </w:r>
      <w:r>
        <w:rPr>
          <w:rFonts w:hint="eastAsia" w:ascii="宋体" w:hAnsi="宋体" w:cs="宋体"/>
          <w:b/>
          <w:bCs/>
          <w:color w:val="auto"/>
          <w:szCs w:val="21"/>
          <w:highlight w:val="none"/>
          <w:u w:val="single"/>
          <w:lang w:val="en-US" w:eastAsia="zh-CN"/>
        </w:rPr>
        <w:t>的</w:t>
      </w:r>
      <w:r>
        <w:rPr>
          <w:rFonts w:hint="eastAsia" w:ascii="宋体" w:hAnsi="宋体" w:eastAsia="宋体" w:cs="宋体"/>
          <w:b/>
          <w:bCs/>
          <w:color w:val="auto"/>
          <w:szCs w:val="21"/>
          <w:highlight w:val="none"/>
          <w:u w:val="single"/>
        </w:rPr>
        <w:t>部分，</w:t>
      </w:r>
      <w:r>
        <w:rPr>
          <w:rFonts w:hint="eastAsia" w:ascii="宋体" w:hAnsi="宋体" w:eastAsia="宋体" w:cs="宋体"/>
          <w:b/>
          <w:bCs/>
          <w:color w:val="auto"/>
          <w:szCs w:val="21"/>
          <w:highlight w:val="none"/>
        </w:rPr>
        <w:t>执行</w:t>
      </w:r>
      <w:r>
        <w:rPr>
          <w:rFonts w:hint="eastAsia" w:ascii="宋体" w:hAnsi="宋体" w:cs="宋体"/>
          <w:b/>
          <w:bCs/>
          <w:color w:val="auto"/>
          <w:szCs w:val="21"/>
          <w:highlight w:val="none"/>
          <w:lang w:val="en-US" w:eastAsia="zh-CN"/>
        </w:rPr>
        <w:t>下列</w:t>
      </w:r>
      <w:r>
        <w:rPr>
          <w:rFonts w:hint="eastAsia" w:ascii="宋体" w:hAnsi="宋体" w:eastAsia="宋体" w:cs="宋体"/>
          <w:b/>
          <w:bCs/>
          <w:color w:val="auto"/>
          <w:szCs w:val="21"/>
          <w:highlight w:val="none"/>
        </w:rPr>
        <w:t>第（1）款或第（2）款</w:t>
      </w:r>
      <w:r>
        <w:rPr>
          <w:rFonts w:hint="eastAsia" w:ascii="宋体" w:hAnsi="宋体" w:cs="宋体"/>
          <w:b/>
          <w:bCs/>
          <w:color w:val="auto"/>
          <w:szCs w:val="21"/>
          <w:highlight w:val="none"/>
          <w:lang w:val="en-US" w:eastAsia="zh-CN"/>
        </w:rPr>
        <w:t>或第</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val="en-US" w:eastAsia="zh-CN"/>
        </w:rPr>
        <w:t>3</w:t>
      </w:r>
      <w:r>
        <w:rPr>
          <w:rFonts w:hint="eastAsia" w:ascii="宋体" w:hAnsi="宋体" w:eastAsia="宋体" w:cs="宋体"/>
          <w:b/>
          <w:bCs/>
          <w:color w:val="auto"/>
          <w:szCs w:val="21"/>
          <w:highlight w:val="none"/>
        </w:rPr>
        <w:t>）款确定的单价</w:t>
      </w:r>
      <w:r>
        <w:rPr>
          <w:rFonts w:hint="eastAsia" w:ascii="宋体" w:hAnsi="宋体" w:cs="宋体"/>
          <w:b/>
          <w:color w:val="auto"/>
          <w:highlight w:val="none"/>
          <w:u w:val="none"/>
          <w:lang w:eastAsia="zh-CN"/>
        </w:rPr>
        <w:t>。</w:t>
      </w:r>
    </w:p>
    <w:p w14:paraId="2D0E079E">
      <w:pPr>
        <w:snapToGrid w:val="0"/>
        <w:spacing w:line="440" w:lineRule="exact"/>
        <w:ind w:firstLine="422" w:firstLineChars="200"/>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1.13.1</w:t>
      </w:r>
    </w:p>
    <w:p w14:paraId="34D5324B">
      <w:pPr>
        <w:snapToGrid w:val="0"/>
        <w:spacing w:line="440" w:lineRule="exact"/>
        <w:ind w:firstLine="422" w:firstLineChars="200"/>
        <w:rPr>
          <w:rFonts w:hint="eastAsia" w:ascii="宋体" w:eastAsia="宋体" w:cs="宋体"/>
          <w:b w:val="0"/>
          <w:color w:val="auto"/>
          <w:sz w:val="21"/>
          <w:szCs w:val="21"/>
          <w:highlight w:val="none"/>
        </w:rPr>
      </w:pPr>
      <w:r>
        <w:rPr>
          <w:rFonts w:hint="eastAsia" w:ascii="宋体" w:hAnsi="宋体" w:eastAsia="宋体" w:cs="宋体"/>
          <w:b/>
          <w:color w:val="auto"/>
          <w:highlight w:val="none"/>
          <w:u w:val="none"/>
        </w:rPr>
        <w:t>（1）已标价工程量清单或预算书有相同项目的，按照相同项目单价认定；（2）已标价工程量清单或预算书中无相同项目，但有类似项目的，参照类似项目的单价认定</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rPr>
        <w:t>类似项目的单价是指其采用的材料、施工工艺和方法基本相似的项目</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lang w:val="en-US" w:eastAsia="zh-CN"/>
        </w:rPr>
        <w:t>3</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rPr>
        <w:t>已标价工程量清单或预算书</w:t>
      </w:r>
      <w:r>
        <w:rPr>
          <w:rFonts w:hint="eastAsia" w:ascii="宋体" w:hAnsi="宋体" w:eastAsia="宋体" w:cs="宋体"/>
          <w:b/>
          <w:color w:val="auto"/>
          <w:highlight w:val="none"/>
          <w:u w:val="none"/>
          <w:lang w:val="en-US" w:eastAsia="zh-CN"/>
        </w:rPr>
        <w:t>既无</w:t>
      </w:r>
      <w:r>
        <w:rPr>
          <w:rFonts w:hint="eastAsia" w:ascii="宋体" w:hAnsi="宋体" w:eastAsia="宋体" w:cs="宋体"/>
          <w:b/>
          <w:color w:val="auto"/>
          <w:highlight w:val="none"/>
          <w:u w:val="none"/>
        </w:rPr>
        <w:t>相同项目</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lang w:val="en-US" w:eastAsia="zh-CN"/>
        </w:rPr>
        <w:t>也无类似项目的单价</w:t>
      </w:r>
      <w:r>
        <w:rPr>
          <w:rFonts w:hint="eastAsia" w:ascii="宋体" w:hAnsi="宋体" w:eastAsia="宋体" w:cs="宋体"/>
          <w:b/>
          <w:color w:val="auto"/>
          <w:highlight w:val="none"/>
          <w:u w:val="none"/>
        </w:rPr>
        <w:t>按照最高投标限价的编制原则重新组价×投标让利幅度（上述投标让利幅度为中标价/最高投标限价，其中中标价和最高投标限价均扣除暂列金额、暂估价及相应税金</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rPr>
        <w:t>材料</w:t>
      </w:r>
      <w:r>
        <w:rPr>
          <w:rFonts w:hint="eastAsia" w:ascii="宋体" w:hAnsi="宋体" w:eastAsia="宋体" w:cs="宋体"/>
          <w:b/>
          <w:color w:val="auto"/>
          <w:highlight w:val="none"/>
          <w:u w:val="none"/>
          <w:lang w:val="en-US" w:eastAsia="zh-CN"/>
        </w:rPr>
        <w:t>价</w:t>
      </w:r>
      <w:r>
        <w:rPr>
          <w:rFonts w:hint="eastAsia" w:ascii="宋体" w:hAnsi="宋体" w:eastAsia="宋体" w:cs="宋体"/>
          <w:b/>
          <w:color w:val="auto"/>
          <w:highlight w:val="none"/>
          <w:u w:val="none"/>
        </w:rPr>
        <w:t>按施工当期《</w:t>
      </w:r>
      <w:r>
        <w:rPr>
          <w:rFonts w:hint="eastAsia" w:ascii="宋体" w:hAnsi="宋体" w:eastAsia="宋体" w:cs="宋体"/>
          <w:b/>
          <w:color w:val="auto"/>
          <w:highlight w:val="none"/>
          <w:u w:val="none"/>
          <w:lang w:val="en-US" w:eastAsia="zh-CN"/>
        </w:rPr>
        <w:t>滁</w:t>
      </w:r>
      <w:r>
        <w:rPr>
          <w:rFonts w:hint="eastAsia" w:ascii="宋体" w:hAnsi="宋体" w:eastAsia="宋体" w:cs="宋体"/>
          <w:b/>
          <w:color w:val="auto"/>
          <w:highlight w:val="none"/>
          <w:u w:val="none"/>
        </w:rPr>
        <w:t>州</w:t>
      </w:r>
      <w:r>
        <w:rPr>
          <w:rFonts w:hint="eastAsia" w:ascii="宋体" w:hAnsi="宋体" w:eastAsia="宋体" w:cs="宋体"/>
          <w:b/>
          <w:color w:val="auto"/>
          <w:highlight w:val="none"/>
          <w:u w:val="none"/>
          <w:lang w:val="en-US" w:eastAsia="zh-CN"/>
        </w:rPr>
        <w:t>市</w:t>
      </w:r>
      <w:r>
        <w:rPr>
          <w:rFonts w:hint="eastAsia" w:ascii="宋体" w:hAnsi="宋体" w:eastAsia="宋体" w:cs="宋体"/>
          <w:b/>
          <w:color w:val="auto"/>
          <w:highlight w:val="none"/>
          <w:u w:val="none"/>
        </w:rPr>
        <w:t>建设工程</w:t>
      </w:r>
      <w:r>
        <w:rPr>
          <w:rFonts w:hint="eastAsia" w:ascii="宋体" w:hAnsi="宋体" w:eastAsia="宋体" w:cs="宋体"/>
          <w:b/>
          <w:color w:val="auto"/>
          <w:highlight w:val="none"/>
          <w:u w:val="none"/>
          <w:lang w:val="en-US" w:eastAsia="zh-CN"/>
        </w:rPr>
        <w:t>材料市场价格</w:t>
      </w:r>
      <w:r>
        <w:rPr>
          <w:rFonts w:hint="eastAsia" w:ascii="宋体" w:hAnsi="宋体" w:eastAsia="宋体" w:cs="宋体"/>
          <w:b/>
          <w:color w:val="auto"/>
          <w:highlight w:val="none"/>
          <w:u w:val="none"/>
        </w:rPr>
        <w:t>信息》确定：若信息价为区间价的，则按区间价的算术平均值计取；信息价中没有的材料，由业主、监理、施工三方核定后确定，认价材料不参与下浮</w:t>
      </w:r>
      <w:r>
        <w:rPr>
          <w:rFonts w:hint="eastAsia" w:ascii="宋体" w:hAnsi="宋体" w:cs="宋体"/>
          <w:b/>
          <w:color w:val="auto"/>
          <w:highlight w:val="none"/>
          <w:u w:val="none"/>
          <w:lang w:eastAsia="zh-CN"/>
        </w:rPr>
        <w:t>；</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lang w:val="en-US" w:eastAsia="zh-CN"/>
        </w:rPr>
        <w:t>4</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rPr>
        <w:t>若取消某工程项目，则该项目的价款不予支付</w:t>
      </w:r>
      <w:r>
        <w:rPr>
          <w:rFonts w:hint="eastAsia" w:ascii="宋体" w:hAnsi="宋体" w:cs="宋体"/>
          <w:b/>
          <w:color w:val="auto"/>
          <w:highlight w:val="none"/>
          <w:u w:val="none"/>
          <w:lang w:eastAsia="zh-CN"/>
        </w:rPr>
        <w:t>。</w:t>
      </w:r>
    </w:p>
    <w:p w14:paraId="0E87E501">
      <w:pPr>
        <w:pStyle w:val="5"/>
        <w:pageBreakBefore w:val="0"/>
        <w:widowControl w:val="0"/>
        <w:kinsoku/>
        <w:wordWrap/>
        <w:overflowPunct/>
        <w:topLinePunct w:val="0"/>
        <w:autoSpaceDE/>
        <w:autoSpaceDN/>
        <w:bidi w:val="0"/>
        <w:snapToGrid w:val="0"/>
        <w:spacing w:before="0" w:after="0" w:line="440" w:lineRule="exact"/>
        <w:ind w:firstLine="420" w:firstLineChars="200"/>
        <w:textAlignment w:val="auto"/>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2. 发包人</w:t>
      </w:r>
    </w:p>
    <w:p w14:paraId="2B2D6BFC">
      <w:pPr>
        <w:keepNext/>
        <w:keepLines/>
        <w:pageBreakBefore w:val="0"/>
        <w:widowControl w:val="0"/>
        <w:kinsoku/>
        <w:wordWrap/>
        <w:overflowPunct/>
        <w:topLinePunct w:val="0"/>
        <w:autoSpaceDE/>
        <w:autoSpaceDN/>
        <w:bidi w:val="0"/>
        <w:adjustRightInd w:val="0"/>
        <w:snapToGrid w:val="0"/>
        <w:spacing w:line="440" w:lineRule="exact"/>
        <w:ind w:firstLine="420" w:firstLineChars="200"/>
        <w:textAlignment w:val="auto"/>
        <w:outlineLvl w:val="3"/>
        <w:rPr>
          <w:rFonts w:hint="eastAsia" w:ascii="宋体" w:hAnsi="宋体" w:cs="宋体"/>
          <w:bCs/>
          <w:color w:val="auto"/>
          <w:szCs w:val="28"/>
          <w:highlight w:val="none"/>
        </w:rPr>
      </w:pPr>
      <w:r>
        <w:rPr>
          <w:rFonts w:hint="eastAsia" w:ascii="宋体" w:hAnsi="宋体" w:cs="宋体"/>
          <w:bCs/>
          <w:color w:val="auto"/>
          <w:szCs w:val="28"/>
          <w:highlight w:val="none"/>
        </w:rPr>
        <w:t>2.2 发包人代表</w:t>
      </w:r>
    </w:p>
    <w:p w14:paraId="01AD4559">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发包人代表：</w:t>
      </w:r>
    </w:p>
    <w:p w14:paraId="410A721D">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姓    名：</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7F53E848">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身份证号：</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1D1A7BF2">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职    务：</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7DDD61B6">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1124C25A">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906ABFF">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通信地址：</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6137865A">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b/>
          <w:color w:val="auto"/>
          <w:highlight w:val="none"/>
        </w:rPr>
      </w:pPr>
      <w:r>
        <w:rPr>
          <w:rFonts w:hint="eastAsia" w:ascii="宋体" w:hAnsi="宋体" w:cs="宋体"/>
          <w:color w:val="auto"/>
          <w:highlight w:val="none"/>
        </w:rPr>
        <w:t>发包人对发包人代表的授权范围如下：</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31BD9F5C">
      <w:pPr>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color w:val="auto"/>
          <w:szCs w:val="21"/>
          <w:highlight w:val="none"/>
        </w:rPr>
      </w:pPr>
      <w:r>
        <w:rPr>
          <w:rFonts w:hint="eastAsia" w:ascii="宋体" w:cs="宋体"/>
          <w:color w:val="auto"/>
          <w:szCs w:val="21"/>
          <w:highlight w:val="none"/>
        </w:rPr>
        <w:t>2.4 施工现场、施工条件和基础资料的提供</w:t>
      </w:r>
    </w:p>
    <w:p w14:paraId="05BCD48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2.4.1 提供施工现场</w:t>
      </w:r>
    </w:p>
    <w:p w14:paraId="11142D3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关于发包人移交施工现场的期限要求：</w:t>
      </w:r>
      <w:r>
        <w:rPr>
          <w:rFonts w:hint="eastAsia" w:ascii="宋体" w:cs="宋体"/>
          <w:color w:val="auto"/>
          <w:szCs w:val="21"/>
          <w:highlight w:val="none"/>
          <w:u w:val="single"/>
        </w:rPr>
        <w:t>发包人应最迟于开工日期7天前向承包人移交施工现场。</w:t>
      </w:r>
    </w:p>
    <w:p w14:paraId="586AEF0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2.4.2 提供施工条件</w:t>
      </w:r>
    </w:p>
    <w:p w14:paraId="694C47BD">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关于发包人应负责提供施工所需要的条件，包括：</w:t>
      </w:r>
      <w:r>
        <w:rPr>
          <w:rFonts w:hint="eastAsia" w:ascii="宋体" w:hAnsi="宋体" w:eastAsia="宋体" w:cs="宋体"/>
          <w:color w:val="auto"/>
          <w:szCs w:val="21"/>
          <w:highlight w:val="none"/>
          <w:u w:val="single"/>
          <w:lang w:val="en-US" w:eastAsia="zh-CN"/>
        </w:rPr>
        <w:t>现场所需所有施工条件均由承包人自行解决并承担相关费用。</w:t>
      </w:r>
    </w:p>
    <w:p w14:paraId="6143E00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2.5 资金来源证明及支付担保</w:t>
      </w:r>
    </w:p>
    <w:p w14:paraId="7F5C141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发包人提供资金来源证明的期限要求：</w:t>
      </w:r>
      <w:r>
        <w:rPr>
          <w:rFonts w:hint="eastAsia" w:ascii="宋体" w:cs="宋体"/>
          <w:color w:val="auto"/>
          <w:szCs w:val="21"/>
          <w:highlight w:val="none"/>
          <w:u w:val="single"/>
        </w:rPr>
        <w:t></w:t>
      </w:r>
      <w:r>
        <w:rPr>
          <w:rFonts w:hint="eastAsia" w:ascii="宋体" w:cs="宋体"/>
          <w:color w:val="auto"/>
          <w:szCs w:val="21"/>
          <w:highlight w:val="none"/>
          <w:u w:val="single"/>
          <w:lang w:val="en-US" w:eastAsia="zh-CN"/>
        </w:rPr>
        <w:t>自筹</w:t>
      </w:r>
      <w:r>
        <w:rPr>
          <w:rFonts w:hint="eastAsia" w:ascii="宋体" w:cs="宋体"/>
          <w:color w:val="auto"/>
          <w:szCs w:val="21"/>
          <w:highlight w:val="none"/>
          <w:u w:val="single"/>
        </w:rPr>
        <w:t xml:space="preserve">资金   </w:t>
      </w:r>
      <w:r>
        <w:rPr>
          <w:rFonts w:hint="eastAsia" w:ascii="宋体" w:cs="宋体"/>
          <w:color w:val="auto"/>
          <w:szCs w:val="21"/>
          <w:highlight w:val="none"/>
        </w:rPr>
        <w:t>。</w:t>
      </w:r>
    </w:p>
    <w:p w14:paraId="3FB71AC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发包人是否提供支付担保：</w:t>
      </w:r>
      <w:r>
        <w:rPr>
          <w:rFonts w:hint="eastAsia" w:ascii="宋体" w:cs="宋体"/>
          <w:color w:val="auto"/>
          <w:szCs w:val="21"/>
          <w:highlight w:val="none"/>
          <w:u w:val="single"/>
        </w:rPr>
        <w:t xml:space="preserve">不提供   </w:t>
      </w:r>
      <w:r>
        <w:rPr>
          <w:rFonts w:hint="eastAsia" w:ascii="宋体" w:cs="宋体"/>
          <w:color w:val="auto"/>
          <w:szCs w:val="21"/>
          <w:highlight w:val="none"/>
        </w:rPr>
        <w:t>。</w:t>
      </w:r>
    </w:p>
    <w:p w14:paraId="3C6886CB">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发包人提供支付担保的形式：</w:t>
      </w:r>
      <w:r>
        <w:rPr>
          <w:rFonts w:hint="eastAsia" w:ascii="宋体" w:cs="宋体"/>
          <w:color w:val="auto"/>
          <w:szCs w:val="21"/>
          <w:highlight w:val="none"/>
          <w:u w:val="single"/>
        </w:rPr>
        <w:t>无  </w:t>
      </w:r>
      <w:r>
        <w:rPr>
          <w:rFonts w:hint="eastAsia" w:ascii="宋体" w:cs="宋体"/>
          <w:color w:val="auto"/>
          <w:szCs w:val="21"/>
          <w:highlight w:val="none"/>
        </w:rPr>
        <w:t>。</w:t>
      </w:r>
    </w:p>
    <w:p w14:paraId="05ABEF29">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3. 承包人</w:t>
      </w:r>
    </w:p>
    <w:p w14:paraId="4941BCD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3.1 承包人的一般义务</w:t>
      </w:r>
    </w:p>
    <w:p w14:paraId="2240B1EC">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（9）</w:t>
      </w:r>
      <w:r>
        <w:rPr>
          <w:rFonts w:hint="eastAsia" w:ascii="宋体" w:cs="宋体"/>
          <w:color w:val="auto"/>
          <w:szCs w:val="21"/>
          <w:highlight w:val="none"/>
        </w:rPr>
        <w:t>承包人提交的竣工资料的内容：</w:t>
      </w:r>
      <w:r>
        <w:rPr>
          <w:rFonts w:hint="eastAsia" w:ascii="宋体" w:cs="宋体"/>
          <w:color w:val="auto"/>
          <w:szCs w:val="21"/>
          <w:highlight w:val="none"/>
          <w:u w:val="single"/>
        </w:rPr>
        <w:t xml:space="preserve">   按相关要求执行，包括但不限于竣工图、竣工报告、项目质检资料、结算资料等  </w:t>
      </w:r>
      <w:r>
        <w:rPr>
          <w:rFonts w:hint="eastAsia" w:ascii="宋体" w:cs="宋体"/>
          <w:color w:val="auto"/>
          <w:szCs w:val="21"/>
          <w:highlight w:val="none"/>
        </w:rPr>
        <w:t>。</w:t>
      </w:r>
    </w:p>
    <w:p w14:paraId="1CA1DB9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承包人需要提交的竣工资料套数：</w:t>
      </w:r>
      <w:r>
        <w:rPr>
          <w:rFonts w:hint="eastAsia" w:ascii="宋体" w:cs="宋体"/>
          <w:color w:val="auto"/>
          <w:szCs w:val="21"/>
          <w:highlight w:val="none"/>
          <w:u w:val="single"/>
        </w:rPr>
        <w:t xml:space="preserve">      按相关要求执行，且不少于3套    </w:t>
      </w:r>
      <w:r>
        <w:rPr>
          <w:rFonts w:hint="eastAsia" w:ascii="宋体" w:cs="宋体"/>
          <w:color w:val="auto"/>
          <w:szCs w:val="21"/>
          <w:highlight w:val="none"/>
        </w:rPr>
        <w:t>。</w:t>
      </w:r>
    </w:p>
    <w:p w14:paraId="5FF31C1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承包人提交的竣工资料的费用承担：</w:t>
      </w:r>
      <w:r>
        <w:rPr>
          <w:rFonts w:hint="eastAsia" w:ascii="宋体" w:cs="宋体"/>
          <w:color w:val="auto"/>
          <w:szCs w:val="21"/>
          <w:highlight w:val="none"/>
          <w:u w:val="single"/>
        </w:rPr>
        <w:t xml:space="preserve">   承包人           </w:t>
      </w:r>
      <w:r>
        <w:rPr>
          <w:rFonts w:hint="eastAsia" w:ascii="宋体" w:cs="宋体"/>
          <w:color w:val="auto"/>
          <w:szCs w:val="21"/>
          <w:highlight w:val="none"/>
        </w:rPr>
        <w:t>。</w:t>
      </w:r>
    </w:p>
    <w:p w14:paraId="3670ED4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承包人提交的竣工资料移交时间：</w:t>
      </w:r>
      <w:r>
        <w:rPr>
          <w:rFonts w:hint="eastAsia" w:ascii="宋体" w:cs="宋体"/>
          <w:color w:val="auto"/>
          <w:szCs w:val="21"/>
          <w:highlight w:val="none"/>
          <w:u w:val="single"/>
        </w:rPr>
        <w:t xml:space="preserve">     竣工验收合格后</w:t>
      </w:r>
      <w:r>
        <w:rPr>
          <w:rFonts w:hint="eastAsia" w:ascii="宋体" w:cs="宋体"/>
          <w:color w:val="auto"/>
          <w:szCs w:val="21"/>
          <w:highlight w:val="none"/>
          <w:u w:val="single"/>
          <w:lang w:val="en-US" w:eastAsia="zh-CN"/>
        </w:rPr>
        <w:t>30</w:t>
      </w:r>
      <w:r>
        <w:rPr>
          <w:rFonts w:hint="eastAsia" w:ascii="宋体" w:cs="宋体"/>
          <w:color w:val="auto"/>
          <w:szCs w:val="21"/>
          <w:highlight w:val="none"/>
          <w:u w:val="single"/>
        </w:rPr>
        <w:t xml:space="preserve">日内   </w:t>
      </w:r>
      <w:r>
        <w:rPr>
          <w:rFonts w:hint="eastAsia" w:ascii="宋体" w:cs="宋体"/>
          <w:color w:val="auto"/>
          <w:szCs w:val="21"/>
          <w:highlight w:val="none"/>
        </w:rPr>
        <w:t>。</w:t>
      </w:r>
    </w:p>
    <w:p w14:paraId="0DFB5EF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承包人提交的竣工资料形式要求：</w:t>
      </w:r>
      <w:r>
        <w:rPr>
          <w:rFonts w:hint="eastAsia" w:ascii="宋体" w:cs="宋体"/>
          <w:color w:val="auto"/>
          <w:szCs w:val="21"/>
          <w:highlight w:val="none"/>
          <w:u w:val="single"/>
        </w:rPr>
        <w:t xml:space="preserve">     纸质及电子形式   </w:t>
      </w:r>
      <w:r>
        <w:rPr>
          <w:rFonts w:hint="eastAsia" w:ascii="宋体" w:cs="宋体"/>
          <w:color w:val="auto"/>
          <w:szCs w:val="21"/>
          <w:highlight w:val="none"/>
        </w:rPr>
        <w:t>。</w:t>
      </w:r>
    </w:p>
    <w:p w14:paraId="57AC80D3">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lang w:eastAsia="zh-CN"/>
        </w:rPr>
        <w:t>（</w:t>
      </w:r>
      <w:r>
        <w:rPr>
          <w:rFonts w:hint="eastAsia" w:ascii="宋体" w:cs="宋体"/>
          <w:color w:val="auto"/>
          <w:szCs w:val="21"/>
          <w:highlight w:val="none"/>
          <w:lang w:val="en-US" w:eastAsia="zh-CN"/>
        </w:rPr>
        <w:t>10）</w:t>
      </w:r>
      <w:r>
        <w:rPr>
          <w:rFonts w:hint="eastAsia" w:ascii="宋体" w:cs="宋体"/>
          <w:color w:val="auto"/>
          <w:kern w:val="0"/>
          <w:szCs w:val="21"/>
          <w:highlight w:val="none"/>
        </w:rPr>
        <w:t>承包人应履行的其他义务：</w:t>
      </w:r>
      <w:r>
        <w:rPr>
          <w:rFonts w:hint="eastAsia" w:ascii="宋体" w:cs="宋体"/>
          <w:strike w:val="0"/>
          <w:dstrike w:val="0"/>
          <w:color w:val="auto"/>
          <w:szCs w:val="21"/>
          <w:highlight w:val="none"/>
          <w:u w:val="single"/>
        </w:rPr>
        <w:t>①工程竣工半年</w:t>
      </w:r>
      <w:r>
        <w:rPr>
          <w:rFonts w:hint="eastAsia" w:ascii="宋体" w:cs="宋体"/>
          <w:strike w:val="0"/>
          <w:dstrike w:val="0"/>
          <w:color w:val="auto"/>
          <w:szCs w:val="21"/>
          <w:highlight w:val="none"/>
          <w:u w:val="single"/>
          <w:lang w:eastAsia="zh-CN"/>
        </w:rPr>
        <w:t>（</w:t>
      </w:r>
      <w:r>
        <w:rPr>
          <w:rFonts w:hint="eastAsia" w:ascii="宋体" w:cs="宋体"/>
          <w:strike w:val="0"/>
          <w:dstrike w:val="0"/>
          <w:color w:val="auto"/>
          <w:szCs w:val="21"/>
          <w:highlight w:val="none"/>
          <w:u w:val="single"/>
        </w:rPr>
        <w:t>含</w:t>
      </w:r>
      <w:r>
        <w:rPr>
          <w:rFonts w:hint="eastAsia" w:ascii="宋体" w:cs="宋体"/>
          <w:strike w:val="0"/>
          <w:dstrike w:val="0"/>
          <w:color w:val="auto"/>
          <w:szCs w:val="21"/>
          <w:highlight w:val="none"/>
          <w:u w:val="single"/>
          <w:lang w:eastAsia="zh-CN"/>
        </w:rPr>
        <w:t>）</w:t>
      </w:r>
      <w:r>
        <w:rPr>
          <w:rFonts w:hint="eastAsia" w:ascii="宋体" w:cs="宋体"/>
          <w:strike w:val="0"/>
          <w:dstrike w:val="0"/>
          <w:color w:val="auto"/>
          <w:szCs w:val="21"/>
          <w:highlight w:val="none"/>
          <w:u w:val="single"/>
        </w:rPr>
        <w:t>内完成竣工结算；</w:t>
      </w:r>
      <w:r>
        <w:rPr>
          <w:rFonts w:hint="eastAsia" w:ascii="宋体" w:cs="宋体"/>
          <w:color w:val="auto"/>
          <w:szCs w:val="21"/>
          <w:highlight w:val="none"/>
          <w:u w:val="single"/>
        </w:rPr>
        <w:t>②无合同纠纷等原因拖欠农民工工资、材料款，出现群访及时处理；③质量无缺陷，及时整改到位，处理及时；④施工现场服从调度或工程进度不超过合同工期或按合同期限按时移交的；⑤月工程量进度及时完成；⑥按规定提供工程资料并及时归档的；</w:t>
      </w:r>
    </w:p>
    <w:p w14:paraId="083F7B1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3.2 项目经理</w:t>
      </w:r>
    </w:p>
    <w:p w14:paraId="13611687">
      <w:pPr>
        <w:snapToGrid w:val="0"/>
        <w:spacing w:line="440" w:lineRule="exact"/>
        <w:ind w:firstLine="420" w:firstLineChars="200"/>
        <w:rPr>
          <w:rFonts w:hint="eastAsia" w:ascii="宋体" w:cs="宋体"/>
          <w:color w:val="auto"/>
          <w:szCs w:val="21"/>
          <w:highlight w:val="none"/>
        </w:rPr>
      </w:pPr>
      <w:r>
        <w:rPr>
          <w:rFonts w:hint="eastAsia" w:ascii="宋体" w:cs="宋体"/>
          <w:color w:val="auto"/>
          <w:kern w:val="0"/>
          <w:szCs w:val="21"/>
          <w:highlight w:val="none"/>
        </w:rPr>
        <w:t xml:space="preserve">3.2.1 </w:t>
      </w:r>
      <w:r>
        <w:rPr>
          <w:rFonts w:hint="eastAsia" w:ascii="宋体" w:cs="宋体"/>
          <w:color w:val="auto"/>
          <w:szCs w:val="21"/>
          <w:highlight w:val="none"/>
        </w:rPr>
        <w:t>项目经理：</w:t>
      </w:r>
    </w:p>
    <w:p w14:paraId="14770DDB">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姓    名：</w:t>
      </w:r>
      <w:r>
        <w:rPr>
          <w:rFonts w:hint="eastAsia" w:ascii="宋体" w:cs="宋体"/>
          <w:color w:val="auto"/>
          <w:szCs w:val="21"/>
          <w:highlight w:val="none"/>
          <w:u w:val="single"/>
        </w:rPr>
        <w:t>         </w:t>
      </w:r>
      <w:r>
        <w:rPr>
          <w:rFonts w:hint="eastAsia" w:ascii="宋体" w:cs="宋体"/>
          <w:color w:val="auto"/>
          <w:szCs w:val="21"/>
          <w:highlight w:val="none"/>
        </w:rPr>
        <w:t>；</w:t>
      </w:r>
    </w:p>
    <w:p w14:paraId="3BA1707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身份证号：</w:t>
      </w:r>
      <w:r>
        <w:rPr>
          <w:rFonts w:hint="eastAsia" w:ascii="宋体" w:cs="宋体"/>
          <w:color w:val="auto"/>
          <w:szCs w:val="21"/>
          <w:highlight w:val="none"/>
          <w:u w:val="single"/>
        </w:rPr>
        <w:t>         </w:t>
      </w:r>
      <w:r>
        <w:rPr>
          <w:rFonts w:hint="eastAsia" w:ascii="宋体" w:cs="宋体"/>
          <w:color w:val="auto"/>
          <w:szCs w:val="21"/>
          <w:highlight w:val="none"/>
        </w:rPr>
        <w:t>；</w:t>
      </w:r>
    </w:p>
    <w:p w14:paraId="4720406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建造师执业资格等级：</w:t>
      </w:r>
      <w:r>
        <w:rPr>
          <w:rFonts w:hint="eastAsia" w:ascii="宋体" w:cs="宋体"/>
          <w:color w:val="auto"/>
          <w:szCs w:val="21"/>
          <w:highlight w:val="none"/>
          <w:u w:val="single"/>
        </w:rPr>
        <w:t>   </w:t>
      </w:r>
      <w:r>
        <w:rPr>
          <w:rFonts w:hint="eastAsia" w:ascii="宋体" w:cs="宋体"/>
          <w:color w:val="auto"/>
          <w:szCs w:val="21"/>
          <w:highlight w:val="none"/>
        </w:rPr>
        <w:t>；</w:t>
      </w:r>
    </w:p>
    <w:p w14:paraId="6017499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建造师注册证书号：</w:t>
      </w:r>
      <w:r>
        <w:rPr>
          <w:rFonts w:hint="eastAsia" w:ascii="宋体" w:cs="宋体"/>
          <w:color w:val="auto"/>
          <w:szCs w:val="21"/>
          <w:highlight w:val="none"/>
          <w:u w:val="single"/>
        </w:rPr>
        <w:t> </w:t>
      </w:r>
      <w:r>
        <w:rPr>
          <w:rFonts w:hint="eastAsia" w:ascii="宋体" w:cs="宋体"/>
          <w:color w:val="auto"/>
          <w:szCs w:val="21"/>
          <w:highlight w:val="none"/>
        </w:rPr>
        <w:t>；</w:t>
      </w:r>
    </w:p>
    <w:p w14:paraId="433B24F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建造师执业印章号：</w:t>
      </w:r>
      <w:r>
        <w:rPr>
          <w:rFonts w:hint="eastAsia" w:ascii="宋体" w:cs="宋体"/>
          <w:color w:val="auto"/>
          <w:szCs w:val="21"/>
          <w:highlight w:val="none"/>
          <w:u w:val="single"/>
        </w:rPr>
        <w:t> </w:t>
      </w:r>
      <w:r>
        <w:rPr>
          <w:rFonts w:hint="eastAsia" w:ascii="宋体" w:cs="宋体"/>
          <w:color w:val="auto"/>
          <w:szCs w:val="21"/>
          <w:highlight w:val="none"/>
        </w:rPr>
        <w:t>；</w:t>
      </w:r>
    </w:p>
    <w:p w14:paraId="61D36B6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安全生产考核合格证书号：</w:t>
      </w:r>
      <w:r>
        <w:rPr>
          <w:rFonts w:hint="eastAsia" w:ascii="宋体" w:cs="宋体"/>
          <w:color w:val="auto"/>
          <w:szCs w:val="21"/>
          <w:highlight w:val="none"/>
          <w:u w:val="single"/>
        </w:rPr>
        <w:t> </w:t>
      </w:r>
      <w:r>
        <w:rPr>
          <w:rFonts w:hint="eastAsia" w:ascii="宋体" w:cs="宋体"/>
          <w:color w:val="auto"/>
          <w:szCs w:val="21"/>
          <w:highlight w:val="none"/>
        </w:rPr>
        <w:t>；</w:t>
      </w:r>
    </w:p>
    <w:p w14:paraId="7E9E6C5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       </w:t>
      </w:r>
      <w:r>
        <w:rPr>
          <w:rFonts w:hint="eastAsia" w:ascii="宋体" w:cs="宋体"/>
          <w:color w:val="auto"/>
          <w:szCs w:val="21"/>
          <w:highlight w:val="none"/>
        </w:rPr>
        <w:t>；</w:t>
      </w:r>
    </w:p>
    <w:p w14:paraId="3F58359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 </w:t>
      </w:r>
      <w:r>
        <w:rPr>
          <w:rFonts w:hint="eastAsia" w:ascii="宋体" w:cs="宋体"/>
          <w:color w:val="auto"/>
          <w:szCs w:val="21"/>
          <w:highlight w:val="none"/>
        </w:rPr>
        <w:t>；</w:t>
      </w:r>
    </w:p>
    <w:p w14:paraId="1099BF5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 </w:t>
      </w:r>
      <w:r>
        <w:rPr>
          <w:rFonts w:hint="eastAsia" w:ascii="宋体" w:cs="宋体"/>
          <w:color w:val="auto"/>
          <w:szCs w:val="21"/>
          <w:highlight w:val="none"/>
        </w:rPr>
        <w:t>；</w:t>
      </w:r>
    </w:p>
    <w:p w14:paraId="037BD6D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承包人对项目负责人的授权范围如下：</w:t>
      </w:r>
      <w:r>
        <w:rPr>
          <w:rFonts w:hint="eastAsia" w:ascii="宋体" w:cs="宋体"/>
          <w:color w:val="auto"/>
          <w:szCs w:val="21"/>
          <w:highlight w:val="none"/>
          <w:u w:val="single"/>
        </w:rPr>
        <w:t xml:space="preserve">由承包人明确授权范围  </w:t>
      </w:r>
      <w:r>
        <w:rPr>
          <w:rFonts w:hint="eastAsia" w:ascii="宋体" w:cs="宋体"/>
          <w:color w:val="auto"/>
          <w:szCs w:val="21"/>
          <w:highlight w:val="none"/>
        </w:rPr>
        <w:t>。</w:t>
      </w:r>
    </w:p>
    <w:p w14:paraId="0B02DEDD">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关于项目负责人每月在施工现场的时间</w:t>
      </w:r>
      <w:r>
        <w:rPr>
          <w:rFonts w:hint="eastAsia" w:ascii="宋体" w:cs="宋体"/>
          <w:color w:val="auto"/>
          <w:kern w:val="0"/>
          <w:szCs w:val="21"/>
          <w:highlight w:val="none"/>
        </w:rPr>
        <w:t>要求：</w:t>
      </w:r>
      <w:r>
        <w:rPr>
          <w:rFonts w:hint="eastAsia" w:ascii="宋体" w:cs="宋体"/>
          <w:color w:val="auto"/>
          <w:szCs w:val="21"/>
          <w:highlight w:val="none"/>
          <w:u w:val="single"/>
        </w:rPr>
        <w:t>项目经理每月在岗时间</w:t>
      </w:r>
      <w:r>
        <w:rPr>
          <w:rFonts w:hint="eastAsia" w:ascii="宋体" w:cs="宋体"/>
          <w:color w:val="auto"/>
          <w:szCs w:val="21"/>
          <w:highlight w:val="none"/>
          <w:u w:val="single"/>
        </w:rPr>
        <w:t>不得少于2</w:t>
      </w:r>
      <w:r>
        <w:rPr>
          <w:rFonts w:hint="eastAsia" w:ascii="宋体" w:cs="宋体"/>
          <w:color w:val="auto"/>
          <w:szCs w:val="21"/>
          <w:highlight w:val="none"/>
          <w:u w:val="single"/>
          <w:lang w:val="en-US" w:eastAsia="zh-CN"/>
        </w:rPr>
        <w:t>2</w:t>
      </w:r>
      <w:r>
        <w:rPr>
          <w:rFonts w:hint="eastAsia" w:ascii="宋体" w:cs="宋体"/>
          <w:color w:val="auto"/>
          <w:szCs w:val="21"/>
          <w:highlight w:val="none"/>
          <w:u w:val="single"/>
        </w:rPr>
        <w:t>天。</w:t>
      </w:r>
    </w:p>
    <w:p w14:paraId="5C830A13">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承包人未提交劳动合同，以及没有为建造师缴纳社会保险证明的违约责任：</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签订本合同前提供，资格审查时已提供的，不再重复提供</w:t>
      </w:r>
      <w:r>
        <w:rPr>
          <w:rFonts w:hint="eastAsia" w:ascii="宋体" w:cs="宋体"/>
          <w:color w:val="auto"/>
          <w:szCs w:val="21"/>
          <w:highlight w:val="none"/>
        </w:rPr>
        <w:t>。</w:t>
      </w:r>
    </w:p>
    <w:p w14:paraId="4B079E8B">
      <w:pPr>
        <w:snapToGrid w:val="0"/>
        <w:spacing w:line="440" w:lineRule="exact"/>
        <w:ind w:firstLine="420" w:firstLineChars="200"/>
        <w:rPr>
          <w:rFonts w:hint="eastAsia" w:ascii="宋体" w:hAnsi="宋体" w:eastAsia="宋体" w:cs="宋体"/>
          <w:color w:val="auto"/>
          <w:szCs w:val="21"/>
          <w:highlight w:val="none"/>
          <w:u w:val="single"/>
        </w:rPr>
      </w:pPr>
      <w:r>
        <w:rPr>
          <w:rFonts w:hint="eastAsia" w:ascii="宋体" w:cs="宋体"/>
          <w:color w:val="auto"/>
          <w:kern w:val="0"/>
          <w:szCs w:val="21"/>
          <w:highlight w:val="none"/>
        </w:rPr>
        <w:t>项目负责人未经批准，擅自离开施工现场的违约责任：</w:t>
      </w:r>
      <w:r>
        <w:rPr>
          <w:rFonts w:hint="eastAsia" w:ascii="宋体" w:hAnsi="宋体" w:eastAsia="宋体" w:cs="宋体"/>
          <w:color w:val="auto"/>
          <w:szCs w:val="21"/>
          <w:highlight w:val="none"/>
          <w:u w:val="single"/>
        </w:rPr>
        <w:t>发包人、监理人将对项目经理、</w:t>
      </w:r>
      <w:r>
        <w:rPr>
          <w:rFonts w:hint="default" w:ascii="宋体" w:hAnsi="宋体" w:eastAsia="宋体" w:cs="宋体"/>
          <w:color w:val="auto"/>
          <w:szCs w:val="21"/>
          <w:highlight w:val="none"/>
          <w:u w:val="single"/>
          <w:lang w:val="en-US" w:eastAsia="zh-CN"/>
        </w:rPr>
        <w:t>其他管理和技术人员</w:t>
      </w:r>
      <w:r>
        <w:rPr>
          <w:rFonts w:hint="eastAsia" w:ascii="宋体" w:hAnsi="宋体" w:eastAsia="宋体" w:cs="宋体"/>
          <w:color w:val="auto"/>
          <w:szCs w:val="21"/>
          <w:highlight w:val="none"/>
          <w:u w:val="single"/>
        </w:rPr>
        <w:t>实行考勤制度，必须保证上述人员每月至少有22天在本项目工地现场，短期离开施工场地，应事先征得监理人、发包人书面同意，并委派代表代行其职责。在工程实施期间，项目经理未经批准离开工地的或月考勤不足22天的，按</w:t>
      </w:r>
      <w:r>
        <w:rPr>
          <w:rFonts w:hint="eastAsia" w:ascii="宋体" w:hAnsi="宋体" w:cs="宋体"/>
          <w:color w:val="auto"/>
          <w:szCs w:val="21"/>
          <w:highlight w:val="none"/>
          <w:u w:val="single"/>
          <w:lang w:val="en-US" w:eastAsia="zh-CN"/>
        </w:rPr>
        <w:t>2</w:t>
      </w:r>
      <w:r>
        <w:rPr>
          <w:rFonts w:hint="eastAsia" w:ascii="宋体" w:hAnsi="宋体" w:eastAsia="宋体" w:cs="宋体"/>
          <w:color w:val="auto"/>
          <w:szCs w:val="21"/>
          <w:highlight w:val="none"/>
          <w:u w:val="single"/>
        </w:rPr>
        <w:t>000元/人•天</w:t>
      </w:r>
      <w:r>
        <w:rPr>
          <w:rFonts w:hint="eastAsia" w:ascii="宋体" w:hAnsi="宋体" w:eastAsia="宋体" w:cs="宋体"/>
          <w:color w:val="auto"/>
          <w:szCs w:val="21"/>
          <w:highlight w:val="none"/>
          <w:u w:val="single"/>
          <w:lang w:val="en-US" w:eastAsia="zh-CN"/>
        </w:rPr>
        <w:t>处以</w:t>
      </w:r>
      <w:r>
        <w:rPr>
          <w:rFonts w:hint="eastAsia" w:ascii="宋体" w:hAnsi="宋体" w:eastAsia="宋体" w:cs="宋体"/>
          <w:color w:val="auto"/>
          <w:szCs w:val="21"/>
          <w:highlight w:val="none"/>
          <w:u w:val="single"/>
        </w:rPr>
        <w:t>违约金。</w:t>
      </w:r>
    </w:p>
    <w:p w14:paraId="5B2257F3">
      <w:pPr>
        <w:snapToGrid w:val="0"/>
        <w:spacing w:line="440" w:lineRule="exact"/>
        <w:ind w:firstLine="420" w:firstLineChars="200"/>
        <w:rPr>
          <w:rFonts w:hint="eastAsia" w:ascii="宋体" w:hAnsi="宋体" w:cs="宋体"/>
          <w:color w:val="auto"/>
          <w:szCs w:val="21"/>
          <w:highlight w:val="none"/>
          <w:u w:val="single"/>
        </w:rPr>
      </w:pPr>
      <w:r>
        <w:rPr>
          <w:rFonts w:hint="eastAsia" w:ascii="宋体" w:cs="宋体"/>
          <w:color w:val="auto"/>
          <w:szCs w:val="21"/>
          <w:highlight w:val="none"/>
        </w:rPr>
        <w:t>3.2.3 承包人擅自更换项目负责人的违约责任：</w:t>
      </w:r>
      <w:r>
        <w:rPr>
          <w:rFonts w:hint="eastAsia" w:ascii="宋体" w:hAnsi="宋体" w:cs="宋体"/>
          <w:color w:val="auto"/>
          <w:szCs w:val="21"/>
          <w:highlight w:val="none"/>
          <w:u w:val="single"/>
        </w:rPr>
        <w:t>承包人不得擅自更换投标时所报项目经理,否则发包人有权解除合同，由此造成的损失由承包人自行承担，承包人还应赔偿由此造成发包人的全部损失。确需更换的须在签订合同后，报经发包人同意后按相关规定办理，并支付</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万元的违约金，更换后的人员不得低于承包人投标时所报人员资质和技术水平。</w:t>
      </w:r>
    </w:p>
    <w:p w14:paraId="3B022719">
      <w:pPr>
        <w:snapToGrid w:val="0"/>
        <w:spacing w:line="440" w:lineRule="exact"/>
        <w:ind w:firstLine="420" w:firstLineChars="200"/>
        <w:rPr>
          <w:rFonts w:hint="eastAsia" w:ascii="宋体" w:eastAsia="宋体" w:cs="宋体"/>
          <w:color w:val="auto"/>
          <w:szCs w:val="21"/>
          <w:highlight w:val="none"/>
          <w:u w:val="single"/>
          <w:lang w:eastAsia="zh-CN"/>
        </w:rPr>
      </w:pPr>
      <w:r>
        <w:rPr>
          <w:rFonts w:hint="eastAsia" w:ascii="宋体" w:cs="宋体"/>
          <w:color w:val="auto"/>
          <w:szCs w:val="21"/>
          <w:highlight w:val="none"/>
        </w:rPr>
        <w:t>3.2.4 承包人无正当理由拒绝更换项目经理的违约责任：</w:t>
      </w:r>
      <w:r>
        <w:rPr>
          <w:rFonts w:hint="eastAsia" w:ascii="宋体" w:hAnsi="宋体" w:eastAsia="宋体" w:cs="宋体"/>
          <w:color w:val="auto"/>
          <w:szCs w:val="21"/>
          <w:highlight w:val="none"/>
          <w:u w:val="single"/>
        </w:rPr>
        <w:t>发包人将组织对项目经理进行业务能力考核，对未按投标文件配备或经考核不合格要求更换人员的，承包人7日内必须整改调整到位。否则，对于项目经理和技术负责人，按照</w:t>
      </w:r>
      <w:r>
        <w:rPr>
          <w:rFonts w:hint="eastAsia" w:ascii="宋体" w:hAnsi="宋体" w:cs="宋体"/>
          <w:color w:val="auto"/>
          <w:szCs w:val="21"/>
          <w:highlight w:val="none"/>
          <w:u w:val="single"/>
          <w:lang w:val="en-US" w:eastAsia="zh-CN"/>
        </w:rPr>
        <w:t>2</w:t>
      </w:r>
      <w:r>
        <w:rPr>
          <w:rFonts w:hint="eastAsia" w:ascii="宋体" w:hAnsi="宋体" w:eastAsia="宋体" w:cs="宋体"/>
          <w:color w:val="auto"/>
          <w:szCs w:val="21"/>
          <w:highlight w:val="none"/>
          <w:u w:val="single"/>
        </w:rPr>
        <w:t>000元/人·天</w:t>
      </w:r>
      <w:r>
        <w:rPr>
          <w:rFonts w:hint="eastAsia" w:ascii="宋体" w:hAnsi="宋体" w:eastAsia="宋体" w:cs="宋体"/>
          <w:color w:val="auto"/>
          <w:szCs w:val="21"/>
          <w:highlight w:val="none"/>
          <w:u w:val="single"/>
          <w:lang w:val="en-US" w:eastAsia="zh-CN"/>
        </w:rPr>
        <w:t>处以</w:t>
      </w:r>
      <w:r>
        <w:rPr>
          <w:rFonts w:hint="eastAsia" w:ascii="宋体" w:hAnsi="宋体" w:eastAsia="宋体" w:cs="宋体"/>
          <w:color w:val="auto"/>
          <w:szCs w:val="21"/>
          <w:highlight w:val="none"/>
          <w:u w:val="single"/>
        </w:rPr>
        <w:t>违约金，28日内未整改调整到位的，发包人有权终止合同，并提请相关行政主管部门对企业和人员进行“黑名单”处罚</w:t>
      </w:r>
      <w:r>
        <w:rPr>
          <w:rFonts w:hint="eastAsia" w:ascii="宋体" w:hAnsi="宋体" w:eastAsia="宋体" w:cs="宋体"/>
          <w:color w:val="auto"/>
          <w:highlight w:val="none"/>
          <w:u w:val="single"/>
          <w:lang w:eastAsia="zh-CN"/>
        </w:rPr>
        <w:t>。</w:t>
      </w:r>
    </w:p>
    <w:p w14:paraId="6E545C3E">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color w:val="auto"/>
          <w:szCs w:val="21"/>
          <w:highlight w:val="none"/>
        </w:rPr>
      </w:pPr>
      <w:r>
        <w:rPr>
          <w:rFonts w:hint="eastAsia" w:ascii="宋体" w:cs="宋体"/>
          <w:color w:val="auto"/>
          <w:szCs w:val="21"/>
          <w:highlight w:val="none"/>
        </w:rPr>
        <w:t>3.3 承包人人员</w:t>
      </w:r>
    </w:p>
    <w:p w14:paraId="255F90F6">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color w:val="auto"/>
          <w:szCs w:val="21"/>
          <w:highlight w:val="none"/>
        </w:rPr>
      </w:pPr>
      <w:r>
        <w:rPr>
          <w:rFonts w:hint="eastAsia" w:ascii="宋体" w:cs="宋体"/>
          <w:color w:val="auto"/>
          <w:szCs w:val="21"/>
          <w:highlight w:val="none"/>
        </w:rPr>
        <w:t>3.3.1 承包人提交项目管理机构及施工现场管理人员安排报告的期限：</w:t>
      </w:r>
      <w:r>
        <w:rPr>
          <w:rFonts w:hint="eastAsia" w:ascii="宋体" w:cs="宋体"/>
          <w:color w:val="auto"/>
          <w:szCs w:val="21"/>
          <w:highlight w:val="none"/>
          <w:u w:val="single"/>
        </w:rPr>
        <w:t>承包人应在</w:t>
      </w:r>
      <w:r>
        <w:rPr>
          <w:rFonts w:hint="eastAsia"/>
          <w:color w:val="auto"/>
          <w:highlight w:val="none"/>
          <w:u w:val="single"/>
        </w:rPr>
        <w:t>合同签订</w:t>
      </w:r>
      <w:r>
        <w:rPr>
          <w:rFonts w:hint="eastAsia" w:ascii="宋体" w:cs="宋体"/>
          <w:color w:val="auto"/>
          <w:szCs w:val="21"/>
          <w:highlight w:val="none"/>
          <w:u w:val="single"/>
        </w:rPr>
        <w:t>后7日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0ABFF03D">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color w:val="auto"/>
          <w:szCs w:val="21"/>
          <w:highlight w:val="none"/>
          <w:u w:val="single"/>
        </w:rPr>
      </w:pPr>
      <w:r>
        <w:rPr>
          <w:rFonts w:hint="eastAsia" w:ascii="宋体" w:cs="宋体"/>
          <w:color w:val="auto"/>
          <w:szCs w:val="21"/>
          <w:highlight w:val="none"/>
        </w:rPr>
        <w:t>3.3.3 承包人无正当理由拒绝撤换主要施工管理人员的违约责任：</w:t>
      </w:r>
      <w:r>
        <w:rPr>
          <w:rFonts w:hint="eastAsia" w:ascii="宋体" w:cs="宋体"/>
          <w:color w:val="auto"/>
          <w:szCs w:val="21"/>
          <w:highlight w:val="none"/>
          <w:u w:val="single"/>
        </w:rPr>
        <w:t xml:space="preserve"> </w:t>
      </w:r>
      <w:r>
        <w:rPr>
          <w:rFonts w:hint="eastAsia" w:ascii="宋体" w:hAnsi="宋体" w:eastAsia="宋体" w:cs="宋体"/>
          <w:color w:val="auto"/>
          <w:szCs w:val="21"/>
          <w:highlight w:val="none"/>
          <w:u w:val="single"/>
        </w:rPr>
        <w:t>发包人将组织对人员进行业务能力考核，对未按投标文件配备或经考核不合格要求更换人员的，承包人7日内必须整改调整到位。否则，对于施工现场其他管理人员按照1000元/人·天</w:t>
      </w:r>
      <w:r>
        <w:rPr>
          <w:rFonts w:hint="eastAsia" w:ascii="宋体" w:hAnsi="宋体" w:eastAsia="宋体" w:cs="宋体"/>
          <w:color w:val="auto"/>
          <w:szCs w:val="21"/>
          <w:highlight w:val="none"/>
          <w:u w:val="single"/>
          <w:lang w:val="en-US" w:eastAsia="zh-CN"/>
        </w:rPr>
        <w:t>处以</w:t>
      </w:r>
      <w:r>
        <w:rPr>
          <w:rFonts w:hint="eastAsia" w:ascii="宋体" w:hAnsi="宋体" w:eastAsia="宋体" w:cs="宋体"/>
          <w:color w:val="auto"/>
          <w:szCs w:val="21"/>
          <w:highlight w:val="none"/>
          <w:u w:val="single"/>
        </w:rPr>
        <w:t>违约金。28日内未整改调整到位的，发包人有权终止合同，并提请相关行政主管部门对企业和人员进行“黑名单”处罚</w:t>
      </w:r>
      <w:r>
        <w:rPr>
          <w:rFonts w:hint="eastAsia" w:ascii="宋体" w:cs="宋体"/>
          <w:color w:val="auto"/>
          <w:szCs w:val="21"/>
          <w:highlight w:val="none"/>
          <w:u w:val="single"/>
        </w:rPr>
        <w:t>。</w:t>
      </w:r>
    </w:p>
    <w:p w14:paraId="0D17F701">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auto"/>
          <w:szCs w:val="21"/>
          <w:highlight w:val="none"/>
          <w:u w:val="single"/>
        </w:rPr>
      </w:pPr>
      <w:r>
        <w:rPr>
          <w:rFonts w:hint="eastAsia" w:ascii="宋体" w:cs="宋体"/>
          <w:color w:val="auto"/>
          <w:szCs w:val="21"/>
          <w:highlight w:val="none"/>
        </w:rPr>
        <w:t>3.3.4 承包人主要施工管理人员离开施工现场的批准要求：</w:t>
      </w:r>
      <w:r>
        <w:rPr>
          <w:rFonts w:hint="eastAsia" w:ascii="宋体" w:hAnsi="宋体" w:eastAsia="宋体" w:cs="宋体"/>
          <w:color w:val="auto"/>
          <w:szCs w:val="21"/>
          <w:highlight w:val="none"/>
          <w:u w:val="single"/>
        </w:rPr>
        <w:t>发包人、监理人将对项目经理、</w:t>
      </w:r>
      <w:r>
        <w:rPr>
          <w:rFonts w:hint="default" w:ascii="宋体" w:hAnsi="宋体" w:eastAsia="宋体" w:cs="宋体"/>
          <w:color w:val="auto"/>
          <w:szCs w:val="21"/>
          <w:highlight w:val="none"/>
          <w:u w:val="single"/>
          <w:lang w:val="en-US" w:eastAsia="zh-CN"/>
        </w:rPr>
        <w:t>其他管理和技术人员</w:t>
      </w:r>
      <w:r>
        <w:rPr>
          <w:rFonts w:hint="eastAsia" w:ascii="宋体" w:hAnsi="宋体" w:eastAsia="宋体" w:cs="宋体"/>
          <w:color w:val="auto"/>
          <w:szCs w:val="21"/>
          <w:highlight w:val="none"/>
          <w:u w:val="single"/>
        </w:rPr>
        <w:t>实行考勤制度，必须保证上述人员每月至少有22天在本项目工地现场，短期离开施工场地，应事先征得监理人、发包人书面同意，并委派代表代行其职责。在工程实施期间，项目经理、总工未经批准离开工地的或月考勤不足22天的，</w:t>
      </w:r>
      <w:r>
        <w:rPr>
          <w:rFonts w:hint="eastAsia" w:ascii="宋体" w:hAnsi="宋体" w:eastAsia="宋体" w:cs="宋体"/>
          <w:color w:val="auto"/>
          <w:szCs w:val="21"/>
          <w:highlight w:val="none"/>
          <w:u w:val="single"/>
        </w:rPr>
        <w:t>按</w:t>
      </w:r>
      <w:r>
        <w:rPr>
          <w:rFonts w:hint="eastAsia" w:ascii="宋体" w:hAnsi="宋体" w:cs="宋体"/>
          <w:color w:val="auto"/>
          <w:szCs w:val="21"/>
          <w:highlight w:val="none"/>
          <w:u w:val="single"/>
          <w:lang w:val="en-US" w:eastAsia="zh-CN"/>
        </w:rPr>
        <w:t>2</w:t>
      </w:r>
      <w:r>
        <w:rPr>
          <w:rFonts w:hint="eastAsia" w:ascii="宋体" w:hAnsi="宋体" w:eastAsia="宋体" w:cs="宋体"/>
          <w:color w:val="auto"/>
          <w:szCs w:val="21"/>
          <w:highlight w:val="none"/>
          <w:u w:val="single"/>
        </w:rPr>
        <w:t>000元/人•天</w:t>
      </w:r>
      <w:r>
        <w:rPr>
          <w:rFonts w:hint="eastAsia" w:ascii="宋体" w:hAnsi="宋体" w:eastAsia="宋体" w:cs="宋体"/>
          <w:color w:val="auto"/>
          <w:szCs w:val="21"/>
          <w:highlight w:val="none"/>
          <w:u w:val="single"/>
          <w:lang w:val="en-US" w:eastAsia="zh-CN"/>
        </w:rPr>
        <w:t>处以</w:t>
      </w:r>
      <w:r>
        <w:rPr>
          <w:rFonts w:hint="eastAsia" w:ascii="宋体" w:hAnsi="宋体" w:eastAsia="宋体" w:cs="宋体"/>
          <w:color w:val="auto"/>
          <w:szCs w:val="21"/>
          <w:highlight w:val="none"/>
          <w:u w:val="single"/>
        </w:rPr>
        <w:t>违约金</w:t>
      </w:r>
      <w:r>
        <w:rPr>
          <w:rFonts w:hint="eastAsia" w:ascii="宋体" w:hAnsi="宋体" w:eastAsia="宋体" w:cs="宋体"/>
          <w:color w:val="auto"/>
          <w:szCs w:val="21"/>
          <w:highlight w:val="none"/>
          <w:u w:val="single"/>
        </w:rPr>
        <w:t>，同时将作为承包人信誉评价的不良行为，上报</w:t>
      </w:r>
      <w:r>
        <w:rPr>
          <w:rFonts w:hint="eastAsia" w:ascii="宋体" w:hAnsi="宋体" w:eastAsia="宋体" w:cs="宋体"/>
          <w:color w:val="auto"/>
          <w:szCs w:val="21"/>
          <w:highlight w:val="none"/>
          <w:u w:val="single"/>
          <w:lang w:val="en-US" w:eastAsia="zh-CN"/>
        </w:rPr>
        <w:t>行政</w:t>
      </w:r>
      <w:r>
        <w:rPr>
          <w:rFonts w:hint="eastAsia" w:ascii="宋体" w:hAnsi="宋体" w:eastAsia="宋体" w:cs="宋体"/>
          <w:color w:val="auto"/>
          <w:szCs w:val="21"/>
          <w:highlight w:val="none"/>
          <w:u w:val="single"/>
        </w:rPr>
        <w:t>主管部门。</w:t>
      </w:r>
    </w:p>
    <w:p w14:paraId="4EEE0B3C">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color w:val="auto"/>
          <w:szCs w:val="21"/>
          <w:highlight w:val="none"/>
          <w:u w:val="single"/>
        </w:rPr>
      </w:pPr>
      <w:r>
        <w:rPr>
          <w:rFonts w:hint="eastAsia" w:ascii="宋体" w:cs="宋体"/>
          <w:color w:val="auto"/>
          <w:szCs w:val="21"/>
          <w:highlight w:val="none"/>
        </w:rPr>
        <w:t>3.3.5承包人擅自更换主要施工管理人员的违约责任：</w:t>
      </w:r>
      <w:r>
        <w:rPr>
          <w:rFonts w:hint="eastAsia" w:ascii="宋体" w:cs="宋体"/>
          <w:color w:val="auto"/>
          <w:szCs w:val="21"/>
          <w:highlight w:val="none"/>
          <w:u w:val="single"/>
        </w:rPr>
        <w:t>按照未按规定在岗履责进行处罚。</w:t>
      </w:r>
    </w:p>
    <w:p w14:paraId="3A806AB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承包人主要施工管理人员擅自离开施工现场的违约责任：</w:t>
      </w:r>
      <w:r>
        <w:rPr>
          <w:rFonts w:hint="eastAsia" w:ascii="宋体" w:hAnsi="宋体" w:cs="宋体"/>
          <w:color w:val="auto"/>
          <w:highlight w:val="none"/>
          <w:u w:val="single"/>
        </w:rPr>
        <w:t xml:space="preserve"> </w:t>
      </w:r>
      <w:r>
        <w:rPr>
          <w:rFonts w:hint="eastAsia" w:ascii="宋体" w:hAnsi="宋体" w:cs="宋体"/>
          <w:color w:val="auto"/>
          <w:szCs w:val="21"/>
          <w:highlight w:val="none"/>
          <w:u w:val="single"/>
          <w:lang w:val="en-US" w:eastAsia="zh-CN"/>
        </w:rPr>
        <w:t>按照</w:t>
      </w:r>
      <w:r>
        <w:rPr>
          <w:rFonts w:hint="eastAsia" w:ascii="宋体" w:hAnsi="宋体" w:eastAsia="宋体" w:cs="宋体"/>
          <w:color w:val="auto"/>
          <w:szCs w:val="21"/>
          <w:highlight w:val="none"/>
          <w:u w:val="single"/>
        </w:rPr>
        <w:t>未按规定在岗履责进行处罚</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3603689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 分包</w:t>
      </w:r>
    </w:p>
    <w:p w14:paraId="75D5498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3.5.1 分包的一般约定</w:t>
      </w:r>
    </w:p>
    <w:p w14:paraId="179597DD">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禁止分包的工程包括：</w:t>
      </w:r>
      <w:r>
        <w:rPr>
          <w:rFonts w:hint="eastAsia" w:ascii="宋体" w:cs="宋体"/>
          <w:color w:val="auto"/>
          <w:szCs w:val="21"/>
          <w:highlight w:val="none"/>
          <w:u w:val="single"/>
        </w:rPr>
        <w:t>承包人不得将其承包的全部工程转包给第三人，或将其承包的全部工程肢解后以分包的名义转包给第三人。承包人不得将工程主体结构、关键性工作及合同条款中禁止分包的专业工程分包给第三人，主体结构、关键性工作的范围由合同当事人按照法律规定在专用合同条款中予以明确。</w:t>
      </w:r>
    </w:p>
    <w:p w14:paraId="1BD0FF18">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主体结构、关键性工作的范围：</w:t>
      </w:r>
      <w:r>
        <w:rPr>
          <w:rFonts w:hint="eastAsia" w:ascii="宋体" w:cs="宋体"/>
          <w:color w:val="auto"/>
          <w:szCs w:val="21"/>
          <w:highlight w:val="none"/>
          <w:u w:val="single"/>
        </w:rPr>
        <w:t>房建</w:t>
      </w:r>
      <w:r>
        <w:rPr>
          <w:rFonts w:hint="eastAsia" w:ascii="宋体" w:cs="宋体"/>
          <w:color w:val="auto"/>
          <w:szCs w:val="21"/>
          <w:highlight w:val="none"/>
          <w:u w:val="single"/>
          <w:lang w:eastAsia="zh-CN"/>
        </w:rPr>
        <w:t>、</w:t>
      </w:r>
      <w:r>
        <w:rPr>
          <w:rFonts w:hint="eastAsia" w:ascii="宋体" w:cs="宋体"/>
          <w:color w:val="auto"/>
          <w:szCs w:val="21"/>
          <w:highlight w:val="none"/>
          <w:u w:val="single"/>
        </w:rPr>
        <w:t>道路为主体结构</w:t>
      </w:r>
      <w:r>
        <w:rPr>
          <w:rFonts w:hint="eastAsia" w:ascii="宋体" w:cs="宋体"/>
          <w:color w:val="auto"/>
          <w:szCs w:val="21"/>
          <w:highlight w:val="none"/>
        </w:rPr>
        <w:t>。</w:t>
      </w:r>
    </w:p>
    <w:p w14:paraId="604036A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3.5.2分包的确定</w:t>
      </w:r>
    </w:p>
    <w:p w14:paraId="61D1440D">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允许分包的专业工程包括：</w:t>
      </w:r>
      <w:r>
        <w:rPr>
          <w:rFonts w:hint="eastAsia" w:ascii="宋体" w:cs="宋体"/>
          <w:color w:val="auto"/>
          <w:szCs w:val="21"/>
          <w:highlight w:val="none"/>
          <w:u w:val="single"/>
        </w:rPr>
        <w:t>主体结构、关键性工作的范围以外的专业工程。 承包人应按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0F098825">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其他关于分包的约定：</w:t>
      </w:r>
      <w:r>
        <w:rPr>
          <w:rFonts w:hint="eastAsia" w:ascii="宋体" w:cs="宋体"/>
          <w:color w:val="auto"/>
          <w:szCs w:val="21"/>
          <w:highlight w:val="none"/>
          <w:u w:val="single"/>
        </w:rPr>
        <w:t xml:space="preserve"> 承包人不得以劳务分包的名义转包或违法分包工程。</w:t>
      </w:r>
      <w:r>
        <w:rPr>
          <w:rFonts w:hint="eastAsia" w:ascii="宋体" w:hAnsi="宋体" w:cs="宋体"/>
          <w:b/>
          <w:bCs/>
          <w:color w:val="auto"/>
          <w:szCs w:val="21"/>
          <w:highlight w:val="none"/>
          <w:u w:val="single"/>
        </w:rPr>
        <w:t>发包人在施工进场第一个月或施工过程中发现承包人转包、挂靠等行为的，发包人立即解除合同，清退出场，承包人已完合格工程量按合同价款60%进行结算。</w:t>
      </w:r>
    </w:p>
    <w:p w14:paraId="6D539E9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3.5.4 分包合同价款</w:t>
      </w:r>
    </w:p>
    <w:p w14:paraId="2AB133F9">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关于分包合同价款支付的约定：</w:t>
      </w:r>
      <w:r>
        <w:rPr>
          <w:rFonts w:hint="eastAsia" w:ascii="宋体" w:cs="宋体"/>
          <w:color w:val="auto"/>
          <w:szCs w:val="21"/>
          <w:highlight w:val="none"/>
          <w:u w:val="single"/>
        </w:rPr>
        <w:t>（1）除本项第（2）目约定的情况外，分包合同价款由承包人与分包人结算，未经承包人同意，发包人不得向分包人支付分包工程价款；（2）生效法律文书要求发包人向分包人支付分包合同价款的，发包人有权从应付承包人工程款中扣除该部分款项</w:t>
      </w:r>
      <w:r>
        <w:rPr>
          <w:rFonts w:hint="eastAsia" w:ascii="宋体" w:cs="宋体"/>
          <w:color w:val="auto"/>
          <w:szCs w:val="21"/>
          <w:highlight w:val="none"/>
        </w:rPr>
        <w:t>。</w:t>
      </w:r>
    </w:p>
    <w:p w14:paraId="3890FC7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3.6 工程照管与成品、半成品保护</w:t>
      </w:r>
    </w:p>
    <w:p w14:paraId="2F3165FC">
      <w:pPr>
        <w:snapToGrid w:val="0"/>
        <w:spacing w:line="440" w:lineRule="exact"/>
        <w:ind w:firstLine="420" w:firstLineChars="200"/>
        <w:rPr>
          <w:rFonts w:hint="eastAsia" w:ascii="宋体" w:cs="宋体"/>
          <w:color w:val="auto"/>
          <w:kern w:val="0"/>
          <w:szCs w:val="21"/>
          <w:highlight w:val="none"/>
          <w:u w:val="single"/>
        </w:rPr>
      </w:pPr>
      <w:r>
        <w:rPr>
          <w:rFonts w:hint="eastAsia" w:ascii="宋体" w:cs="宋体"/>
          <w:color w:val="auto"/>
          <w:kern w:val="0"/>
          <w:szCs w:val="21"/>
          <w:highlight w:val="none"/>
        </w:rPr>
        <w:t>承包人负责照管工程及工程相关的材料、工程设备的起始时间：</w:t>
      </w:r>
      <w:r>
        <w:rPr>
          <w:rFonts w:hint="eastAsia" w:ascii="宋体" w:hAnsi="宋体" w:cs="宋体"/>
          <w:color w:val="auto"/>
          <w:szCs w:val="21"/>
          <w:highlight w:val="none"/>
          <w:u w:val="single"/>
        </w:rPr>
        <w:t>自发包人向承包人移交施工现场之日起，承包人应负责照管工程及工程相关的材料、工程设备，直到颁发工程</w:t>
      </w:r>
      <w:r>
        <w:rPr>
          <w:rFonts w:hint="eastAsia" w:ascii="宋体" w:hAnsi="宋体" w:cs="宋体"/>
          <w:color w:val="auto"/>
          <w:szCs w:val="21"/>
          <w:highlight w:val="none"/>
          <w:u w:val="single"/>
          <w:lang w:val="en-US" w:eastAsia="zh-CN"/>
        </w:rPr>
        <w:t>移交</w:t>
      </w:r>
      <w:r>
        <w:rPr>
          <w:rFonts w:hint="eastAsia" w:ascii="宋体" w:hAnsi="宋体" w:cs="宋体"/>
          <w:color w:val="auto"/>
          <w:szCs w:val="21"/>
          <w:highlight w:val="none"/>
          <w:u w:val="single"/>
        </w:rPr>
        <w:t>之</w:t>
      </w:r>
      <w:r>
        <w:rPr>
          <w:rFonts w:hint="eastAsia" w:ascii="宋体" w:hAnsi="宋体" w:cs="宋体"/>
          <w:color w:val="auto"/>
          <w:szCs w:val="21"/>
          <w:highlight w:val="none"/>
          <w:u w:val="single"/>
        </w:rPr>
        <w:t>日止</w:t>
      </w:r>
      <w:r>
        <w:rPr>
          <w:rFonts w:hint="eastAsia" w:ascii="宋体" w:cs="宋体"/>
          <w:color w:val="auto"/>
          <w:kern w:val="0"/>
          <w:szCs w:val="21"/>
          <w:highlight w:val="none"/>
          <w:u w:val="single"/>
        </w:rPr>
        <w:t>。</w:t>
      </w:r>
    </w:p>
    <w:p w14:paraId="7F366C5E">
      <w:pPr>
        <w:tabs>
          <w:tab w:val="left" w:pos="7740"/>
        </w:tabs>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3.7 履约担保</w:t>
      </w:r>
    </w:p>
    <w:p w14:paraId="214B02E2">
      <w:pPr>
        <w:tabs>
          <w:tab w:val="left" w:pos="7740"/>
        </w:tabs>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承包人是否提供履约担保：</w:t>
      </w:r>
      <w:r>
        <w:rPr>
          <w:rFonts w:hint="eastAsia" w:ascii="宋体" w:cs="宋体"/>
          <w:color w:val="auto"/>
          <w:szCs w:val="21"/>
          <w:highlight w:val="none"/>
          <w:u w:val="single"/>
        </w:rPr>
        <w:t xml:space="preserve"> </w:t>
      </w:r>
      <w:r>
        <w:rPr>
          <w:rFonts w:hint="eastAsia" w:ascii="宋体" w:hAnsi="宋体" w:cs="宋体"/>
          <w:color w:val="auto"/>
          <w:szCs w:val="21"/>
          <w:highlight w:val="none"/>
          <w:u w:val="single"/>
        </w:rPr>
        <w:t>提供</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683A46A0">
      <w:pPr>
        <w:tabs>
          <w:tab w:val="left" w:pos="7740"/>
        </w:tabs>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承包人提供履约担保的形式、金额及期限的：</w:t>
      </w:r>
      <w:r>
        <w:rPr>
          <w:rFonts w:hint="eastAsia" w:ascii="宋体" w:cs="宋体"/>
          <w:color w:val="auto"/>
          <w:szCs w:val="21"/>
          <w:highlight w:val="none"/>
          <w:lang w:val="en-US" w:eastAsia="zh-CN"/>
        </w:rPr>
        <w:t>具体要求详见投标人须知前附表</w:t>
      </w:r>
      <w:r>
        <w:rPr>
          <w:rFonts w:hint="eastAsia" w:ascii="宋体" w:cs="宋体"/>
          <w:color w:val="auto"/>
          <w:szCs w:val="21"/>
          <w:highlight w:val="none"/>
        </w:rPr>
        <w:t>。</w:t>
      </w:r>
    </w:p>
    <w:p w14:paraId="38296A20">
      <w:pPr>
        <w:tabs>
          <w:tab w:val="left" w:pos="7740"/>
        </w:tabs>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4. 监理人</w:t>
      </w:r>
    </w:p>
    <w:p w14:paraId="007344C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4.1监理人的一般规定</w:t>
      </w:r>
    </w:p>
    <w:p w14:paraId="09044A47">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关于监理人的监理内容：</w:t>
      </w:r>
      <w:r>
        <w:rPr>
          <w:rFonts w:hint="eastAsia" w:ascii="宋体" w:cs="宋体"/>
          <w:color w:val="auto"/>
          <w:szCs w:val="21"/>
          <w:highlight w:val="none"/>
          <w:u w:val="single"/>
        </w:rPr>
        <w:t xml:space="preserve">  详见监理合同 </w:t>
      </w:r>
      <w:r>
        <w:rPr>
          <w:rFonts w:hint="eastAsia" w:ascii="宋体" w:cs="宋体"/>
          <w:color w:val="auto"/>
          <w:szCs w:val="21"/>
          <w:highlight w:val="none"/>
        </w:rPr>
        <w:t>。</w:t>
      </w:r>
    </w:p>
    <w:p w14:paraId="7F62832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关于监理人的监理权限：</w:t>
      </w:r>
      <w:r>
        <w:rPr>
          <w:rFonts w:hint="eastAsia" w:ascii="宋体" w:cs="宋体"/>
          <w:color w:val="auto"/>
          <w:szCs w:val="21"/>
          <w:highlight w:val="none"/>
          <w:u w:val="single"/>
        </w:rPr>
        <w:t xml:space="preserve"> 发布开工令、停工令、复工令权；工程质量的监督权；工程上使用的材料和施工质量检验权、确认权；工程施工进度、安全的检查、监督权、发包人授权的处罚权；工程款支付的审核权；向承包人提出施工组织设计和技术方案的建议权；发包人和承包人间的组织协调的主持权；撤换不合格的工程建设分包单位和项目负责人及有关人员的建议权；分包单位资质及能力的审查权；等等  </w:t>
      </w:r>
      <w:r>
        <w:rPr>
          <w:rFonts w:hint="eastAsia" w:ascii="宋体" w:cs="宋体"/>
          <w:color w:val="auto"/>
          <w:szCs w:val="21"/>
          <w:highlight w:val="none"/>
        </w:rPr>
        <w:t xml:space="preserve">。 </w:t>
      </w:r>
    </w:p>
    <w:p w14:paraId="2993D52B">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关于监理人在施工现场的办公场所、生活场所的提供和费用承担的约定：</w:t>
      </w:r>
      <w:r>
        <w:rPr>
          <w:rFonts w:hint="eastAsia" w:ascii="宋体" w:cs="宋体"/>
          <w:color w:val="auto"/>
          <w:szCs w:val="21"/>
          <w:highlight w:val="none"/>
          <w:u w:val="single"/>
        </w:rPr>
        <w:t>办公场所由承包人提供和承担，生活场所由监理人自行解决和承担 。</w:t>
      </w:r>
    </w:p>
    <w:p w14:paraId="6874475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4.2 监理人员</w:t>
      </w:r>
    </w:p>
    <w:p w14:paraId="1A37E99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总监理工程师：</w:t>
      </w:r>
    </w:p>
    <w:p w14:paraId="4683FF8C">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姓    名：</w:t>
      </w:r>
      <w:r>
        <w:rPr>
          <w:rFonts w:hint="eastAsia" w:ascii="宋体" w:cs="宋体"/>
          <w:color w:val="auto"/>
          <w:szCs w:val="21"/>
          <w:highlight w:val="none"/>
          <w:u w:val="single"/>
        </w:rPr>
        <w:t>   </w:t>
      </w:r>
      <w:r>
        <w:rPr>
          <w:rFonts w:hint="eastAsia" w:ascii="宋体" w:cs="宋体"/>
          <w:color w:val="auto"/>
          <w:szCs w:val="21"/>
          <w:highlight w:val="none"/>
        </w:rPr>
        <w:t>；</w:t>
      </w:r>
    </w:p>
    <w:p w14:paraId="5904DAFE">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职    务：</w:t>
      </w:r>
      <w:r>
        <w:rPr>
          <w:rFonts w:hint="eastAsia" w:ascii="宋体" w:cs="宋体"/>
          <w:color w:val="auto"/>
          <w:szCs w:val="21"/>
          <w:highlight w:val="none"/>
          <w:u w:val="single"/>
        </w:rPr>
        <w:t>   </w:t>
      </w:r>
      <w:r>
        <w:rPr>
          <w:rFonts w:hint="eastAsia" w:ascii="宋体" w:cs="宋体"/>
          <w:color w:val="auto"/>
          <w:szCs w:val="21"/>
          <w:highlight w:val="none"/>
        </w:rPr>
        <w:t>；</w:t>
      </w:r>
    </w:p>
    <w:p w14:paraId="58C9F6F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监理工程师执业资格证书号：</w:t>
      </w:r>
      <w:r>
        <w:rPr>
          <w:rFonts w:hint="eastAsia" w:ascii="宋体" w:cs="宋体"/>
          <w:color w:val="auto"/>
          <w:szCs w:val="21"/>
          <w:highlight w:val="none"/>
          <w:u w:val="single"/>
        </w:rPr>
        <w:t> </w:t>
      </w:r>
      <w:r>
        <w:rPr>
          <w:rFonts w:hint="eastAsia" w:ascii="宋体" w:cs="宋体"/>
          <w:color w:val="auto"/>
          <w:szCs w:val="21"/>
          <w:highlight w:val="none"/>
        </w:rPr>
        <w:t>；</w:t>
      </w:r>
    </w:p>
    <w:p w14:paraId="56E09ED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 </w:t>
      </w:r>
      <w:r>
        <w:rPr>
          <w:rFonts w:hint="eastAsia" w:ascii="宋体" w:cs="宋体"/>
          <w:color w:val="auto"/>
          <w:szCs w:val="21"/>
          <w:highlight w:val="none"/>
        </w:rPr>
        <w:t>；</w:t>
      </w:r>
    </w:p>
    <w:p w14:paraId="44319910">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 </w:t>
      </w:r>
      <w:r>
        <w:rPr>
          <w:rFonts w:hint="eastAsia" w:ascii="宋体" w:cs="宋体"/>
          <w:color w:val="auto"/>
          <w:szCs w:val="21"/>
          <w:highlight w:val="none"/>
        </w:rPr>
        <w:t>；</w:t>
      </w:r>
    </w:p>
    <w:p w14:paraId="7B91E09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 </w:t>
      </w:r>
      <w:r>
        <w:rPr>
          <w:rFonts w:hint="eastAsia" w:ascii="宋体" w:cs="宋体"/>
          <w:color w:val="auto"/>
          <w:szCs w:val="21"/>
          <w:highlight w:val="none"/>
        </w:rPr>
        <w:t>；</w:t>
      </w:r>
    </w:p>
    <w:p w14:paraId="7C3A346F">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关于监理人的其他约定：</w:t>
      </w:r>
      <w:r>
        <w:rPr>
          <w:rFonts w:hint="eastAsia" w:ascii="宋体" w:cs="宋体"/>
          <w:color w:val="auto"/>
          <w:szCs w:val="21"/>
          <w:highlight w:val="none"/>
          <w:u w:val="single"/>
        </w:rPr>
        <w:t>   </w:t>
      </w:r>
      <w:r>
        <w:rPr>
          <w:rFonts w:hint="eastAsia" w:ascii="宋体" w:cs="宋体"/>
          <w:color w:val="auto"/>
          <w:szCs w:val="21"/>
          <w:highlight w:val="none"/>
        </w:rPr>
        <w:t>。</w:t>
      </w:r>
    </w:p>
    <w:p w14:paraId="436AC60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4.4 商定或确定</w:t>
      </w:r>
    </w:p>
    <w:p w14:paraId="25D9F5A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在发包人和承包人不能通过协商达成一致意见时，发包人授权监理人对以下事项进行确定：</w:t>
      </w:r>
    </w:p>
    <w:p w14:paraId="5D80E276">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w:t>
      </w:r>
      <w:r>
        <w:rPr>
          <w:rFonts w:hint="eastAsia" w:ascii="宋体" w:cs="宋体"/>
          <w:color w:val="auto"/>
          <w:szCs w:val="21"/>
          <w:highlight w:val="none"/>
          <w:u w:val="single"/>
        </w:rPr>
        <w:t xml:space="preserve">   施工方案    </w:t>
      </w:r>
      <w:r>
        <w:rPr>
          <w:rFonts w:hint="eastAsia" w:ascii="宋体" w:cs="宋体"/>
          <w:color w:val="auto"/>
          <w:szCs w:val="21"/>
          <w:highlight w:val="none"/>
        </w:rPr>
        <w:t>；</w:t>
      </w:r>
    </w:p>
    <w:p w14:paraId="47EE63B8">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w:t>
      </w:r>
      <w:r>
        <w:rPr>
          <w:rFonts w:hint="eastAsia" w:ascii="宋体" w:cs="宋体"/>
          <w:color w:val="auto"/>
          <w:szCs w:val="21"/>
          <w:highlight w:val="none"/>
          <w:u w:val="single"/>
        </w:rPr>
        <w:t xml:space="preserve">   索赔事项等    </w:t>
      </w:r>
      <w:r>
        <w:rPr>
          <w:rFonts w:hint="eastAsia" w:ascii="宋体" w:cs="宋体"/>
          <w:color w:val="auto"/>
          <w:szCs w:val="21"/>
          <w:highlight w:val="none"/>
        </w:rPr>
        <w:t>；</w:t>
      </w:r>
    </w:p>
    <w:p w14:paraId="0B4B73F6">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5. 工程质量</w:t>
      </w:r>
    </w:p>
    <w:p w14:paraId="725B46F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5.1 质量要求</w:t>
      </w:r>
    </w:p>
    <w:p w14:paraId="7F8BE9EA">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5.1.1 特殊质量标准和要求：</w:t>
      </w:r>
      <w:r>
        <w:rPr>
          <w:rFonts w:hint="eastAsia" w:ascii="宋体" w:cs="宋体"/>
          <w:color w:val="auto"/>
          <w:szCs w:val="21"/>
          <w:highlight w:val="none"/>
          <w:u w:val="single"/>
        </w:rPr>
        <w:t xml:space="preserve"> 工程质量必须达到国家工程施工质量验收 合格 标准。 </w:t>
      </w:r>
    </w:p>
    <w:p w14:paraId="52928622">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关于工程奖项的约定：</w:t>
      </w:r>
      <w:r>
        <w:rPr>
          <w:rFonts w:hint="eastAsia" w:ascii="宋体" w:cs="宋体"/>
          <w:color w:val="auto"/>
          <w:szCs w:val="21"/>
          <w:highlight w:val="none"/>
          <w:u w:val="single"/>
        </w:rPr>
        <w:t xml:space="preserve"> / </w:t>
      </w:r>
      <w:r>
        <w:rPr>
          <w:rFonts w:hint="eastAsia" w:ascii="宋体" w:cs="宋体"/>
          <w:color w:val="auto"/>
          <w:szCs w:val="21"/>
          <w:highlight w:val="none"/>
        </w:rPr>
        <w:t>。</w:t>
      </w:r>
    </w:p>
    <w:p w14:paraId="36944099">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color w:val="auto"/>
          <w:szCs w:val="21"/>
          <w:highlight w:val="none"/>
        </w:rPr>
      </w:pPr>
      <w:r>
        <w:rPr>
          <w:rFonts w:hint="eastAsia" w:ascii="宋体" w:cs="宋体"/>
          <w:color w:val="auto"/>
          <w:szCs w:val="21"/>
          <w:highlight w:val="none"/>
        </w:rPr>
        <w:t>5.3 隐蔽工程检查</w:t>
      </w:r>
    </w:p>
    <w:p w14:paraId="749E1B7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szCs w:val="21"/>
          <w:highlight w:val="none"/>
          <w:u w:val="single"/>
          <w:lang w:eastAsia="zh-CN"/>
        </w:rPr>
      </w:pPr>
      <w:r>
        <w:rPr>
          <w:rFonts w:hint="eastAsia" w:ascii="宋体" w:hAnsi="宋体" w:cs="宋体"/>
          <w:color w:val="auto"/>
          <w:highlight w:val="none"/>
        </w:rPr>
        <w:t>5.3.2 承包人提前通知监理人隐蔽工程检查的期限的约定：</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rPr>
        <w:t>工程隐蔽部位经承包人自检确认具备覆盖条件的，承包人应在共同检查前6小时书面通知监理人检查，通知中应载明隐蔽检查的内容、时间和地点，并应附有自检记录和必要的检查资料</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包含不限于影像等相关资料</w:t>
      </w:r>
      <w:r>
        <w:rPr>
          <w:rFonts w:hint="eastAsia" w:ascii="宋体" w:hAnsi="宋体" w:eastAsia="宋体" w:cs="宋体"/>
          <w:color w:val="auto"/>
          <w:szCs w:val="21"/>
          <w:highlight w:val="none"/>
          <w:u w:val="single"/>
          <w:lang w:eastAsia="zh-CN"/>
        </w:rPr>
        <w:t>）。</w:t>
      </w:r>
    </w:p>
    <w:p w14:paraId="0C38704B">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4B4DE38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highlight w:val="none"/>
          <w:u w:val="single"/>
        </w:rPr>
      </w:pPr>
      <w:r>
        <w:rPr>
          <w:rFonts w:hint="eastAsia" w:ascii="宋体" w:hAnsi="宋体" w:eastAsia="宋体" w:cs="宋体"/>
          <w:color w:val="auto"/>
          <w:szCs w:val="21"/>
          <w:highlight w:val="none"/>
          <w:u w:val="single"/>
        </w:rPr>
        <w:t>监理人不能按时进行检查的，应在检查前3小时向承包人提交书面延期要求，但延期不能超过6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r>
        <w:rPr>
          <w:rFonts w:hint="eastAsia" w:ascii="宋体" w:hAnsi="宋体" w:cs="宋体"/>
          <w:color w:val="auto"/>
          <w:szCs w:val="21"/>
          <w:highlight w:val="none"/>
          <w:u w:val="single"/>
        </w:rPr>
        <w:t xml:space="preserve">  </w:t>
      </w:r>
      <w:r>
        <w:rPr>
          <w:rFonts w:hint="eastAsia" w:ascii="宋体" w:hAnsi="宋体" w:cs="宋体"/>
          <w:color w:val="auto"/>
          <w:highlight w:val="none"/>
        </w:rPr>
        <w:t>。</w:t>
      </w:r>
    </w:p>
    <w:p w14:paraId="63C243DF">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监理人不能按时进行检查时，应提前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 xml:space="preserve"> </w:t>
      </w:r>
      <w:r>
        <w:rPr>
          <w:rFonts w:hint="eastAsia" w:ascii="宋体" w:hAnsi="宋体" w:cs="宋体"/>
          <w:color w:val="auto"/>
          <w:highlight w:val="none"/>
        </w:rPr>
        <w:t>小时提交书面延期要求。</w:t>
      </w:r>
    </w:p>
    <w:p w14:paraId="1A5BDEE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关于延期最长不得超过：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 xml:space="preserve"> </w:t>
      </w:r>
      <w:r>
        <w:rPr>
          <w:rFonts w:hint="eastAsia" w:ascii="宋体" w:hAnsi="宋体" w:cs="宋体"/>
          <w:color w:val="auto"/>
          <w:highlight w:val="none"/>
        </w:rPr>
        <w:t>小时。</w:t>
      </w:r>
    </w:p>
    <w:p w14:paraId="1F4986B0">
      <w:pPr>
        <w:pStyle w:val="5"/>
        <w:tabs>
          <w:tab w:val="left" w:pos="3315"/>
        </w:tabs>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6. 安全文明施工与环境保护</w:t>
      </w:r>
      <w:r>
        <w:rPr>
          <w:rFonts w:hint="eastAsia" w:ascii="宋体" w:eastAsia="宋体" w:cs="宋体"/>
          <w:b w:val="0"/>
          <w:color w:val="auto"/>
          <w:sz w:val="21"/>
          <w:szCs w:val="21"/>
          <w:highlight w:val="none"/>
        </w:rPr>
        <w:tab/>
      </w:r>
    </w:p>
    <w:p w14:paraId="09FD88B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6.1安全文明施工</w:t>
      </w:r>
    </w:p>
    <w:p w14:paraId="7B5AA553">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6.1.1 项目安全生产的达标目标及相应事项的约定</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 xml:space="preserve">    。</w:t>
      </w:r>
    </w:p>
    <w:p w14:paraId="4907B10C">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6.1.4 关于治安保卫的特别约定：</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 xml:space="preserve">     </w:t>
      </w:r>
      <w:r>
        <w:rPr>
          <w:rFonts w:hint="eastAsia" w:ascii="宋体" w:cs="宋体"/>
          <w:color w:val="auto"/>
          <w:szCs w:val="21"/>
          <w:highlight w:val="none"/>
          <w:u w:val="single"/>
        </w:rPr>
        <w:t>。</w:t>
      </w:r>
    </w:p>
    <w:p w14:paraId="75767E2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关于编制施工场地治安管理计划的约定：</w:t>
      </w:r>
      <w:r>
        <w:rPr>
          <w:rFonts w:hint="eastAsia" w:ascii="宋体" w:cs="宋体"/>
          <w:color w:val="auto"/>
          <w:szCs w:val="21"/>
          <w:highlight w:val="none"/>
          <w:u w:val="single"/>
        </w:rPr>
        <w:t xml:space="preserve">   由承包人负责       </w:t>
      </w:r>
      <w:r>
        <w:rPr>
          <w:rFonts w:hint="eastAsia" w:ascii="宋体" w:cs="宋体"/>
          <w:color w:val="auto"/>
          <w:szCs w:val="21"/>
          <w:highlight w:val="none"/>
        </w:rPr>
        <w:t>。</w:t>
      </w:r>
    </w:p>
    <w:p w14:paraId="471254C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6.1.5 文明施工</w:t>
      </w:r>
    </w:p>
    <w:p w14:paraId="531A3B2F">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合同当事人对文明施工的要求：</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w:t>
      </w:r>
    </w:p>
    <w:p w14:paraId="2873FDB8">
      <w:pPr>
        <w:snapToGrid w:val="0"/>
        <w:spacing w:line="440" w:lineRule="exact"/>
        <w:ind w:firstLine="420" w:firstLineChars="200"/>
        <w:jc w:val="left"/>
        <w:rPr>
          <w:rFonts w:hint="eastAsia" w:ascii="宋体" w:hAnsi="宋体" w:cs="宋体"/>
          <w:bCs/>
          <w:color w:val="auto"/>
          <w:szCs w:val="21"/>
          <w:highlight w:val="none"/>
          <w:u w:val="single"/>
        </w:rPr>
      </w:pPr>
      <w:r>
        <w:rPr>
          <w:rFonts w:hint="eastAsia" w:ascii="宋体" w:hAnsi="宋体" w:cs="宋体"/>
          <w:bCs/>
          <w:color w:val="auto"/>
          <w:szCs w:val="21"/>
          <w:highlight w:val="none"/>
        </w:rPr>
        <w:t>6.1.6 关于安全文明施工费支付比例和支付期限的约定：</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w:t>
      </w:r>
    </w:p>
    <w:p w14:paraId="7B42C225">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7. 工期和进度</w:t>
      </w:r>
    </w:p>
    <w:p w14:paraId="31B76BC6">
      <w:pPr>
        <w:tabs>
          <w:tab w:val="left" w:pos="3240"/>
        </w:tabs>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7.1 施工组织设计</w:t>
      </w:r>
      <w:r>
        <w:rPr>
          <w:rFonts w:hint="eastAsia" w:ascii="宋体" w:cs="宋体"/>
          <w:color w:val="auto"/>
          <w:szCs w:val="21"/>
          <w:highlight w:val="none"/>
        </w:rPr>
        <w:tab/>
      </w:r>
    </w:p>
    <w:p w14:paraId="7C6BE0DC">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7.1.1 （9）合</w:t>
      </w:r>
      <w:r>
        <w:rPr>
          <w:rFonts w:hint="eastAsia" w:ascii="宋体" w:cs="宋体"/>
          <w:color w:val="auto"/>
          <w:kern w:val="0"/>
          <w:szCs w:val="21"/>
          <w:highlight w:val="none"/>
        </w:rPr>
        <w:t>同当事人约定的施工组织设计应包括的其他内容：</w:t>
      </w:r>
      <w:r>
        <w:rPr>
          <w:rFonts w:hint="eastAsia" w:ascii="宋体" w:cs="宋体"/>
          <w:color w:val="auto"/>
          <w:szCs w:val="21"/>
          <w:highlight w:val="none"/>
          <w:u w:val="single"/>
        </w:rPr>
        <w:t xml:space="preserve"> </w:t>
      </w:r>
      <w:r>
        <w:rPr>
          <w:rFonts w:hint="eastAsia" w:ascii="宋体" w:hAnsi="宋体" w:cs="宋体"/>
          <w:color w:val="auto"/>
          <w:szCs w:val="21"/>
          <w:highlight w:val="none"/>
          <w:u w:val="single"/>
        </w:rPr>
        <w:t>总进度计划须含网络图、横道图</w:t>
      </w:r>
      <w:r>
        <w:rPr>
          <w:rFonts w:hint="eastAsia" w:ascii="宋体" w:cs="宋体"/>
          <w:color w:val="auto"/>
          <w:szCs w:val="21"/>
          <w:highlight w:val="none"/>
          <w:u w:val="single"/>
        </w:rPr>
        <w:t xml:space="preserve">  </w:t>
      </w:r>
      <w:r>
        <w:rPr>
          <w:rFonts w:hint="eastAsia" w:ascii="宋体" w:cs="宋体"/>
          <w:color w:val="auto"/>
          <w:szCs w:val="21"/>
          <w:highlight w:val="none"/>
        </w:rPr>
        <w:t>。</w:t>
      </w:r>
    </w:p>
    <w:p w14:paraId="447E4154">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szCs w:val="21"/>
          <w:highlight w:val="none"/>
        </w:rPr>
        <w:t xml:space="preserve">7.1.2 </w:t>
      </w:r>
      <w:r>
        <w:rPr>
          <w:rFonts w:hint="eastAsia" w:ascii="宋体" w:cs="宋体"/>
          <w:color w:val="auto"/>
          <w:kern w:val="0"/>
          <w:szCs w:val="21"/>
          <w:highlight w:val="none"/>
        </w:rPr>
        <w:t>施工组织设计的提交和修改</w:t>
      </w:r>
    </w:p>
    <w:p w14:paraId="34820E1B">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承包人提交详细施工组织设计的期限的约定：</w:t>
      </w:r>
      <w:r>
        <w:rPr>
          <w:rFonts w:hint="eastAsia" w:ascii="宋体" w:cs="宋体"/>
          <w:color w:val="auto"/>
          <w:szCs w:val="21"/>
          <w:highlight w:val="none"/>
          <w:u w:val="single"/>
        </w:rPr>
        <w:t xml:space="preserve">图纸会审及设计交底后一周内提供标后实施性施工组织设计 </w:t>
      </w:r>
      <w:r>
        <w:rPr>
          <w:rFonts w:hint="eastAsia" w:ascii="宋体" w:cs="宋体"/>
          <w:color w:val="auto"/>
          <w:szCs w:val="21"/>
          <w:highlight w:val="none"/>
        </w:rPr>
        <w:t>。</w:t>
      </w:r>
    </w:p>
    <w:p w14:paraId="1D955992">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发包人和监理人在收到详细的施工组织设计后确认或提出修改意见的期限：</w:t>
      </w:r>
      <w:r>
        <w:rPr>
          <w:rFonts w:hint="eastAsia" w:ascii="宋体" w:cs="宋体"/>
          <w:color w:val="auto"/>
          <w:szCs w:val="21"/>
          <w:highlight w:val="none"/>
          <w:u w:val="single"/>
        </w:rPr>
        <w:t>发包人和监理人应在</w:t>
      </w:r>
      <w:r>
        <w:rPr>
          <w:rFonts w:hint="eastAsia" w:ascii="宋体" w:hAnsi="Times New Roman" w:eastAsia="宋体" w:cs="宋体"/>
          <w:color w:val="auto"/>
          <w:szCs w:val="21"/>
          <w:highlight w:val="none"/>
          <w:u w:val="single"/>
        </w:rPr>
        <w:t>监理人</w:t>
      </w:r>
      <w:r>
        <w:rPr>
          <w:rFonts w:hint="eastAsia" w:ascii="宋体" w:cs="宋体"/>
          <w:color w:val="auto"/>
          <w:szCs w:val="21"/>
          <w:highlight w:val="none"/>
          <w:u w:val="single"/>
        </w:rPr>
        <w:t>收到施工组织设计后7天内确认或提出修改意见。对发包人和</w:t>
      </w:r>
      <w:r>
        <w:rPr>
          <w:rFonts w:hint="eastAsia" w:ascii="宋体" w:hAnsi="Times New Roman" w:eastAsia="宋体" w:cs="宋体"/>
          <w:color w:val="auto"/>
          <w:szCs w:val="21"/>
          <w:highlight w:val="none"/>
          <w:u w:val="single"/>
        </w:rPr>
        <w:t>监理人</w:t>
      </w:r>
      <w:r>
        <w:rPr>
          <w:rFonts w:hint="eastAsia" w:ascii="宋体" w:cs="宋体"/>
          <w:color w:val="auto"/>
          <w:szCs w:val="21"/>
          <w:highlight w:val="none"/>
          <w:u w:val="single"/>
        </w:rPr>
        <w:t>提出的合理意见和要求，承包人应自费修改完善。根据工程实际情况需要修改施工组织设计的，承包人应向发包人和</w:t>
      </w:r>
      <w:r>
        <w:rPr>
          <w:rFonts w:hint="eastAsia" w:ascii="宋体" w:hAnsi="Times New Roman" w:eastAsia="宋体" w:cs="宋体"/>
          <w:color w:val="auto"/>
          <w:szCs w:val="21"/>
          <w:highlight w:val="none"/>
          <w:u w:val="single"/>
        </w:rPr>
        <w:t>监理人</w:t>
      </w:r>
      <w:r>
        <w:rPr>
          <w:rFonts w:hint="eastAsia" w:ascii="宋体" w:cs="宋体"/>
          <w:color w:val="auto"/>
          <w:szCs w:val="21"/>
          <w:highlight w:val="none"/>
          <w:u w:val="single"/>
        </w:rPr>
        <w:t>提交修改</w:t>
      </w:r>
      <w:r>
        <w:rPr>
          <w:rFonts w:hint="eastAsia" w:ascii="宋体" w:cs="宋体"/>
          <w:color w:val="auto"/>
          <w:szCs w:val="21"/>
          <w:highlight w:val="none"/>
          <w:u w:val="single"/>
        </w:rPr>
        <w:t>后的施工组织设计。</w:t>
      </w:r>
    </w:p>
    <w:p w14:paraId="58C5261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7.2 施工进度计划</w:t>
      </w:r>
    </w:p>
    <w:p w14:paraId="2B31F98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7.2.2 施工进度计划的修订</w:t>
      </w:r>
    </w:p>
    <w:p w14:paraId="670071B5">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发包人</w:t>
      </w:r>
      <w:r>
        <w:rPr>
          <w:rFonts w:hint="eastAsia" w:ascii="宋体" w:cs="宋体"/>
          <w:color w:val="auto"/>
          <w:szCs w:val="21"/>
          <w:highlight w:val="none"/>
        </w:rPr>
        <w:t>和</w:t>
      </w:r>
      <w:r>
        <w:rPr>
          <w:rFonts w:hint="eastAsia" w:ascii="宋体" w:hAnsi="Times New Roman" w:eastAsia="宋体" w:cs="宋体"/>
          <w:color w:val="auto"/>
          <w:szCs w:val="21"/>
          <w:highlight w:val="none"/>
          <w:u w:val="single"/>
        </w:rPr>
        <w:t>监理人</w:t>
      </w:r>
      <w:r>
        <w:rPr>
          <w:rFonts w:hint="eastAsia" w:ascii="宋体" w:cs="宋体"/>
          <w:color w:val="auto"/>
          <w:szCs w:val="21"/>
          <w:highlight w:val="none"/>
        </w:rPr>
        <w:t>在收到修订的施工进度计划后确认或提出修改意见的期限：</w:t>
      </w:r>
      <w:r>
        <w:rPr>
          <w:rFonts w:hint="eastAsia" w:ascii="宋体" w:cs="宋体"/>
          <w:color w:val="auto"/>
          <w:szCs w:val="21"/>
          <w:highlight w:val="none"/>
          <w:u w:val="single"/>
        </w:rPr>
        <w:t>发包人和</w:t>
      </w:r>
      <w:r>
        <w:rPr>
          <w:rFonts w:hint="eastAsia" w:ascii="宋体" w:hAnsi="Times New Roman" w:eastAsia="宋体" w:cs="宋体"/>
          <w:color w:val="auto"/>
          <w:szCs w:val="21"/>
          <w:highlight w:val="none"/>
          <w:u w:val="single"/>
        </w:rPr>
        <w:t>监理人</w:t>
      </w:r>
      <w:r>
        <w:rPr>
          <w:rFonts w:hint="eastAsia" w:ascii="宋体" w:cs="宋体"/>
          <w:color w:val="auto"/>
          <w:szCs w:val="21"/>
          <w:highlight w:val="none"/>
          <w:u w:val="single"/>
        </w:rPr>
        <w:t>应在收到修订的施工进度计划后7天内完成审核和批准或提出修改意见。发包人和</w:t>
      </w:r>
      <w:r>
        <w:rPr>
          <w:rFonts w:hint="eastAsia" w:ascii="宋体" w:hAnsi="Times New Roman" w:eastAsia="宋体" w:cs="宋体"/>
          <w:color w:val="auto"/>
          <w:szCs w:val="21"/>
          <w:highlight w:val="none"/>
          <w:u w:val="single"/>
        </w:rPr>
        <w:t>监理人</w:t>
      </w:r>
      <w:r>
        <w:rPr>
          <w:rFonts w:hint="eastAsia" w:ascii="宋体" w:cs="宋体"/>
          <w:color w:val="auto"/>
          <w:szCs w:val="21"/>
          <w:highlight w:val="none"/>
          <w:u w:val="single"/>
        </w:rPr>
        <w:t>对承包人提交的施工进度计划的确认，不能减轻或免除承包人根据法律规定和合同约定应承担的任何责任或义务。承包人必须按照批准的进度计划组织施工，接受发包人对进度的检查、监督，工程实际进展与进度计划不符时，应提供修改，调整后的进度计划及相应的措施报发包人批准后执行。</w:t>
      </w:r>
    </w:p>
    <w:p w14:paraId="6298089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7.3 开工</w:t>
      </w:r>
    </w:p>
    <w:p w14:paraId="2B2F126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7.3.1 开工准备</w:t>
      </w:r>
    </w:p>
    <w:p w14:paraId="7A11D914">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关于承包人</w:t>
      </w:r>
      <w:r>
        <w:rPr>
          <w:rFonts w:hint="eastAsia" w:ascii="宋体" w:cs="宋体"/>
          <w:color w:val="auto"/>
          <w:szCs w:val="21"/>
          <w:highlight w:val="none"/>
        </w:rPr>
        <w:t>提交</w:t>
      </w:r>
      <w:r>
        <w:rPr>
          <w:rFonts w:hint="eastAsia" w:ascii="宋体" w:cs="宋体"/>
          <w:color w:val="auto"/>
          <w:kern w:val="0"/>
          <w:szCs w:val="21"/>
          <w:highlight w:val="none"/>
        </w:rPr>
        <w:t>工程开工报审表的期限：</w:t>
      </w:r>
      <w:r>
        <w:rPr>
          <w:rFonts w:hint="eastAsia" w:ascii="宋体" w:cs="宋体"/>
          <w:color w:val="auto"/>
          <w:szCs w:val="21"/>
          <w:highlight w:val="none"/>
          <w:u w:val="single"/>
        </w:rPr>
        <w:t xml:space="preserve"> 承包人应按照第7.1款〔施工组织设计〕约定的期限，向</w:t>
      </w:r>
      <w:r>
        <w:rPr>
          <w:rFonts w:hint="eastAsia" w:ascii="宋体" w:hAnsi="Times New Roman" w:eastAsia="宋体" w:cs="宋体"/>
          <w:color w:val="auto"/>
          <w:szCs w:val="21"/>
          <w:highlight w:val="none"/>
          <w:u w:val="single"/>
        </w:rPr>
        <w:t>监理人</w:t>
      </w:r>
      <w:r>
        <w:rPr>
          <w:rFonts w:hint="eastAsia" w:ascii="宋体" w:cs="宋体"/>
          <w:color w:val="auto"/>
          <w:szCs w:val="21"/>
          <w:highlight w:val="none"/>
          <w:u w:val="single"/>
        </w:rPr>
        <w:t>提交工程开工报审表，经</w:t>
      </w:r>
      <w:r>
        <w:rPr>
          <w:rFonts w:hint="eastAsia" w:ascii="宋体" w:hAnsi="Times New Roman" w:eastAsia="宋体" w:cs="宋体"/>
          <w:color w:val="auto"/>
          <w:szCs w:val="21"/>
          <w:highlight w:val="none"/>
          <w:u w:val="single"/>
        </w:rPr>
        <w:t>监理人</w:t>
      </w:r>
      <w:r>
        <w:rPr>
          <w:rFonts w:hint="eastAsia" w:ascii="宋体" w:cs="宋体"/>
          <w:color w:val="auto"/>
          <w:szCs w:val="21"/>
          <w:highlight w:val="none"/>
          <w:u w:val="single"/>
        </w:rPr>
        <w:t>报发包人批准后执行。开工报审表应详细说明按施工进度计划正常施工所需的施工道路、临时设施、材料、工程设备、施工设备、施工人员等落实情况以及工程的进度安排。</w:t>
      </w:r>
    </w:p>
    <w:p w14:paraId="53B6030B">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关于承包人应完成的其他开工准备工作及期限：</w:t>
      </w:r>
      <w:r>
        <w:rPr>
          <w:rFonts w:hint="eastAsia" w:ascii="宋体" w:cs="宋体"/>
          <w:color w:val="auto"/>
          <w:szCs w:val="21"/>
          <w:highlight w:val="none"/>
          <w:u w:val="single"/>
        </w:rPr>
        <w:t>合同当事人应按约定完成开工准备工作。</w:t>
      </w:r>
    </w:p>
    <w:p w14:paraId="5801877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7.3.2开工通知</w:t>
      </w:r>
    </w:p>
    <w:p w14:paraId="1D19E8A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因发包人原因造成</w:t>
      </w:r>
      <w:r>
        <w:rPr>
          <w:rFonts w:hint="eastAsia" w:ascii="宋体" w:hAnsi="Times New Roman" w:eastAsia="宋体" w:cs="宋体"/>
          <w:color w:val="auto"/>
          <w:szCs w:val="21"/>
          <w:highlight w:val="none"/>
          <w:u w:val="single"/>
        </w:rPr>
        <w:t>监理人</w:t>
      </w:r>
      <w:r>
        <w:rPr>
          <w:rFonts w:hint="eastAsia" w:ascii="宋体" w:cs="宋体"/>
          <w:color w:val="auto"/>
          <w:szCs w:val="21"/>
          <w:highlight w:val="none"/>
        </w:rPr>
        <w:t>未能在计划开工日期之日起</w:t>
      </w:r>
      <w:r>
        <w:rPr>
          <w:rFonts w:hint="eastAsia" w:ascii="宋体" w:cs="宋体"/>
          <w:color w:val="auto"/>
          <w:szCs w:val="21"/>
          <w:highlight w:val="none"/>
          <w:u w:val="single"/>
        </w:rPr>
        <w:t xml:space="preserve">  90  </w:t>
      </w:r>
      <w:r>
        <w:rPr>
          <w:rFonts w:hint="eastAsia" w:ascii="宋体" w:cs="宋体"/>
          <w:color w:val="auto"/>
          <w:szCs w:val="21"/>
          <w:highlight w:val="none"/>
        </w:rPr>
        <w:t>天内发出开工通知的，承包人有权提出价格调整要求，或者解除合同。</w:t>
      </w:r>
    </w:p>
    <w:p w14:paraId="4256453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7.4 测量放线</w:t>
      </w:r>
    </w:p>
    <w:p w14:paraId="72BAFC92">
      <w:pPr>
        <w:snapToGrid w:val="0"/>
        <w:spacing w:line="440" w:lineRule="exact"/>
        <w:ind w:firstLine="420" w:firstLineChars="200"/>
        <w:jc w:val="left"/>
        <w:rPr>
          <w:rFonts w:hint="eastAsia" w:ascii="宋体" w:hAnsi="宋体" w:cs="宋体"/>
          <w:color w:val="auto"/>
          <w:highlight w:val="none"/>
        </w:rPr>
      </w:pPr>
      <w:r>
        <w:rPr>
          <w:rFonts w:hint="eastAsia" w:ascii="宋体" w:cs="宋体"/>
          <w:color w:val="auto"/>
          <w:szCs w:val="21"/>
          <w:highlight w:val="none"/>
        </w:rPr>
        <w:t>7.4.1发包人通过</w:t>
      </w:r>
      <w:r>
        <w:rPr>
          <w:rFonts w:hint="eastAsia" w:ascii="宋体" w:hAnsi="Times New Roman" w:eastAsia="宋体" w:cs="宋体"/>
          <w:color w:val="auto"/>
          <w:szCs w:val="21"/>
          <w:highlight w:val="none"/>
          <w:u w:val="single"/>
        </w:rPr>
        <w:t>监理人</w:t>
      </w:r>
      <w:r>
        <w:rPr>
          <w:rFonts w:hint="eastAsia" w:ascii="宋体" w:cs="宋体"/>
          <w:color w:val="auto"/>
          <w:szCs w:val="21"/>
          <w:highlight w:val="none"/>
        </w:rPr>
        <w:t>向承包人提供测量基准点、基准线和水准点及其书面资料的期限：</w:t>
      </w:r>
      <w:r>
        <w:rPr>
          <w:rFonts w:hint="eastAsia" w:ascii="宋体" w:cs="宋体"/>
          <w:color w:val="auto"/>
          <w:szCs w:val="21"/>
          <w:highlight w:val="none"/>
          <w:u w:val="single"/>
        </w:rPr>
        <w:t xml:space="preserve"> </w:t>
      </w:r>
      <w:r>
        <w:rPr>
          <w:rFonts w:hint="eastAsia" w:ascii="宋体" w:hAnsi="宋体" w:cs="宋体"/>
          <w:color w:val="auto"/>
          <w:highlight w:val="none"/>
          <w:u w:val="single"/>
        </w:rPr>
        <w:t>发包人应在至迟不得晚于第7.3.2项〔开工通知〕载明的开工日期前7天通过</w:t>
      </w:r>
      <w:r>
        <w:rPr>
          <w:rFonts w:hint="eastAsia" w:ascii="宋体" w:hAnsi="Times New Roman" w:eastAsia="宋体" w:cs="宋体"/>
          <w:color w:val="auto"/>
          <w:szCs w:val="21"/>
          <w:highlight w:val="none"/>
          <w:u w:val="single"/>
        </w:rPr>
        <w:t>监理人</w:t>
      </w:r>
      <w:r>
        <w:rPr>
          <w:rFonts w:hint="eastAsia" w:ascii="宋体" w:hAnsi="宋体" w:cs="宋体"/>
          <w:color w:val="auto"/>
          <w:highlight w:val="none"/>
          <w:u w:val="single"/>
        </w:rPr>
        <w:t>向承包人提供测量基</w:t>
      </w:r>
      <w:r>
        <w:rPr>
          <w:rFonts w:hint="eastAsia" w:ascii="宋体" w:hAnsi="宋体" w:cs="宋体"/>
          <w:color w:val="auto"/>
          <w:highlight w:val="none"/>
          <w:u w:val="single"/>
        </w:rPr>
        <w:t>准点、基准线和水准点及其书面资料。</w:t>
      </w:r>
    </w:p>
    <w:p w14:paraId="32B2DD4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7.5 工期延误</w:t>
      </w:r>
    </w:p>
    <w:p w14:paraId="11A63017">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7.5.1 因发包人原因导致工期延误</w:t>
      </w:r>
    </w:p>
    <w:p w14:paraId="16126CC6">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（7）因发包人原因导致工期延误的其他情形：</w:t>
      </w:r>
      <w:r>
        <w:rPr>
          <w:rFonts w:hint="eastAsia" w:ascii="宋体" w:cs="宋体"/>
          <w:color w:val="auto"/>
          <w:szCs w:val="21"/>
          <w:highlight w:val="none"/>
          <w:u w:val="single"/>
        </w:rPr>
        <w:t xml:space="preserve"> 无     。</w:t>
      </w:r>
      <w:r>
        <w:rPr>
          <w:rFonts w:hint="eastAsia" w:ascii="宋体" w:cs="宋体"/>
          <w:color w:val="auto"/>
          <w:szCs w:val="21"/>
          <w:highlight w:val="none"/>
        </w:rPr>
        <w:t xml:space="preserve">        </w:t>
      </w:r>
    </w:p>
    <w:p w14:paraId="1D361BB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cs="宋体"/>
          <w:color w:val="auto"/>
          <w:szCs w:val="21"/>
          <w:highlight w:val="none"/>
        </w:rPr>
      </w:pPr>
      <w:r>
        <w:rPr>
          <w:rFonts w:hint="eastAsia" w:ascii="宋体" w:cs="宋体"/>
          <w:color w:val="auto"/>
          <w:szCs w:val="21"/>
          <w:highlight w:val="none"/>
        </w:rPr>
        <w:t>7.5.2 因</w:t>
      </w:r>
      <w:r>
        <w:rPr>
          <w:rFonts w:hint="eastAsia" w:ascii="宋体" w:cs="宋体"/>
          <w:color w:val="auto"/>
          <w:szCs w:val="21"/>
          <w:highlight w:val="none"/>
        </w:rPr>
        <w:t>承包人原因导致工期延误</w:t>
      </w:r>
    </w:p>
    <w:p w14:paraId="6AD28E21">
      <w:pPr>
        <w:pStyle w:val="14"/>
        <w:keepNext w:val="0"/>
        <w:keepLines w:val="0"/>
        <w:pageBreakBefore w:val="0"/>
        <w:widowControl w:val="0"/>
        <w:kinsoku/>
        <w:wordWrap/>
        <w:overflowPunct/>
        <w:topLinePunct w:val="0"/>
        <w:autoSpaceDE/>
        <w:autoSpaceDN/>
        <w:bidi w:val="0"/>
        <w:adjustRightInd/>
        <w:spacing w:after="0" w:line="440" w:lineRule="exact"/>
        <w:ind w:left="0" w:leftChars="0"/>
        <w:textAlignment w:val="auto"/>
        <w:rPr>
          <w:rFonts w:hint="eastAsia"/>
          <w:color w:val="auto"/>
          <w:highlight w:val="none"/>
          <w:u w:val="single"/>
          <w:lang w:val="en-US" w:eastAsia="zh-CN"/>
        </w:rPr>
      </w:pPr>
      <w:r>
        <w:rPr>
          <w:rFonts w:hint="eastAsia"/>
          <w:color w:val="auto"/>
          <w:highlight w:val="none"/>
        </w:rPr>
        <w:t>因承包人原因造成工期延误，逾期竣工违约金的计算方法为：</w:t>
      </w:r>
      <w:r>
        <w:rPr>
          <w:rFonts w:hint="eastAsia"/>
          <w:color w:val="auto"/>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eastAsia="宋体" w:cs="宋体"/>
          <w:color w:val="auto"/>
          <w:highlight w:val="none"/>
          <w:u w:val="single"/>
        </w:rPr>
        <w:t>因承包</w:t>
      </w:r>
      <w:r>
        <w:rPr>
          <w:rFonts w:hint="eastAsia" w:ascii="宋体" w:hAnsi="宋体" w:eastAsia="宋体" w:cs="宋体"/>
          <w:color w:val="auto"/>
          <w:highlight w:val="none"/>
          <w:u w:val="single"/>
          <w:lang w:val="en-US" w:eastAsia="zh-CN"/>
        </w:rPr>
        <w:t>人</w:t>
      </w:r>
      <w:r>
        <w:rPr>
          <w:rFonts w:hint="eastAsia" w:ascii="宋体" w:hAnsi="宋体" w:eastAsia="宋体" w:cs="宋体"/>
          <w:color w:val="auto"/>
          <w:highlight w:val="none"/>
          <w:u w:val="single"/>
        </w:rPr>
        <w:t>原因造成的工期延误，</w:t>
      </w:r>
      <w:r>
        <w:rPr>
          <w:rFonts w:hint="eastAsia" w:ascii="宋体" w:hAnsi="宋体" w:eastAsia="宋体" w:cs="宋体"/>
          <w:color w:val="auto"/>
          <w:sz w:val="21"/>
          <w:szCs w:val="21"/>
          <w:highlight w:val="none"/>
          <w:u w:val="single"/>
          <w:lang w:eastAsia="zh-CN"/>
        </w:rPr>
        <w:t>工期每推迟一天，按</w:t>
      </w:r>
      <w:r>
        <w:rPr>
          <w:rFonts w:hint="eastAsia" w:hAnsi="宋体" w:cs="宋体"/>
          <w:color w:val="auto"/>
          <w:sz w:val="21"/>
          <w:szCs w:val="21"/>
          <w:highlight w:val="none"/>
          <w:u w:val="single"/>
          <w:lang w:val="en-US" w:eastAsia="zh-CN"/>
        </w:rPr>
        <w:t>3000</w:t>
      </w:r>
      <w:r>
        <w:rPr>
          <w:rFonts w:hint="eastAsia" w:ascii="宋体" w:hAnsi="宋体" w:eastAsia="宋体" w:cs="宋体"/>
          <w:color w:val="auto"/>
          <w:sz w:val="21"/>
          <w:szCs w:val="21"/>
          <w:highlight w:val="none"/>
          <w:u w:val="single"/>
        </w:rPr>
        <w:t>元/天处以违约金</w:t>
      </w:r>
      <w:r>
        <w:rPr>
          <w:rFonts w:hint="eastAsia"/>
          <w:color w:val="auto"/>
          <w:highlight w:val="none"/>
          <w:u w:val="single"/>
          <w:lang w:val="en-US" w:eastAsia="zh-CN"/>
        </w:rPr>
        <w:t>。</w:t>
      </w:r>
    </w:p>
    <w:p w14:paraId="6D2F809F">
      <w:pPr>
        <w:pStyle w:val="14"/>
        <w:keepNext w:val="0"/>
        <w:keepLines w:val="0"/>
        <w:pageBreakBefore w:val="0"/>
        <w:widowControl w:val="0"/>
        <w:kinsoku/>
        <w:wordWrap/>
        <w:overflowPunct/>
        <w:topLinePunct w:val="0"/>
        <w:autoSpaceDE/>
        <w:autoSpaceDN/>
        <w:bidi w:val="0"/>
        <w:adjustRightInd/>
        <w:spacing w:after="0" w:line="440" w:lineRule="exact"/>
        <w:ind w:left="0" w:leftChars="0"/>
        <w:textAlignment w:val="auto"/>
        <w:rPr>
          <w:rFonts w:hint="eastAsia"/>
          <w:color w:val="auto"/>
          <w:highlight w:val="none"/>
        </w:rPr>
      </w:pPr>
      <w:r>
        <w:rPr>
          <w:rFonts w:hint="eastAsia"/>
          <w:color w:val="auto"/>
          <w:highlight w:val="none"/>
        </w:rPr>
        <w:t>因承包人原因造成工期延误，逾期竣工违约金的上限：</w:t>
      </w:r>
      <w:r>
        <w:rPr>
          <w:rFonts w:hint="eastAsia"/>
          <w:color w:val="auto"/>
          <w:highlight w:val="none"/>
          <w:u w:val="single"/>
        </w:rPr>
        <w:t xml:space="preserve"> 全额履约保证金 </w:t>
      </w:r>
      <w:r>
        <w:rPr>
          <w:rFonts w:hint="eastAsia"/>
          <w:color w:val="auto"/>
          <w:highlight w:val="none"/>
        </w:rPr>
        <w:t>。</w:t>
      </w:r>
    </w:p>
    <w:p w14:paraId="18128484">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bCs/>
          <w:strike w:val="0"/>
          <w:dstrike w:val="0"/>
          <w:color w:val="auto"/>
          <w:szCs w:val="21"/>
          <w:highlight w:val="none"/>
          <w:u w:val="single"/>
          <w:lang w:val="en-US" w:eastAsia="zh-CN"/>
        </w:rPr>
        <w:t>发包人</w:t>
      </w:r>
      <w:r>
        <w:rPr>
          <w:rFonts w:hint="eastAsia" w:ascii="宋体" w:hAnsi="宋体" w:eastAsia="宋体" w:cs="宋体"/>
          <w:bCs/>
          <w:strike w:val="0"/>
          <w:dstrike w:val="0"/>
          <w:color w:val="auto"/>
          <w:szCs w:val="21"/>
          <w:highlight w:val="none"/>
          <w:u w:val="single"/>
        </w:rPr>
        <w:t>根据拖延工期的严重程度采用以下方法处理</w:t>
      </w:r>
      <w:r>
        <w:rPr>
          <w:rFonts w:hint="eastAsia" w:ascii="宋体" w:hAnsi="宋体" w:eastAsia="宋体" w:cs="宋体"/>
          <w:bCs/>
          <w:strike w:val="0"/>
          <w:dstrike w:val="0"/>
          <w:color w:val="auto"/>
          <w:szCs w:val="21"/>
          <w:highlight w:val="none"/>
          <w:u w:val="single"/>
          <w:lang w:eastAsia="zh-CN"/>
        </w:rPr>
        <w:t>：（</w:t>
      </w:r>
      <w:r>
        <w:rPr>
          <w:rFonts w:hint="eastAsia" w:ascii="宋体" w:hAnsi="宋体" w:eastAsia="宋体" w:cs="宋体"/>
          <w:bCs/>
          <w:strike w:val="0"/>
          <w:dstrike w:val="0"/>
          <w:color w:val="auto"/>
          <w:szCs w:val="21"/>
          <w:highlight w:val="none"/>
          <w:u w:val="single"/>
          <w:lang w:val="en-US" w:eastAsia="zh-CN"/>
        </w:rPr>
        <w:t>1</w:t>
      </w:r>
      <w:r>
        <w:rPr>
          <w:rFonts w:hint="eastAsia" w:ascii="宋体" w:hAnsi="宋体" w:eastAsia="宋体" w:cs="宋体"/>
          <w:bCs/>
          <w:strike w:val="0"/>
          <w:dstrike w:val="0"/>
          <w:color w:val="auto"/>
          <w:szCs w:val="21"/>
          <w:highlight w:val="none"/>
          <w:u w:val="single"/>
          <w:lang w:eastAsia="zh-CN"/>
        </w:rPr>
        <w:t>）</w:t>
      </w:r>
      <w:r>
        <w:rPr>
          <w:rFonts w:hint="eastAsia" w:ascii="宋体" w:hAnsi="宋体" w:eastAsia="宋体" w:cs="宋体"/>
          <w:bCs/>
          <w:strike w:val="0"/>
          <w:dstrike w:val="0"/>
          <w:color w:val="auto"/>
          <w:szCs w:val="21"/>
          <w:highlight w:val="none"/>
          <w:u w:val="single"/>
        </w:rPr>
        <w:t>督促承包人采取有效的赶工措施（费用自理）；</w:t>
      </w:r>
      <w:r>
        <w:rPr>
          <w:rFonts w:hint="eastAsia" w:ascii="宋体" w:hAnsi="宋体" w:eastAsia="宋体" w:cs="宋体"/>
          <w:strike w:val="0"/>
          <w:dstrike w:val="0"/>
          <w:color w:val="auto"/>
          <w:szCs w:val="21"/>
          <w:highlight w:val="none"/>
          <w:u w:val="single"/>
        </w:rPr>
        <w:t>（</w:t>
      </w:r>
      <w:r>
        <w:rPr>
          <w:rFonts w:hint="eastAsia" w:ascii="宋体" w:hAnsi="宋体" w:eastAsia="宋体" w:cs="宋体"/>
          <w:strike w:val="0"/>
          <w:dstrike w:val="0"/>
          <w:color w:val="auto"/>
          <w:szCs w:val="21"/>
          <w:highlight w:val="none"/>
          <w:u w:val="single"/>
          <w:lang w:val="en-US" w:eastAsia="zh-CN"/>
        </w:rPr>
        <w:t>2</w:t>
      </w:r>
      <w:r>
        <w:rPr>
          <w:rFonts w:hint="eastAsia" w:ascii="宋体" w:hAnsi="宋体" w:eastAsia="宋体" w:cs="宋体"/>
          <w:strike w:val="0"/>
          <w:dstrike w:val="0"/>
          <w:color w:val="auto"/>
          <w:szCs w:val="21"/>
          <w:highlight w:val="none"/>
          <w:u w:val="single"/>
        </w:rPr>
        <w:t>）</w:t>
      </w:r>
      <w:r>
        <w:rPr>
          <w:rFonts w:hint="eastAsia" w:ascii="宋体" w:hAnsi="宋体" w:eastAsia="宋体" w:cs="宋体"/>
          <w:bCs/>
          <w:strike w:val="0"/>
          <w:dstrike w:val="0"/>
          <w:color w:val="auto"/>
          <w:szCs w:val="21"/>
          <w:highlight w:val="none"/>
          <w:u w:val="single"/>
        </w:rPr>
        <w:t>对严重拖延工期，经发包人多次督促，承包人拒不执行的，发包人可</w:t>
      </w:r>
      <w:r>
        <w:rPr>
          <w:rFonts w:hint="eastAsia" w:ascii="宋体" w:hAnsi="宋体" w:eastAsia="宋体" w:cs="宋体"/>
          <w:strike w:val="0"/>
          <w:dstrike w:val="0"/>
          <w:color w:val="auto"/>
          <w:szCs w:val="21"/>
          <w:highlight w:val="none"/>
          <w:u w:val="single"/>
        </w:rPr>
        <w:t>终止</w:t>
      </w:r>
      <w:r>
        <w:rPr>
          <w:rFonts w:hint="eastAsia" w:ascii="宋体" w:hAnsi="宋体" w:eastAsia="宋体" w:cs="宋体"/>
          <w:bCs/>
          <w:strike w:val="0"/>
          <w:dstrike w:val="0"/>
          <w:color w:val="auto"/>
          <w:szCs w:val="21"/>
          <w:highlight w:val="none"/>
          <w:u w:val="single"/>
        </w:rPr>
        <w:t>施工合同，并和承包人进行清算。同时按原中标价格另选同样资质的施工队伍进场施工，原承包人须无条件配合，不得以任何借口阻挠另选的施工队伍施工，不得向发包人提出任何索赔要求</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w:t>
      </w:r>
    </w:p>
    <w:p w14:paraId="7BD0E64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7.6 不利物质条件</w:t>
      </w:r>
    </w:p>
    <w:p w14:paraId="2645C99D">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不利物质条件的其他情形和有关约定：</w:t>
      </w:r>
      <w:r>
        <w:rPr>
          <w:rFonts w:hint="eastAsia" w:ascii="宋体" w:cs="宋体"/>
          <w:color w:val="auto"/>
          <w:szCs w:val="21"/>
          <w:highlight w:val="none"/>
          <w:u w:val="single"/>
        </w:rPr>
        <w:t xml:space="preserve"> 无  。</w:t>
      </w:r>
    </w:p>
    <w:p w14:paraId="049DF00A">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7.7异常恶劣的气候条件</w:t>
      </w:r>
    </w:p>
    <w:p w14:paraId="1EEDCDC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发包人和承包人同意以下情形视为异常恶劣的气候条件：</w:t>
      </w:r>
    </w:p>
    <w:p w14:paraId="06996BDA">
      <w:pPr>
        <w:numPr>
          <w:ilvl w:val="0"/>
          <w:numId w:val="2"/>
        </w:num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419186D3">
      <w:pPr>
        <w:numPr>
          <w:ilvl w:val="0"/>
          <w:numId w:val="2"/>
        </w:num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5A5BAC38">
      <w:pPr>
        <w:numPr>
          <w:ilvl w:val="0"/>
          <w:numId w:val="2"/>
        </w:num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72D8DA8A">
      <w:pPr>
        <w:snapToGrid w:val="0"/>
        <w:spacing w:line="44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7.9 提前竣工的奖励</w:t>
      </w:r>
    </w:p>
    <w:p w14:paraId="6C6ED465">
      <w:pPr>
        <w:pStyle w:val="14"/>
        <w:spacing w:after="0" w:line="440" w:lineRule="exact"/>
        <w:ind w:left="0" w:leftChars="0"/>
        <w:rPr>
          <w:rFonts w:hint="eastAsia"/>
          <w:color w:val="auto"/>
          <w:highlight w:val="none"/>
        </w:rPr>
      </w:pPr>
      <w:r>
        <w:rPr>
          <w:rFonts w:hint="eastAsia"/>
          <w:color w:val="auto"/>
          <w:highlight w:val="none"/>
        </w:rPr>
        <w:t>7.9.2提前竣工的奖励：</w:t>
      </w:r>
      <w:r>
        <w:rPr>
          <w:rFonts w:hint="eastAsia"/>
          <w:color w:val="auto"/>
          <w:highlight w:val="none"/>
          <w:u w:val="single"/>
        </w:rPr>
        <w:t xml:space="preserve"> </w:t>
      </w:r>
      <w:r>
        <w:rPr>
          <w:rFonts w:hint="eastAsia" w:ascii="宋体" w:hAnsi="宋体" w:cs="宋体"/>
          <w:color w:val="auto"/>
          <w:highlight w:val="none"/>
          <w:u w:val="single"/>
          <w:lang w:val="en-US" w:eastAsia="zh-CN"/>
        </w:rPr>
        <w:t>此条不执行</w:t>
      </w:r>
      <w:r>
        <w:rPr>
          <w:rFonts w:hint="eastAsia"/>
          <w:color w:val="auto"/>
          <w:highlight w:val="none"/>
          <w:u w:val="single"/>
        </w:rPr>
        <w:t xml:space="preserve">   </w:t>
      </w:r>
      <w:r>
        <w:rPr>
          <w:rFonts w:hint="eastAsia"/>
          <w:color w:val="auto"/>
          <w:highlight w:val="none"/>
        </w:rPr>
        <w:t>。</w:t>
      </w:r>
    </w:p>
    <w:p w14:paraId="394DFA65">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8. 材料与设备</w:t>
      </w:r>
    </w:p>
    <w:p w14:paraId="2A8390C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8.4材料与工程设备的保管与使用</w:t>
      </w:r>
    </w:p>
    <w:p w14:paraId="7406874C">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8.4.1发包人供应的材料设备的保管费用的承担：</w:t>
      </w:r>
      <w:r>
        <w:rPr>
          <w:rFonts w:hint="eastAsia" w:ascii="宋体" w:hAnsi="宋体" w:cs="宋体"/>
          <w:color w:val="auto"/>
          <w:highlight w:val="none"/>
          <w:u w:val="single"/>
          <w:lang w:val="en-US" w:eastAsia="zh-CN"/>
        </w:rPr>
        <w:t>此条不执行</w:t>
      </w:r>
      <w:r>
        <w:rPr>
          <w:rFonts w:hint="eastAsia" w:ascii="宋体" w:cs="宋体"/>
          <w:color w:val="auto"/>
          <w:szCs w:val="21"/>
          <w:highlight w:val="none"/>
          <w:u w:val="single"/>
        </w:rPr>
        <w:t>。</w:t>
      </w:r>
    </w:p>
    <w:p w14:paraId="44B6051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8.6 样品</w:t>
      </w:r>
    </w:p>
    <w:p w14:paraId="53B79BFB">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8.6.1样品的报送与封存</w:t>
      </w:r>
    </w:p>
    <w:p w14:paraId="1C7AD2DF">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需要承包人报送样品的材料或工程设备，样品的种类、名称、规格、数量要求：</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p>
    <w:p w14:paraId="15D5C90B">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8.8 施工设备和临时设施</w:t>
      </w:r>
    </w:p>
    <w:p w14:paraId="7E2E2EF1">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8.8.1 承包人提供的施工设备和临时设施</w:t>
      </w:r>
    </w:p>
    <w:p w14:paraId="52BEE37C">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关于修建临时设施费用承担的约定：</w:t>
      </w:r>
      <w:r>
        <w:rPr>
          <w:rFonts w:hint="eastAsia" w:ascii="宋体" w:cs="宋体"/>
          <w:color w:val="auto"/>
          <w:szCs w:val="21"/>
          <w:highlight w:val="none"/>
          <w:u w:val="single"/>
        </w:rPr>
        <w:t xml:space="preserve">  由承包人自行承担费用   </w:t>
      </w:r>
      <w:r>
        <w:rPr>
          <w:rFonts w:hint="eastAsia" w:ascii="宋体" w:cs="宋体"/>
          <w:color w:val="auto"/>
          <w:szCs w:val="21"/>
          <w:highlight w:val="none"/>
        </w:rPr>
        <w:t>。</w:t>
      </w:r>
    </w:p>
    <w:p w14:paraId="348BE2C6">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9. 试验与检验</w:t>
      </w:r>
    </w:p>
    <w:p w14:paraId="63F8F67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9.1试验设备与试验人员</w:t>
      </w:r>
    </w:p>
    <w:p w14:paraId="590F90A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9.1.2 试验设备</w:t>
      </w:r>
    </w:p>
    <w:p w14:paraId="7E98BA7C">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施工现场需要配置的试验场所：</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 xml:space="preserve">。 </w:t>
      </w:r>
    </w:p>
    <w:p w14:paraId="30C3CD2D">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施工现场需要配备的试验设备：</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w:t>
      </w:r>
    </w:p>
    <w:p w14:paraId="49322D05">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施工现场需要具备的其他试验条件：</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w:t>
      </w:r>
    </w:p>
    <w:p w14:paraId="3106D772">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9.4 现场工艺试验 </w:t>
      </w:r>
    </w:p>
    <w:p w14:paraId="57E8BD73">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现场工艺试验的有关约定：</w:t>
      </w:r>
      <w:r>
        <w:rPr>
          <w:rFonts w:hint="eastAsia" w:ascii="宋体" w:cs="宋体"/>
          <w:color w:val="auto"/>
          <w:szCs w:val="21"/>
          <w:highlight w:val="none"/>
          <w:u w:val="single"/>
        </w:rPr>
        <w:t xml:space="preserve">   按监理人指示    </w:t>
      </w:r>
      <w:r>
        <w:rPr>
          <w:rFonts w:hint="eastAsia" w:ascii="宋体" w:cs="宋体"/>
          <w:color w:val="auto"/>
          <w:szCs w:val="21"/>
          <w:highlight w:val="none"/>
        </w:rPr>
        <w:t>。</w:t>
      </w:r>
    </w:p>
    <w:p w14:paraId="0BF396F9">
      <w:pPr>
        <w:pStyle w:val="5"/>
        <w:snapToGrid w:val="0"/>
        <w:spacing w:before="0" w:after="0" w:line="440" w:lineRule="exact"/>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10. 变更</w:t>
      </w:r>
    </w:p>
    <w:p w14:paraId="36E56CDB">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10.1变更的范围</w:t>
      </w:r>
    </w:p>
    <w:p w14:paraId="234E064E">
      <w:pPr>
        <w:snapToGrid w:val="0"/>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关于变更范围的约定：</w:t>
      </w:r>
      <w:r>
        <w:rPr>
          <w:rFonts w:hint="eastAsia" w:ascii="宋体" w:hAnsi="宋体" w:cs="宋体"/>
          <w:b/>
          <w:color w:val="auto"/>
          <w:szCs w:val="21"/>
          <w:highlight w:val="none"/>
          <w:u w:val="single"/>
        </w:rPr>
        <w:t>执行合同通用条款</w:t>
      </w:r>
      <w:r>
        <w:rPr>
          <w:rFonts w:hint="eastAsia" w:ascii="宋体" w:hAnsi="宋体" w:cs="宋体"/>
          <w:b/>
          <w:bCs/>
          <w:color w:val="auto"/>
          <w:szCs w:val="21"/>
          <w:highlight w:val="none"/>
          <w:u w:val="single"/>
        </w:rPr>
        <w:t>。</w:t>
      </w:r>
    </w:p>
    <w:p w14:paraId="7CC01665">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10.4 变更估价</w:t>
      </w:r>
    </w:p>
    <w:p w14:paraId="363C3F75">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b/>
          <w:strike/>
          <w:dstrike w:val="0"/>
          <w:color w:val="auto"/>
          <w:highlight w:val="none"/>
          <w:lang w:eastAsia="zh-CN"/>
        </w:rPr>
      </w:pPr>
      <w:r>
        <w:rPr>
          <w:rFonts w:hint="eastAsia" w:ascii="宋体" w:hAnsi="宋体" w:cs="宋体"/>
          <w:color w:val="auto"/>
          <w:szCs w:val="21"/>
          <w:highlight w:val="none"/>
        </w:rPr>
        <w:t>10.4.1变更估价原则</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关于变更估价的约定</w:t>
      </w:r>
      <w:r>
        <w:rPr>
          <w:rFonts w:hint="eastAsia" w:ascii="宋体" w:hAnsi="宋体" w:cs="宋体"/>
          <w:color w:val="auto"/>
          <w:szCs w:val="21"/>
          <w:highlight w:val="none"/>
          <w:lang w:eastAsia="zh-CN"/>
        </w:rPr>
        <w:t>：</w:t>
      </w:r>
    </w:p>
    <w:p w14:paraId="7BFAC980">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textAlignment w:val="auto"/>
        <w:rPr>
          <w:rFonts w:hint="eastAsia" w:ascii="宋体" w:hAnsi="宋体" w:eastAsia="宋体" w:cs="宋体"/>
          <w:color w:val="auto"/>
          <w:kern w:val="0"/>
          <w:highlight w:val="none"/>
          <w:lang w:eastAsia="zh-CN"/>
        </w:rPr>
      </w:pPr>
      <w:r>
        <w:rPr>
          <w:rFonts w:hint="eastAsia" w:ascii="宋体" w:hAnsi="宋体" w:eastAsia="宋体" w:cs="宋体"/>
          <w:b/>
          <w:bCs/>
          <w:color w:val="auto"/>
          <w:szCs w:val="21"/>
          <w:highlight w:val="none"/>
        </w:rPr>
        <w:t>变更导致结算工程量（含1.13清单工程量错误产生的工程量）减少或增加</w:t>
      </w:r>
      <w:r>
        <w:rPr>
          <w:rFonts w:hint="eastAsia" w:ascii="宋体" w:hAnsi="宋体" w:cs="宋体"/>
          <w:b/>
          <w:bCs/>
          <w:color w:val="auto"/>
          <w:szCs w:val="21"/>
          <w:highlight w:val="none"/>
          <w:lang w:val="en-US" w:eastAsia="zh-CN"/>
        </w:rPr>
        <w:t>的</w:t>
      </w:r>
      <w:r>
        <w:rPr>
          <w:rFonts w:hint="eastAsia" w:ascii="宋体" w:hAnsi="宋体" w:eastAsia="宋体" w:cs="宋体"/>
          <w:b/>
          <w:bCs/>
          <w:color w:val="auto"/>
          <w:szCs w:val="21"/>
          <w:highlight w:val="none"/>
        </w:rPr>
        <w:t>部分，执行下列第（1）款或第（2）款</w:t>
      </w:r>
      <w:r>
        <w:rPr>
          <w:rFonts w:hint="eastAsia" w:ascii="宋体" w:hAnsi="宋体" w:cs="宋体"/>
          <w:b/>
          <w:bCs/>
          <w:color w:val="auto"/>
          <w:szCs w:val="21"/>
          <w:highlight w:val="none"/>
          <w:lang w:val="en-US" w:eastAsia="zh-CN"/>
        </w:rPr>
        <w:t>或第</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val="en-US" w:eastAsia="zh-CN"/>
        </w:rPr>
        <w:t>3</w:t>
      </w:r>
      <w:r>
        <w:rPr>
          <w:rFonts w:hint="eastAsia" w:ascii="宋体" w:hAnsi="宋体" w:eastAsia="宋体" w:cs="宋体"/>
          <w:b/>
          <w:bCs/>
          <w:color w:val="auto"/>
          <w:szCs w:val="21"/>
          <w:highlight w:val="none"/>
        </w:rPr>
        <w:t>）款确定的单价</w:t>
      </w:r>
      <w:r>
        <w:rPr>
          <w:rFonts w:hint="eastAsia" w:ascii="宋体" w:hAnsi="宋体" w:cs="宋体"/>
          <w:b/>
          <w:bCs/>
          <w:color w:val="auto"/>
          <w:szCs w:val="21"/>
          <w:highlight w:val="none"/>
          <w:lang w:eastAsia="zh-CN"/>
        </w:rPr>
        <w:t>。</w:t>
      </w:r>
    </w:p>
    <w:p w14:paraId="2513A76F">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textAlignment w:val="auto"/>
        <w:rPr>
          <w:rFonts w:hint="eastAsia" w:ascii="宋体" w:hAnsi="宋体" w:eastAsia="宋体" w:cs="宋体"/>
          <w:b/>
          <w:color w:val="auto"/>
          <w:highlight w:val="none"/>
          <w:u w:val="none"/>
          <w:lang w:val="en-US" w:eastAsia="zh-CN"/>
        </w:rPr>
      </w:pPr>
      <w:r>
        <w:rPr>
          <w:rFonts w:hint="eastAsia" w:ascii="宋体" w:hAnsi="宋体" w:cs="宋体"/>
          <w:b/>
          <w:color w:val="auto"/>
          <w:kern w:val="0"/>
          <w:highlight w:val="none"/>
        </w:rPr>
        <w:t>10.4.1.1 因工程变更引起已标价工程量清单项目或其工程数量发生变化时，按下列规定调整：</w:t>
      </w:r>
      <w:r>
        <w:rPr>
          <w:rFonts w:hint="eastAsia" w:ascii="宋体" w:hAnsi="宋体" w:eastAsia="宋体" w:cs="宋体"/>
          <w:b/>
          <w:color w:val="auto"/>
          <w:highlight w:val="none"/>
          <w:u w:val="none"/>
        </w:rPr>
        <w:t>（1）已标价工程量清单或预算书有相同项目的，按照相同项目单价认定；（2）已标价工程量清单或预算书中无相同项目，但有类似项目的，参照类似项目的单价认定</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rPr>
        <w:t>类似项目的单价是指其采用的材料、施工工艺和方法基本相似的项目</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lang w:val="en-US" w:eastAsia="zh-CN"/>
        </w:rPr>
        <w:t>3</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rPr>
        <w:t>已标价工程量清单或预算书</w:t>
      </w:r>
      <w:r>
        <w:rPr>
          <w:rFonts w:hint="eastAsia" w:ascii="宋体" w:hAnsi="宋体" w:eastAsia="宋体" w:cs="宋体"/>
          <w:b/>
          <w:color w:val="auto"/>
          <w:highlight w:val="none"/>
          <w:u w:val="none"/>
          <w:lang w:val="en-US" w:eastAsia="zh-CN"/>
        </w:rPr>
        <w:t>既无</w:t>
      </w:r>
      <w:r>
        <w:rPr>
          <w:rFonts w:hint="eastAsia" w:ascii="宋体" w:hAnsi="宋体" w:eastAsia="宋体" w:cs="宋体"/>
          <w:b/>
          <w:color w:val="auto"/>
          <w:highlight w:val="none"/>
          <w:u w:val="none"/>
        </w:rPr>
        <w:t>相同项目</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lang w:val="en-US" w:eastAsia="zh-CN"/>
        </w:rPr>
        <w:t>也无类似项目的单价</w:t>
      </w:r>
      <w:r>
        <w:rPr>
          <w:rFonts w:hint="eastAsia" w:ascii="宋体" w:hAnsi="宋体" w:eastAsia="宋体" w:cs="宋体"/>
          <w:b/>
          <w:color w:val="auto"/>
          <w:highlight w:val="none"/>
          <w:u w:val="none"/>
        </w:rPr>
        <w:t>按照最高投标限价的编制原则重新组价×投标让利幅度（上述投标让利幅度为中标价/最高投标限价，其中中标价和最高投标限价均扣除暂列金额、暂估价及相应税金</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rPr>
        <w:t>材料</w:t>
      </w:r>
      <w:r>
        <w:rPr>
          <w:rFonts w:hint="eastAsia" w:ascii="宋体" w:hAnsi="宋体" w:eastAsia="宋体" w:cs="宋体"/>
          <w:b/>
          <w:color w:val="auto"/>
          <w:highlight w:val="none"/>
          <w:u w:val="none"/>
          <w:lang w:val="en-US" w:eastAsia="zh-CN"/>
        </w:rPr>
        <w:t>价</w:t>
      </w:r>
      <w:r>
        <w:rPr>
          <w:rFonts w:hint="eastAsia" w:ascii="宋体" w:hAnsi="宋体" w:eastAsia="宋体" w:cs="宋体"/>
          <w:b/>
          <w:color w:val="auto"/>
          <w:highlight w:val="none"/>
          <w:u w:val="none"/>
        </w:rPr>
        <w:t>按施工当期《</w:t>
      </w:r>
      <w:r>
        <w:rPr>
          <w:rFonts w:hint="eastAsia" w:ascii="宋体" w:hAnsi="宋体" w:eastAsia="宋体" w:cs="宋体"/>
          <w:b/>
          <w:color w:val="auto"/>
          <w:highlight w:val="none"/>
          <w:u w:val="none"/>
          <w:lang w:val="en-US" w:eastAsia="zh-CN"/>
        </w:rPr>
        <w:t>滁</w:t>
      </w:r>
      <w:r>
        <w:rPr>
          <w:rFonts w:hint="eastAsia" w:ascii="宋体" w:hAnsi="宋体" w:eastAsia="宋体" w:cs="宋体"/>
          <w:b/>
          <w:color w:val="auto"/>
          <w:highlight w:val="none"/>
          <w:u w:val="none"/>
        </w:rPr>
        <w:t>州</w:t>
      </w:r>
      <w:r>
        <w:rPr>
          <w:rFonts w:hint="eastAsia" w:ascii="宋体" w:hAnsi="宋体" w:eastAsia="宋体" w:cs="宋体"/>
          <w:b/>
          <w:color w:val="auto"/>
          <w:highlight w:val="none"/>
          <w:u w:val="none"/>
          <w:lang w:val="en-US" w:eastAsia="zh-CN"/>
        </w:rPr>
        <w:t>市</w:t>
      </w:r>
      <w:r>
        <w:rPr>
          <w:rFonts w:hint="eastAsia" w:ascii="宋体" w:hAnsi="宋体" w:eastAsia="宋体" w:cs="宋体"/>
          <w:b/>
          <w:color w:val="auto"/>
          <w:highlight w:val="none"/>
          <w:u w:val="none"/>
        </w:rPr>
        <w:t>建设工程</w:t>
      </w:r>
      <w:r>
        <w:rPr>
          <w:rFonts w:hint="eastAsia" w:ascii="宋体" w:hAnsi="宋体" w:eastAsia="宋体" w:cs="宋体"/>
          <w:b/>
          <w:color w:val="auto"/>
          <w:highlight w:val="none"/>
          <w:u w:val="none"/>
          <w:lang w:val="en-US" w:eastAsia="zh-CN"/>
        </w:rPr>
        <w:t>材料市场价格</w:t>
      </w:r>
      <w:r>
        <w:rPr>
          <w:rFonts w:hint="eastAsia" w:ascii="宋体" w:hAnsi="宋体" w:eastAsia="宋体" w:cs="宋体"/>
          <w:b/>
          <w:color w:val="auto"/>
          <w:highlight w:val="none"/>
          <w:u w:val="none"/>
        </w:rPr>
        <w:t>信息》确定：若信息价为区间价的，则按区间价的算术平均值计取；信息价中没有的材料，由业主、监理、施工三方核定后确定，认价材料不参与下浮</w:t>
      </w:r>
      <w:r>
        <w:rPr>
          <w:rFonts w:hint="eastAsia" w:ascii="宋体" w:hAnsi="宋体" w:cs="宋体"/>
          <w:b/>
          <w:color w:val="auto"/>
          <w:highlight w:val="none"/>
          <w:u w:val="none"/>
          <w:lang w:eastAsia="zh-CN"/>
        </w:rPr>
        <w:t>；</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lang w:val="en-US" w:eastAsia="zh-CN"/>
        </w:rPr>
        <w:t>4</w:t>
      </w:r>
      <w:r>
        <w:rPr>
          <w:rFonts w:hint="eastAsia" w:ascii="宋体" w:hAnsi="宋体" w:eastAsia="宋体" w:cs="宋体"/>
          <w:b/>
          <w:color w:val="auto"/>
          <w:highlight w:val="none"/>
          <w:u w:val="none"/>
          <w:lang w:eastAsia="zh-CN"/>
        </w:rPr>
        <w:t>）</w:t>
      </w:r>
      <w:r>
        <w:rPr>
          <w:rFonts w:hint="eastAsia" w:ascii="宋体" w:hAnsi="宋体" w:eastAsia="宋体" w:cs="宋体"/>
          <w:b/>
          <w:color w:val="auto"/>
          <w:highlight w:val="none"/>
          <w:u w:val="none"/>
        </w:rPr>
        <w:t>若取消某工程项目，则该项目的价款不予支付</w:t>
      </w:r>
      <w:r>
        <w:rPr>
          <w:rFonts w:hint="eastAsia" w:ascii="宋体" w:hAnsi="宋体" w:cs="宋体"/>
          <w:b/>
          <w:color w:val="auto"/>
          <w:highlight w:val="none"/>
          <w:u w:val="none"/>
          <w:lang w:eastAsia="zh-CN"/>
        </w:rPr>
        <w:t>。</w:t>
      </w:r>
    </w:p>
    <w:p w14:paraId="51FEC2A5">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10.5承包人的合理化建议</w:t>
      </w:r>
    </w:p>
    <w:p w14:paraId="04E7A66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监理人审查承包人合理化建议的期限</w:t>
      </w:r>
      <w:r>
        <w:rPr>
          <w:rFonts w:hint="eastAsia" w:ascii="宋体" w:cs="宋体"/>
          <w:color w:val="auto"/>
          <w:szCs w:val="21"/>
          <w:highlight w:val="none"/>
        </w:rPr>
        <w:t>：</w:t>
      </w:r>
      <w:r>
        <w:rPr>
          <w:rFonts w:hint="eastAsia" w:ascii="宋体" w:cs="宋体"/>
          <w:color w:val="auto"/>
          <w:szCs w:val="21"/>
          <w:highlight w:val="none"/>
          <w:u w:val="single"/>
        </w:rPr>
        <w:t xml:space="preserve"> </w:t>
      </w:r>
      <w:r>
        <w:rPr>
          <w:rFonts w:hint="eastAsia" w:ascii="宋体" w:hAnsi="Times New Roman" w:eastAsia="宋体" w:cs="宋体"/>
          <w:color w:val="auto"/>
          <w:szCs w:val="21"/>
          <w:highlight w:val="none"/>
          <w:u w:val="single"/>
        </w:rPr>
        <w:t>监理人</w:t>
      </w:r>
      <w:r>
        <w:rPr>
          <w:rFonts w:hint="eastAsia" w:ascii="宋体" w:cs="宋体"/>
          <w:color w:val="auto"/>
          <w:szCs w:val="21"/>
          <w:highlight w:val="none"/>
          <w:u w:val="single"/>
        </w:rPr>
        <w:t>应在收到承包人提交的合理化建议后7天内审查完毕并报送发包人，发现其中存在技术上的缺陷，应通知承包人修改。</w:t>
      </w:r>
    </w:p>
    <w:p w14:paraId="4C7FF32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发包人审批承包人合理化建议的期限：</w:t>
      </w:r>
      <w:r>
        <w:rPr>
          <w:rFonts w:hint="eastAsia" w:ascii="宋体" w:cs="宋体"/>
          <w:color w:val="auto"/>
          <w:szCs w:val="21"/>
          <w:highlight w:val="none"/>
          <w:u w:val="single"/>
        </w:rPr>
        <w:t xml:space="preserve"> 发包人应在收到</w:t>
      </w:r>
      <w:r>
        <w:rPr>
          <w:rFonts w:hint="eastAsia" w:ascii="宋体" w:hAnsi="Times New Roman" w:eastAsia="宋体" w:cs="宋体"/>
          <w:color w:val="auto"/>
          <w:szCs w:val="21"/>
          <w:highlight w:val="none"/>
          <w:u w:val="single"/>
        </w:rPr>
        <w:t>监理人</w:t>
      </w:r>
      <w:r>
        <w:rPr>
          <w:rFonts w:hint="eastAsia" w:ascii="宋体" w:cs="宋体"/>
          <w:color w:val="auto"/>
          <w:szCs w:val="21"/>
          <w:highlight w:val="none"/>
          <w:u w:val="single"/>
        </w:rPr>
        <w:t>报送的合理化建议后7天内审批完毕。合理化建议经发包人批准的，</w:t>
      </w:r>
      <w:r>
        <w:rPr>
          <w:rFonts w:hint="eastAsia" w:ascii="宋体" w:hAnsi="Times New Roman" w:eastAsia="宋体" w:cs="宋体"/>
          <w:color w:val="auto"/>
          <w:szCs w:val="21"/>
          <w:highlight w:val="none"/>
          <w:u w:val="single"/>
        </w:rPr>
        <w:t>监理人</w:t>
      </w:r>
      <w:r>
        <w:rPr>
          <w:rFonts w:hint="eastAsia" w:ascii="宋体" w:cs="宋体"/>
          <w:color w:val="auto"/>
          <w:szCs w:val="21"/>
          <w:highlight w:val="none"/>
          <w:u w:val="single"/>
        </w:rPr>
        <w:t>应及时发出变更指示，由此引起的合同价格调整按照第10.4款〔变更估价〕约定执行。发包人不同意变更的，</w:t>
      </w:r>
      <w:r>
        <w:rPr>
          <w:rFonts w:hint="eastAsia" w:ascii="宋体" w:hAnsi="Times New Roman" w:eastAsia="宋体" w:cs="宋体"/>
          <w:color w:val="auto"/>
          <w:szCs w:val="21"/>
          <w:highlight w:val="none"/>
          <w:u w:val="single"/>
        </w:rPr>
        <w:t>监理人</w:t>
      </w:r>
      <w:r>
        <w:rPr>
          <w:rFonts w:hint="eastAsia" w:ascii="宋体" w:cs="宋体"/>
          <w:color w:val="auto"/>
          <w:szCs w:val="21"/>
          <w:highlight w:val="none"/>
          <w:u w:val="single"/>
        </w:rPr>
        <w:t>应书面通知承包人。</w:t>
      </w:r>
    </w:p>
    <w:p w14:paraId="4F4C2DC1">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承包人提出的合理化建议降低了合同价格或者提高了工程经济效益的奖励的方法和金额为：</w:t>
      </w:r>
      <w:r>
        <w:rPr>
          <w:rFonts w:ascii="宋体" w:hAnsi="宋体" w:eastAsia="宋体" w:cs="宋体"/>
          <w:color w:val="auto"/>
          <w:spacing w:val="-1"/>
          <w:sz w:val="21"/>
          <w:szCs w:val="21"/>
          <w:highlight w:val="none"/>
          <w:u w:val="single" w:color="auto"/>
        </w:rPr>
        <w:t>此条不执行</w:t>
      </w:r>
      <w:r>
        <w:rPr>
          <w:rFonts w:hint="eastAsia"/>
          <w:color w:val="auto"/>
          <w:highlight w:val="none"/>
        </w:rPr>
        <w:t>。</w:t>
      </w:r>
    </w:p>
    <w:p w14:paraId="4D201892">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color w:val="auto"/>
          <w:szCs w:val="21"/>
          <w:highlight w:val="none"/>
        </w:rPr>
      </w:pPr>
      <w:r>
        <w:rPr>
          <w:rFonts w:hint="eastAsia" w:ascii="宋体" w:cs="宋体"/>
          <w:color w:val="auto"/>
          <w:szCs w:val="21"/>
          <w:highlight w:val="none"/>
        </w:rPr>
        <w:t>10.8 暂列金额</w:t>
      </w:r>
    </w:p>
    <w:p w14:paraId="41EF1A4D">
      <w:pPr>
        <w:keepNext w:val="0"/>
        <w:keepLines w:val="0"/>
        <w:widowControl/>
        <w:suppressLineNumbers w:val="0"/>
        <w:jc w:val="left"/>
        <w:rPr>
          <w:b/>
          <w:bCs/>
          <w:color w:val="auto"/>
          <w:highlight w:val="none"/>
          <w:u w:val="single"/>
        </w:rPr>
      </w:pPr>
      <w:r>
        <w:rPr>
          <w:rFonts w:hint="eastAsia" w:ascii="宋体" w:hAnsi="宋体" w:cs="宋体"/>
          <w:color w:val="auto"/>
          <w:kern w:val="0"/>
          <w:highlight w:val="none"/>
          <w:lang w:eastAsia="zh-CN"/>
        </w:rPr>
        <w:t>　　</w:t>
      </w:r>
      <w:r>
        <w:rPr>
          <w:rFonts w:hint="eastAsia" w:ascii="宋体" w:hAnsi="宋体" w:cs="宋体"/>
          <w:color w:val="auto"/>
          <w:kern w:val="0"/>
          <w:highlight w:val="none"/>
        </w:rPr>
        <w:t>合同当事人关于暂列金额使用的约定：</w:t>
      </w:r>
      <w:r>
        <w:rPr>
          <w:rFonts w:hint="eastAsia" w:ascii="宋体" w:hAnsi="宋体" w:eastAsia="宋体" w:cs="宋体"/>
          <w:b/>
          <w:bCs/>
          <w:color w:val="auto"/>
          <w:kern w:val="0"/>
          <w:sz w:val="22"/>
          <w:szCs w:val="22"/>
          <w:highlight w:val="none"/>
          <w:u w:val="single"/>
          <w:lang w:val="en-US" w:eastAsia="zh-CN" w:bidi="ar"/>
        </w:rPr>
        <w:t>合同中标明的暂列金额一般不予动用，其使用由发包人核准批复。</w:t>
      </w:r>
    </w:p>
    <w:p w14:paraId="510AEE20">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11. 价格调整</w:t>
      </w:r>
    </w:p>
    <w:p w14:paraId="47D887AB">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color w:val="auto"/>
          <w:szCs w:val="21"/>
          <w:highlight w:val="none"/>
        </w:rPr>
      </w:pPr>
      <w:r>
        <w:rPr>
          <w:rFonts w:hint="eastAsia" w:ascii="宋体" w:cs="宋体"/>
          <w:color w:val="auto"/>
          <w:szCs w:val="21"/>
          <w:highlight w:val="none"/>
        </w:rPr>
        <w:t>11.1 市场价格波动引起的调整</w:t>
      </w:r>
    </w:p>
    <w:p w14:paraId="0EA5983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highlight w:val="none"/>
        </w:rPr>
      </w:pPr>
      <w:r>
        <w:rPr>
          <w:rFonts w:hint="eastAsia" w:ascii="宋体" w:hAnsi="宋体" w:cs="宋体"/>
          <w:color w:val="auto"/>
          <w:kern w:val="0"/>
          <w:highlight w:val="none"/>
        </w:rPr>
        <w:t>市场价格波动是否调整合同价格的约定：</w:t>
      </w:r>
      <w:r>
        <w:rPr>
          <w:rFonts w:hint="eastAsia" w:ascii="宋体" w:hAnsi="宋体" w:cs="宋体"/>
          <w:b/>
          <w:color w:val="auto"/>
          <w:highlight w:val="none"/>
          <w:u w:val="single"/>
        </w:rPr>
        <w:t xml:space="preserve"> </w:t>
      </w:r>
      <w:r>
        <w:rPr>
          <w:rFonts w:hint="eastAsia" w:ascii="宋体" w:hAnsi="宋体" w:eastAsia="宋体" w:cs="宋体"/>
          <w:color w:val="auto"/>
          <w:szCs w:val="21"/>
          <w:highlight w:val="none"/>
          <w:u w:val="single"/>
          <w:lang w:val="en-US" w:eastAsia="zh-CN"/>
        </w:rPr>
        <w:t>不调整</w:t>
      </w:r>
      <w:r>
        <w:rPr>
          <w:rFonts w:hint="eastAsia" w:ascii="宋体" w:hAnsi="宋体" w:cs="宋体"/>
          <w:b/>
          <w:color w:val="auto"/>
          <w:highlight w:val="none"/>
          <w:u w:val="single"/>
        </w:rPr>
        <w:t xml:space="preserve"> </w:t>
      </w:r>
      <w:r>
        <w:rPr>
          <w:rFonts w:hint="eastAsia" w:ascii="宋体" w:hAnsi="宋体" w:cs="宋体"/>
          <w:color w:val="auto"/>
          <w:highlight w:val="none"/>
        </w:rPr>
        <w:t>。</w:t>
      </w:r>
    </w:p>
    <w:p w14:paraId="46DA032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因市场价格波动调整合同价格，采用以下第</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种方式对合同价格进行调整：</w:t>
      </w:r>
    </w:p>
    <w:p w14:paraId="16EAEE2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第1种方式：采用价格指数进行价格调整。</w:t>
      </w:r>
    </w:p>
    <w:p w14:paraId="120DC035">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highlight w:val="none"/>
          <w:u w:val="single"/>
        </w:rPr>
      </w:pPr>
      <w:r>
        <w:rPr>
          <w:rFonts w:hint="eastAsia" w:ascii="宋体" w:hAnsi="宋体" w:cs="宋体"/>
          <w:color w:val="auto"/>
          <w:highlight w:val="none"/>
        </w:rPr>
        <w:t>关于各可调因子、定值和变值权重，以及基本价格指数及其来源的约定：</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14:paraId="60D3AF7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第2种方式：采用造价信息进行价格调整。</w:t>
      </w:r>
    </w:p>
    <w:p w14:paraId="3E132DD0">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（1）价格的调整：</w:t>
      </w:r>
    </w:p>
    <w:p w14:paraId="6CAF00AC">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①可调整价格的主要材料范围的约定:</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23B5D1C">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②主要材料价差调整周期的约定:</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1B9B2103">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 w:val="24"/>
          <w:szCs w:val="32"/>
          <w:highlight w:val="none"/>
        </w:rPr>
      </w:pPr>
      <w:r>
        <w:rPr>
          <w:rFonts w:hint="eastAsia" w:ascii="宋体" w:hAnsi="宋体" w:cs="宋体"/>
          <w:color w:val="auto"/>
          <w:highlight w:val="none"/>
        </w:rPr>
        <w:t>③主要材料价差调整计算方法的约定:</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6E1C4C2C">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④主要材料价差调整时间的约定:</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64DDB168">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（2）关于基准价格的约定：</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1F2C269F">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①承包人在已标价工程量清单或预算书中载明的材料单价低于基准价格的：专用合同条款合同履行期间材料单价涨幅以基准价格为基础超过</w:t>
      </w:r>
      <w:r>
        <w:rPr>
          <w:rFonts w:hint="eastAsia" w:ascii="宋体" w:hAnsi="宋体" w:cs="宋体"/>
          <w:color w:val="auto"/>
          <w:highlight w:val="none"/>
          <w:u w:val="single"/>
          <w:lang w:val="en-US" w:eastAsia="zh-CN"/>
        </w:rPr>
        <w:t>/</w:t>
      </w:r>
      <w:r>
        <w:rPr>
          <w:rFonts w:hint="eastAsia" w:ascii="宋体" w:hAnsi="宋体" w:eastAsia="宋体" w:cs="宋体"/>
          <w:color w:val="auto"/>
          <w:highlight w:val="none"/>
        </w:rPr>
        <w:t>时，或材料单价跌幅以已标价工程量清单或预算书中载明材料单价为基础超过</w:t>
      </w:r>
      <w:r>
        <w:rPr>
          <w:rFonts w:hint="eastAsia" w:ascii="宋体" w:hAnsi="宋体" w:cs="宋体"/>
          <w:color w:val="auto"/>
          <w:highlight w:val="none"/>
          <w:u w:val="single"/>
          <w:lang w:val="en-US" w:eastAsia="zh-CN"/>
        </w:rPr>
        <w:t>/</w:t>
      </w:r>
      <w:r>
        <w:rPr>
          <w:rFonts w:hint="eastAsia" w:ascii="宋体" w:hAnsi="宋体" w:eastAsia="宋体" w:cs="宋体"/>
          <w:color w:val="auto"/>
          <w:highlight w:val="none"/>
        </w:rPr>
        <w:t>时，其超过部分据实调整。</w:t>
      </w:r>
    </w:p>
    <w:p w14:paraId="2D6B540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②承包人在已标价工程量清单或预算书中载明的材料单价高于基准价格的：专用合同条款合同履行期间材料单价跌幅以基准价格为基础超过</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rPr>
        <w:t>时，材料单价涨幅以已标价工程量清单或预算书中载明材料单价为基础超过</w:t>
      </w:r>
      <w:r>
        <w:rPr>
          <w:rFonts w:hint="eastAsia" w:ascii="宋体" w:hAnsi="宋体" w:cs="宋体"/>
          <w:color w:val="auto"/>
          <w:highlight w:val="none"/>
          <w:u w:val="single"/>
          <w:lang w:val="en-US" w:eastAsia="zh-CN"/>
        </w:rPr>
        <w:t>/</w:t>
      </w:r>
      <w:r>
        <w:rPr>
          <w:rFonts w:hint="eastAsia" w:ascii="宋体" w:hAnsi="宋体" w:cs="宋体"/>
          <w:color w:val="auto"/>
          <w:highlight w:val="none"/>
        </w:rPr>
        <w:t>时，其超过部分据实调整。</w:t>
      </w:r>
    </w:p>
    <w:p w14:paraId="652D941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③承包人在已标价工程量清单或预算书中载明的材料单价等于基准单价的：专用合同条款合同履行期间材料单价涨跌幅以基准单价为基础超过±</w:t>
      </w:r>
      <w:r>
        <w:rPr>
          <w:rFonts w:hint="eastAsia" w:ascii="宋体" w:hAnsi="宋体" w:cs="宋体"/>
          <w:color w:val="auto"/>
          <w:highlight w:val="none"/>
          <w:u w:val="single"/>
          <w:lang w:val="en-US" w:eastAsia="zh-CN"/>
        </w:rPr>
        <w:t>/</w:t>
      </w:r>
      <w:r>
        <w:rPr>
          <w:rFonts w:hint="eastAsia" w:ascii="宋体" w:hAnsi="宋体" w:cs="宋体"/>
          <w:color w:val="auto"/>
          <w:highlight w:val="none"/>
        </w:rPr>
        <w:t>时，其超过部分据实调整。</w:t>
      </w:r>
    </w:p>
    <w:p w14:paraId="682FE3EB">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highlight w:val="none"/>
          <w:u w:val="single"/>
        </w:rPr>
      </w:pPr>
      <w:r>
        <w:rPr>
          <w:rFonts w:hint="eastAsia" w:ascii="宋体" w:hAnsi="宋体" w:cs="宋体"/>
          <w:color w:val="auto"/>
          <w:highlight w:val="none"/>
        </w:rPr>
        <w:t>第3种方式：其他价格调整方式：</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无</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23DE31B2">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12. 合同价格、计量与支付</w:t>
      </w:r>
    </w:p>
    <w:p w14:paraId="78AAEEA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12.1 合同价格形式</w:t>
      </w:r>
    </w:p>
    <w:p w14:paraId="0EDC461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w:t>
      </w:r>
      <w:r>
        <w:rPr>
          <w:rFonts w:hint="eastAsia" w:ascii="宋体" w:cs="宋体"/>
          <w:color w:val="auto"/>
          <w:szCs w:val="21"/>
          <w:highlight w:val="none"/>
          <w:lang w:val="en-US" w:eastAsia="zh-CN"/>
        </w:rPr>
        <w:t>固定</w:t>
      </w:r>
      <w:r>
        <w:rPr>
          <w:rFonts w:hint="eastAsia" w:ascii="宋体" w:cs="宋体"/>
          <w:color w:val="auto"/>
          <w:szCs w:val="21"/>
          <w:highlight w:val="none"/>
        </w:rPr>
        <w:t>单价合同</w:t>
      </w:r>
      <w:r>
        <w:rPr>
          <w:rFonts w:hint="eastAsia" w:ascii="宋体" w:cs="宋体"/>
          <w:color w:val="auto"/>
          <w:szCs w:val="21"/>
          <w:highlight w:val="none"/>
          <w:lang w:eastAsia="zh-CN"/>
        </w:rPr>
        <w:t>，单价采用全费用综合单价</w:t>
      </w:r>
      <w:r>
        <w:rPr>
          <w:rFonts w:hint="eastAsia" w:ascii="宋体" w:cs="宋体"/>
          <w:color w:val="auto"/>
          <w:szCs w:val="21"/>
          <w:highlight w:val="none"/>
        </w:rPr>
        <w:t>。</w:t>
      </w:r>
    </w:p>
    <w:p w14:paraId="34278DE4">
      <w:pPr>
        <w:snapToGrid w:val="0"/>
        <w:spacing w:line="440" w:lineRule="exact"/>
        <w:ind w:firstLine="420" w:firstLineChars="200"/>
        <w:jc w:val="left"/>
        <w:rPr>
          <w:rFonts w:hint="eastAsia" w:ascii="宋体" w:cs="宋体"/>
          <w:b/>
          <w:color w:val="auto"/>
          <w:szCs w:val="21"/>
          <w:highlight w:val="none"/>
          <w:u w:val="single"/>
        </w:rPr>
      </w:pPr>
      <w:r>
        <w:rPr>
          <w:rFonts w:hint="eastAsia" w:ascii="宋体" w:cs="宋体"/>
          <w:color w:val="auto"/>
          <w:szCs w:val="21"/>
          <w:highlight w:val="none"/>
          <w:lang w:val="en-US" w:eastAsia="zh-CN"/>
        </w:rPr>
        <w:t>全费用综合</w:t>
      </w:r>
      <w:r>
        <w:rPr>
          <w:rFonts w:hint="eastAsia" w:ascii="宋体" w:cs="宋体"/>
          <w:color w:val="auto"/>
          <w:szCs w:val="21"/>
          <w:highlight w:val="none"/>
        </w:rPr>
        <w:t>单价包含的风险范围：</w:t>
      </w:r>
      <w:r>
        <w:rPr>
          <w:rFonts w:hint="eastAsia" w:ascii="宋体" w:hAnsi="宋体" w:eastAsia="宋体" w:cs="宋体"/>
          <w:b/>
          <w:bCs/>
          <w:color w:val="auto"/>
          <w:szCs w:val="21"/>
          <w:highlight w:val="none"/>
          <w:u w:val="single"/>
        </w:rPr>
        <w:t>各种因素引起的材料价格（合同允许调差的材料除外）、机械使用费、管理费、利润</w:t>
      </w:r>
      <w:r>
        <w:rPr>
          <w:rFonts w:hint="eastAsia" w:ascii="宋体" w:hAnsi="宋体" w:cs="宋体"/>
          <w:b/>
          <w:bCs/>
          <w:color w:val="auto"/>
          <w:szCs w:val="21"/>
          <w:highlight w:val="none"/>
          <w:u w:val="single"/>
          <w:lang w:eastAsia="zh-CN"/>
        </w:rPr>
        <w:t>、</w:t>
      </w:r>
      <w:r>
        <w:rPr>
          <w:rFonts w:hint="eastAsia" w:ascii="宋体" w:hAnsi="宋体" w:cs="宋体"/>
          <w:b/>
          <w:bCs/>
          <w:color w:val="auto"/>
          <w:szCs w:val="21"/>
          <w:highlight w:val="none"/>
          <w:u w:val="single"/>
          <w:lang w:val="en-US" w:eastAsia="zh-CN"/>
        </w:rPr>
        <w:t>规费、税金</w:t>
      </w:r>
      <w:r>
        <w:rPr>
          <w:rFonts w:hint="eastAsia" w:ascii="宋体" w:hAnsi="宋体" w:eastAsia="宋体" w:cs="宋体"/>
          <w:b/>
          <w:bCs/>
          <w:color w:val="auto"/>
          <w:szCs w:val="21"/>
          <w:highlight w:val="none"/>
          <w:u w:val="single"/>
        </w:rPr>
        <w:t>等</w:t>
      </w:r>
      <w:r>
        <w:rPr>
          <w:rFonts w:hint="eastAsia" w:ascii="宋体" w:cs="宋体"/>
          <w:b/>
          <w:color w:val="auto"/>
          <w:szCs w:val="21"/>
          <w:highlight w:val="none"/>
          <w:u w:val="single"/>
        </w:rPr>
        <w:t>。</w:t>
      </w:r>
    </w:p>
    <w:p w14:paraId="7781F16A">
      <w:pPr>
        <w:snapToGrid w:val="0"/>
        <w:spacing w:line="440" w:lineRule="exact"/>
        <w:ind w:firstLine="420" w:firstLineChars="200"/>
        <w:jc w:val="left"/>
        <w:rPr>
          <w:rFonts w:hint="eastAsia" w:ascii="宋体" w:eastAsia="宋体" w:cs="宋体"/>
          <w:color w:val="auto"/>
          <w:szCs w:val="21"/>
          <w:highlight w:val="none"/>
          <w:u w:val="none"/>
          <w:lang w:eastAsia="zh-CN"/>
        </w:rPr>
      </w:pPr>
      <w:r>
        <w:rPr>
          <w:rFonts w:hint="eastAsia" w:ascii="宋体" w:cs="宋体"/>
          <w:color w:val="auto"/>
          <w:szCs w:val="21"/>
          <w:highlight w:val="none"/>
        </w:rPr>
        <w:t>风险费用的计算方法：</w:t>
      </w:r>
      <w:r>
        <w:rPr>
          <w:rFonts w:hint="eastAsia" w:ascii="宋体" w:cs="宋体"/>
          <w:color w:val="auto"/>
          <w:szCs w:val="21"/>
          <w:highlight w:val="none"/>
          <w:u w:val="single"/>
        </w:rPr>
        <w:t>不考虑</w:t>
      </w:r>
      <w:r>
        <w:rPr>
          <w:rFonts w:hint="eastAsia" w:ascii="宋体" w:cs="宋体"/>
          <w:color w:val="auto"/>
          <w:szCs w:val="21"/>
          <w:highlight w:val="none"/>
          <w:u w:val="none"/>
          <w:lang w:eastAsia="zh-CN"/>
        </w:rPr>
        <w:t>。</w:t>
      </w:r>
    </w:p>
    <w:p w14:paraId="04548219">
      <w:pPr>
        <w:snapToGrid w:val="0"/>
        <w:spacing w:line="440" w:lineRule="exact"/>
        <w:ind w:firstLine="420" w:firstLineChars="200"/>
        <w:jc w:val="left"/>
        <w:rPr>
          <w:rFonts w:hint="eastAsia" w:ascii="宋体" w:hAnsi="宋体" w:cs="宋体"/>
          <w:bCs/>
          <w:color w:val="auto"/>
          <w:szCs w:val="21"/>
          <w:highlight w:val="none"/>
          <w:u w:val="single"/>
        </w:rPr>
      </w:pPr>
      <w:r>
        <w:rPr>
          <w:rFonts w:hint="eastAsia"/>
          <w:color w:val="auto"/>
          <w:highlight w:val="none"/>
        </w:rPr>
        <w:t>风险范围以外合同价格的调整方法：</w:t>
      </w:r>
      <w:r>
        <w:rPr>
          <w:rFonts w:hint="eastAsia" w:ascii="宋体" w:hAnsi="宋体" w:eastAsia="宋体" w:cs="宋体"/>
          <w:b w:val="0"/>
          <w:bCs/>
          <w:color w:val="auto"/>
          <w:sz w:val="21"/>
          <w:szCs w:val="21"/>
          <w:highlight w:val="none"/>
          <w:u w:val="single"/>
          <w:shd w:val="clear" w:color="auto" w:fill="auto"/>
        </w:rPr>
        <w:t>结算总价为</w:t>
      </w:r>
      <w:r>
        <w:rPr>
          <w:rFonts w:hint="eastAsia" w:ascii="宋体" w:hAnsi="宋体" w:cs="宋体"/>
          <w:b w:val="0"/>
          <w:bCs/>
          <w:color w:val="auto"/>
          <w:sz w:val="21"/>
          <w:szCs w:val="21"/>
          <w:highlight w:val="none"/>
          <w:u w:val="single"/>
          <w:shd w:val="clear" w:color="auto" w:fill="auto"/>
          <w:lang w:eastAsia="zh-CN"/>
        </w:rPr>
        <w:t>相应的全费用综合单价</w:t>
      </w:r>
      <w:r>
        <w:rPr>
          <w:rFonts w:hint="eastAsia" w:ascii="宋体" w:hAnsi="宋体" w:eastAsia="宋体" w:cs="宋体"/>
          <w:b w:val="0"/>
          <w:bCs/>
          <w:color w:val="auto"/>
          <w:sz w:val="21"/>
          <w:szCs w:val="21"/>
          <w:highlight w:val="none"/>
          <w:u w:val="single"/>
          <w:shd w:val="clear" w:color="auto" w:fill="auto"/>
        </w:rPr>
        <w:t>乘以相应已完</w:t>
      </w:r>
      <w:r>
        <w:rPr>
          <w:rFonts w:hint="eastAsia" w:ascii="宋体" w:hAnsi="宋体" w:cs="宋体"/>
          <w:b w:val="0"/>
          <w:bCs/>
          <w:color w:val="auto"/>
          <w:sz w:val="21"/>
          <w:szCs w:val="21"/>
          <w:highlight w:val="none"/>
          <w:u w:val="single"/>
          <w:shd w:val="clear" w:color="auto" w:fill="auto"/>
          <w:lang w:eastAsia="zh-CN"/>
        </w:rPr>
        <w:t>成并经验收</w:t>
      </w:r>
      <w:r>
        <w:rPr>
          <w:rFonts w:hint="eastAsia" w:ascii="宋体" w:hAnsi="宋体" w:eastAsia="宋体" w:cs="宋体"/>
          <w:b w:val="0"/>
          <w:bCs/>
          <w:color w:val="auto"/>
          <w:sz w:val="21"/>
          <w:szCs w:val="21"/>
          <w:highlight w:val="none"/>
          <w:u w:val="single"/>
          <w:shd w:val="clear" w:color="auto" w:fill="auto"/>
        </w:rPr>
        <w:t>合格</w:t>
      </w:r>
      <w:r>
        <w:rPr>
          <w:rFonts w:hint="eastAsia" w:ascii="宋体" w:hAnsi="宋体" w:cs="宋体"/>
          <w:b w:val="0"/>
          <w:bCs/>
          <w:color w:val="auto"/>
          <w:sz w:val="21"/>
          <w:szCs w:val="21"/>
          <w:highlight w:val="none"/>
          <w:u w:val="single"/>
          <w:shd w:val="clear" w:color="auto" w:fill="auto"/>
          <w:lang w:eastAsia="zh-CN"/>
        </w:rPr>
        <w:t>的</w:t>
      </w:r>
      <w:r>
        <w:rPr>
          <w:rFonts w:hint="eastAsia" w:ascii="宋体" w:hAnsi="宋体" w:eastAsia="宋体" w:cs="宋体"/>
          <w:b w:val="0"/>
          <w:bCs/>
          <w:color w:val="auto"/>
          <w:sz w:val="21"/>
          <w:szCs w:val="21"/>
          <w:highlight w:val="none"/>
          <w:u w:val="single"/>
          <w:shd w:val="clear" w:color="auto" w:fill="auto"/>
        </w:rPr>
        <w:t>工程量累加之和</w:t>
      </w:r>
      <w:r>
        <w:rPr>
          <w:rFonts w:hint="eastAsia" w:ascii="宋体" w:hAnsi="宋体" w:cs="宋体"/>
          <w:b w:val="0"/>
          <w:bCs/>
          <w:color w:val="auto"/>
          <w:sz w:val="21"/>
          <w:szCs w:val="21"/>
          <w:highlight w:val="none"/>
          <w:u w:val="single"/>
          <w:shd w:val="clear" w:color="auto" w:fill="auto"/>
          <w:lang w:eastAsia="zh-CN"/>
        </w:rPr>
        <w:t>再加上经发包人核准批复的暂列金使用金额</w:t>
      </w:r>
      <w:r>
        <w:rPr>
          <w:rFonts w:hint="eastAsia" w:ascii="宋体" w:hAnsi="宋体" w:cs="宋体"/>
          <w:bCs/>
          <w:color w:val="auto"/>
          <w:szCs w:val="21"/>
          <w:highlight w:val="none"/>
          <w:u w:val="single"/>
        </w:rPr>
        <w:t xml:space="preserve">。 </w:t>
      </w:r>
    </w:p>
    <w:p w14:paraId="0D98921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12.2 预付款</w:t>
      </w:r>
    </w:p>
    <w:p w14:paraId="19F1B61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12.2.1 预付款的支付</w:t>
      </w:r>
    </w:p>
    <w:p w14:paraId="6DD4723E">
      <w:pPr>
        <w:snapToGrid w:val="0"/>
        <w:spacing w:line="440" w:lineRule="exact"/>
        <w:ind w:firstLine="420" w:firstLineChars="200"/>
        <w:jc w:val="left"/>
        <w:rPr>
          <w:rFonts w:hint="eastAsia" w:ascii="宋体" w:cs="宋体"/>
          <w:b w:val="0"/>
          <w:bCs w:val="0"/>
          <w:color w:val="auto"/>
          <w:szCs w:val="21"/>
          <w:highlight w:val="none"/>
        </w:rPr>
      </w:pPr>
      <w:r>
        <w:rPr>
          <w:rFonts w:hint="eastAsia" w:ascii="宋体" w:cs="宋体"/>
          <w:b w:val="0"/>
          <w:bCs w:val="0"/>
          <w:color w:val="auto"/>
          <w:szCs w:val="21"/>
          <w:highlight w:val="none"/>
        </w:rPr>
        <w:t>预付款支付比例或金额：</w:t>
      </w:r>
      <w:r>
        <w:rPr>
          <w:rFonts w:hint="eastAsia" w:ascii="宋体" w:cs="宋体"/>
          <w:b w:val="0"/>
          <w:bCs w:val="0"/>
          <w:color w:val="auto"/>
          <w:szCs w:val="21"/>
          <w:highlight w:val="none"/>
          <w:u w:val="single"/>
          <w:lang w:val="en-US" w:eastAsia="zh-CN"/>
        </w:rPr>
        <w:t>无</w:t>
      </w:r>
      <w:r>
        <w:rPr>
          <w:rFonts w:hint="eastAsia" w:ascii="宋体" w:cs="宋体"/>
          <w:b w:val="0"/>
          <w:bCs w:val="0"/>
          <w:color w:val="auto"/>
          <w:szCs w:val="21"/>
          <w:highlight w:val="none"/>
        </w:rPr>
        <w:t>。</w:t>
      </w:r>
    </w:p>
    <w:p w14:paraId="1F98206A">
      <w:pPr>
        <w:snapToGrid w:val="0"/>
        <w:spacing w:line="440" w:lineRule="exact"/>
        <w:ind w:firstLine="420" w:firstLineChars="200"/>
        <w:jc w:val="left"/>
        <w:rPr>
          <w:rFonts w:hint="eastAsia" w:ascii="宋体" w:cs="宋体"/>
          <w:b w:val="0"/>
          <w:bCs w:val="0"/>
          <w:color w:val="auto"/>
          <w:szCs w:val="21"/>
          <w:highlight w:val="none"/>
        </w:rPr>
      </w:pPr>
      <w:r>
        <w:rPr>
          <w:rFonts w:hint="eastAsia" w:ascii="宋体" w:cs="宋体"/>
          <w:b w:val="0"/>
          <w:bCs w:val="0"/>
          <w:color w:val="auto"/>
          <w:szCs w:val="21"/>
          <w:highlight w:val="none"/>
        </w:rPr>
        <w:t>预付款支付期限：</w:t>
      </w:r>
      <w:r>
        <w:rPr>
          <w:rFonts w:hint="eastAsia" w:ascii="宋体" w:cs="宋体"/>
          <w:b w:val="0"/>
          <w:bCs w:val="0"/>
          <w:color w:val="auto"/>
          <w:szCs w:val="21"/>
          <w:highlight w:val="none"/>
          <w:u w:val="single"/>
        </w:rPr>
        <w:t xml:space="preserve"> </w:t>
      </w:r>
      <w:r>
        <w:rPr>
          <w:rFonts w:hint="eastAsia" w:ascii="宋体" w:hAnsi="宋体" w:cs="宋体"/>
          <w:b w:val="0"/>
          <w:bCs w:val="0"/>
          <w:color w:val="auto"/>
          <w:highlight w:val="none"/>
          <w:u w:val="single"/>
          <w:lang w:val="en-US" w:eastAsia="zh-CN"/>
        </w:rPr>
        <w:t>无</w:t>
      </w:r>
      <w:r>
        <w:rPr>
          <w:rFonts w:hint="eastAsia" w:ascii="宋体" w:cs="宋体"/>
          <w:b w:val="0"/>
          <w:bCs w:val="0"/>
          <w:color w:val="auto"/>
          <w:szCs w:val="21"/>
          <w:highlight w:val="none"/>
          <w:u w:val="single"/>
        </w:rPr>
        <w:t xml:space="preserve"> </w:t>
      </w:r>
      <w:r>
        <w:rPr>
          <w:rFonts w:hint="eastAsia" w:ascii="宋体" w:cs="宋体"/>
          <w:b w:val="0"/>
          <w:bCs w:val="0"/>
          <w:color w:val="auto"/>
          <w:szCs w:val="21"/>
          <w:highlight w:val="none"/>
        </w:rPr>
        <w:t>。</w:t>
      </w:r>
    </w:p>
    <w:p w14:paraId="654B2BD8">
      <w:pPr>
        <w:snapToGrid w:val="0"/>
        <w:spacing w:line="440" w:lineRule="exact"/>
        <w:ind w:firstLine="420" w:firstLineChars="200"/>
        <w:jc w:val="left"/>
        <w:rPr>
          <w:rFonts w:hint="eastAsia" w:ascii="宋体" w:cs="宋体"/>
          <w:b w:val="0"/>
          <w:bCs w:val="0"/>
          <w:color w:val="auto"/>
          <w:szCs w:val="21"/>
          <w:highlight w:val="none"/>
        </w:rPr>
      </w:pPr>
      <w:r>
        <w:rPr>
          <w:rFonts w:hint="eastAsia" w:ascii="宋体" w:cs="宋体"/>
          <w:b w:val="0"/>
          <w:bCs w:val="0"/>
          <w:color w:val="auto"/>
          <w:szCs w:val="21"/>
          <w:highlight w:val="none"/>
        </w:rPr>
        <w:t>预付款扣回的方式：</w:t>
      </w:r>
      <w:r>
        <w:rPr>
          <w:rFonts w:hint="eastAsia" w:ascii="宋体" w:hAnsi="宋体" w:cs="宋体"/>
          <w:b w:val="0"/>
          <w:bCs w:val="0"/>
          <w:color w:val="auto"/>
          <w:highlight w:val="none"/>
          <w:u w:val="single"/>
          <w:lang w:val="en-US" w:eastAsia="zh-CN"/>
        </w:rPr>
        <w:t>无</w:t>
      </w:r>
      <w:r>
        <w:rPr>
          <w:rFonts w:hint="eastAsia" w:ascii="宋体" w:cs="宋体"/>
          <w:b w:val="0"/>
          <w:bCs w:val="0"/>
          <w:color w:val="auto"/>
          <w:szCs w:val="21"/>
          <w:highlight w:val="none"/>
          <w:u w:val="single"/>
        </w:rPr>
        <w:t xml:space="preserve"> </w:t>
      </w:r>
      <w:r>
        <w:rPr>
          <w:rFonts w:hint="eastAsia" w:ascii="宋体" w:cs="宋体"/>
          <w:b w:val="0"/>
          <w:bCs w:val="0"/>
          <w:color w:val="auto"/>
          <w:szCs w:val="21"/>
          <w:highlight w:val="none"/>
        </w:rPr>
        <w:t>。</w:t>
      </w:r>
    </w:p>
    <w:p w14:paraId="5D081596">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12.2.2 预付款担保</w:t>
      </w:r>
    </w:p>
    <w:p w14:paraId="0A3512B6">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承包人提交预付款担保的期限：</w:t>
      </w:r>
      <w:r>
        <w:rPr>
          <w:rFonts w:hint="eastAsia" w:ascii="宋体" w:cs="宋体"/>
          <w:color w:val="auto"/>
          <w:szCs w:val="21"/>
          <w:highlight w:val="none"/>
          <w:u w:val="single"/>
          <w:lang w:val="en-US" w:eastAsia="zh-CN"/>
        </w:rPr>
        <w:t>/</w:t>
      </w:r>
      <w:r>
        <w:rPr>
          <w:rFonts w:hint="eastAsia" w:ascii="宋体" w:cs="宋体"/>
          <w:color w:val="auto"/>
          <w:szCs w:val="21"/>
          <w:highlight w:val="none"/>
        </w:rPr>
        <w:t>。</w:t>
      </w:r>
    </w:p>
    <w:p w14:paraId="527EB01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预付款担保的形式为：</w:t>
      </w:r>
      <w:r>
        <w:rPr>
          <w:rFonts w:hint="eastAsia" w:ascii="宋体" w:cs="宋体"/>
          <w:color w:val="auto"/>
          <w:szCs w:val="21"/>
          <w:highlight w:val="none"/>
          <w:u w:val="single"/>
          <w:lang w:val="en-US" w:eastAsia="zh-CN"/>
        </w:rPr>
        <w:t>/</w:t>
      </w:r>
      <w:r>
        <w:rPr>
          <w:rFonts w:hint="eastAsia" w:ascii="宋体" w:cs="宋体"/>
          <w:color w:val="auto"/>
          <w:szCs w:val="21"/>
          <w:highlight w:val="none"/>
        </w:rPr>
        <w:t>。</w:t>
      </w:r>
    </w:p>
    <w:p w14:paraId="6B8B988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12.3 计量</w:t>
      </w:r>
    </w:p>
    <w:p w14:paraId="07AC1ED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12.3.1 计量原则</w:t>
      </w:r>
    </w:p>
    <w:p w14:paraId="4044A6EA">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工程量计算规则：</w:t>
      </w:r>
      <w:r>
        <w:rPr>
          <w:rFonts w:hint="eastAsia" w:ascii="宋体" w:hAnsi="宋体" w:cs="宋体"/>
          <w:color w:val="auto"/>
          <w:szCs w:val="21"/>
          <w:highlight w:val="none"/>
          <w:u w:val="single"/>
        </w:rPr>
        <w:t>按招标工程量清单及最高投标限价所采用的工程量清单计价规范及配套文件等</w:t>
      </w:r>
      <w:r>
        <w:rPr>
          <w:rFonts w:hint="eastAsia" w:ascii="宋体" w:cs="宋体"/>
          <w:color w:val="auto"/>
          <w:szCs w:val="21"/>
          <w:highlight w:val="none"/>
          <w:u w:val="single"/>
        </w:rPr>
        <w:t>。</w:t>
      </w:r>
    </w:p>
    <w:p w14:paraId="462C41C7">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12.3.2 计量周期</w:t>
      </w:r>
    </w:p>
    <w:p w14:paraId="3CE77272">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关于计量周期的约定：</w:t>
      </w:r>
      <w:r>
        <w:rPr>
          <w:rFonts w:hint="eastAsia" w:ascii="宋体" w:cs="宋体"/>
          <w:color w:val="auto"/>
          <w:szCs w:val="21"/>
          <w:highlight w:val="none"/>
          <w:u w:val="single"/>
        </w:rPr>
        <w:t xml:space="preserve"> 按月计量  </w:t>
      </w:r>
      <w:r>
        <w:rPr>
          <w:rFonts w:hint="eastAsia" w:ascii="宋体" w:cs="宋体"/>
          <w:color w:val="auto"/>
          <w:szCs w:val="21"/>
          <w:highlight w:val="none"/>
        </w:rPr>
        <w:t>。</w:t>
      </w:r>
    </w:p>
    <w:p w14:paraId="0F3A8815">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12.3.3 单价合同的计量</w:t>
      </w:r>
    </w:p>
    <w:p w14:paraId="315641B2">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关于单价合同计量的约定：</w:t>
      </w:r>
      <w:r>
        <w:rPr>
          <w:rFonts w:hint="eastAsia" w:ascii="宋体" w:cs="宋体"/>
          <w:color w:val="auto"/>
          <w:szCs w:val="21"/>
          <w:highlight w:val="none"/>
          <w:u w:val="single"/>
        </w:rPr>
        <w:t>（1）承包人应于每月25日向监理人报送上月20日至当月19日已完成的工程量报告，并附具进度付款申请单、已完成工程量报表和有关资料。（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3）监理人未在收到承包人提交的工程量</w:t>
      </w:r>
      <w:r>
        <w:rPr>
          <w:rFonts w:hint="eastAsia" w:ascii="宋体" w:cs="宋体"/>
          <w:color w:val="auto"/>
          <w:szCs w:val="21"/>
          <w:highlight w:val="none"/>
          <w:u w:val="single"/>
        </w:rPr>
        <w:t>报表后的7天内完成审核的，承包人</w:t>
      </w:r>
      <w:r>
        <w:rPr>
          <w:rFonts w:hint="eastAsia" w:ascii="宋体" w:cs="宋体"/>
          <w:color w:val="auto"/>
          <w:szCs w:val="21"/>
          <w:highlight w:val="none"/>
          <w:u w:val="single"/>
          <w:lang w:eastAsia="zh-CN"/>
        </w:rPr>
        <w:t>应通知发包人审核，发包人既不审核也不督促监理人复核，超过承包人报送时间</w:t>
      </w:r>
      <w:r>
        <w:rPr>
          <w:rFonts w:hint="eastAsia" w:ascii="宋体" w:cs="宋体"/>
          <w:color w:val="auto"/>
          <w:szCs w:val="21"/>
          <w:highlight w:val="none"/>
          <w:u w:val="single"/>
          <w:lang w:val="en-US" w:eastAsia="zh-CN"/>
        </w:rPr>
        <w:t>14日的，以</w:t>
      </w:r>
      <w:r>
        <w:rPr>
          <w:rFonts w:hint="eastAsia" w:ascii="宋体" w:cs="宋体"/>
          <w:color w:val="auto"/>
          <w:szCs w:val="21"/>
          <w:highlight w:val="none"/>
          <w:u w:val="single"/>
        </w:rPr>
        <w:t>承包人</w:t>
      </w:r>
      <w:r>
        <w:rPr>
          <w:rFonts w:hint="eastAsia" w:ascii="宋体" w:cs="宋体"/>
          <w:color w:val="auto"/>
          <w:szCs w:val="21"/>
          <w:highlight w:val="none"/>
          <w:u w:val="single"/>
          <w:lang w:eastAsia="zh-CN"/>
        </w:rPr>
        <w:t>报送</w:t>
      </w:r>
      <w:r>
        <w:rPr>
          <w:rFonts w:hint="eastAsia" w:ascii="宋体" w:cs="宋体"/>
          <w:color w:val="auto"/>
          <w:szCs w:val="21"/>
          <w:highlight w:val="none"/>
          <w:u w:val="single"/>
        </w:rPr>
        <w:t>的工程量，据此计算工程价款。</w:t>
      </w:r>
    </w:p>
    <w:p w14:paraId="34C8A998">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12.3.4 总价合同的计量</w:t>
      </w:r>
    </w:p>
    <w:p w14:paraId="72E9ACAB">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关于总价合同计量的约定：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1969EA1D">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12.3.5总价合同采用支付分解表计量支付的，是否适用第</w:t>
      </w:r>
      <w:r>
        <w:rPr>
          <w:rFonts w:hint="eastAsia" w:ascii="宋体" w:cs="宋体"/>
          <w:color w:val="auto"/>
          <w:kern w:val="0"/>
          <w:szCs w:val="21"/>
          <w:highlight w:val="none"/>
        </w:rPr>
        <w:t xml:space="preserve">12.3.4 </w:t>
      </w:r>
      <w:r>
        <w:rPr>
          <w:rFonts w:hint="eastAsia" w:ascii="宋体" w:cs="宋体"/>
          <w:color w:val="auto"/>
          <w:szCs w:val="21"/>
          <w:highlight w:val="none"/>
        </w:rPr>
        <w:t>项</w:t>
      </w:r>
      <w:r>
        <w:rPr>
          <w:rFonts w:hint="eastAsia" w:ascii="宋体" w:cs="宋体"/>
          <w:color w:val="auto"/>
          <w:kern w:val="0"/>
          <w:szCs w:val="21"/>
          <w:highlight w:val="none"/>
        </w:rPr>
        <w:t>〔总价合同的计量〕</w:t>
      </w:r>
      <w:r>
        <w:rPr>
          <w:rFonts w:hint="eastAsia" w:ascii="宋体" w:cs="宋体"/>
          <w:color w:val="auto"/>
          <w:szCs w:val="21"/>
          <w:highlight w:val="none"/>
        </w:rPr>
        <w:t>约定进行计量：</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3AB7FCA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12.3.6 其他价格形式合同的计量</w:t>
      </w:r>
    </w:p>
    <w:p w14:paraId="08ED57F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其他价格形式的计量方式和程序：</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3ACD67C3">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12.4 工程进度款支付</w:t>
      </w:r>
    </w:p>
    <w:p w14:paraId="0FFCEC2D">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12.4.1 付款周期</w:t>
      </w:r>
    </w:p>
    <w:p w14:paraId="00DDD8B7">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关于付款周期的约定：</w:t>
      </w:r>
      <w:r>
        <w:rPr>
          <w:rFonts w:hint="eastAsia" w:ascii="宋体" w:hAnsi="宋体" w:cs="宋体"/>
          <w:color w:val="auto"/>
          <w:sz w:val="21"/>
          <w:szCs w:val="21"/>
          <w:highlight w:val="none"/>
          <w:lang w:val="en-US" w:eastAsia="zh-CN"/>
        </w:rPr>
        <w:t>施工过程按月进度付款，支付额度为已完成合格工程量的80%，竣工验收合格</w:t>
      </w:r>
      <w:r>
        <w:rPr>
          <w:rFonts w:hint="eastAsia" w:ascii="宋体" w:hAnsi="宋体" w:eastAsia="宋体" w:cs="宋体"/>
          <w:color w:val="auto"/>
          <w:sz w:val="21"/>
          <w:szCs w:val="21"/>
          <w:highlight w:val="none"/>
          <w:lang w:val="en-US" w:eastAsia="zh-CN"/>
        </w:rPr>
        <w:t>后付至结算价款的98%，剩余2%作为质量保证金，工程缺陷责任期（自竣工验收合格之日起满两年）满后付清余款。</w:t>
      </w:r>
    </w:p>
    <w:p w14:paraId="73EBFE99">
      <w:pPr>
        <w:keepNext w:val="0"/>
        <w:keepLines w:val="0"/>
        <w:pageBreakBefore w:val="0"/>
        <w:widowControl/>
        <w:suppressLineNumbers w:val="0"/>
        <w:kinsoku/>
        <w:wordWrap/>
        <w:overflowPunct/>
        <w:topLinePunct w:val="0"/>
        <w:autoSpaceDE/>
        <w:autoSpaceDN/>
        <w:bidi w:val="0"/>
        <w:adjustRightInd/>
        <w:snapToGrid/>
        <w:spacing w:line="500" w:lineRule="exact"/>
        <w:ind w:firstLine="420" w:firstLineChars="200"/>
        <w:jc w:val="left"/>
        <w:textAlignment w:val="auto"/>
        <w:rPr>
          <w:rFonts w:hint="eastAsia" w:ascii="宋体" w:cs="宋体"/>
          <w:color w:val="auto"/>
          <w:szCs w:val="21"/>
          <w:highlight w:val="none"/>
        </w:rPr>
      </w:pPr>
      <w:r>
        <w:rPr>
          <w:rFonts w:hint="eastAsia" w:ascii="宋体" w:hAnsi="宋体" w:cs="宋体"/>
          <w:color w:val="auto"/>
          <w:highlight w:val="none"/>
        </w:rPr>
        <w:t>关于付款周期的其他约定：</w:t>
      </w:r>
      <w:r>
        <w:rPr>
          <w:rFonts w:hint="eastAsia" w:ascii="宋体" w:hAnsi="宋体" w:cs="宋体"/>
          <w:color w:val="auto"/>
          <w:sz w:val="21"/>
          <w:szCs w:val="21"/>
          <w:highlight w:val="none"/>
          <w:lang w:val="en-US" w:eastAsia="zh-CN"/>
        </w:rPr>
        <w:t>每次付款承包人需提供出具的增值税税率为9%的增值税专用发票；竣工结算审核后，承包人开具审定金额剩余部分的全额增值税专用发票</w:t>
      </w:r>
      <w:r>
        <w:rPr>
          <w:rFonts w:hint="eastAsia" w:ascii="宋体" w:hAnsi="宋体" w:cs="宋体"/>
          <w:color w:val="auto"/>
          <w:highlight w:val="none"/>
        </w:rPr>
        <w:t>。</w:t>
      </w:r>
    </w:p>
    <w:p w14:paraId="0454091C">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12.4.2 进度付款申请单的编制</w:t>
      </w:r>
    </w:p>
    <w:p w14:paraId="1A2C3AE0">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关于进度付款申请单编制的约定：</w:t>
      </w:r>
      <w:r>
        <w:rPr>
          <w:rFonts w:hint="eastAsia" w:ascii="宋体" w:cs="宋体"/>
          <w:color w:val="auto"/>
          <w:szCs w:val="21"/>
          <w:highlight w:val="none"/>
          <w:u w:val="single"/>
        </w:rPr>
        <w:t>执行发包人统一内容格式。</w:t>
      </w:r>
    </w:p>
    <w:p w14:paraId="67596A3B">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12.4.3 进度付款申请单的提交</w:t>
      </w:r>
    </w:p>
    <w:p w14:paraId="31BB1BD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（1）单价合同进度付款申请单提交的约定：</w:t>
      </w:r>
      <w:r>
        <w:rPr>
          <w:rFonts w:hint="eastAsia" w:ascii="宋体" w:cs="宋体"/>
          <w:color w:val="auto"/>
          <w:szCs w:val="21"/>
          <w:highlight w:val="none"/>
          <w:u w:val="single"/>
        </w:rPr>
        <w:t xml:space="preserve"> </w:t>
      </w:r>
      <w:r>
        <w:rPr>
          <w:rFonts w:hint="eastAsia" w:ascii="宋体" w:hAnsi="宋体" w:eastAsia="宋体" w:cs="宋体"/>
          <w:color w:val="auto"/>
          <w:szCs w:val="21"/>
          <w:highlight w:val="none"/>
          <w:u w:val="single"/>
        </w:rPr>
        <w:t>按施工进度付款，承包人</w:t>
      </w:r>
      <w:r>
        <w:rPr>
          <w:rFonts w:hint="eastAsia" w:ascii="宋体" w:hAnsi="宋体" w:eastAsia="宋体" w:cs="宋体"/>
          <w:color w:val="auto"/>
          <w:szCs w:val="21"/>
          <w:highlight w:val="none"/>
          <w:u w:val="single"/>
          <w:lang w:val="en-US" w:eastAsia="zh-CN"/>
        </w:rPr>
        <w:t>按发包人要求</w:t>
      </w:r>
      <w:r>
        <w:rPr>
          <w:rFonts w:hint="eastAsia" w:ascii="宋体" w:hAnsi="宋体" w:eastAsia="宋体" w:cs="宋体"/>
          <w:color w:val="auto"/>
          <w:szCs w:val="21"/>
          <w:highlight w:val="none"/>
          <w:u w:val="single"/>
        </w:rPr>
        <w:t>向发包人报送请款资料</w:t>
      </w:r>
      <w:r>
        <w:rPr>
          <w:rFonts w:hint="eastAsia" w:ascii="黑体" w:eastAsia="黑体" w:cs="宋体"/>
          <w:b/>
          <w:bCs/>
          <w:color w:val="auto"/>
          <w:szCs w:val="21"/>
          <w:highlight w:val="none"/>
          <w:u w:val="single"/>
        </w:rPr>
        <w:t>。</w:t>
      </w:r>
    </w:p>
    <w:p w14:paraId="08FBBFD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（2）总价合同进度付款申请单提交的约定：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5A498097">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（3）其他价格形式合同进度付款申请单提交的约定：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65633967">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12.4.4 进度款审核和支付</w:t>
      </w:r>
    </w:p>
    <w:p w14:paraId="7322FDC7">
      <w:p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rPr>
        <w:t>（1）监理人审查并报送发包人的期限：</w:t>
      </w:r>
      <w:r>
        <w:rPr>
          <w:rFonts w:hint="eastAsia" w:ascii="宋体" w:cs="宋体"/>
          <w:color w:val="auto"/>
          <w:szCs w:val="21"/>
          <w:highlight w:val="none"/>
          <w:u w:val="single"/>
        </w:rPr>
        <w:t xml:space="preserve"> 监理人应在收到承包人进度付款申请单以及相关资料后7天内完成审查并报送发包人。</w:t>
      </w:r>
    </w:p>
    <w:p w14:paraId="43F584F5">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发包人完成审批并签发进度款支付证书的期限：</w:t>
      </w:r>
      <w:r>
        <w:rPr>
          <w:rFonts w:hint="eastAsia" w:ascii="宋体" w:cs="宋体"/>
          <w:color w:val="auto"/>
          <w:szCs w:val="21"/>
          <w:highlight w:val="none"/>
          <w:u w:val="single"/>
        </w:rPr>
        <w:t>发包人应在收到后7天内完成审批并签发进度款支付证书，跟踪审计人员审核时间除外</w:t>
      </w:r>
      <w:r>
        <w:rPr>
          <w:rFonts w:hint="eastAsia" w:ascii="宋体" w:cs="宋体"/>
          <w:color w:val="auto"/>
          <w:szCs w:val="21"/>
          <w:highlight w:val="none"/>
        </w:rPr>
        <w:t>。</w:t>
      </w:r>
    </w:p>
    <w:p w14:paraId="6FC3DBBE">
      <w:pPr>
        <w:tabs>
          <w:tab w:val="left" w:pos="0"/>
        </w:tabs>
        <w:snapToGrid w:val="0"/>
        <w:spacing w:line="440" w:lineRule="exact"/>
        <w:ind w:firstLine="420" w:firstLineChars="200"/>
        <w:rPr>
          <w:rFonts w:hint="eastAsia" w:ascii="宋体" w:cs="宋体"/>
          <w:b/>
          <w:color w:val="auto"/>
          <w:szCs w:val="21"/>
          <w:highlight w:val="none"/>
          <w:u w:val="single"/>
        </w:rPr>
      </w:pPr>
      <w:r>
        <w:rPr>
          <w:rFonts w:hint="eastAsia" w:ascii="宋体" w:cs="宋体"/>
          <w:color w:val="auto"/>
          <w:szCs w:val="21"/>
          <w:highlight w:val="none"/>
        </w:rPr>
        <w:t>（2）发包人支付进度款的期限：</w:t>
      </w:r>
      <w:r>
        <w:rPr>
          <w:rFonts w:hint="eastAsia" w:ascii="宋体" w:hAnsi="宋体" w:eastAsia="宋体" w:cs="宋体"/>
          <w:color w:val="auto"/>
          <w:szCs w:val="21"/>
          <w:highlight w:val="none"/>
          <w:u w:val="single"/>
        </w:rPr>
        <w:t>发票送达</w:t>
      </w:r>
      <w:r>
        <w:rPr>
          <w:rFonts w:hint="eastAsia" w:ascii="宋体" w:hAnsi="宋体" w:eastAsia="宋体" w:cs="宋体"/>
          <w:color w:val="auto"/>
          <w:szCs w:val="21"/>
          <w:highlight w:val="none"/>
          <w:u w:val="single"/>
          <w:lang w:val="en-US" w:eastAsia="zh-CN"/>
        </w:rPr>
        <w:t>30日</w:t>
      </w:r>
      <w:r>
        <w:rPr>
          <w:rFonts w:hint="eastAsia" w:ascii="宋体" w:hAnsi="宋体" w:eastAsia="宋体" w:cs="宋体"/>
          <w:color w:val="auto"/>
          <w:szCs w:val="21"/>
          <w:highlight w:val="none"/>
          <w:u w:val="single"/>
        </w:rPr>
        <w:t>内完成支付</w:t>
      </w:r>
      <w:r>
        <w:rPr>
          <w:rFonts w:hint="eastAsia" w:ascii="宋体" w:cs="宋体"/>
          <w:color w:val="auto"/>
          <w:szCs w:val="21"/>
          <w:highlight w:val="none"/>
        </w:rPr>
        <w:t>。</w:t>
      </w:r>
    </w:p>
    <w:p w14:paraId="497FE8DB">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发包人逾期支付进度款的违约金的计算方式：</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14:paraId="3BEA80C7">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cs="宋体"/>
          <w:color w:val="auto"/>
          <w:szCs w:val="21"/>
          <w:highlight w:val="none"/>
        </w:rPr>
      </w:pPr>
      <w:r>
        <w:rPr>
          <w:rFonts w:hint="eastAsia" w:ascii="宋体" w:cs="宋体"/>
          <w:color w:val="auto"/>
          <w:szCs w:val="21"/>
          <w:highlight w:val="none"/>
        </w:rPr>
        <w:t>12.4.6 支付分解表的编制</w:t>
      </w:r>
    </w:p>
    <w:p w14:paraId="6CC2411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highlight w:val="none"/>
          <w:u w:val="single"/>
        </w:rPr>
      </w:pPr>
      <w:r>
        <w:rPr>
          <w:rFonts w:hint="eastAsia" w:ascii="宋体" w:hAnsi="宋体" w:cs="宋体"/>
          <w:color w:val="auto"/>
          <w:highlight w:val="none"/>
        </w:rPr>
        <w:t>(2)总价合同支付分解表的编制与审批：</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027D82E8">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cs="宋体"/>
          <w:color w:val="auto"/>
          <w:szCs w:val="21"/>
          <w:highlight w:val="none"/>
          <w:u w:val="single"/>
        </w:rPr>
      </w:pPr>
      <w:r>
        <w:rPr>
          <w:rFonts w:hint="eastAsia" w:ascii="宋体" w:hAnsi="宋体" w:cs="宋体"/>
          <w:color w:val="auto"/>
          <w:highlight w:val="none"/>
        </w:rPr>
        <w:t>(3)单价合同的总价项目支付分解表的编制与审批：</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40F5896D">
      <w:pPr>
        <w:keepNext w:val="0"/>
        <w:keepLines w:val="0"/>
        <w:pageBreakBefore w:val="0"/>
        <w:widowControl w:val="0"/>
        <w:kinsoku/>
        <w:wordWrap/>
        <w:overflowPunct/>
        <w:topLinePunct w:val="0"/>
        <w:autoSpaceDE/>
        <w:autoSpaceDN/>
        <w:bidi w:val="0"/>
        <w:adjustRightInd w:val="0"/>
        <w:snapToGrid w:val="0"/>
        <w:spacing w:line="440" w:lineRule="exact"/>
        <w:ind w:firstLine="422" w:firstLineChars="200"/>
        <w:textAlignment w:val="auto"/>
        <w:rPr>
          <w:rFonts w:hint="eastAsia" w:ascii="宋体" w:hAnsi="宋体" w:cs="宋体"/>
          <w:b/>
          <w:color w:val="auto"/>
          <w:highlight w:val="none"/>
        </w:rPr>
      </w:pPr>
      <w:r>
        <w:rPr>
          <w:rFonts w:hint="eastAsia" w:ascii="宋体" w:hAnsi="宋体" w:cs="宋体"/>
          <w:b/>
          <w:color w:val="auto"/>
          <w:highlight w:val="none"/>
        </w:rPr>
        <w:t>12.4.7 农民工工资管理（</w:t>
      </w:r>
      <w:r>
        <w:rPr>
          <w:rFonts w:hint="eastAsia" w:ascii="宋体" w:hAnsi="宋体" w:cs="宋体"/>
          <w:b/>
          <w:color w:val="auto"/>
          <w:highlight w:val="none"/>
          <w:lang w:val="en-US" w:eastAsia="zh-CN"/>
        </w:rPr>
        <w:t>不采用</w:t>
      </w:r>
      <w:r>
        <w:rPr>
          <w:rFonts w:hint="eastAsia" w:ascii="宋体" w:hAnsi="宋体" w:cs="宋体"/>
          <w:b/>
          <w:color w:val="auto"/>
          <w:highlight w:val="none"/>
        </w:rPr>
        <w:t>）</w:t>
      </w:r>
    </w:p>
    <w:p w14:paraId="7031B0A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bCs/>
          <w:color w:val="auto"/>
          <w:highlight w:val="none"/>
          <w:lang w:eastAsia="zh-CN"/>
        </w:rPr>
      </w:pPr>
      <w:r>
        <w:rPr>
          <w:rFonts w:hint="eastAsia" w:ascii="宋体" w:hAnsi="宋体" w:cs="宋体"/>
          <w:bCs/>
          <w:color w:val="auto"/>
          <w:highlight w:val="none"/>
        </w:rPr>
        <w:t>(1)本工程农民工工资实行专用账户管理，承包人设立的专用账户开户行为</w:t>
      </w:r>
      <w:r>
        <w:rPr>
          <w:rFonts w:hint="eastAsia" w:ascii="宋体" w:hAnsi="宋体" w:cs="宋体"/>
          <w:bCs/>
          <w:color w:val="auto"/>
          <w:highlight w:val="none"/>
          <w:u w:val="single"/>
        </w:rPr>
        <w:t>：</w:t>
      </w:r>
      <w:r>
        <w:rPr>
          <w:rFonts w:hint="eastAsia" w:ascii="宋体" w:hAnsi="宋体" w:cs="宋体"/>
          <w:bCs/>
          <w:color w:val="auto"/>
          <w:highlight w:val="none"/>
          <w:u w:val="single"/>
          <w:lang w:val="en-US" w:eastAsia="zh-CN"/>
        </w:rPr>
        <w:t>/</w:t>
      </w:r>
      <w:r>
        <w:rPr>
          <w:rFonts w:hint="eastAsia" w:ascii="宋体" w:hAnsi="宋体" w:cs="宋体"/>
          <w:bCs/>
          <w:color w:val="auto"/>
          <w:highlight w:val="none"/>
        </w:rPr>
        <w:t>，账号：</w:t>
      </w:r>
      <w:r>
        <w:rPr>
          <w:rFonts w:hint="eastAsia" w:ascii="宋体" w:hAnsi="宋体" w:cs="宋体"/>
          <w:bCs/>
          <w:color w:val="auto"/>
          <w:highlight w:val="none"/>
          <w:u w:val="single"/>
          <w:lang w:val="en-US" w:eastAsia="zh-CN"/>
        </w:rPr>
        <w:t>/</w:t>
      </w:r>
      <w:r>
        <w:rPr>
          <w:rFonts w:hint="eastAsia" w:ascii="宋体" w:hAnsi="宋体" w:cs="宋体"/>
          <w:bCs/>
          <w:color w:val="auto"/>
          <w:highlight w:val="none"/>
          <w:lang w:eastAsia="zh-CN"/>
        </w:rPr>
        <w:t>；</w:t>
      </w:r>
    </w:p>
    <w:p w14:paraId="7102B370">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bCs/>
          <w:strike/>
          <w:dstrike w:val="0"/>
          <w:color w:val="auto"/>
          <w:highlight w:val="none"/>
        </w:rPr>
      </w:pPr>
      <w:r>
        <w:rPr>
          <w:rFonts w:hint="eastAsia" w:ascii="宋体" w:hAnsi="宋体" w:cs="宋体"/>
          <w:bCs/>
          <w:strike w:val="0"/>
          <w:dstrike w:val="0"/>
          <w:color w:val="auto"/>
          <w:highlight w:val="none"/>
        </w:rPr>
        <w:t>(</w:t>
      </w:r>
      <w:r>
        <w:rPr>
          <w:rFonts w:hint="eastAsia" w:ascii="宋体" w:hAnsi="宋体" w:cs="宋体"/>
          <w:bCs/>
          <w:strike w:val="0"/>
          <w:dstrike w:val="0"/>
          <w:color w:val="auto"/>
          <w:highlight w:val="none"/>
          <w:lang w:val="en-US" w:eastAsia="zh-CN"/>
        </w:rPr>
        <w:t>2</w:t>
      </w:r>
      <w:r>
        <w:rPr>
          <w:rFonts w:hint="eastAsia" w:ascii="宋体" w:hAnsi="宋体" w:cs="宋体"/>
          <w:bCs/>
          <w:strike w:val="0"/>
          <w:dstrike w:val="0"/>
          <w:color w:val="auto"/>
          <w:highlight w:val="none"/>
        </w:rPr>
        <w:t>)发包人</w:t>
      </w:r>
      <w:r>
        <w:rPr>
          <w:rFonts w:hint="eastAsia" w:ascii="宋体" w:hAnsi="宋体" w:cs="宋体"/>
          <w:bCs/>
          <w:strike w:val="0"/>
          <w:dstrike w:val="0"/>
          <w:color w:val="auto"/>
          <w:highlight w:val="none"/>
          <w:lang w:eastAsia="zh-CN"/>
        </w:rPr>
        <w:t>将按当期计量支付一定比例（一般情况下不低于</w:t>
      </w:r>
      <w:r>
        <w:rPr>
          <w:rFonts w:hint="eastAsia" w:ascii="宋体" w:hAnsi="宋体" w:cs="宋体"/>
          <w:bCs/>
          <w:strike w:val="0"/>
          <w:dstrike w:val="0"/>
          <w:color w:val="auto"/>
          <w:highlight w:val="none"/>
          <w:lang w:val="en-US" w:eastAsia="zh-CN"/>
        </w:rPr>
        <w:t>12%</w:t>
      </w:r>
      <w:r>
        <w:rPr>
          <w:rFonts w:hint="eastAsia" w:ascii="宋体" w:hAnsi="宋体" w:cs="宋体"/>
          <w:bCs/>
          <w:strike w:val="0"/>
          <w:dstrike w:val="0"/>
          <w:color w:val="auto"/>
          <w:highlight w:val="none"/>
          <w:lang w:eastAsia="zh-CN"/>
        </w:rPr>
        <w:t>）的</w:t>
      </w:r>
      <w:r>
        <w:rPr>
          <w:rFonts w:hint="eastAsia" w:ascii="宋体" w:hAnsi="宋体" w:cs="宋体"/>
          <w:bCs/>
          <w:strike w:val="0"/>
          <w:dstrike w:val="0"/>
          <w:color w:val="auto"/>
          <w:highlight w:val="none"/>
        </w:rPr>
        <w:t>进度款转入农民工工资专用账户。</w:t>
      </w:r>
    </w:p>
    <w:p w14:paraId="0629DC3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bCs/>
          <w:color w:val="auto"/>
          <w:highlight w:val="none"/>
        </w:rPr>
      </w:pPr>
      <w:r>
        <w:rPr>
          <w:rFonts w:hint="eastAsia" w:ascii="宋体" w:hAnsi="宋体" w:cs="宋体"/>
          <w:bCs/>
          <w:color w:val="auto"/>
          <w:highlight w:val="none"/>
        </w:rPr>
        <w:t>(</w:t>
      </w:r>
      <w:r>
        <w:rPr>
          <w:rFonts w:hint="eastAsia" w:ascii="宋体" w:hAnsi="宋体" w:cs="宋体"/>
          <w:bCs/>
          <w:color w:val="auto"/>
          <w:highlight w:val="none"/>
          <w:lang w:val="en-US" w:eastAsia="zh-CN"/>
        </w:rPr>
        <w:t>3</w:t>
      </w:r>
      <w:r>
        <w:rPr>
          <w:rFonts w:hint="eastAsia" w:ascii="宋体" w:hAnsi="宋体" w:cs="宋体"/>
          <w:bCs/>
          <w:color w:val="auto"/>
          <w:highlight w:val="none"/>
        </w:rPr>
        <w:t>)承包人每月25日前上报本工程农民工工资清单，每月10日前委托开设农民工工资专用账户的银行支付农民工工资。</w:t>
      </w:r>
    </w:p>
    <w:p w14:paraId="61B132BB">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bCs/>
          <w:color w:val="auto"/>
          <w:highlight w:val="none"/>
        </w:rPr>
      </w:pPr>
      <w:r>
        <w:rPr>
          <w:rFonts w:hint="eastAsia" w:ascii="宋体" w:hAnsi="宋体" w:cs="宋体"/>
          <w:bCs/>
          <w:color w:val="auto"/>
          <w:highlight w:val="none"/>
        </w:rPr>
        <w:t>(</w:t>
      </w:r>
      <w:r>
        <w:rPr>
          <w:rFonts w:hint="eastAsia" w:ascii="宋体" w:hAnsi="宋体" w:cs="宋体"/>
          <w:bCs/>
          <w:color w:val="auto"/>
          <w:highlight w:val="none"/>
          <w:lang w:val="en-US" w:eastAsia="zh-CN"/>
        </w:rPr>
        <w:t>4</w:t>
      </w:r>
      <w:r>
        <w:rPr>
          <w:rFonts w:hint="eastAsia" w:ascii="宋体" w:hAnsi="宋体" w:cs="宋体"/>
          <w:bCs/>
          <w:color w:val="auto"/>
          <w:highlight w:val="none"/>
        </w:rPr>
        <w:t>)工程竣工后，经项目部农民工维权组确认无农民工工资拖欠后，发、承双方办理农民工工资专用账户撤销手续，农民工工资专用账户余额划至本合同约定的承包人账户。</w:t>
      </w:r>
    </w:p>
    <w:p w14:paraId="57B68465">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13. 验收和工程试车</w:t>
      </w:r>
    </w:p>
    <w:p w14:paraId="0E25E4A7">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13.1 分部分项工程验收</w:t>
      </w:r>
    </w:p>
    <w:p w14:paraId="074CAD8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13.1.2监理人不能按时进行验收时，应提前</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24</w:t>
      </w:r>
      <w:r>
        <w:rPr>
          <w:rFonts w:hint="eastAsia" w:ascii="宋体" w:cs="宋体"/>
          <w:color w:val="auto"/>
          <w:szCs w:val="21"/>
          <w:highlight w:val="none"/>
          <w:u w:val="single"/>
        </w:rPr>
        <w:t xml:space="preserve"> </w:t>
      </w:r>
      <w:r>
        <w:rPr>
          <w:rFonts w:hint="eastAsia" w:ascii="宋体" w:cs="宋体"/>
          <w:color w:val="auto"/>
          <w:szCs w:val="21"/>
          <w:highlight w:val="none"/>
        </w:rPr>
        <w:t>小时提交书面延期要求。</w:t>
      </w:r>
    </w:p>
    <w:p w14:paraId="08571564">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关于延期最长不得超过：</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48</w:t>
      </w:r>
      <w:r>
        <w:rPr>
          <w:rFonts w:hint="eastAsia" w:ascii="宋体" w:cs="宋体"/>
          <w:color w:val="auto"/>
          <w:szCs w:val="21"/>
          <w:highlight w:val="none"/>
          <w:u w:val="single"/>
        </w:rPr>
        <w:t xml:space="preserve">  </w:t>
      </w:r>
      <w:r>
        <w:rPr>
          <w:rFonts w:hint="eastAsia" w:ascii="宋体" w:cs="宋体"/>
          <w:color w:val="auto"/>
          <w:szCs w:val="21"/>
          <w:highlight w:val="none"/>
        </w:rPr>
        <w:t>小时。</w:t>
      </w:r>
    </w:p>
    <w:p w14:paraId="4311906F">
      <w:pPr>
        <w:wordWrap w:val="0"/>
        <w:snapToGrid w:val="0"/>
        <w:spacing w:line="440" w:lineRule="exact"/>
        <w:ind w:firstLine="420" w:firstLineChars="200"/>
        <w:textAlignment w:val="bottom"/>
        <w:rPr>
          <w:rFonts w:hint="eastAsia" w:ascii="宋体" w:cs="宋体"/>
          <w:color w:val="auto"/>
          <w:szCs w:val="21"/>
          <w:highlight w:val="none"/>
        </w:rPr>
      </w:pPr>
      <w:r>
        <w:rPr>
          <w:rFonts w:hint="eastAsia" w:ascii="宋体" w:cs="宋体"/>
          <w:color w:val="auto"/>
          <w:szCs w:val="21"/>
          <w:highlight w:val="none"/>
        </w:rPr>
        <w:t>13.2 竣工验收</w:t>
      </w:r>
    </w:p>
    <w:p w14:paraId="60A871A1">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13.2.2竣工验收程序</w:t>
      </w:r>
    </w:p>
    <w:p w14:paraId="168ACE07">
      <w:pPr>
        <w:wordWrap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关于竣工验收程序的约定：</w:t>
      </w:r>
      <w:r>
        <w:rPr>
          <w:rFonts w:hint="eastAsia" w:ascii="宋体" w:hAnsi="宋体" w:cs="宋体"/>
          <w:color w:val="auto"/>
          <w:szCs w:val="21"/>
          <w:highlight w:val="none"/>
          <w:u w:val="single"/>
        </w:rPr>
        <w:t>执行通用条款</w:t>
      </w:r>
      <w:r>
        <w:rPr>
          <w:rFonts w:ascii="宋体" w:hAnsi="宋体" w:cs="宋体"/>
          <w:color w:val="auto"/>
          <w:szCs w:val="21"/>
          <w:highlight w:val="none"/>
          <w:u w:val="single"/>
        </w:rPr>
        <w:t xml:space="preserve">  </w:t>
      </w:r>
      <w:r>
        <w:rPr>
          <w:rFonts w:hint="eastAsia" w:ascii="宋体" w:cs="宋体"/>
          <w:color w:val="auto"/>
          <w:szCs w:val="21"/>
          <w:highlight w:val="none"/>
          <w:u w:val="single"/>
        </w:rPr>
        <w:t>。</w:t>
      </w:r>
    </w:p>
    <w:p w14:paraId="609E1968">
      <w:pPr>
        <w:wordWrap w:val="0"/>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发包人不按照本项约定组织竣工验收、颁发工程接收证书的违约金的计算方法：</w:t>
      </w:r>
      <w:r>
        <w:rPr>
          <w:rFonts w:hint="eastAsia" w:ascii="宋体" w:cs="宋体"/>
          <w:color w:val="auto"/>
          <w:szCs w:val="21"/>
          <w:highlight w:val="none"/>
          <w:u w:val="single"/>
        </w:rPr>
        <w:t xml:space="preserve">  不考虑 </w:t>
      </w:r>
      <w:r>
        <w:rPr>
          <w:rFonts w:hint="eastAsia" w:ascii="宋体" w:cs="宋体"/>
          <w:color w:val="auto"/>
          <w:szCs w:val="21"/>
          <w:highlight w:val="none"/>
        </w:rPr>
        <w:t>。</w:t>
      </w:r>
    </w:p>
    <w:p w14:paraId="63B9CDA6">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cs="宋体"/>
          <w:color w:val="auto"/>
          <w:szCs w:val="21"/>
          <w:highlight w:val="none"/>
        </w:rPr>
      </w:pPr>
      <w:r>
        <w:rPr>
          <w:rFonts w:hint="eastAsia" w:ascii="宋体" w:cs="宋体"/>
          <w:color w:val="auto"/>
          <w:szCs w:val="21"/>
          <w:highlight w:val="none"/>
        </w:rPr>
        <w:t>13.2.5移交、接收全部与部分工程</w:t>
      </w:r>
    </w:p>
    <w:p w14:paraId="2FE239F5">
      <w:pPr>
        <w:keepNext w:val="0"/>
        <w:keepLines w:val="0"/>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cs="宋体"/>
          <w:color w:val="auto"/>
          <w:kern w:val="0"/>
          <w:szCs w:val="21"/>
          <w:highlight w:val="none"/>
        </w:rPr>
      </w:pPr>
      <w:r>
        <w:rPr>
          <w:rFonts w:hint="eastAsia" w:ascii="宋体" w:cs="宋体"/>
          <w:color w:val="auto"/>
          <w:kern w:val="0"/>
          <w:szCs w:val="21"/>
          <w:highlight w:val="none"/>
        </w:rPr>
        <w:t>承包人向发包人移交工程的期限：</w:t>
      </w:r>
      <w:r>
        <w:rPr>
          <w:rFonts w:hint="eastAsia" w:ascii="宋体" w:cs="宋体"/>
          <w:color w:val="auto"/>
          <w:szCs w:val="21"/>
          <w:highlight w:val="none"/>
          <w:u w:val="single"/>
        </w:rPr>
        <w:t xml:space="preserve"> </w:t>
      </w:r>
      <w:r>
        <w:rPr>
          <w:rFonts w:hint="eastAsia" w:ascii="宋体" w:hAnsi="宋体" w:cs="宋体"/>
          <w:color w:val="auto"/>
          <w:szCs w:val="21"/>
          <w:highlight w:val="none"/>
          <w:u w:val="single"/>
          <w:lang w:val="en-US" w:eastAsia="zh-CN"/>
        </w:rPr>
        <w:t>工程竣工验收合格</w:t>
      </w:r>
      <w:r>
        <w:rPr>
          <w:rFonts w:hint="eastAsia" w:ascii="宋体" w:hAnsi="宋体" w:cs="宋体"/>
          <w:color w:val="auto"/>
          <w:szCs w:val="21"/>
          <w:highlight w:val="none"/>
          <w:u w:val="single"/>
        </w:rPr>
        <w:t>后</w:t>
      </w:r>
      <w:r>
        <w:rPr>
          <w:rFonts w:hint="eastAsia" w:ascii="宋体" w:hAnsi="宋体" w:cs="宋体"/>
          <w:color w:val="auto"/>
          <w:szCs w:val="21"/>
          <w:highlight w:val="none"/>
          <w:u w:val="single"/>
          <w:lang w:val="en-US" w:eastAsia="zh-CN"/>
        </w:rPr>
        <w:t>根据发包人要求的时间内</w:t>
      </w:r>
      <w:r>
        <w:rPr>
          <w:rFonts w:hint="eastAsia" w:ascii="宋体" w:hAnsi="宋体" w:cs="宋体"/>
          <w:color w:val="auto"/>
          <w:szCs w:val="21"/>
          <w:highlight w:val="none"/>
          <w:u w:val="single"/>
        </w:rPr>
        <w:t>完成工程的移交</w:t>
      </w:r>
      <w:r>
        <w:rPr>
          <w:rFonts w:hint="eastAsia" w:ascii="宋体" w:cs="宋体"/>
          <w:color w:val="auto"/>
          <w:szCs w:val="21"/>
          <w:highlight w:val="none"/>
          <w:u w:val="single"/>
        </w:rPr>
        <w:t>。</w:t>
      </w:r>
    </w:p>
    <w:p w14:paraId="61F54450">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highlight w:val="none"/>
          <w:u w:val="single"/>
        </w:rPr>
      </w:pPr>
      <w:r>
        <w:rPr>
          <w:rFonts w:hint="eastAsia" w:ascii="宋体" w:hAnsi="宋体" w:cs="宋体"/>
          <w:color w:val="auto"/>
          <w:kern w:val="0"/>
          <w:highlight w:val="none"/>
        </w:rPr>
        <w:t>发包人未按本合同约定接收全部或部分工程的，违约金的计算方法为：</w:t>
      </w:r>
      <w:r>
        <w:rPr>
          <w:rFonts w:hint="eastAsia" w:ascii="宋体" w:hAnsi="宋体" w:cs="宋体"/>
          <w:color w:val="auto"/>
          <w:szCs w:val="21"/>
          <w:highlight w:val="none"/>
          <w:u w:val="single"/>
        </w:rPr>
        <w:t>发包人自应当接收工程之日起，承担工程照管、成品保护、保管等与工程有关的各项费用</w:t>
      </w:r>
      <w:r>
        <w:rPr>
          <w:rFonts w:hint="eastAsia" w:ascii="宋体" w:hAnsi="宋体" w:cs="宋体"/>
          <w:color w:val="auto"/>
          <w:highlight w:val="none"/>
        </w:rPr>
        <w:t>。</w:t>
      </w:r>
    </w:p>
    <w:p w14:paraId="7B23BE0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highlight w:val="none"/>
          <w:u w:val="single"/>
        </w:rPr>
      </w:pPr>
      <w:r>
        <w:rPr>
          <w:rFonts w:hint="eastAsia" w:ascii="宋体" w:hAnsi="宋体" w:cs="宋体"/>
          <w:color w:val="auto"/>
          <w:highlight w:val="none"/>
        </w:rPr>
        <w:t>承包人未按时移交工程的，违约金的计算方法为：</w:t>
      </w:r>
      <w:r>
        <w:rPr>
          <w:rFonts w:hint="eastAsia" w:ascii="宋体" w:hAnsi="宋体" w:cs="宋体"/>
          <w:color w:val="auto"/>
          <w:szCs w:val="21"/>
          <w:highlight w:val="none"/>
          <w:u w:val="single"/>
        </w:rPr>
        <w:t>承包人应承担工程照管、成品保护、保管等与工程有关的各项费用</w:t>
      </w:r>
      <w:r>
        <w:rPr>
          <w:rFonts w:hint="eastAsia" w:ascii="宋体" w:hAnsi="宋体" w:cs="宋体"/>
          <w:color w:val="auto"/>
          <w:highlight w:val="none"/>
        </w:rPr>
        <w:t>。</w:t>
      </w:r>
    </w:p>
    <w:p w14:paraId="69750784">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13.3 工程试车</w:t>
      </w:r>
    </w:p>
    <w:p w14:paraId="77C2EB8B">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13.3.1 试车程序</w:t>
      </w:r>
    </w:p>
    <w:p w14:paraId="7C418FC2">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工程试车内容：</w:t>
      </w:r>
      <w:r>
        <w:rPr>
          <w:rFonts w:hint="eastAsia" w:ascii="宋体" w:cs="宋体"/>
          <w:color w:val="auto"/>
          <w:szCs w:val="21"/>
          <w:highlight w:val="none"/>
          <w:u w:val="single"/>
        </w:rPr>
        <w:t>工程需要试车的，试车内容应与承包人承包范围相一致，试车费用由承包人承担。</w:t>
      </w:r>
    </w:p>
    <w:p w14:paraId="140554A2">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（1）单机无负荷试车费用由</w:t>
      </w:r>
      <w:r>
        <w:rPr>
          <w:rFonts w:hint="eastAsia" w:ascii="宋体" w:cs="宋体"/>
          <w:color w:val="auto"/>
          <w:szCs w:val="21"/>
          <w:highlight w:val="none"/>
          <w:u w:val="single"/>
        </w:rPr>
        <w:t xml:space="preserve">  承包人  </w:t>
      </w:r>
      <w:r>
        <w:rPr>
          <w:rFonts w:hint="eastAsia" w:ascii="宋体" w:cs="宋体"/>
          <w:color w:val="auto"/>
          <w:kern w:val="0"/>
          <w:szCs w:val="21"/>
          <w:highlight w:val="none"/>
        </w:rPr>
        <w:t>承担；</w:t>
      </w:r>
    </w:p>
    <w:p w14:paraId="3B6AD9C6">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（2）无负荷联动试车费用由</w:t>
      </w:r>
      <w:r>
        <w:rPr>
          <w:rFonts w:hint="eastAsia" w:ascii="宋体" w:cs="宋体"/>
          <w:color w:val="auto"/>
          <w:szCs w:val="21"/>
          <w:highlight w:val="none"/>
          <w:u w:val="single"/>
        </w:rPr>
        <w:t xml:space="preserve">  承包人  </w:t>
      </w:r>
      <w:r>
        <w:rPr>
          <w:rFonts w:hint="eastAsia" w:ascii="宋体" w:cs="宋体"/>
          <w:color w:val="auto"/>
          <w:kern w:val="0"/>
          <w:szCs w:val="21"/>
          <w:highlight w:val="none"/>
        </w:rPr>
        <w:t>承担。</w:t>
      </w:r>
    </w:p>
    <w:p w14:paraId="1B5B61A8">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13.3.3 投料试车</w:t>
      </w:r>
    </w:p>
    <w:p w14:paraId="0ABBF0D2">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关于投料试车相关事项的约定：</w:t>
      </w:r>
      <w:r>
        <w:rPr>
          <w:rFonts w:hint="eastAsia" w:ascii="宋体" w:hAnsi="宋体" w:cs="宋体"/>
          <w:color w:val="auto"/>
          <w:szCs w:val="21"/>
          <w:highlight w:val="none"/>
          <w:u w:val="single"/>
        </w:rPr>
        <w:t>执行通用条款</w:t>
      </w:r>
      <w:r>
        <w:rPr>
          <w:rFonts w:hint="eastAsia" w:ascii="宋体" w:cs="宋体"/>
          <w:color w:val="auto"/>
          <w:kern w:val="0"/>
          <w:szCs w:val="21"/>
          <w:highlight w:val="none"/>
          <w:u w:val="single"/>
        </w:rPr>
        <w:t>。</w:t>
      </w:r>
    </w:p>
    <w:p w14:paraId="0C3FBF2D">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13.6 竣工退场</w:t>
      </w:r>
    </w:p>
    <w:p w14:paraId="21984A5F">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13.6.1 竣工退场</w:t>
      </w:r>
    </w:p>
    <w:p w14:paraId="721C3CF1">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承包人完成竣工退场的期限：</w:t>
      </w:r>
      <w:r>
        <w:rPr>
          <w:rFonts w:hint="eastAsia" w:ascii="宋体" w:cs="宋体"/>
          <w:color w:val="auto"/>
          <w:szCs w:val="21"/>
          <w:highlight w:val="none"/>
          <w:u w:val="single"/>
        </w:rPr>
        <w:t>工程竣工合格后，7天内退场。</w:t>
      </w:r>
    </w:p>
    <w:p w14:paraId="4ACF087A">
      <w:pPr>
        <w:pStyle w:val="5"/>
        <w:pageBreakBefore w:val="0"/>
        <w:widowControl w:val="0"/>
        <w:kinsoku/>
        <w:wordWrap/>
        <w:overflowPunct/>
        <w:topLinePunct w:val="0"/>
        <w:autoSpaceDE/>
        <w:autoSpaceDN/>
        <w:bidi w:val="0"/>
        <w:snapToGrid w:val="0"/>
        <w:spacing w:before="0" w:after="0" w:line="440" w:lineRule="exact"/>
        <w:ind w:firstLine="420" w:firstLineChars="200"/>
        <w:textAlignment w:val="auto"/>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14. 竣工结算</w:t>
      </w:r>
    </w:p>
    <w:p w14:paraId="48FCCD8B">
      <w:pPr>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color w:val="auto"/>
          <w:szCs w:val="21"/>
          <w:highlight w:val="none"/>
        </w:rPr>
      </w:pPr>
      <w:r>
        <w:rPr>
          <w:rFonts w:hint="eastAsia" w:ascii="宋体" w:cs="宋体"/>
          <w:color w:val="auto"/>
          <w:szCs w:val="21"/>
          <w:highlight w:val="none"/>
        </w:rPr>
        <w:t>14.1 竣工付款申请</w:t>
      </w:r>
    </w:p>
    <w:p w14:paraId="1040422F">
      <w:pPr>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cs="宋体"/>
          <w:color w:val="auto"/>
          <w:szCs w:val="21"/>
          <w:highlight w:val="none"/>
        </w:rPr>
      </w:pPr>
      <w:r>
        <w:rPr>
          <w:rFonts w:hint="eastAsia" w:ascii="宋体" w:cs="宋体"/>
          <w:color w:val="auto"/>
          <w:szCs w:val="21"/>
          <w:highlight w:val="none"/>
        </w:rPr>
        <w:t>承包人提交竣工付款申请单的期限：</w:t>
      </w:r>
      <w:r>
        <w:rPr>
          <w:rFonts w:hint="eastAsia" w:ascii="宋体" w:hAnsi="宋体" w:cs="宋体"/>
          <w:color w:val="auto"/>
          <w:szCs w:val="21"/>
          <w:highlight w:val="none"/>
          <w:u w:val="single"/>
        </w:rPr>
        <w:t>承包人应在工程竣工验收合格后28天内</w:t>
      </w:r>
      <w:r>
        <w:rPr>
          <w:rFonts w:hint="eastAsia" w:ascii="宋体" w:cs="宋体"/>
          <w:color w:val="auto"/>
          <w:szCs w:val="21"/>
          <w:highlight w:val="none"/>
          <w:u w:val="single"/>
        </w:rPr>
        <w:t>。</w:t>
      </w:r>
    </w:p>
    <w:p w14:paraId="54CFBA26">
      <w:pPr>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cs="宋体"/>
          <w:color w:val="auto"/>
          <w:szCs w:val="21"/>
          <w:highlight w:val="none"/>
          <w:u w:val="single"/>
        </w:rPr>
      </w:pPr>
      <w:r>
        <w:rPr>
          <w:rFonts w:hint="eastAsia" w:ascii="宋体" w:cs="宋体"/>
          <w:color w:val="auto"/>
          <w:szCs w:val="21"/>
          <w:highlight w:val="none"/>
        </w:rPr>
        <w:t>竣工结算申请单应包括的内容：</w:t>
      </w:r>
      <w:r>
        <w:rPr>
          <w:rFonts w:hint="eastAsia" w:ascii="宋体" w:hAnsi="宋体" w:cs="宋体"/>
          <w:color w:val="auto"/>
          <w:szCs w:val="21"/>
          <w:highlight w:val="none"/>
          <w:u w:val="single"/>
        </w:rPr>
        <w:t>执行通用条款</w:t>
      </w:r>
      <w:r>
        <w:rPr>
          <w:rFonts w:hint="eastAsia" w:ascii="宋体" w:cs="宋体"/>
          <w:color w:val="auto"/>
          <w:szCs w:val="21"/>
          <w:highlight w:val="none"/>
          <w:u w:val="single"/>
        </w:rPr>
        <w:t>。</w:t>
      </w:r>
    </w:p>
    <w:p w14:paraId="0FF1F596">
      <w:pPr>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cs="宋体"/>
          <w:color w:val="auto"/>
          <w:szCs w:val="21"/>
          <w:highlight w:val="none"/>
        </w:rPr>
      </w:pPr>
      <w:r>
        <w:rPr>
          <w:rFonts w:hint="eastAsia" w:ascii="宋体" w:cs="宋体"/>
          <w:color w:val="auto"/>
          <w:szCs w:val="21"/>
          <w:highlight w:val="none"/>
        </w:rPr>
        <w:t>14.2 竣工结算审核</w:t>
      </w:r>
    </w:p>
    <w:p w14:paraId="45532D5D">
      <w:pPr>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eastAsia="宋体" w:cs="宋体"/>
          <w:color w:val="auto"/>
          <w:szCs w:val="21"/>
          <w:highlight w:val="none"/>
          <w:lang w:val="en-US" w:eastAsia="zh-CN"/>
        </w:rPr>
      </w:pPr>
      <w:r>
        <w:rPr>
          <w:rFonts w:hint="eastAsia" w:ascii="宋体" w:hAnsi="Times New Roman" w:eastAsia="宋体" w:cs="宋体"/>
          <w:color w:val="auto"/>
          <w:szCs w:val="21"/>
          <w:highlight w:val="none"/>
        </w:rPr>
        <w:t>发包人审批竣工付款申请单的期限：发包人应在收到监理人提交的经审核的竣工结算申请单后</w:t>
      </w:r>
      <w:r>
        <w:rPr>
          <w:rFonts w:hint="eastAsia" w:ascii="宋体" w:hAnsi="Times New Roman" w:eastAsia="宋体" w:cs="宋体"/>
          <w:color w:val="auto"/>
          <w:szCs w:val="21"/>
          <w:highlight w:val="none"/>
          <w:lang w:val="en-US" w:eastAsia="zh-CN"/>
        </w:rPr>
        <w:t>30</w:t>
      </w:r>
      <w:r>
        <w:rPr>
          <w:rFonts w:hint="eastAsia" w:ascii="宋体" w:hAnsi="Times New Roman" w:eastAsia="宋体" w:cs="宋体"/>
          <w:color w:val="auto"/>
          <w:szCs w:val="21"/>
          <w:highlight w:val="none"/>
        </w:rPr>
        <w:t>天内完成审批</w:t>
      </w:r>
      <w:r>
        <w:rPr>
          <w:rFonts w:hint="eastAsia" w:ascii="宋体" w:hAnsi="Times New Roman" w:eastAsia="宋体" w:cs="宋体"/>
          <w:color w:val="auto"/>
          <w:szCs w:val="21"/>
          <w:highlight w:val="none"/>
          <w:lang w:eastAsia="zh-CN"/>
        </w:rPr>
        <w:t>。</w:t>
      </w:r>
    </w:p>
    <w:p w14:paraId="25182441">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cs="宋体"/>
          <w:color w:val="auto"/>
          <w:szCs w:val="21"/>
          <w:highlight w:val="none"/>
        </w:rPr>
      </w:pPr>
      <w:r>
        <w:rPr>
          <w:rFonts w:hint="eastAsia" w:ascii="宋体" w:cs="宋体"/>
          <w:color w:val="auto"/>
          <w:szCs w:val="21"/>
          <w:highlight w:val="none"/>
        </w:rPr>
        <w:t>发包人完成竣工付款的期限：</w:t>
      </w:r>
      <w:r>
        <w:rPr>
          <w:rFonts w:hint="eastAsia" w:ascii="宋体" w:hAnsi="宋体" w:cs="宋体"/>
          <w:color w:val="auto"/>
          <w:szCs w:val="21"/>
          <w:highlight w:val="none"/>
        </w:rPr>
        <w:t>发包人应在签发竣工付款证书后的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天内，完成对承包人的竣工付款。</w:t>
      </w:r>
    </w:p>
    <w:p w14:paraId="0F251D9F">
      <w:pPr>
        <w:pageBreakBefore w:val="0"/>
        <w:widowControl w:val="0"/>
        <w:kinsoku/>
        <w:wordWrap/>
        <w:overflowPunct/>
        <w:topLinePunct w:val="0"/>
        <w:autoSpaceDE/>
        <w:autoSpaceDN/>
        <w:bidi w:val="0"/>
        <w:snapToGrid w:val="0"/>
        <w:spacing w:line="440" w:lineRule="exact"/>
        <w:ind w:firstLine="420" w:firstLineChars="200"/>
        <w:jc w:val="left"/>
        <w:textAlignment w:val="auto"/>
        <w:rPr>
          <w:rFonts w:hint="eastAsia" w:ascii="宋体" w:cs="宋体"/>
          <w:color w:val="auto"/>
          <w:szCs w:val="21"/>
          <w:highlight w:val="none"/>
        </w:rPr>
      </w:pPr>
      <w:r>
        <w:rPr>
          <w:rFonts w:hint="eastAsia" w:ascii="宋体" w:cs="宋体"/>
          <w:color w:val="auto"/>
          <w:szCs w:val="21"/>
          <w:highlight w:val="none"/>
        </w:rPr>
        <w:t>关于竣工付款证书异议部分复核的方式和程序：</w:t>
      </w:r>
      <w:r>
        <w:rPr>
          <w:rFonts w:hint="eastAsia" w:ascii="宋体" w:hAnsi="宋体" w:cs="宋体"/>
          <w:color w:val="auto"/>
          <w:szCs w:val="21"/>
          <w:highlight w:val="none"/>
          <w:u w:val="single"/>
        </w:rPr>
        <w:t>执行通用条款</w:t>
      </w:r>
      <w:r>
        <w:rPr>
          <w:rFonts w:hint="eastAsia" w:ascii="宋体" w:cs="宋体"/>
          <w:color w:val="auto"/>
          <w:szCs w:val="21"/>
          <w:highlight w:val="none"/>
          <w:u w:val="single"/>
        </w:rPr>
        <w:t>。</w:t>
      </w:r>
    </w:p>
    <w:p w14:paraId="39A10FA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14.4 最终结清</w:t>
      </w:r>
    </w:p>
    <w:p w14:paraId="2E1B441A">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14.4.1 最终结清申请单</w:t>
      </w:r>
    </w:p>
    <w:p w14:paraId="15B31B73">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承包人提交最终结清申请单的份数：</w:t>
      </w:r>
      <w:r>
        <w:rPr>
          <w:rFonts w:hint="eastAsia" w:ascii="宋体" w:cs="宋体"/>
          <w:color w:val="auto"/>
          <w:szCs w:val="21"/>
          <w:highlight w:val="none"/>
          <w:u w:val="single"/>
        </w:rPr>
        <w:t xml:space="preserve"> 4份  </w:t>
      </w:r>
      <w:r>
        <w:rPr>
          <w:rFonts w:hint="eastAsia" w:ascii="宋体" w:cs="宋体"/>
          <w:color w:val="auto"/>
          <w:szCs w:val="21"/>
          <w:highlight w:val="none"/>
        </w:rPr>
        <w:t>。</w:t>
      </w:r>
    </w:p>
    <w:p w14:paraId="75312F00">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承包人提交最终结算申请单的期限：</w:t>
      </w:r>
      <w:r>
        <w:rPr>
          <w:rFonts w:hint="eastAsia" w:ascii="宋体" w:cs="宋体"/>
          <w:color w:val="auto"/>
          <w:szCs w:val="21"/>
          <w:highlight w:val="none"/>
          <w:u w:val="single"/>
        </w:rPr>
        <w:t xml:space="preserve"> 缺陷责任期满经复查合格后7天内。</w:t>
      </w:r>
    </w:p>
    <w:p w14:paraId="1F0AD7A1">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14.4.2 最终结清证书和支付</w:t>
      </w:r>
    </w:p>
    <w:p w14:paraId="543B6DBD">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（1）发包人完成最终结清申请单的审批并颁发最终结清证书的期限：</w:t>
      </w:r>
      <w:r>
        <w:rPr>
          <w:rFonts w:hint="eastAsia" w:ascii="宋体" w:cs="宋体"/>
          <w:color w:val="auto"/>
          <w:szCs w:val="21"/>
          <w:highlight w:val="none"/>
          <w:u w:val="single"/>
        </w:rPr>
        <w:t xml:space="preserve"> 缺陷责任期满经复查合格后14天内。</w:t>
      </w:r>
    </w:p>
    <w:p w14:paraId="7D1CF9E9">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（2）发包人完成支付的期限：</w:t>
      </w:r>
      <w:r>
        <w:rPr>
          <w:rFonts w:hint="eastAsia" w:ascii="宋体" w:cs="宋体"/>
          <w:color w:val="auto"/>
          <w:szCs w:val="21"/>
          <w:highlight w:val="none"/>
          <w:u w:val="single"/>
          <w:lang w:val="en-US" w:eastAsia="zh-CN"/>
        </w:rPr>
        <w:t>/</w:t>
      </w:r>
      <w:r>
        <w:rPr>
          <w:rFonts w:hint="eastAsia" w:ascii="宋体" w:cs="宋体"/>
          <w:color w:val="auto"/>
          <w:szCs w:val="21"/>
          <w:highlight w:val="none"/>
        </w:rPr>
        <w:t>。</w:t>
      </w:r>
    </w:p>
    <w:p w14:paraId="19EDB972">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15. 缺陷责任期与保修</w:t>
      </w:r>
    </w:p>
    <w:p w14:paraId="4739C256">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15.2缺陷责任期</w:t>
      </w:r>
    </w:p>
    <w:p w14:paraId="572CC6ED">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缺陷责任期的具体期限：</w:t>
      </w:r>
      <w:r>
        <w:rPr>
          <w:rFonts w:hint="eastAsia" w:ascii="黑体" w:hAnsi="黑体" w:eastAsia="黑体" w:cs="黑体"/>
          <w:b/>
          <w:bCs/>
          <w:color w:val="auto"/>
          <w:szCs w:val="21"/>
          <w:highlight w:val="none"/>
          <w:u w:val="single"/>
        </w:rPr>
        <w:t>自竣工验收合格之日起</w:t>
      </w:r>
      <w:r>
        <w:rPr>
          <w:rFonts w:hint="eastAsia" w:ascii="黑体" w:hAnsi="黑体" w:eastAsia="黑体" w:cs="黑体"/>
          <w:b/>
          <w:bCs/>
          <w:color w:val="auto"/>
          <w:szCs w:val="21"/>
          <w:highlight w:val="none"/>
          <w:u w:val="single"/>
          <w:lang w:val="en-US" w:eastAsia="zh-CN"/>
        </w:rPr>
        <w:t>2年</w:t>
      </w:r>
      <w:r>
        <w:rPr>
          <w:rFonts w:hint="eastAsia" w:ascii="宋体" w:cs="宋体"/>
          <w:color w:val="auto"/>
          <w:szCs w:val="21"/>
          <w:highlight w:val="none"/>
          <w:u w:val="single"/>
        </w:rPr>
        <w:t>。</w:t>
      </w:r>
    </w:p>
    <w:p w14:paraId="3CF0815E">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cs="宋体"/>
          <w:color w:val="auto"/>
          <w:szCs w:val="21"/>
          <w:highlight w:val="none"/>
        </w:rPr>
      </w:pPr>
      <w:r>
        <w:rPr>
          <w:rFonts w:hint="eastAsia" w:ascii="宋体" w:cs="宋体"/>
          <w:color w:val="auto"/>
          <w:szCs w:val="21"/>
          <w:highlight w:val="none"/>
        </w:rPr>
        <w:t>15.3 质量保证金</w:t>
      </w:r>
    </w:p>
    <w:p w14:paraId="4CA46FC3">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关于是否扣留质量保证金的约定：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是</w:t>
      </w:r>
      <w:r>
        <w:rPr>
          <w:rFonts w:hint="eastAsia" w:ascii="宋体" w:hAnsi="宋体" w:cs="宋体"/>
          <w:color w:val="auto"/>
          <w:szCs w:val="21"/>
          <w:highlight w:val="none"/>
          <w:u w:val="single"/>
        </w:rPr>
        <w:t xml:space="preserve">  </w:t>
      </w:r>
      <w:r>
        <w:rPr>
          <w:rFonts w:hint="eastAsia" w:ascii="宋体" w:hAnsi="宋体" w:cs="宋体"/>
          <w:color w:val="auto"/>
          <w:highlight w:val="none"/>
        </w:rPr>
        <w:t>。在工程项目竣工前，承包人按专用合同条款第3.7款提供履约保证金的，发包人不得同时预留工程质量保证金。</w:t>
      </w:r>
    </w:p>
    <w:p w14:paraId="561CBF79">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15.3.1 承包人提供质量保证金的方式</w:t>
      </w:r>
    </w:p>
    <w:p w14:paraId="29092FC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质量保证金采用</w:t>
      </w:r>
      <w:r>
        <w:rPr>
          <w:rFonts w:hint="eastAsia" w:ascii="宋体" w:hAnsi="宋体" w:cs="宋体"/>
          <w:color w:val="auto"/>
          <w:highlight w:val="none"/>
          <w:lang w:eastAsia="zh-CN"/>
        </w:rPr>
        <w:t>第</w:t>
      </w:r>
      <w:r>
        <w:rPr>
          <w:rFonts w:hint="eastAsia" w:ascii="宋体" w:hAnsi="宋体" w:cs="宋体"/>
          <w:color w:val="auto"/>
          <w:highlight w:val="none"/>
          <w:lang w:val="en-US" w:eastAsia="zh-CN"/>
        </w:rPr>
        <w:t>2种</w:t>
      </w:r>
      <w:r>
        <w:rPr>
          <w:rFonts w:hint="eastAsia" w:ascii="宋体" w:hAnsi="宋体" w:cs="宋体"/>
          <w:color w:val="auto"/>
          <w:highlight w:val="none"/>
        </w:rPr>
        <w:t>方式：</w:t>
      </w:r>
    </w:p>
    <w:p w14:paraId="404EED3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kern w:val="0"/>
          <w:highlight w:val="none"/>
        </w:rPr>
      </w:pPr>
      <w:r>
        <w:rPr>
          <w:rFonts w:hint="eastAsia" w:ascii="宋体" w:hAnsi="宋体" w:cs="宋体"/>
          <w:color w:val="auto"/>
          <w:kern w:val="0"/>
          <w:highlight w:val="none"/>
        </w:rPr>
        <w:t>（1）质量保证金保函，保证金额为：</w:t>
      </w:r>
      <w:r>
        <w:rPr>
          <w:rFonts w:hint="eastAsia" w:ascii="宋体" w:hAnsi="宋体" w:cs="宋体"/>
          <w:color w:val="auto"/>
          <w:kern w:val="0"/>
          <w:highlight w:val="none"/>
          <w:u w:val="single"/>
          <w:lang w:val="en-US" w:eastAsia="zh-CN"/>
        </w:rPr>
        <w:t>/</w:t>
      </w:r>
      <w:r>
        <w:rPr>
          <w:rFonts w:hint="eastAsia" w:ascii="宋体" w:hAnsi="宋体" w:cs="宋体"/>
          <w:color w:val="auto"/>
          <w:kern w:val="0"/>
          <w:highlight w:val="none"/>
        </w:rPr>
        <w:t xml:space="preserve">； </w:t>
      </w:r>
    </w:p>
    <w:p w14:paraId="77BF3C08">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kern w:val="0"/>
          <w:highlight w:val="none"/>
        </w:rPr>
      </w:pPr>
      <w:r>
        <w:rPr>
          <w:rFonts w:hint="eastAsia" w:ascii="宋体" w:hAnsi="宋体" w:cs="宋体"/>
          <w:color w:val="auto"/>
          <w:kern w:val="0"/>
          <w:highlight w:val="none"/>
        </w:rPr>
        <w:t>（2）</w:t>
      </w:r>
      <w:r>
        <w:rPr>
          <w:rFonts w:hint="eastAsia" w:ascii="宋体" w:hAnsi="宋体" w:cs="宋体"/>
          <w:color w:val="auto"/>
          <w:kern w:val="0"/>
          <w:highlight w:val="none"/>
          <w:u w:val="single"/>
        </w:rPr>
        <w:t>2</w:t>
      </w:r>
      <w:r>
        <w:rPr>
          <w:rFonts w:hint="eastAsia" w:ascii="宋体" w:hAnsi="宋体" w:cs="宋体"/>
          <w:color w:val="auto"/>
          <w:kern w:val="0"/>
          <w:highlight w:val="none"/>
        </w:rPr>
        <w:t>%的工程款；</w:t>
      </w:r>
    </w:p>
    <w:p w14:paraId="23EA9768">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kern w:val="0"/>
          <w:highlight w:val="none"/>
        </w:rPr>
      </w:pPr>
      <w:r>
        <w:rPr>
          <w:rFonts w:hint="eastAsia" w:ascii="宋体" w:hAnsi="宋体" w:cs="宋体"/>
          <w:color w:val="auto"/>
          <w:kern w:val="0"/>
          <w:highlight w:val="none"/>
        </w:rPr>
        <w:t>（3）其他方式:</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u w:val="single"/>
          <w:lang w:val="en-US" w:eastAsia="zh-CN"/>
        </w:rPr>
        <w:t>/</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14:paraId="616B450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 xml:space="preserve">15.3.2 质量保证金的扣留 </w:t>
      </w:r>
    </w:p>
    <w:p w14:paraId="53ADB371">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质量保证金的扣留采取以下</w:t>
      </w:r>
      <w:r>
        <w:rPr>
          <w:rFonts w:hint="eastAsia" w:ascii="宋体" w:hAnsi="宋体" w:cs="宋体"/>
          <w:color w:val="auto"/>
          <w:highlight w:val="none"/>
          <w:lang w:eastAsia="zh-CN"/>
        </w:rPr>
        <w:t>第</w:t>
      </w:r>
      <w:r>
        <w:rPr>
          <w:rFonts w:hint="eastAsia" w:ascii="宋体" w:hAnsi="宋体" w:cs="宋体"/>
          <w:color w:val="auto"/>
          <w:highlight w:val="none"/>
          <w:lang w:val="en-US" w:eastAsia="zh-CN"/>
        </w:rPr>
        <w:t>2种</w:t>
      </w:r>
      <w:r>
        <w:rPr>
          <w:rFonts w:hint="eastAsia" w:ascii="宋体" w:hAnsi="宋体" w:cs="宋体"/>
          <w:color w:val="auto"/>
          <w:highlight w:val="none"/>
        </w:rPr>
        <w:t>方式：</w:t>
      </w:r>
    </w:p>
    <w:p w14:paraId="7296B1E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kern w:val="0"/>
          <w:highlight w:val="none"/>
        </w:rPr>
      </w:pPr>
      <w:r>
        <w:rPr>
          <w:rFonts w:hint="eastAsia" w:ascii="宋体" w:hAnsi="宋体" w:cs="宋体"/>
          <w:color w:val="auto"/>
          <w:kern w:val="0"/>
          <w:highlight w:val="none"/>
        </w:rPr>
        <w:t>（1）在支付工程进度款时逐次扣留，在此情形下，质量保证金的计算基数不包括预付款的支付、扣回以及价格调整的金额；</w:t>
      </w:r>
    </w:p>
    <w:p w14:paraId="2872C37C">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kern w:val="0"/>
          <w:highlight w:val="none"/>
        </w:rPr>
      </w:pPr>
      <w:r>
        <w:rPr>
          <w:rFonts w:hint="eastAsia" w:ascii="宋体" w:hAnsi="宋体" w:cs="宋体"/>
          <w:color w:val="auto"/>
          <w:kern w:val="0"/>
          <w:highlight w:val="none"/>
        </w:rPr>
        <w:t>（2）工程竣工结算时一次性扣留质量保证金；</w:t>
      </w:r>
    </w:p>
    <w:p w14:paraId="0DC737CF">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kern w:val="0"/>
          <w:highlight w:val="none"/>
        </w:rPr>
      </w:pPr>
      <w:r>
        <w:rPr>
          <w:rFonts w:hint="eastAsia" w:ascii="宋体" w:hAnsi="宋体" w:cs="宋体"/>
          <w:color w:val="auto"/>
          <w:kern w:val="0"/>
          <w:highlight w:val="none"/>
        </w:rPr>
        <w:t>（3）其他扣留方式:</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14:paraId="4BEF53BA">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关于质量保证金的补充约定：</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p>
    <w:p w14:paraId="643D31C8">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15.4保修</w:t>
      </w:r>
    </w:p>
    <w:p w14:paraId="2CEB8E23">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15.4.1 保修责任</w:t>
      </w:r>
    </w:p>
    <w:p w14:paraId="2156CD60">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szCs w:val="21"/>
          <w:highlight w:val="none"/>
        </w:rPr>
        <w:t>工程保修期为：</w:t>
      </w:r>
      <w:r>
        <w:rPr>
          <w:rFonts w:hint="eastAsia" w:ascii="宋体" w:cs="宋体"/>
          <w:color w:val="auto"/>
          <w:kern w:val="0"/>
          <w:szCs w:val="21"/>
          <w:highlight w:val="none"/>
          <w:u w:val="single"/>
        </w:rPr>
        <w:t xml:space="preserve">   </w:t>
      </w:r>
      <w:r>
        <w:rPr>
          <w:rFonts w:hint="eastAsia" w:ascii="宋体" w:hAnsi="宋体" w:cs="宋体"/>
          <w:color w:val="auto"/>
          <w:szCs w:val="21"/>
          <w:highlight w:val="none"/>
          <w:u w:val="single"/>
        </w:rPr>
        <w:t>执行《工程质量保修书》规定</w:t>
      </w:r>
      <w:r>
        <w:rPr>
          <w:rFonts w:hint="eastAsia" w:ascii="宋体" w:cs="宋体"/>
          <w:color w:val="auto"/>
          <w:kern w:val="0"/>
          <w:szCs w:val="21"/>
          <w:highlight w:val="none"/>
          <w:u w:val="single"/>
        </w:rPr>
        <w:t xml:space="preserve">。     </w:t>
      </w:r>
    </w:p>
    <w:p w14:paraId="33035DF3">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承包人收到保修通知并到达工程现场的合理时间：</w:t>
      </w:r>
      <w:r>
        <w:rPr>
          <w:rFonts w:hint="eastAsia" w:ascii="宋体" w:cs="宋体"/>
          <w:color w:val="auto"/>
          <w:kern w:val="0"/>
          <w:szCs w:val="21"/>
          <w:highlight w:val="none"/>
          <w:u w:val="single"/>
        </w:rPr>
        <w:t>自承包人收到保修通知起</w:t>
      </w:r>
      <w:r>
        <w:rPr>
          <w:rFonts w:hint="eastAsia" w:ascii="宋体" w:cs="宋体"/>
          <w:color w:val="auto"/>
          <w:kern w:val="0"/>
          <w:szCs w:val="21"/>
          <w:highlight w:val="none"/>
          <w:u w:val="single"/>
          <w:lang w:val="en-US" w:eastAsia="zh-CN"/>
        </w:rPr>
        <w:t>48</w:t>
      </w:r>
      <w:r>
        <w:rPr>
          <w:rFonts w:hint="eastAsia" w:ascii="宋体" w:cs="宋体"/>
          <w:color w:val="auto"/>
          <w:kern w:val="0"/>
          <w:szCs w:val="21"/>
          <w:highlight w:val="none"/>
          <w:u w:val="single"/>
        </w:rPr>
        <w:t xml:space="preserve">小时内到达工程现场。  </w:t>
      </w:r>
    </w:p>
    <w:p w14:paraId="15CF42AB">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16. 违约</w:t>
      </w:r>
    </w:p>
    <w:p w14:paraId="21A2DA49">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16.1 发包人违约</w:t>
      </w:r>
    </w:p>
    <w:p w14:paraId="320C463F">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16.1.1发包人违约的情形</w:t>
      </w:r>
    </w:p>
    <w:p w14:paraId="2353DD21">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发包人违约的其他情形：</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290C3EEB">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16.1.2 发包人违约的责任</w:t>
      </w:r>
    </w:p>
    <w:p w14:paraId="1DCFBA53">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发包人违约责任的承担方式和计算方法：</w:t>
      </w:r>
    </w:p>
    <w:p w14:paraId="6356C663">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（1）因发包人原因未能在计划开工日期前7天内下达开工通知的违约责任：</w:t>
      </w:r>
      <w:r>
        <w:rPr>
          <w:rFonts w:hint="eastAsia" w:ascii="宋体" w:cs="宋体"/>
          <w:color w:val="auto"/>
          <w:kern w:val="0"/>
          <w:szCs w:val="21"/>
          <w:highlight w:val="none"/>
          <w:u w:val="single"/>
        </w:rPr>
        <w:t xml:space="preserve">  对工期造成影响的可顺延工期  </w:t>
      </w:r>
      <w:r>
        <w:rPr>
          <w:rFonts w:hint="eastAsia" w:ascii="宋体" w:cs="宋体"/>
          <w:color w:val="auto"/>
          <w:kern w:val="0"/>
          <w:szCs w:val="21"/>
          <w:highlight w:val="none"/>
        </w:rPr>
        <w:t>。</w:t>
      </w:r>
    </w:p>
    <w:p w14:paraId="1779894E">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（2）因发包人原因未能按合同约定支付合同价款的违约责任：</w:t>
      </w:r>
      <w:r>
        <w:rPr>
          <w:rFonts w:hint="eastAsia" w:ascii="宋体" w:cs="宋体"/>
          <w:color w:val="auto"/>
          <w:kern w:val="0"/>
          <w:szCs w:val="21"/>
          <w:highlight w:val="none"/>
          <w:u w:val="single"/>
        </w:rPr>
        <w:t xml:space="preserve">  可按照中国人民银行发布的同期同类贷款基准利率支付违约金</w:t>
      </w:r>
      <w:r>
        <w:rPr>
          <w:rFonts w:hint="eastAsia" w:ascii="宋体" w:cs="宋体"/>
          <w:color w:val="auto"/>
          <w:kern w:val="0"/>
          <w:szCs w:val="21"/>
          <w:highlight w:val="none"/>
        </w:rPr>
        <w:t>。</w:t>
      </w:r>
    </w:p>
    <w:p w14:paraId="011B4F5C">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（3）发包人违反第10.1款〔变更的范围〕第（2）项约定，自行实施被取消的工作或转由他人实施的违约责任：</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3D77050F">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38C7ED0D">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（5）因发包人违反合同约定造成暂停施工的违约责任：</w:t>
      </w:r>
      <w:r>
        <w:rPr>
          <w:rFonts w:hint="eastAsia" w:ascii="宋体" w:cs="宋体"/>
          <w:color w:val="auto"/>
          <w:kern w:val="0"/>
          <w:szCs w:val="21"/>
          <w:highlight w:val="none"/>
          <w:u w:val="single"/>
        </w:rPr>
        <w:t xml:space="preserve">  可顺延工期  </w:t>
      </w:r>
      <w:r>
        <w:rPr>
          <w:rFonts w:hint="eastAsia" w:ascii="宋体" w:cs="宋体"/>
          <w:color w:val="auto"/>
          <w:kern w:val="0"/>
          <w:szCs w:val="21"/>
          <w:highlight w:val="none"/>
        </w:rPr>
        <w:t>。</w:t>
      </w:r>
    </w:p>
    <w:p w14:paraId="4FB25F50">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（6）发包人无正当理由没有在约定期限内发出复工指示，导致承包人无法复工的违约责任：</w:t>
      </w:r>
      <w:r>
        <w:rPr>
          <w:rFonts w:hint="eastAsia" w:ascii="宋体" w:cs="宋体"/>
          <w:color w:val="auto"/>
          <w:kern w:val="0"/>
          <w:szCs w:val="21"/>
          <w:highlight w:val="none"/>
          <w:u w:val="single"/>
        </w:rPr>
        <w:t xml:space="preserve"> 对工期造成影响的可顺延工期  </w:t>
      </w:r>
      <w:r>
        <w:rPr>
          <w:rFonts w:hint="eastAsia" w:ascii="宋体" w:cs="宋体"/>
          <w:color w:val="auto"/>
          <w:kern w:val="0"/>
          <w:szCs w:val="21"/>
          <w:highlight w:val="none"/>
        </w:rPr>
        <w:t>。</w:t>
      </w:r>
    </w:p>
    <w:p w14:paraId="07E5A5A7">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（7）其他：</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14:paraId="78D1480D">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16.1.3 因发包人违约解除合同</w:t>
      </w:r>
    </w:p>
    <w:p w14:paraId="71B4528B">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承包人按16.1.1项〔发包人违约的情形〕约定暂停施工满</w:t>
      </w:r>
      <w:r>
        <w:rPr>
          <w:rFonts w:hint="eastAsia" w:ascii="宋体" w:cs="宋体"/>
          <w:color w:val="auto"/>
          <w:kern w:val="0"/>
          <w:szCs w:val="21"/>
          <w:highlight w:val="none"/>
          <w:u w:val="single"/>
        </w:rPr>
        <w:t xml:space="preserve">  28  </w:t>
      </w:r>
      <w:r>
        <w:rPr>
          <w:rFonts w:hint="eastAsia" w:ascii="宋体" w:cs="宋体"/>
          <w:color w:val="auto"/>
          <w:kern w:val="0"/>
          <w:szCs w:val="21"/>
          <w:highlight w:val="none"/>
        </w:rPr>
        <w:t>天后发包人仍不纠正其违约行为并致使合同目的不能实现的，承包人有权解除合同。</w:t>
      </w:r>
    </w:p>
    <w:p w14:paraId="73DCC081">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16.2 承包人违约</w:t>
      </w:r>
    </w:p>
    <w:p w14:paraId="7CB9B8CD">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16.2.1 承包人违约的情形</w:t>
      </w:r>
    </w:p>
    <w:p w14:paraId="2CE802B8">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承包人违约的其他情形：</w:t>
      </w:r>
      <w:r>
        <w:rPr>
          <w:rFonts w:hint="eastAsia" w:ascii="宋体" w:cs="宋体"/>
          <w:color w:val="auto"/>
          <w:kern w:val="0"/>
          <w:szCs w:val="21"/>
          <w:highlight w:val="none"/>
          <w:u w:val="single"/>
        </w:rPr>
        <w:t xml:space="preserve">   执行补充条款   </w:t>
      </w:r>
      <w:r>
        <w:rPr>
          <w:rFonts w:hint="eastAsia" w:ascii="宋体" w:cs="宋体"/>
          <w:color w:val="auto"/>
          <w:kern w:val="0"/>
          <w:szCs w:val="21"/>
          <w:highlight w:val="none"/>
        </w:rPr>
        <w:t>。</w:t>
      </w:r>
    </w:p>
    <w:p w14:paraId="20D51133">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16.2.2承包人违约的责任</w:t>
      </w:r>
    </w:p>
    <w:p w14:paraId="2B5523EB">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承包人违约责任的承担方式和计算方法：</w:t>
      </w:r>
      <w:r>
        <w:rPr>
          <w:rFonts w:hint="eastAsia" w:ascii="宋体" w:cs="宋体"/>
          <w:color w:val="auto"/>
          <w:kern w:val="0"/>
          <w:szCs w:val="21"/>
          <w:highlight w:val="none"/>
          <w:u w:val="single"/>
        </w:rPr>
        <w:t xml:space="preserve"> 执行补充条款   </w:t>
      </w:r>
      <w:r>
        <w:rPr>
          <w:rFonts w:hint="eastAsia" w:ascii="宋体" w:cs="宋体"/>
          <w:color w:val="auto"/>
          <w:kern w:val="0"/>
          <w:szCs w:val="21"/>
          <w:highlight w:val="none"/>
        </w:rPr>
        <w:t>。</w:t>
      </w:r>
      <w:r>
        <w:rPr>
          <w:rFonts w:hint="eastAsia" w:ascii="宋体" w:cs="宋体"/>
          <w:color w:val="auto"/>
          <w:szCs w:val="21"/>
          <w:highlight w:val="none"/>
        </w:rPr>
        <w:t xml:space="preserve">    </w:t>
      </w:r>
    </w:p>
    <w:p w14:paraId="0AD59456">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16.2.3 因承包人违约解除合同</w:t>
      </w:r>
    </w:p>
    <w:p w14:paraId="75F03C63">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关于承包人违约解除合同的特别约定：</w:t>
      </w:r>
      <w:r>
        <w:rPr>
          <w:rFonts w:hint="eastAsia" w:ascii="宋体" w:cs="宋体"/>
          <w:color w:val="auto"/>
          <w:kern w:val="0"/>
          <w:szCs w:val="21"/>
          <w:highlight w:val="none"/>
          <w:u w:val="single"/>
        </w:rPr>
        <w:t>执行</w:t>
      </w:r>
      <w:r>
        <w:rPr>
          <w:rFonts w:hint="eastAsia" w:ascii="宋体" w:cs="宋体"/>
          <w:color w:val="auto"/>
          <w:szCs w:val="21"/>
          <w:highlight w:val="none"/>
          <w:u w:val="single"/>
        </w:rPr>
        <w:t>补充条款。</w:t>
      </w:r>
    </w:p>
    <w:p w14:paraId="0F0F2C80">
      <w:pPr>
        <w:snapToGrid w:val="0"/>
        <w:spacing w:line="42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cs="宋体"/>
          <w:color w:val="auto"/>
          <w:kern w:val="0"/>
          <w:szCs w:val="21"/>
          <w:highlight w:val="none"/>
          <w:u w:val="single"/>
        </w:rPr>
        <w:t xml:space="preserve">   发包人不承担费用   </w:t>
      </w:r>
      <w:r>
        <w:rPr>
          <w:rFonts w:hint="eastAsia" w:ascii="宋体" w:cs="宋体"/>
          <w:color w:val="auto"/>
          <w:kern w:val="0"/>
          <w:szCs w:val="21"/>
          <w:highlight w:val="none"/>
        </w:rPr>
        <w:t>。</w:t>
      </w:r>
    </w:p>
    <w:p w14:paraId="57D87209">
      <w:pPr>
        <w:pStyle w:val="5"/>
        <w:snapToGrid w:val="0"/>
        <w:spacing w:before="0" w:after="0" w:line="42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 xml:space="preserve">17. 不可抗力 </w:t>
      </w:r>
    </w:p>
    <w:p w14:paraId="0D008BF2">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17.1 不可抗力的确认</w:t>
      </w:r>
    </w:p>
    <w:p w14:paraId="64D5803F">
      <w:pPr>
        <w:snapToGrid w:val="0"/>
        <w:spacing w:line="420" w:lineRule="exact"/>
        <w:ind w:firstLine="420" w:firstLineChars="200"/>
        <w:jc w:val="left"/>
        <w:rPr>
          <w:rFonts w:hint="eastAsia" w:ascii="宋体" w:cs="宋体"/>
          <w:color w:val="auto"/>
          <w:kern w:val="0"/>
          <w:szCs w:val="21"/>
          <w:highlight w:val="none"/>
          <w:u w:val="single"/>
        </w:rPr>
      </w:pPr>
      <w:r>
        <w:rPr>
          <w:rFonts w:hint="eastAsia" w:ascii="宋体" w:cs="宋体"/>
          <w:color w:val="auto"/>
          <w:szCs w:val="21"/>
          <w:highlight w:val="none"/>
        </w:rPr>
        <w:t>除通用合同条款约定的不可抗力事件之外，视为不可抗力的其他情形：</w:t>
      </w:r>
      <w:r>
        <w:rPr>
          <w:rFonts w:hint="eastAsia" w:ascii="宋体" w:cs="宋体"/>
          <w:color w:val="auto"/>
          <w:kern w:val="0"/>
          <w:szCs w:val="21"/>
          <w:highlight w:val="none"/>
          <w:u w:val="single"/>
        </w:rPr>
        <w:t xml:space="preserve">  </w:t>
      </w:r>
      <w:r>
        <w:rPr>
          <w:rFonts w:hint="eastAsia" w:ascii="宋体" w:hAnsi="宋体" w:cs="宋体"/>
          <w:color w:val="auto"/>
          <w:szCs w:val="21"/>
          <w:highlight w:val="none"/>
          <w:u w:val="single"/>
        </w:rPr>
        <w:t>执行通用条款</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14:paraId="7ABBF228">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17.4 因不可抗力解除合同</w:t>
      </w:r>
    </w:p>
    <w:p w14:paraId="6BEBA983">
      <w:pPr>
        <w:snapToGrid w:val="0"/>
        <w:spacing w:line="420" w:lineRule="exact"/>
        <w:ind w:firstLine="420" w:firstLineChars="200"/>
        <w:jc w:val="left"/>
        <w:rPr>
          <w:rFonts w:hint="eastAsia" w:ascii="宋体" w:hAnsi="Times New Roman" w:eastAsia="宋体" w:cs="宋体"/>
          <w:color w:val="auto"/>
          <w:szCs w:val="21"/>
          <w:highlight w:val="none"/>
          <w:lang w:eastAsia="zh-CN"/>
        </w:rPr>
      </w:pPr>
      <w:r>
        <w:rPr>
          <w:rFonts w:hint="eastAsia" w:ascii="宋体" w:hAnsi="Times New Roman" w:eastAsia="宋体" w:cs="宋体"/>
          <w:color w:val="auto"/>
          <w:szCs w:val="21"/>
          <w:highlight w:val="none"/>
          <w:lang w:eastAsia="zh-CN"/>
        </w:rPr>
        <w:t>合同解除后，发包人应在发票送达一周内完成款项的支付。</w:t>
      </w:r>
    </w:p>
    <w:p w14:paraId="1B91FF85">
      <w:pPr>
        <w:pStyle w:val="5"/>
        <w:snapToGrid w:val="0"/>
        <w:spacing w:before="0" w:after="0" w:line="42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18. 保险</w:t>
      </w:r>
    </w:p>
    <w:p w14:paraId="4A9CD8E6">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18.1 工程保险</w:t>
      </w:r>
    </w:p>
    <w:p w14:paraId="41CACA33">
      <w:pPr>
        <w:snapToGrid w:val="0"/>
        <w:spacing w:line="420" w:lineRule="exact"/>
        <w:ind w:firstLine="420" w:firstLineChars="200"/>
        <w:rPr>
          <w:rFonts w:hint="eastAsia"/>
          <w:color w:val="auto"/>
          <w:highlight w:val="none"/>
        </w:rPr>
      </w:pPr>
      <w:r>
        <w:rPr>
          <w:rFonts w:hint="eastAsia"/>
          <w:color w:val="auto"/>
          <w:highlight w:val="none"/>
        </w:rPr>
        <w:t>关于工程保险的特别约定：</w:t>
      </w:r>
      <w:r>
        <w:rPr>
          <w:rFonts w:hint="eastAsia" w:ascii="宋体" w:hAnsi="宋体" w:eastAsia="宋体" w:cs="宋体"/>
          <w:color w:val="auto"/>
          <w:szCs w:val="21"/>
          <w:highlight w:val="none"/>
          <w:u w:val="single"/>
          <w:lang w:val="en-US" w:eastAsia="zh-CN"/>
        </w:rPr>
        <w:t>承包人根据通用条款规定自行购买并承担费用</w:t>
      </w:r>
      <w:r>
        <w:rPr>
          <w:rFonts w:hint="eastAsia"/>
          <w:color w:val="auto"/>
          <w:highlight w:val="none"/>
          <w:u w:val="single"/>
        </w:rPr>
        <w:t xml:space="preserve"> </w:t>
      </w:r>
      <w:r>
        <w:rPr>
          <w:rFonts w:hint="eastAsia"/>
          <w:color w:val="auto"/>
          <w:highlight w:val="none"/>
        </w:rPr>
        <w:t>。</w:t>
      </w:r>
    </w:p>
    <w:p w14:paraId="4DC9B5E5">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18.3 其他保险</w:t>
      </w:r>
    </w:p>
    <w:p w14:paraId="3C2CC8F0">
      <w:pPr>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szCs w:val="21"/>
          <w:highlight w:val="none"/>
        </w:rPr>
        <w:t>关于其他保险的约定：</w:t>
      </w:r>
      <w:r>
        <w:rPr>
          <w:rFonts w:hint="eastAsia" w:ascii="宋体" w:cs="宋体"/>
          <w:color w:val="auto"/>
          <w:kern w:val="0"/>
          <w:szCs w:val="21"/>
          <w:highlight w:val="none"/>
          <w:u w:val="single"/>
        </w:rPr>
        <w:t xml:space="preserve"> </w:t>
      </w:r>
      <w:r>
        <w:rPr>
          <w:rFonts w:hint="eastAsia" w:ascii="宋体" w:hAnsi="宋体" w:cs="宋体"/>
          <w:color w:val="auto"/>
          <w:szCs w:val="21"/>
          <w:highlight w:val="none"/>
          <w:u w:val="single"/>
        </w:rPr>
        <w:t>承包人须为其施工现场的全部人员办理意外伤害保险并支付保险费，包括其员工及为履行合同聘请的第三方的人员</w:t>
      </w:r>
    </w:p>
    <w:p w14:paraId="0C9C511F">
      <w:pPr>
        <w:snapToGrid w:val="0"/>
        <w:spacing w:line="42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承包人是否应为其施工设备等办理财产保险：</w:t>
      </w:r>
      <w:r>
        <w:rPr>
          <w:rFonts w:hint="eastAsia" w:ascii="宋体" w:hAnsi="宋体" w:cs="宋体"/>
          <w:color w:val="auto"/>
          <w:szCs w:val="21"/>
          <w:highlight w:val="none"/>
          <w:u w:val="single"/>
        </w:rPr>
        <w:t>执行通用条款</w:t>
      </w:r>
      <w:r>
        <w:rPr>
          <w:rFonts w:hint="eastAsia" w:ascii="宋体" w:cs="宋体"/>
          <w:color w:val="auto"/>
          <w:szCs w:val="21"/>
          <w:highlight w:val="none"/>
          <w:u w:val="single"/>
        </w:rPr>
        <w:t>。</w:t>
      </w:r>
    </w:p>
    <w:p w14:paraId="5C3AB220">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18.7 通知义务</w:t>
      </w:r>
    </w:p>
    <w:p w14:paraId="2F3CC148">
      <w:pPr>
        <w:snapToGrid w:val="0"/>
        <w:spacing w:line="42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关于变更保险合同时的通知义务的约定：</w:t>
      </w:r>
      <w:r>
        <w:rPr>
          <w:rFonts w:hint="eastAsia" w:ascii="宋体" w:hAnsi="宋体" w:cs="宋体"/>
          <w:color w:val="auto"/>
          <w:szCs w:val="21"/>
          <w:highlight w:val="none"/>
          <w:u w:val="single"/>
        </w:rPr>
        <w:t>执行通用条款</w:t>
      </w:r>
      <w:r>
        <w:rPr>
          <w:rFonts w:hint="eastAsia" w:ascii="宋体" w:cs="宋体"/>
          <w:color w:val="auto"/>
          <w:kern w:val="0"/>
          <w:szCs w:val="21"/>
          <w:highlight w:val="none"/>
          <w:u w:val="single"/>
        </w:rPr>
        <w:t>。</w:t>
      </w:r>
    </w:p>
    <w:p w14:paraId="22CAF1C3">
      <w:pPr>
        <w:snapToGrid w:val="0"/>
        <w:spacing w:line="42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rPr>
        <w:t>保险事故发生时，投保人应按照保险合同规定的条件和期限及时向保险人报告。发包人和承包人应当在知道保险事故发生后及时通知对方。</w:t>
      </w:r>
    </w:p>
    <w:p w14:paraId="5500005C">
      <w:pPr>
        <w:pStyle w:val="5"/>
        <w:snapToGrid w:val="0"/>
        <w:spacing w:before="0" w:after="0" w:line="42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20. 争议解决</w:t>
      </w:r>
    </w:p>
    <w:p w14:paraId="5E40BD8B">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20.3 争议评审</w:t>
      </w:r>
    </w:p>
    <w:p w14:paraId="122C7CB9">
      <w:pPr>
        <w:snapToGrid w:val="0"/>
        <w:spacing w:line="42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合同当事人是否同意将工程争议提交争议评审小组决定：</w:t>
      </w:r>
      <w:r>
        <w:rPr>
          <w:rFonts w:hint="eastAsia" w:ascii="宋体" w:cs="宋体"/>
          <w:color w:val="auto"/>
          <w:szCs w:val="21"/>
          <w:highlight w:val="none"/>
          <w:u w:val="single"/>
        </w:rPr>
        <w:t xml:space="preserve">  不同意   </w:t>
      </w:r>
      <w:r>
        <w:rPr>
          <w:rFonts w:hint="eastAsia" w:ascii="宋体" w:cs="宋体"/>
          <w:color w:val="auto"/>
          <w:szCs w:val="21"/>
          <w:highlight w:val="none"/>
        </w:rPr>
        <w:t xml:space="preserve">。  </w:t>
      </w:r>
    </w:p>
    <w:p w14:paraId="1FDAB0C3">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20.3.1 争议评审小组的确定</w:t>
      </w:r>
    </w:p>
    <w:p w14:paraId="5E4513A0">
      <w:pPr>
        <w:snapToGrid w:val="0"/>
        <w:spacing w:line="42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争议评审小组成员的确定：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56137968">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选定争议评审员的期限：</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4ECD594C">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争议评审小组成员的报酬承担方式：</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65008D3D">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其他事项的约定：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03B06A94">
      <w:pPr>
        <w:autoSpaceDE w:val="0"/>
        <w:autoSpaceDN w:val="0"/>
        <w:adjustRightInd w:val="0"/>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20.3.2 争议评审小组的决定</w:t>
      </w:r>
    </w:p>
    <w:p w14:paraId="1784E084">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合同当事人关于本项的约定：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14:paraId="3A893488">
      <w:pPr>
        <w:autoSpaceDE w:val="0"/>
        <w:autoSpaceDN w:val="0"/>
        <w:adjustRightInd w:val="0"/>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20.4仲裁或诉讼</w:t>
      </w:r>
    </w:p>
    <w:p w14:paraId="1647000D">
      <w:pPr>
        <w:autoSpaceDE w:val="0"/>
        <w:autoSpaceDN w:val="0"/>
        <w:adjustRightInd w:val="0"/>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因合同及合同有关事项发生的争议，按下列第</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2</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种方式解决：</w:t>
      </w:r>
    </w:p>
    <w:p w14:paraId="3AE41BB3">
      <w:pPr>
        <w:numPr>
          <w:ilvl w:val="0"/>
          <w:numId w:val="3"/>
        </w:numPr>
        <w:autoSpaceDE w:val="0"/>
        <w:autoSpaceDN w:val="0"/>
        <w:adjustRightInd w:val="0"/>
        <w:snapToGrid w:val="0"/>
        <w:spacing w:line="420" w:lineRule="exact"/>
        <w:ind w:left="315"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向</w:t>
      </w:r>
      <w:r>
        <w:rPr>
          <w:rFonts w:hint="eastAsia" w:ascii="宋体" w:cs="宋体"/>
          <w:color w:val="auto"/>
          <w:kern w:val="0"/>
          <w:szCs w:val="21"/>
          <w:highlight w:val="none"/>
          <w:u w:val="single"/>
        </w:rPr>
        <w:t xml:space="preserve">        滁州     </w:t>
      </w:r>
      <w:r>
        <w:rPr>
          <w:rFonts w:hint="eastAsia" w:ascii="宋体" w:cs="宋体"/>
          <w:color w:val="auto"/>
          <w:kern w:val="0"/>
          <w:szCs w:val="21"/>
          <w:highlight w:val="none"/>
        </w:rPr>
        <w:t>仲裁委员会申请仲裁；</w:t>
      </w:r>
    </w:p>
    <w:p w14:paraId="12A8A368">
      <w:pPr>
        <w:numPr>
          <w:ilvl w:val="0"/>
          <w:numId w:val="3"/>
        </w:numPr>
        <w:autoSpaceDE w:val="0"/>
        <w:autoSpaceDN w:val="0"/>
        <w:adjustRightInd w:val="0"/>
        <w:snapToGrid w:val="0"/>
        <w:spacing w:line="420" w:lineRule="exact"/>
        <w:ind w:left="315"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向</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lang w:val="en-US" w:eastAsia="zh-CN"/>
        </w:rPr>
        <w:t>招标人所在地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人民法院起诉。</w:t>
      </w:r>
    </w:p>
    <w:p w14:paraId="4E542DB0">
      <w:pPr>
        <w:keepNext/>
        <w:keepLines/>
        <w:adjustRightInd w:val="0"/>
        <w:snapToGrid w:val="0"/>
        <w:spacing w:line="384" w:lineRule="auto"/>
        <w:jc w:val="left"/>
        <w:outlineLvl w:val="2"/>
        <w:rPr>
          <w:rFonts w:hint="eastAsia" w:ascii="宋体" w:hAnsi="宋体" w:cs="宋体"/>
          <w:color w:val="auto"/>
          <w:highlight w:val="none"/>
        </w:rPr>
      </w:pPr>
      <w:bookmarkStart w:id="874" w:name="_Toc95223485"/>
      <w:r>
        <w:rPr>
          <w:rFonts w:hint="eastAsia" w:ascii="宋体" w:hAnsi="宋体" w:cs="宋体"/>
          <w:color w:val="auto"/>
          <w:highlight w:val="none"/>
        </w:rPr>
        <w:t>21. 补充条款</w:t>
      </w:r>
      <w:bookmarkEnd w:id="874"/>
      <w:r>
        <w:rPr>
          <w:rFonts w:hint="eastAsia" w:ascii="宋体" w:hAnsi="宋体" w:cs="宋体"/>
          <w:color w:val="auto"/>
          <w:highlight w:val="none"/>
        </w:rPr>
        <w:t xml:space="preserve"> </w:t>
      </w:r>
    </w:p>
    <w:p w14:paraId="5B8AE915">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本补充条款是专用条款的一部分，其解释顺序优先于专用条款内的其他条款。</w:t>
      </w:r>
    </w:p>
    <w:p w14:paraId="14AE0E0C">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21.1 人员及职责</w:t>
      </w:r>
    </w:p>
    <w:p w14:paraId="2CFABEE9">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21.1.1 发包人委派的发包人代表或监理工程师（以下简称“工程师”）无权更改合同，也无权解除发包人和承包人的义务和责任。</w:t>
      </w:r>
    </w:p>
    <w:p w14:paraId="3E44F6EB">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21.1.2 发包人代表的任何批准、检查、证书、同意、通知、建议、检验、指令和要求等不解除承包人在合同中的责任。</w:t>
      </w:r>
    </w:p>
    <w:p w14:paraId="0B2D5A24">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21.1.3 承包人只能从发包人代表或其授权代表处接受指令。</w:t>
      </w:r>
    </w:p>
    <w:p w14:paraId="4B813459">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21.1.4 发包人如需更换发包人代表须提前7天通知承包人。</w:t>
      </w:r>
    </w:p>
    <w:p w14:paraId="1C69E9EA">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21.1.5 投标人委任的项目经理、项目技术负责人、各专业负责人（其他主要管理人员和技术人员）及施工机械等在整个项目施工期内必须在位。</w:t>
      </w:r>
    </w:p>
    <w:p w14:paraId="54C76CB8">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承包人的项目经理离开现场的，须经发包人代表同意，并书面指定临时代表，代为行使项目经理的权力；该临时代表的一切行为，甲方均认为是项目经理</w:t>
      </w:r>
      <w:r>
        <w:rPr>
          <w:rFonts w:hint="eastAsia" w:ascii="宋体" w:hAnsi="宋体" w:cs="宋体"/>
          <w:color w:val="auto"/>
          <w:kern w:val="0"/>
          <w:highlight w:val="none"/>
        </w:rPr>
        <w:t>的行为。</w:t>
      </w:r>
    </w:p>
    <w:p w14:paraId="7B2B46C3">
      <w:pPr>
        <w:snapToGrid w:val="0"/>
        <w:spacing w:line="440" w:lineRule="exact"/>
        <w:ind w:firstLine="420" w:firstLineChars="200"/>
        <w:rPr>
          <w:rFonts w:hint="eastAsia" w:ascii="宋体" w:hAnsi="宋体" w:cs="宋体"/>
          <w:color w:val="auto"/>
          <w:highlight w:val="none"/>
        </w:rPr>
      </w:pPr>
      <w:r>
        <w:rPr>
          <w:rFonts w:hint="eastAsia" w:ascii="宋体" w:hAnsi="Times New Roman" w:eastAsia="宋体" w:cs="宋体"/>
          <w:color w:val="auto"/>
          <w:szCs w:val="21"/>
          <w:highlight w:val="none"/>
          <w:lang w:val="en-US" w:eastAsia="zh-CN"/>
        </w:rPr>
        <w:t>由于承包人自身原因造成机械设备未能及时到位而影响工程施工的，在发包人提出确切要求到位日期后，仍未到位的视为违约，承包人向发包人支付</w:t>
      </w:r>
      <w:r>
        <w:rPr>
          <w:rFonts w:hint="eastAsia" w:ascii="宋体" w:cs="宋体"/>
          <w:color w:val="auto"/>
          <w:szCs w:val="21"/>
          <w:highlight w:val="none"/>
          <w:lang w:val="en-US" w:eastAsia="zh-CN"/>
        </w:rPr>
        <w:t>10</w:t>
      </w:r>
      <w:r>
        <w:rPr>
          <w:rFonts w:hint="eastAsia" w:ascii="宋体" w:hAnsi="Times New Roman" w:eastAsia="宋体" w:cs="宋体"/>
          <w:color w:val="auto"/>
          <w:szCs w:val="21"/>
          <w:highlight w:val="none"/>
          <w:lang w:val="en-US" w:eastAsia="zh-CN"/>
        </w:rPr>
        <w:t>万元违约金。</w:t>
      </w:r>
    </w:p>
    <w:p w14:paraId="00BE78F0">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21.1.6 承包人提交发包人的任何文件，发包人都认为该文件已经承包人内部程序批准；承包人提交的文件发生修改的，应及时将最新版本提交发包人代表。</w:t>
      </w:r>
    </w:p>
    <w:p w14:paraId="7E4392EE">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21.1.7 承包人应始终采取一切合理防范措施来避免在项目人员内部发生违法、动乱或妨碍治安的行为，保持项目的安定；并保护好现场和周围的人员和财产安全。</w:t>
      </w:r>
    </w:p>
    <w:p w14:paraId="4DAC4F44">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21.1.8 承包人雇佣职员或工人应遵守相关法律法规的规定。</w:t>
      </w:r>
    </w:p>
    <w:p w14:paraId="7FC64190">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21.1.9 参与本项目的承包人代表或其雇员不遵守合同规定或一贯行为不轨或或不能胜任工作或危害安全，发包人代表有权要求更换；原人选未经发包人许可不得再进入本项目（包括项目经理在内）。</w:t>
      </w:r>
    </w:p>
    <w:p w14:paraId="55EA44CF">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21.1.10 承包人更换项目经理的，须提前14天通知发包人，并征得发包人同意；该行为视为违约，承包人须支付发包人</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10</w:t>
      </w:r>
      <w:r>
        <w:rPr>
          <w:rFonts w:hint="eastAsia" w:ascii="宋体" w:hAnsi="宋体" w:cs="宋体"/>
          <w:color w:val="auto"/>
          <w:highlight w:val="none"/>
          <w:u w:val="single"/>
        </w:rPr>
        <w:t xml:space="preserve">  </w:t>
      </w:r>
      <w:r>
        <w:rPr>
          <w:rFonts w:hint="eastAsia" w:ascii="宋体" w:hAnsi="宋体" w:cs="宋体"/>
          <w:color w:val="auto"/>
          <w:highlight w:val="none"/>
        </w:rPr>
        <w:t>万元违约金。更换后的项目经理资历、水平不得降低。</w:t>
      </w:r>
    </w:p>
    <w:p w14:paraId="71241253">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21.2 变更与调整</w:t>
      </w:r>
    </w:p>
    <w:p w14:paraId="77CEA2CE">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21.2.1 在工程移交前，发包人代表有权签发变更指令，承包人应按照指令来实施变更，并进行工期和费用的估算，提交发包人代表。</w:t>
      </w:r>
    </w:p>
    <w:p w14:paraId="02A9FCB7">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21.2.2 发包人代表收到承包人的估算后，可以决定撤销、修改或确认实施该项变更。</w:t>
      </w:r>
    </w:p>
    <w:p w14:paraId="2BBE2093">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21.2.3 如果承包人认为自己的建议能缩短工期、降低工程实施或运营成本，或对业主产生其他利益，可以向发包人代表提交建议书；建议书的编制费用自理。</w:t>
      </w:r>
    </w:p>
    <w:p w14:paraId="2A9E72AC">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21.2.4 如果发包人采纳承包人的建议节省了工程费用，将给予承包人节约费用适当比例的奖励。</w:t>
      </w:r>
    </w:p>
    <w:p w14:paraId="43776F88">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21.2.5 上一款中节省费用的计算方法为：降低的合同额度减去因变更而引起在工程质量、寿命、以及运营效率等方面为发包人带来的潜在损失。</w:t>
      </w:r>
    </w:p>
    <w:p w14:paraId="7D7E7B3C">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21.2.6 任何变更指令都应由发包人代表签发给承包人，承包人收到后应回函说明；涉及到费用调整的，按照相关条款执行。</w:t>
      </w:r>
    </w:p>
    <w:p w14:paraId="0439841F">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21.2.7 设计文件示意内容的尺寸做法、要求等标注有错误、有遗漏，或理解不一致，发包人或其委托的勘查设计单位根据工程施工需要而对其进行更正和补充的，称为技术核定；技术核定不调整合同价款，也不调整工期。</w:t>
      </w:r>
    </w:p>
    <w:p w14:paraId="26674B62">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21.2.8 未经发包人代表批准，承包人不得对工程进行任何变更。</w:t>
      </w:r>
    </w:p>
    <w:p w14:paraId="50CEEF06">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21.3 分包与配合</w:t>
      </w:r>
    </w:p>
    <w:p w14:paraId="0F5D53A3">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21.3.1 承包人进行工程分包的，应遵守通用条款相关规定，发包人视其为承包人自行施工的工程；发包人代表对分包的同意或批准并不解除承包人的任何责任，也不代表发包人对此承担任何责任。</w:t>
      </w:r>
    </w:p>
    <w:p w14:paraId="77319BAC">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21.3.7 凡在与已交工工程有关联的部位施工时，必须提前向甲方提出书面联系单，经甲方同意，并签字后方可施工。</w:t>
      </w:r>
    </w:p>
    <w:p w14:paraId="3A22224C">
      <w:pPr>
        <w:keepNext/>
        <w:keepLines/>
        <w:adjustRightInd w:val="0"/>
        <w:snapToGrid w:val="0"/>
        <w:spacing w:line="384" w:lineRule="auto"/>
        <w:ind w:firstLine="420" w:firstLineChars="200"/>
        <w:outlineLvl w:val="3"/>
        <w:rPr>
          <w:rFonts w:hint="eastAsia" w:ascii="宋体" w:hAnsi="宋体" w:cs="宋体"/>
          <w:bCs/>
          <w:color w:val="auto"/>
          <w:szCs w:val="28"/>
          <w:highlight w:val="none"/>
        </w:rPr>
      </w:pPr>
      <w:r>
        <w:rPr>
          <w:rFonts w:hint="eastAsia" w:ascii="宋体" w:hAnsi="宋体" w:cs="宋体"/>
          <w:bCs/>
          <w:color w:val="auto"/>
          <w:szCs w:val="28"/>
          <w:highlight w:val="none"/>
        </w:rPr>
        <w:t>21.4 结算</w:t>
      </w:r>
    </w:p>
    <w:p w14:paraId="44D9DF34">
      <w:pPr>
        <w:adjustRightInd w:val="0"/>
        <w:snapToGrid w:val="0"/>
        <w:spacing w:line="384" w:lineRule="auto"/>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21.4.1 承包人的投标报价（合同价款）是承包人基于业主提供的资料和现场数据及承包人的解释和现场考察计算出来的，覆盖了完成合同义务所包括的一切工作，不得以漏项或考虑不周提出索赔。</w:t>
      </w:r>
    </w:p>
    <w:p w14:paraId="556EC024">
      <w:pPr>
        <w:adjustRightInd w:val="0"/>
        <w:snapToGrid w:val="0"/>
        <w:spacing w:line="384"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21.4.3 发包人供应材料设备的结算：材料按照总价的</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%计取保管费（材料数量最多不超过设计文件的用量（可以计算定额损耗））；设备按照总价的</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%计取保管费；此费用仅计取税金。</w:t>
      </w:r>
    </w:p>
    <w:p w14:paraId="3C72B768">
      <w:pPr>
        <w:adjustRightInd w:val="0"/>
        <w:snapToGrid w:val="0"/>
        <w:spacing w:line="384"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21.4.4 分包工程的总承包配合费和配合工程的配合费：分包工程的总承包配合费按照分包工程价格确定，一次包死，不随分包工程结算价款的调整而调整；配合工程的配合费也一次包死；该两项费用仅计取税金。</w:t>
      </w:r>
    </w:p>
    <w:p w14:paraId="656FD8B1">
      <w:pPr>
        <w:adjustRightInd w:val="0"/>
        <w:snapToGrid w:val="0"/>
        <w:spacing w:line="384"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21.4.5对于发包人提供的工程量清单中的单项子目，承包人没有报价的，发包人认为视同该项价格已经包括在其他项目中。</w:t>
      </w:r>
    </w:p>
    <w:p w14:paraId="20CAA265">
      <w:pPr>
        <w:pStyle w:val="14"/>
        <w:ind w:left="0" w:leftChars="0" w:firstLine="0" w:firstLineChars="0"/>
        <w:rPr>
          <w:rFonts w:hint="eastAsia"/>
          <w:color w:val="auto"/>
          <w:highlight w:val="none"/>
        </w:rPr>
      </w:pPr>
    </w:p>
    <w:p w14:paraId="6DA99E0C">
      <w:pPr>
        <w:rPr>
          <w:color w:val="auto"/>
          <w:highlight w:val="none"/>
        </w:rPr>
      </w:pPr>
    </w:p>
    <w:p w14:paraId="461A6CA7">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发包人：  (公章)                           承包人：  (公章)</w:t>
      </w:r>
    </w:p>
    <w:p w14:paraId="75AFBB71">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法定代表人或其委托代理人：                 法定代表人或其委托代理人：</w:t>
      </w:r>
    </w:p>
    <w:p w14:paraId="2082B6C9">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（签字）                                  （签字）</w:t>
      </w:r>
    </w:p>
    <w:p w14:paraId="4F72921B">
      <w:pPr>
        <w:adjustRightInd w:val="0"/>
        <w:snapToGrid w:val="0"/>
        <w:spacing w:line="360" w:lineRule="auto"/>
        <w:rPr>
          <w:rFonts w:hint="eastAsia" w:ascii="宋体" w:hAnsi="宋体" w:cs="宋体"/>
          <w:color w:val="auto"/>
          <w:highlight w:val="none"/>
          <w:u w:val="single"/>
        </w:rPr>
      </w:pPr>
      <w:r>
        <w:rPr>
          <w:rFonts w:hint="eastAsia" w:ascii="宋体" w:hAnsi="宋体" w:cs="宋体"/>
          <w:color w:val="auto"/>
          <w:highlight w:val="none"/>
        </w:rPr>
        <w:t>组织机构代码：</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组织机构代码：</w:t>
      </w:r>
      <w:r>
        <w:rPr>
          <w:rFonts w:hint="eastAsia" w:ascii="宋体" w:hAnsi="宋体" w:cs="宋体"/>
          <w:color w:val="auto"/>
          <w:highlight w:val="none"/>
          <w:u w:val="single"/>
        </w:rPr>
        <w:t xml:space="preserve">          </w:t>
      </w:r>
    </w:p>
    <w:p w14:paraId="510A5AAC">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地  址：</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地  址：</w:t>
      </w:r>
      <w:r>
        <w:rPr>
          <w:rFonts w:hint="eastAsia" w:ascii="宋体" w:hAnsi="宋体" w:cs="宋体"/>
          <w:color w:val="auto"/>
          <w:highlight w:val="none"/>
          <w:u w:val="single"/>
        </w:rPr>
        <w:t xml:space="preserve">                  </w:t>
      </w:r>
    </w:p>
    <w:p w14:paraId="00262A33">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邮政编码：</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邮政编码：</w:t>
      </w:r>
      <w:r>
        <w:rPr>
          <w:rFonts w:hint="eastAsia" w:ascii="宋体" w:hAnsi="宋体" w:cs="宋体"/>
          <w:color w:val="auto"/>
          <w:highlight w:val="none"/>
          <w:u w:val="single"/>
        </w:rPr>
        <w:t xml:space="preserve">                   </w:t>
      </w:r>
    </w:p>
    <w:p w14:paraId="636C657E">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法定代表人：</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法定代表人：</w:t>
      </w:r>
      <w:r>
        <w:rPr>
          <w:rFonts w:hint="eastAsia" w:ascii="宋体" w:hAnsi="宋体" w:cs="宋体"/>
          <w:color w:val="auto"/>
          <w:highlight w:val="none"/>
          <w:u w:val="single"/>
        </w:rPr>
        <w:t xml:space="preserve">            </w:t>
      </w:r>
    </w:p>
    <w:p w14:paraId="0D000CD5">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委托代理人：</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委托代理人：</w:t>
      </w:r>
      <w:r>
        <w:rPr>
          <w:rFonts w:hint="eastAsia" w:ascii="宋体" w:hAnsi="宋体" w:cs="宋体"/>
          <w:color w:val="auto"/>
          <w:highlight w:val="none"/>
          <w:u w:val="single"/>
        </w:rPr>
        <w:t xml:space="preserve">                </w:t>
      </w:r>
    </w:p>
    <w:p w14:paraId="74C80206">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电  话：</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  话：</w:t>
      </w:r>
      <w:r>
        <w:rPr>
          <w:rFonts w:hint="eastAsia" w:ascii="宋体" w:hAnsi="宋体" w:cs="宋体"/>
          <w:color w:val="auto"/>
          <w:highlight w:val="none"/>
          <w:u w:val="single"/>
        </w:rPr>
        <w:t xml:space="preserve">                     </w:t>
      </w:r>
    </w:p>
    <w:p w14:paraId="6A8BE3C8">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传  真：</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传  真：</w:t>
      </w:r>
      <w:r>
        <w:rPr>
          <w:rFonts w:hint="eastAsia" w:ascii="宋体" w:hAnsi="宋体" w:cs="宋体"/>
          <w:color w:val="auto"/>
          <w:highlight w:val="none"/>
          <w:u w:val="single"/>
        </w:rPr>
        <w:t xml:space="preserve">                   </w:t>
      </w:r>
    </w:p>
    <w:p w14:paraId="15720D2F">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电子信箱：</w:t>
      </w:r>
      <w:r>
        <w:rPr>
          <w:rFonts w:hint="eastAsia" w:ascii="宋体" w:hAnsi="宋体" w:cs="宋体"/>
          <w:color w:val="auto"/>
          <w:highlight w:val="none"/>
          <w:u w:val="single"/>
        </w:rPr>
        <w:t xml:space="preserve">                   </w:t>
      </w:r>
    </w:p>
    <w:p w14:paraId="35DB4CDB">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开户银行：</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开户银行：</w:t>
      </w:r>
      <w:r>
        <w:rPr>
          <w:rFonts w:hint="eastAsia" w:ascii="宋体" w:hAnsi="宋体" w:cs="宋体"/>
          <w:color w:val="auto"/>
          <w:highlight w:val="none"/>
          <w:u w:val="single"/>
        </w:rPr>
        <w:t xml:space="preserve">                   </w:t>
      </w:r>
    </w:p>
    <w:p w14:paraId="14E0EC43">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账  号：</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账  号：</w:t>
      </w:r>
      <w:r>
        <w:rPr>
          <w:rFonts w:hint="eastAsia" w:ascii="宋体" w:hAnsi="宋体" w:cs="宋体"/>
          <w:color w:val="auto"/>
          <w:highlight w:val="none"/>
          <w:u w:val="single"/>
        </w:rPr>
        <w:t xml:space="preserve">                     </w:t>
      </w:r>
    </w:p>
    <w:p w14:paraId="157F105B">
      <w:pPr>
        <w:pStyle w:val="14"/>
        <w:ind w:left="0" w:leftChars="0" w:firstLine="0" w:firstLineChars="0"/>
        <w:rPr>
          <w:rFonts w:hint="eastAsia" w:ascii="黑体" w:eastAsia="黑体"/>
          <w:b/>
          <w:color w:val="auto"/>
          <w:sz w:val="32"/>
          <w:szCs w:val="32"/>
          <w:highlight w:val="none"/>
          <w:lang w:val="en-US" w:eastAsia="zh-CN"/>
        </w:rPr>
      </w:pPr>
    </w:p>
    <w:p w14:paraId="17B4B52B">
      <w:pPr>
        <w:spacing w:line="360" w:lineRule="auto"/>
        <w:rPr>
          <w:rFonts w:hint="eastAsia" w:ascii="宋体" w:hAnsi="宋体" w:cs="宋体"/>
          <w:color w:val="auto"/>
          <w:highlight w:val="none"/>
        </w:rPr>
      </w:pPr>
      <w:r>
        <w:rPr>
          <w:rFonts w:hint="eastAsia" w:ascii="宋体" w:hAnsi="宋体" w:cs="宋体"/>
          <w:color w:val="auto"/>
          <w:highlight w:val="none"/>
        </w:rPr>
        <w:t>协议书附件：</w:t>
      </w:r>
    </w:p>
    <w:p w14:paraId="4A82D73A">
      <w:pPr>
        <w:spacing w:line="360" w:lineRule="auto"/>
        <w:rPr>
          <w:rFonts w:hint="eastAsia" w:ascii="宋体" w:hAnsi="宋体" w:cs="宋体"/>
          <w:color w:val="auto"/>
          <w:highlight w:val="none"/>
        </w:rPr>
      </w:pPr>
      <w:r>
        <w:rPr>
          <w:rFonts w:hint="eastAsia" w:ascii="宋体" w:hAnsi="宋体" w:cs="宋体"/>
          <w:color w:val="auto"/>
          <w:highlight w:val="none"/>
        </w:rPr>
        <w:t>附件1：承包人承揽工程项目一览表</w:t>
      </w:r>
    </w:p>
    <w:p w14:paraId="1C493AD2">
      <w:pPr>
        <w:spacing w:line="360" w:lineRule="auto"/>
        <w:rPr>
          <w:rFonts w:hint="eastAsia" w:ascii="宋体" w:hAnsi="宋体" w:cs="宋体"/>
          <w:color w:val="auto"/>
          <w:highlight w:val="none"/>
        </w:rPr>
      </w:pPr>
      <w:r>
        <w:rPr>
          <w:rFonts w:hint="eastAsia" w:ascii="宋体" w:hAnsi="宋体" w:cs="宋体"/>
          <w:color w:val="auto"/>
          <w:highlight w:val="none"/>
        </w:rPr>
        <w:t>专用合同条款附件：</w:t>
      </w:r>
    </w:p>
    <w:p w14:paraId="58F6F30A">
      <w:pPr>
        <w:spacing w:line="360" w:lineRule="auto"/>
        <w:rPr>
          <w:rFonts w:hint="eastAsia" w:ascii="宋体" w:hAnsi="宋体" w:cs="宋体"/>
          <w:color w:val="auto"/>
          <w:highlight w:val="none"/>
        </w:rPr>
      </w:pPr>
      <w:r>
        <w:rPr>
          <w:rFonts w:hint="eastAsia" w:ascii="宋体" w:hAnsi="宋体" w:cs="宋体"/>
          <w:color w:val="auto"/>
          <w:highlight w:val="none"/>
        </w:rPr>
        <w:t>附件2：发包人供应材料设备一览表</w:t>
      </w:r>
    </w:p>
    <w:p w14:paraId="50B75960">
      <w:pPr>
        <w:spacing w:line="360" w:lineRule="auto"/>
        <w:rPr>
          <w:rFonts w:hint="eastAsia" w:ascii="宋体" w:hAnsi="宋体" w:cs="宋体"/>
          <w:color w:val="auto"/>
          <w:highlight w:val="none"/>
        </w:rPr>
      </w:pPr>
      <w:r>
        <w:rPr>
          <w:rFonts w:hint="eastAsia" w:ascii="宋体" w:hAnsi="宋体" w:cs="宋体"/>
          <w:color w:val="auto"/>
          <w:highlight w:val="none"/>
        </w:rPr>
        <w:t>附件3：工程质量保修书</w:t>
      </w:r>
    </w:p>
    <w:p w14:paraId="5B4ECA48">
      <w:pPr>
        <w:spacing w:line="360" w:lineRule="auto"/>
        <w:rPr>
          <w:rFonts w:hint="eastAsia" w:ascii="宋体" w:hAnsi="宋体" w:cs="宋体"/>
          <w:color w:val="auto"/>
          <w:highlight w:val="none"/>
        </w:rPr>
      </w:pPr>
      <w:r>
        <w:rPr>
          <w:rFonts w:hint="eastAsia" w:ascii="宋体" w:hAnsi="宋体" w:cs="宋体"/>
          <w:color w:val="auto"/>
          <w:highlight w:val="none"/>
        </w:rPr>
        <w:t>附件4：主要建设工程文件目录</w:t>
      </w:r>
    </w:p>
    <w:p w14:paraId="31BC4752">
      <w:pPr>
        <w:spacing w:line="360" w:lineRule="auto"/>
        <w:rPr>
          <w:rFonts w:hint="eastAsia" w:ascii="宋体" w:hAnsi="宋体" w:cs="宋体"/>
          <w:color w:val="auto"/>
          <w:highlight w:val="none"/>
        </w:rPr>
      </w:pPr>
      <w:r>
        <w:rPr>
          <w:rFonts w:hint="eastAsia" w:ascii="宋体" w:hAnsi="宋体" w:cs="宋体"/>
          <w:color w:val="auto"/>
          <w:highlight w:val="none"/>
        </w:rPr>
        <w:t>附件5：承包人用于本工程施工的机械设备表</w:t>
      </w:r>
    </w:p>
    <w:p w14:paraId="59D4DC4D">
      <w:pPr>
        <w:spacing w:line="360" w:lineRule="auto"/>
        <w:rPr>
          <w:rFonts w:hint="eastAsia" w:ascii="宋体" w:hAnsi="宋体" w:cs="宋体"/>
          <w:color w:val="auto"/>
          <w:highlight w:val="none"/>
        </w:rPr>
      </w:pPr>
      <w:r>
        <w:rPr>
          <w:rFonts w:hint="eastAsia" w:ascii="宋体" w:hAnsi="宋体" w:cs="宋体"/>
          <w:color w:val="auto"/>
          <w:highlight w:val="none"/>
        </w:rPr>
        <w:t>附件6：承包人主要施工管理人员表</w:t>
      </w:r>
    </w:p>
    <w:p w14:paraId="6FAFF13F">
      <w:pPr>
        <w:spacing w:line="360" w:lineRule="auto"/>
        <w:rPr>
          <w:rFonts w:hint="eastAsia" w:ascii="宋体" w:hAnsi="宋体" w:cs="宋体"/>
          <w:color w:val="auto"/>
          <w:highlight w:val="none"/>
        </w:rPr>
      </w:pPr>
      <w:r>
        <w:rPr>
          <w:rFonts w:hint="eastAsia" w:ascii="宋体" w:hAnsi="宋体" w:cs="宋体"/>
          <w:color w:val="auto"/>
          <w:highlight w:val="none"/>
        </w:rPr>
        <w:t>附件7：分包人主要施工管理人员表</w:t>
      </w:r>
    </w:p>
    <w:p w14:paraId="6D0B1B97">
      <w:pPr>
        <w:spacing w:line="360" w:lineRule="auto"/>
        <w:rPr>
          <w:rFonts w:hint="eastAsia" w:ascii="宋体" w:hAnsi="宋体" w:cs="宋体"/>
          <w:color w:val="auto"/>
          <w:highlight w:val="none"/>
        </w:rPr>
      </w:pPr>
      <w:r>
        <w:rPr>
          <w:rFonts w:hint="eastAsia" w:ascii="宋体" w:hAnsi="宋体" w:cs="宋体"/>
          <w:color w:val="auto"/>
          <w:highlight w:val="none"/>
        </w:rPr>
        <w:t>附件8：廉政协议</w:t>
      </w:r>
    </w:p>
    <w:p w14:paraId="25918CB0">
      <w:pPr>
        <w:spacing w:line="360" w:lineRule="auto"/>
        <w:rPr>
          <w:rFonts w:hint="eastAsia" w:ascii="宋体" w:hAnsi="宋体" w:cs="宋体"/>
          <w:color w:val="auto"/>
          <w:highlight w:val="none"/>
        </w:rPr>
      </w:pPr>
      <w:r>
        <w:rPr>
          <w:rFonts w:hint="eastAsia" w:ascii="宋体" w:hAnsi="宋体" w:cs="宋体"/>
          <w:color w:val="auto"/>
          <w:highlight w:val="none"/>
        </w:rPr>
        <w:t>附件9：履约保证金格式</w:t>
      </w:r>
    </w:p>
    <w:p w14:paraId="7130D662">
      <w:pPr>
        <w:spacing w:line="360" w:lineRule="auto"/>
        <w:rPr>
          <w:rFonts w:hint="eastAsia" w:ascii="宋体" w:hAnsi="宋体" w:cs="宋体"/>
          <w:color w:val="auto"/>
          <w:highlight w:val="none"/>
        </w:rPr>
      </w:pPr>
      <w:r>
        <w:rPr>
          <w:rFonts w:hint="eastAsia" w:ascii="宋体" w:hAnsi="宋体" w:cs="宋体"/>
          <w:color w:val="auto"/>
          <w:highlight w:val="none"/>
        </w:rPr>
        <w:t>附件10：支付担保格式</w:t>
      </w:r>
    </w:p>
    <w:p w14:paraId="21882BC5">
      <w:pPr>
        <w:spacing w:line="360" w:lineRule="auto"/>
        <w:rPr>
          <w:rFonts w:hint="eastAsia" w:ascii="宋体" w:hAnsi="宋体" w:cs="宋体"/>
          <w:color w:val="auto"/>
          <w:highlight w:val="none"/>
        </w:rPr>
      </w:pPr>
      <w:r>
        <w:rPr>
          <w:rFonts w:hint="eastAsia" w:ascii="宋体" w:hAnsi="宋体" w:cs="宋体"/>
          <w:color w:val="auto"/>
          <w:highlight w:val="none"/>
        </w:rPr>
        <w:t>附件11：暂估价一览表</w:t>
      </w:r>
    </w:p>
    <w:p w14:paraId="4D2D79EF">
      <w:pPr>
        <w:spacing w:line="360" w:lineRule="auto"/>
        <w:rPr>
          <w:rFonts w:hint="eastAsia" w:ascii="宋体" w:hAnsi="宋体" w:cs="宋体"/>
          <w:color w:val="auto"/>
          <w:highlight w:val="none"/>
        </w:rPr>
      </w:pPr>
      <w:r>
        <w:rPr>
          <w:rFonts w:hint="eastAsia" w:ascii="宋体" w:hAnsi="宋体" w:cs="宋体"/>
          <w:color w:val="auto"/>
          <w:highlight w:val="none"/>
        </w:rPr>
        <w:t>附件12：安全生产合同</w:t>
      </w:r>
    </w:p>
    <w:p w14:paraId="7D29C607">
      <w:pPr>
        <w:spacing w:line="360" w:lineRule="auto"/>
        <w:rPr>
          <w:rFonts w:hint="eastAsia" w:ascii="黑体" w:eastAsia="黑体"/>
          <w:b/>
          <w:color w:val="auto"/>
          <w:sz w:val="32"/>
          <w:szCs w:val="32"/>
          <w:highlight w:val="none"/>
          <w:lang w:val="en-US" w:eastAsia="zh-CN"/>
        </w:rPr>
      </w:pPr>
      <w:r>
        <w:rPr>
          <w:rFonts w:hint="eastAsia" w:ascii="宋体" w:hAnsi="宋体" w:cs="宋体"/>
          <w:color w:val="auto"/>
          <w:highlight w:val="none"/>
        </w:rPr>
        <w:t>附件13：项目经理质量终身责任制承诺</w:t>
      </w:r>
      <w:r>
        <w:rPr>
          <w:rFonts w:hint="eastAsia" w:ascii="黑体" w:eastAsia="黑体"/>
          <w:b/>
          <w:color w:val="auto"/>
          <w:sz w:val="32"/>
          <w:szCs w:val="32"/>
          <w:highlight w:val="none"/>
          <w:lang w:val="en-US" w:eastAsia="zh-CN"/>
        </w:rPr>
        <w:br w:type="page"/>
      </w:r>
    </w:p>
    <w:p w14:paraId="384D16BF">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附件1：承包人承揽工程项目一览表</w:t>
      </w:r>
    </w:p>
    <w:p w14:paraId="0B55CCF3">
      <w:pPr>
        <w:spacing w:line="360" w:lineRule="auto"/>
        <w:jc w:val="center"/>
        <w:rPr>
          <w:rFonts w:hint="eastAsia" w:ascii="宋体" w:hAnsi="宋体" w:cs="宋体"/>
          <w:color w:val="auto"/>
          <w:sz w:val="22"/>
          <w:szCs w:val="21"/>
          <w:highlight w:val="none"/>
        </w:rPr>
      </w:pPr>
      <w:r>
        <w:rPr>
          <w:rFonts w:hint="eastAsia" w:ascii="宋体" w:hAnsi="宋体" w:cs="宋体"/>
          <w:color w:val="auto"/>
          <w:sz w:val="22"/>
          <w:szCs w:val="21"/>
          <w:highlight w:val="none"/>
        </w:rPr>
        <w:t>承包人承揽工程项目一览表</w:t>
      </w:r>
    </w:p>
    <w:tbl>
      <w:tblPr>
        <w:tblStyle w:val="47"/>
        <w:tblW w:w="949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134"/>
        <w:gridCol w:w="1134"/>
        <w:gridCol w:w="993"/>
        <w:gridCol w:w="708"/>
        <w:gridCol w:w="1134"/>
        <w:gridCol w:w="1134"/>
        <w:gridCol w:w="993"/>
        <w:gridCol w:w="708"/>
        <w:gridCol w:w="567"/>
      </w:tblGrid>
      <w:tr w14:paraId="6A83F7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center"/>
          </w:tcPr>
          <w:p w14:paraId="7A180800">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单位工程名称</w:t>
            </w:r>
          </w:p>
        </w:tc>
        <w:tc>
          <w:tcPr>
            <w:tcW w:w="1134" w:type="dxa"/>
            <w:tcBorders>
              <w:top w:val="single" w:color="auto" w:sz="12" w:space="0"/>
              <w:bottom w:val="double" w:color="auto" w:sz="6" w:space="0"/>
            </w:tcBorders>
            <w:noWrap w:val="0"/>
            <w:vAlign w:val="center"/>
          </w:tcPr>
          <w:p w14:paraId="036A8A3D">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建设规模</w:t>
            </w:r>
          </w:p>
        </w:tc>
        <w:tc>
          <w:tcPr>
            <w:tcW w:w="1134" w:type="dxa"/>
            <w:tcBorders>
              <w:top w:val="single" w:color="auto" w:sz="12" w:space="0"/>
              <w:bottom w:val="double" w:color="auto" w:sz="6" w:space="0"/>
            </w:tcBorders>
            <w:noWrap w:val="0"/>
            <w:vAlign w:val="center"/>
          </w:tcPr>
          <w:p w14:paraId="28E2807D">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建筑面积(平方米)</w:t>
            </w:r>
          </w:p>
        </w:tc>
        <w:tc>
          <w:tcPr>
            <w:tcW w:w="993" w:type="dxa"/>
            <w:tcBorders>
              <w:top w:val="single" w:color="auto" w:sz="12" w:space="0"/>
              <w:bottom w:val="double" w:color="auto" w:sz="6" w:space="0"/>
            </w:tcBorders>
            <w:noWrap w:val="0"/>
            <w:vAlign w:val="center"/>
          </w:tcPr>
          <w:p w14:paraId="23FA705F">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结构形式</w:t>
            </w:r>
          </w:p>
        </w:tc>
        <w:tc>
          <w:tcPr>
            <w:tcW w:w="708" w:type="dxa"/>
            <w:tcBorders>
              <w:top w:val="single" w:color="auto" w:sz="12" w:space="0"/>
              <w:bottom w:val="double" w:color="auto" w:sz="6" w:space="0"/>
            </w:tcBorders>
            <w:noWrap w:val="0"/>
            <w:vAlign w:val="center"/>
          </w:tcPr>
          <w:p w14:paraId="630CB634">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层数</w:t>
            </w:r>
          </w:p>
        </w:tc>
        <w:tc>
          <w:tcPr>
            <w:tcW w:w="1134" w:type="dxa"/>
            <w:tcBorders>
              <w:top w:val="single" w:color="auto" w:sz="12" w:space="0"/>
              <w:bottom w:val="double" w:color="auto" w:sz="6" w:space="0"/>
            </w:tcBorders>
            <w:noWrap w:val="0"/>
            <w:vAlign w:val="center"/>
          </w:tcPr>
          <w:p w14:paraId="76E46412">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生产能力</w:t>
            </w:r>
          </w:p>
        </w:tc>
        <w:tc>
          <w:tcPr>
            <w:tcW w:w="1134" w:type="dxa"/>
            <w:tcBorders>
              <w:top w:val="single" w:color="auto" w:sz="12" w:space="0"/>
              <w:bottom w:val="double" w:color="auto" w:sz="6" w:space="0"/>
            </w:tcBorders>
            <w:noWrap w:val="0"/>
            <w:vAlign w:val="center"/>
          </w:tcPr>
          <w:p w14:paraId="4EC2FF87">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设备安装内容</w:t>
            </w:r>
          </w:p>
        </w:tc>
        <w:tc>
          <w:tcPr>
            <w:tcW w:w="993" w:type="dxa"/>
            <w:tcBorders>
              <w:top w:val="single" w:color="auto" w:sz="12" w:space="0"/>
              <w:bottom w:val="double" w:color="auto" w:sz="6" w:space="0"/>
            </w:tcBorders>
            <w:noWrap w:val="0"/>
            <w:vAlign w:val="center"/>
          </w:tcPr>
          <w:p w14:paraId="305E8844">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合同价格（元）</w:t>
            </w:r>
          </w:p>
        </w:tc>
        <w:tc>
          <w:tcPr>
            <w:tcW w:w="708" w:type="dxa"/>
            <w:tcBorders>
              <w:top w:val="single" w:color="auto" w:sz="12" w:space="0"/>
              <w:bottom w:val="double" w:color="auto" w:sz="6" w:space="0"/>
            </w:tcBorders>
            <w:noWrap w:val="0"/>
            <w:vAlign w:val="center"/>
          </w:tcPr>
          <w:p w14:paraId="4EA7F4B8">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开工日期</w:t>
            </w:r>
          </w:p>
        </w:tc>
        <w:tc>
          <w:tcPr>
            <w:tcW w:w="567" w:type="dxa"/>
            <w:tcBorders>
              <w:top w:val="single" w:color="auto" w:sz="12" w:space="0"/>
              <w:bottom w:val="double" w:color="auto" w:sz="6" w:space="0"/>
            </w:tcBorders>
            <w:noWrap w:val="0"/>
            <w:vAlign w:val="center"/>
          </w:tcPr>
          <w:p w14:paraId="7E743786">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竣工日期</w:t>
            </w:r>
          </w:p>
        </w:tc>
      </w:tr>
      <w:tr w14:paraId="49D02E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double" w:color="auto" w:sz="6" w:space="0"/>
            </w:tcBorders>
            <w:noWrap w:val="0"/>
            <w:vAlign w:val="center"/>
          </w:tcPr>
          <w:p w14:paraId="7C2721AD">
            <w:pPr>
              <w:keepNext/>
              <w:snapToGrid w:val="0"/>
              <w:spacing w:line="360" w:lineRule="auto"/>
              <w:rPr>
                <w:rFonts w:hint="eastAsia" w:ascii="宋体" w:hAnsi="宋体" w:cs="宋体"/>
                <w:color w:val="auto"/>
                <w:sz w:val="22"/>
                <w:szCs w:val="21"/>
                <w:highlight w:val="none"/>
              </w:rPr>
            </w:pPr>
          </w:p>
        </w:tc>
        <w:tc>
          <w:tcPr>
            <w:tcW w:w="1134" w:type="dxa"/>
            <w:tcBorders>
              <w:top w:val="double" w:color="auto" w:sz="6" w:space="0"/>
            </w:tcBorders>
            <w:noWrap w:val="0"/>
            <w:vAlign w:val="center"/>
          </w:tcPr>
          <w:p w14:paraId="490ACD9F">
            <w:pPr>
              <w:keepNext/>
              <w:snapToGrid w:val="0"/>
              <w:spacing w:line="360" w:lineRule="auto"/>
              <w:rPr>
                <w:rFonts w:hint="eastAsia" w:ascii="宋体" w:hAnsi="宋体" w:cs="宋体"/>
                <w:color w:val="auto"/>
                <w:sz w:val="22"/>
                <w:szCs w:val="21"/>
                <w:highlight w:val="none"/>
              </w:rPr>
            </w:pPr>
          </w:p>
        </w:tc>
        <w:tc>
          <w:tcPr>
            <w:tcW w:w="1134" w:type="dxa"/>
            <w:tcBorders>
              <w:top w:val="double" w:color="auto" w:sz="6" w:space="0"/>
            </w:tcBorders>
            <w:noWrap w:val="0"/>
            <w:vAlign w:val="center"/>
          </w:tcPr>
          <w:p w14:paraId="27C28324">
            <w:pPr>
              <w:keepNext/>
              <w:snapToGrid w:val="0"/>
              <w:spacing w:line="360" w:lineRule="auto"/>
              <w:rPr>
                <w:rFonts w:hint="eastAsia" w:ascii="宋体" w:hAnsi="宋体" w:cs="宋体"/>
                <w:color w:val="auto"/>
                <w:sz w:val="22"/>
                <w:szCs w:val="21"/>
                <w:highlight w:val="none"/>
              </w:rPr>
            </w:pPr>
          </w:p>
        </w:tc>
        <w:tc>
          <w:tcPr>
            <w:tcW w:w="993" w:type="dxa"/>
            <w:tcBorders>
              <w:top w:val="double" w:color="auto" w:sz="6" w:space="0"/>
            </w:tcBorders>
            <w:noWrap w:val="0"/>
            <w:vAlign w:val="center"/>
          </w:tcPr>
          <w:p w14:paraId="3A4879A2">
            <w:pPr>
              <w:keepNext/>
              <w:snapToGrid w:val="0"/>
              <w:spacing w:line="360" w:lineRule="auto"/>
              <w:rPr>
                <w:rFonts w:hint="eastAsia" w:ascii="宋体" w:hAnsi="宋体" w:cs="宋体"/>
                <w:color w:val="auto"/>
                <w:sz w:val="22"/>
                <w:szCs w:val="21"/>
                <w:highlight w:val="none"/>
              </w:rPr>
            </w:pPr>
          </w:p>
        </w:tc>
        <w:tc>
          <w:tcPr>
            <w:tcW w:w="708" w:type="dxa"/>
            <w:tcBorders>
              <w:top w:val="double" w:color="auto" w:sz="6" w:space="0"/>
            </w:tcBorders>
            <w:noWrap w:val="0"/>
            <w:vAlign w:val="center"/>
          </w:tcPr>
          <w:p w14:paraId="78991021">
            <w:pPr>
              <w:keepNext/>
              <w:snapToGrid w:val="0"/>
              <w:spacing w:line="360" w:lineRule="auto"/>
              <w:rPr>
                <w:rFonts w:hint="eastAsia" w:ascii="宋体" w:hAnsi="宋体" w:cs="宋体"/>
                <w:color w:val="auto"/>
                <w:sz w:val="22"/>
                <w:szCs w:val="21"/>
                <w:highlight w:val="none"/>
              </w:rPr>
            </w:pPr>
          </w:p>
        </w:tc>
        <w:tc>
          <w:tcPr>
            <w:tcW w:w="1134" w:type="dxa"/>
            <w:tcBorders>
              <w:top w:val="double" w:color="auto" w:sz="6" w:space="0"/>
            </w:tcBorders>
            <w:noWrap w:val="0"/>
            <w:vAlign w:val="center"/>
          </w:tcPr>
          <w:p w14:paraId="0F05EC7C">
            <w:pPr>
              <w:keepNext/>
              <w:snapToGrid w:val="0"/>
              <w:spacing w:line="360" w:lineRule="auto"/>
              <w:rPr>
                <w:rFonts w:hint="eastAsia" w:ascii="宋体" w:hAnsi="宋体" w:cs="宋体"/>
                <w:color w:val="auto"/>
                <w:sz w:val="22"/>
                <w:szCs w:val="21"/>
                <w:highlight w:val="none"/>
              </w:rPr>
            </w:pPr>
          </w:p>
        </w:tc>
        <w:tc>
          <w:tcPr>
            <w:tcW w:w="1134" w:type="dxa"/>
            <w:tcBorders>
              <w:top w:val="double" w:color="auto" w:sz="6" w:space="0"/>
            </w:tcBorders>
            <w:noWrap w:val="0"/>
            <w:vAlign w:val="center"/>
          </w:tcPr>
          <w:p w14:paraId="660E981C">
            <w:pPr>
              <w:keepNext/>
              <w:snapToGrid w:val="0"/>
              <w:spacing w:line="360" w:lineRule="auto"/>
              <w:rPr>
                <w:rFonts w:hint="eastAsia" w:ascii="宋体" w:hAnsi="宋体" w:cs="宋体"/>
                <w:color w:val="auto"/>
                <w:sz w:val="22"/>
                <w:szCs w:val="21"/>
                <w:highlight w:val="none"/>
              </w:rPr>
            </w:pPr>
          </w:p>
        </w:tc>
        <w:tc>
          <w:tcPr>
            <w:tcW w:w="993" w:type="dxa"/>
            <w:tcBorders>
              <w:top w:val="double" w:color="auto" w:sz="6" w:space="0"/>
            </w:tcBorders>
            <w:noWrap w:val="0"/>
            <w:vAlign w:val="center"/>
          </w:tcPr>
          <w:p w14:paraId="632EC417">
            <w:pPr>
              <w:keepNext/>
              <w:snapToGrid w:val="0"/>
              <w:spacing w:line="360" w:lineRule="auto"/>
              <w:rPr>
                <w:rFonts w:hint="eastAsia" w:ascii="宋体" w:hAnsi="宋体" w:cs="宋体"/>
                <w:color w:val="auto"/>
                <w:sz w:val="22"/>
                <w:szCs w:val="21"/>
                <w:highlight w:val="none"/>
              </w:rPr>
            </w:pPr>
          </w:p>
        </w:tc>
        <w:tc>
          <w:tcPr>
            <w:tcW w:w="708" w:type="dxa"/>
            <w:tcBorders>
              <w:top w:val="double" w:color="auto" w:sz="6" w:space="0"/>
            </w:tcBorders>
            <w:noWrap w:val="0"/>
            <w:vAlign w:val="center"/>
          </w:tcPr>
          <w:p w14:paraId="30740003">
            <w:pPr>
              <w:keepNext/>
              <w:snapToGrid w:val="0"/>
              <w:spacing w:line="360" w:lineRule="auto"/>
              <w:rPr>
                <w:rFonts w:hint="eastAsia" w:ascii="宋体" w:hAnsi="宋体" w:cs="宋体"/>
                <w:color w:val="auto"/>
                <w:sz w:val="22"/>
                <w:szCs w:val="21"/>
                <w:highlight w:val="none"/>
              </w:rPr>
            </w:pPr>
          </w:p>
        </w:tc>
        <w:tc>
          <w:tcPr>
            <w:tcW w:w="567" w:type="dxa"/>
            <w:tcBorders>
              <w:top w:val="double" w:color="auto" w:sz="6" w:space="0"/>
            </w:tcBorders>
            <w:noWrap w:val="0"/>
            <w:vAlign w:val="center"/>
          </w:tcPr>
          <w:p w14:paraId="148E251C">
            <w:pPr>
              <w:keepNext/>
              <w:snapToGrid w:val="0"/>
              <w:spacing w:line="360" w:lineRule="auto"/>
              <w:rPr>
                <w:rFonts w:hint="eastAsia" w:ascii="宋体" w:hAnsi="宋体" w:cs="宋体"/>
                <w:color w:val="auto"/>
                <w:sz w:val="22"/>
                <w:szCs w:val="21"/>
                <w:highlight w:val="none"/>
              </w:rPr>
            </w:pPr>
          </w:p>
        </w:tc>
      </w:tr>
      <w:tr w14:paraId="130DE7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nil"/>
            </w:tcBorders>
            <w:noWrap w:val="0"/>
            <w:vAlign w:val="center"/>
          </w:tcPr>
          <w:p w14:paraId="3CC2C386">
            <w:pPr>
              <w:keepNext/>
              <w:snapToGrid w:val="0"/>
              <w:spacing w:line="360" w:lineRule="auto"/>
              <w:rPr>
                <w:rFonts w:hint="eastAsia" w:ascii="宋体" w:hAnsi="宋体" w:cs="宋体"/>
                <w:color w:val="auto"/>
                <w:sz w:val="22"/>
                <w:szCs w:val="21"/>
                <w:highlight w:val="none"/>
              </w:rPr>
            </w:pPr>
          </w:p>
        </w:tc>
        <w:tc>
          <w:tcPr>
            <w:tcW w:w="1134" w:type="dxa"/>
            <w:tcBorders>
              <w:top w:val="nil"/>
            </w:tcBorders>
            <w:noWrap w:val="0"/>
            <w:vAlign w:val="center"/>
          </w:tcPr>
          <w:p w14:paraId="3F2EA127">
            <w:pPr>
              <w:keepNext/>
              <w:snapToGrid w:val="0"/>
              <w:spacing w:line="360" w:lineRule="auto"/>
              <w:rPr>
                <w:rFonts w:hint="eastAsia" w:ascii="宋体" w:hAnsi="宋体" w:cs="宋体"/>
                <w:color w:val="auto"/>
                <w:sz w:val="22"/>
                <w:szCs w:val="21"/>
                <w:highlight w:val="none"/>
              </w:rPr>
            </w:pPr>
          </w:p>
        </w:tc>
        <w:tc>
          <w:tcPr>
            <w:tcW w:w="1134" w:type="dxa"/>
            <w:tcBorders>
              <w:top w:val="nil"/>
            </w:tcBorders>
            <w:noWrap w:val="0"/>
            <w:vAlign w:val="center"/>
          </w:tcPr>
          <w:p w14:paraId="4137B7B1">
            <w:pPr>
              <w:keepNext/>
              <w:snapToGrid w:val="0"/>
              <w:spacing w:line="360" w:lineRule="auto"/>
              <w:rPr>
                <w:rFonts w:hint="eastAsia" w:ascii="宋体" w:hAnsi="宋体" w:cs="宋体"/>
                <w:color w:val="auto"/>
                <w:sz w:val="22"/>
                <w:szCs w:val="21"/>
                <w:highlight w:val="none"/>
              </w:rPr>
            </w:pPr>
          </w:p>
        </w:tc>
        <w:tc>
          <w:tcPr>
            <w:tcW w:w="993" w:type="dxa"/>
            <w:tcBorders>
              <w:top w:val="nil"/>
            </w:tcBorders>
            <w:noWrap w:val="0"/>
            <w:vAlign w:val="center"/>
          </w:tcPr>
          <w:p w14:paraId="01042740">
            <w:pPr>
              <w:keepNext/>
              <w:snapToGrid w:val="0"/>
              <w:spacing w:line="360" w:lineRule="auto"/>
              <w:rPr>
                <w:rFonts w:hint="eastAsia" w:ascii="宋体" w:hAnsi="宋体" w:cs="宋体"/>
                <w:color w:val="auto"/>
                <w:sz w:val="22"/>
                <w:szCs w:val="21"/>
                <w:highlight w:val="none"/>
              </w:rPr>
            </w:pPr>
          </w:p>
        </w:tc>
        <w:tc>
          <w:tcPr>
            <w:tcW w:w="708" w:type="dxa"/>
            <w:tcBorders>
              <w:top w:val="nil"/>
            </w:tcBorders>
            <w:noWrap w:val="0"/>
            <w:vAlign w:val="center"/>
          </w:tcPr>
          <w:p w14:paraId="72E5304F">
            <w:pPr>
              <w:keepNext/>
              <w:snapToGrid w:val="0"/>
              <w:spacing w:line="360" w:lineRule="auto"/>
              <w:rPr>
                <w:rFonts w:hint="eastAsia" w:ascii="宋体" w:hAnsi="宋体" w:cs="宋体"/>
                <w:color w:val="auto"/>
                <w:sz w:val="22"/>
                <w:szCs w:val="21"/>
                <w:highlight w:val="none"/>
              </w:rPr>
            </w:pPr>
          </w:p>
        </w:tc>
        <w:tc>
          <w:tcPr>
            <w:tcW w:w="1134" w:type="dxa"/>
            <w:tcBorders>
              <w:top w:val="nil"/>
            </w:tcBorders>
            <w:noWrap w:val="0"/>
            <w:vAlign w:val="center"/>
          </w:tcPr>
          <w:p w14:paraId="5651AAC9">
            <w:pPr>
              <w:keepNext/>
              <w:snapToGrid w:val="0"/>
              <w:spacing w:line="360" w:lineRule="auto"/>
              <w:rPr>
                <w:rFonts w:hint="eastAsia" w:ascii="宋体" w:hAnsi="宋体" w:cs="宋体"/>
                <w:color w:val="auto"/>
                <w:sz w:val="22"/>
                <w:szCs w:val="21"/>
                <w:highlight w:val="none"/>
              </w:rPr>
            </w:pPr>
          </w:p>
        </w:tc>
        <w:tc>
          <w:tcPr>
            <w:tcW w:w="1134" w:type="dxa"/>
            <w:tcBorders>
              <w:top w:val="nil"/>
            </w:tcBorders>
            <w:noWrap w:val="0"/>
            <w:vAlign w:val="center"/>
          </w:tcPr>
          <w:p w14:paraId="52D619E8">
            <w:pPr>
              <w:keepNext/>
              <w:snapToGrid w:val="0"/>
              <w:spacing w:line="360" w:lineRule="auto"/>
              <w:rPr>
                <w:rFonts w:hint="eastAsia" w:ascii="宋体" w:hAnsi="宋体" w:cs="宋体"/>
                <w:color w:val="auto"/>
                <w:sz w:val="22"/>
                <w:szCs w:val="21"/>
                <w:highlight w:val="none"/>
              </w:rPr>
            </w:pPr>
          </w:p>
        </w:tc>
        <w:tc>
          <w:tcPr>
            <w:tcW w:w="993" w:type="dxa"/>
            <w:tcBorders>
              <w:top w:val="nil"/>
            </w:tcBorders>
            <w:noWrap w:val="0"/>
            <w:vAlign w:val="center"/>
          </w:tcPr>
          <w:p w14:paraId="59F3BE50">
            <w:pPr>
              <w:keepNext/>
              <w:snapToGrid w:val="0"/>
              <w:spacing w:line="360" w:lineRule="auto"/>
              <w:rPr>
                <w:rFonts w:hint="eastAsia" w:ascii="宋体" w:hAnsi="宋体" w:cs="宋体"/>
                <w:color w:val="auto"/>
                <w:sz w:val="22"/>
                <w:szCs w:val="21"/>
                <w:highlight w:val="none"/>
              </w:rPr>
            </w:pPr>
          </w:p>
        </w:tc>
        <w:tc>
          <w:tcPr>
            <w:tcW w:w="708" w:type="dxa"/>
            <w:tcBorders>
              <w:top w:val="nil"/>
            </w:tcBorders>
            <w:noWrap w:val="0"/>
            <w:vAlign w:val="center"/>
          </w:tcPr>
          <w:p w14:paraId="07743E6A">
            <w:pPr>
              <w:keepNext/>
              <w:snapToGrid w:val="0"/>
              <w:spacing w:line="360" w:lineRule="auto"/>
              <w:rPr>
                <w:rFonts w:hint="eastAsia" w:ascii="宋体" w:hAnsi="宋体" w:cs="宋体"/>
                <w:color w:val="auto"/>
                <w:sz w:val="22"/>
                <w:szCs w:val="21"/>
                <w:highlight w:val="none"/>
              </w:rPr>
            </w:pPr>
          </w:p>
        </w:tc>
        <w:tc>
          <w:tcPr>
            <w:tcW w:w="567" w:type="dxa"/>
            <w:tcBorders>
              <w:top w:val="nil"/>
            </w:tcBorders>
            <w:noWrap w:val="0"/>
            <w:vAlign w:val="center"/>
          </w:tcPr>
          <w:p w14:paraId="09F0BC46">
            <w:pPr>
              <w:keepNext/>
              <w:snapToGrid w:val="0"/>
              <w:spacing w:line="360" w:lineRule="auto"/>
              <w:rPr>
                <w:rFonts w:hint="eastAsia" w:ascii="宋体" w:hAnsi="宋体" w:cs="宋体"/>
                <w:color w:val="auto"/>
                <w:sz w:val="22"/>
                <w:szCs w:val="21"/>
                <w:highlight w:val="none"/>
              </w:rPr>
            </w:pPr>
          </w:p>
        </w:tc>
      </w:tr>
      <w:tr w14:paraId="6F5FC4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top w:val="nil"/>
            </w:tcBorders>
            <w:noWrap w:val="0"/>
            <w:vAlign w:val="center"/>
          </w:tcPr>
          <w:p w14:paraId="25AA2921">
            <w:pPr>
              <w:keepNext/>
              <w:snapToGrid w:val="0"/>
              <w:spacing w:line="360" w:lineRule="auto"/>
              <w:rPr>
                <w:rFonts w:hint="eastAsia" w:ascii="宋体" w:hAnsi="宋体" w:cs="宋体"/>
                <w:color w:val="auto"/>
                <w:sz w:val="22"/>
                <w:szCs w:val="21"/>
                <w:highlight w:val="none"/>
              </w:rPr>
            </w:pPr>
          </w:p>
        </w:tc>
        <w:tc>
          <w:tcPr>
            <w:tcW w:w="1134" w:type="dxa"/>
            <w:tcBorders>
              <w:top w:val="nil"/>
            </w:tcBorders>
            <w:noWrap w:val="0"/>
            <w:vAlign w:val="center"/>
          </w:tcPr>
          <w:p w14:paraId="24D3F54C">
            <w:pPr>
              <w:keepNext/>
              <w:snapToGrid w:val="0"/>
              <w:spacing w:line="360" w:lineRule="auto"/>
              <w:rPr>
                <w:rFonts w:hint="eastAsia" w:ascii="宋体" w:hAnsi="宋体" w:cs="宋体"/>
                <w:color w:val="auto"/>
                <w:sz w:val="22"/>
                <w:szCs w:val="21"/>
                <w:highlight w:val="none"/>
              </w:rPr>
            </w:pPr>
          </w:p>
        </w:tc>
        <w:tc>
          <w:tcPr>
            <w:tcW w:w="1134" w:type="dxa"/>
            <w:tcBorders>
              <w:top w:val="nil"/>
            </w:tcBorders>
            <w:noWrap w:val="0"/>
            <w:vAlign w:val="center"/>
          </w:tcPr>
          <w:p w14:paraId="3C519385">
            <w:pPr>
              <w:keepNext/>
              <w:snapToGrid w:val="0"/>
              <w:spacing w:line="360" w:lineRule="auto"/>
              <w:rPr>
                <w:rFonts w:hint="eastAsia" w:ascii="宋体" w:hAnsi="宋体" w:cs="宋体"/>
                <w:color w:val="auto"/>
                <w:sz w:val="22"/>
                <w:szCs w:val="21"/>
                <w:highlight w:val="none"/>
              </w:rPr>
            </w:pPr>
          </w:p>
        </w:tc>
        <w:tc>
          <w:tcPr>
            <w:tcW w:w="993" w:type="dxa"/>
            <w:tcBorders>
              <w:top w:val="nil"/>
            </w:tcBorders>
            <w:noWrap w:val="0"/>
            <w:vAlign w:val="center"/>
          </w:tcPr>
          <w:p w14:paraId="16A058EE">
            <w:pPr>
              <w:keepNext/>
              <w:snapToGrid w:val="0"/>
              <w:spacing w:line="360" w:lineRule="auto"/>
              <w:rPr>
                <w:rFonts w:hint="eastAsia" w:ascii="宋体" w:hAnsi="宋体" w:cs="宋体"/>
                <w:color w:val="auto"/>
                <w:sz w:val="22"/>
                <w:szCs w:val="21"/>
                <w:highlight w:val="none"/>
              </w:rPr>
            </w:pPr>
          </w:p>
        </w:tc>
        <w:tc>
          <w:tcPr>
            <w:tcW w:w="708" w:type="dxa"/>
            <w:tcBorders>
              <w:top w:val="nil"/>
            </w:tcBorders>
            <w:noWrap w:val="0"/>
            <w:vAlign w:val="center"/>
          </w:tcPr>
          <w:p w14:paraId="64010B71">
            <w:pPr>
              <w:keepNext/>
              <w:snapToGrid w:val="0"/>
              <w:spacing w:line="360" w:lineRule="auto"/>
              <w:rPr>
                <w:rFonts w:hint="eastAsia" w:ascii="宋体" w:hAnsi="宋体" w:cs="宋体"/>
                <w:color w:val="auto"/>
                <w:sz w:val="22"/>
                <w:szCs w:val="21"/>
                <w:highlight w:val="none"/>
              </w:rPr>
            </w:pPr>
          </w:p>
        </w:tc>
        <w:tc>
          <w:tcPr>
            <w:tcW w:w="1134" w:type="dxa"/>
            <w:tcBorders>
              <w:top w:val="nil"/>
            </w:tcBorders>
            <w:noWrap w:val="0"/>
            <w:vAlign w:val="center"/>
          </w:tcPr>
          <w:p w14:paraId="40F02281">
            <w:pPr>
              <w:keepNext/>
              <w:snapToGrid w:val="0"/>
              <w:spacing w:line="360" w:lineRule="auto"/>
              <w:rPr>
                <w:rFonts w:hint="eastAsia" w:ascii="宋体" w:hAnsi="宋体" w:cs="宋体"/>
                <w:color w:val="auto"/>
                <w:sz w:val="22"/>
                <w:szCs w:val="21"/>
                <w:highlight w:val="none"/>
              </w:rPr>
            </w:pPr>
          </w:p>
        </w:tc>
        <w:tc>
          <w:tcPr>
            <w:tcW w:w="1134" w:type="dxa"/>
            <w:tcBorders>
              <w:top w:val="nil"/>
            </w:tcBorders>
            <w:noWrap w:val="0"/>
            <w:vAlign w:val="center"/>
          </w:tcPr>
          <w:p w14:paraId="68CFEA69">
            <w:pPr>
              <w:keepNext/>
              <w:snapToGrid w:val="0"/>
              <w:spacing w:line="360" w:lineRule="auto"/>
              <w:rPr>
                <w:rFonts w:hint="eastAsia" w:ascii="宋体" w:hAnsi="宋体" w:cs="宋体"/>
                <w:color w:val="auto"/>
                <w:sz w:val="22"/>
                <w:szCs w:val="21"/>
                <w:highlight w:val="none"/>
              </w:rPr>
            </w:pPr>
          </w:p>
        </w:tc>
        <w:tc>
          <w:tcPr>
            <w:tcW w:w="993" w:type="dxa"/>
            <w:tcBorders>
              <w:top w:val="nil"/>
            </w:tcBorders>
            <w:noWrap w:val="0"/>
            <w:vAlign w:val="center"/>
          </w:tcPr>
          <w:p w14:paraId="37031238">
            <w:pPr>
              <w:keepNext/>
              <w:snapToGrid w:val="0"/>
              <w:spacing w:line="360" w:lineRule="auto"/>
              <w:rPr>
                <w:rFonts w:hint="eastAsia" w:ascii="宋体" w:hAnsi="宋体" w:cs="宋体"/>
                <w:color w:val="auto"/>
                <w:sz w:val="22"/>
                <w:szCs w:val="21"/>
                <w:highlight w:val="none"/>
              </w:rPr>
            </w:pPr>
          </w:p>
        </w:tc>
        <w:tc>
          <w:tcPr>
            <w:tcW w:w="708" w:type="dxa"/>
            <w:tcBorders>
              <w:top w:val="nil"/>
            </w:tcBorders>
            <w:noWrap w:val="0"/>
            <w:vAlign w:val="center"/>
          </w:tcPr>
          <w:p w14:paraId="24F93E9C">
            <w:pPr>
              <w:keepNext/>
              <w:snapToGrid w:val="0"/>
              <w:spacing w:line="360" w:lineRule="auto"/>
              <w:rPr>
                <w:rFonts w:hint="eastAsia" w:ascii="宋体" w:hAnsi="宋体" w:cs="宋体"/>
                <w:color w:val="auto"/>
                <w:sz w:val="22"/>
                <w:szCs w:val="21"/>
                <w:highlight w:val="none"/>
              </w:rPr>
            </w:pPr>
          </w:p>
        </w:tc>
        <w:tc>
          <w:tcPr>
            <w:tcW w:w="567" w:type="dxa"/>
            <w:tcBorders>
              <w:top w:val="nil"/>
            </w:tcBorders>
            <w:noWrap w:val="0"/>
            <w:vAlign w:val="center"/>
          </w:tcPr>
          <w:p w14:paraId="33FC869F">
            <w:pPr>
              <w:keepNext/>
              <w:snapToGrid w:val="0"/>
              <w:spacing w:line="360" w:lineRule="auto"/>
              <w:rPr>
                <w:rFonts w:hint="eastAsia" w:ascii="宋体" w:hAnsi="宋体" w:cs="宋体"/>
                <w:color w:val="auto"/>
                <w:sz w:val="22"/>
                <w:szCs w:val="21"/>
                <w:highlight w:val="none"/>
              </w:rPr>
            </w:pPr>
          </w:p>
        </w:tc>
      </w:tr>
      <w:tr w14:paraId="38FB1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993" w:type="dxa"/>
            <w:tcBorders>
              <w:bottom w:val="single" w:color="auto" w:sz="12" w:space="0"/>
            </w:tcBorders>
            <w:noWrap w:val="0"/>
            <w:vAlign w:val="center"/>
          </w:tcPr>
          <w:p w14:paraId="5E2931FC">
            <w:pPr>
              <w:keepNext/>
              <w:snapToGrid w:val="0"/>
              <w:spacing w:line="360" w:lineRule="auto"/>
              <w:rPr>
                <w:rFonts w:hint="eastAsia" w:ascii="宋体" w:hAnsi="宋体" w:cs="宋体"/>
                <w:color w:val="auto"/>
                <w:sz w:val="22"/>
                <w:szCs w:val="21"/>
                <w:highlight w:val="none"/>
              </w:rPr>
            </w:pPr>
          </w:p>
        </w:tc>
        <w:tc>
          <w:tcPr>
            <w:tcW w:w="1134" w:type="dxa"/>
            <w:tcBorders>
              <w:bottom w:val="single" w:color="auto" w:sz="12" w:space="0"/>
            </w:tcBorders>
            <w:noWrap w:val="0"/>
            <w:vAlign w:val="center"/>
          </w:tcPr>
          <w:p w14:paraId="58A5B20C">
            <w:pPr>
              <w:keepNext/>
              <w:snapToGrid w:val="0"/>
              <w:spacing w:line="360" w:lineRule="auto"/>
              <w:rPr>
                <w:rFonts w:hint="eastAsia" w:ascii="宋体" w:hAnsi="宋体" w:cs="宋体"/>
                <w:color w:val="auto"/>
                <w:sz w:val="22"/>
                <w:szCs w:val="21"/>
                <w:highlight w:val="none"/>
              </w:rPr>
            </w:pPr>
          </w:p>
        </w:tc>
        <w:tc>
          <w:tcPr>
            <w:tcW w:w="1134" w:type="dxa"/>
            <w:tcBorders>
              <w:bottom w:val="single" w:color="auto" w:sz="12" w:space="0"/>
            </w:tcBorders>
            <w:noWrap w:val="0"/>
            <w:vAlign w:val="center"/>
          </w:tcPr>
          <w:p w14:paraId="47736501">
            <w:pPr>
              <w:keepNext/>
              <w:snapToGrid w:val="0"/>
              <w:spacing w:line="360" w:lineRule="auto"/>
              <w:rPr>
                <w:rFonts w:hint="eastAsia" w:ascii="宋体" w:hAnsi="宋体" w:cs="宋体"/>
                <w:color w:val="auto"/>
                <w:sz w:val="22"/>
                <w:szCs w:val="21"/>
                <w:highlight w:val="none"/>
              </w:rPr>
            </w:pPr>
          </w:p>
        </w:tc>
        <w:tc>
          <w:tcPr>
            <w:tcW w:w="993" w:type="dxa"/>
            <w:tcBorders>
              <w:bottom w:val="single" w:color="auto" w:sz="12" w:space="0"/>
            </w:tcBorders>
            <w:noWrap w:val="0"/>
            <w:vAlign w:val="center"/>
          </w:tcPr>
          <w:p w14:paraId="0EEB01B0">
            <w:pPr>
              <w:keepNext/>
              <w:snapToGrid w:val="0"/>
              <w:spacing w:line="360" w:lineRule="auto"/>
              <w:rPr>
                <w:rFonts w:hint="eastAsia" w:ascii="宋体" w:hAnsi="宋体" w:cs="宋体"/>
                <w:color w:val="auto"/>
                <w:sz w:val="22"/>
                <w:szCs w:val="21"/>
                <w:highlight w:val="none"/>
              </w:rPr>
            </w:pPr>
          </w:p>
        </w:tc>
        <w:tc>
          <w:tcPr>
            <w:tcW w:w="708" w:type="dxa"/>
            <w:tcBorders>
              <w:bottom w:val="single" w:color="auto" w:sz="12" w:space="0"/>
            </w:tcBorders>
            <w:noWrap w:val="0"/>
            <w:vAlign w:val="center"/>
          </w:tcPr>
          <w:p w14:paraId="06A2D9B6">
            <w:pPr>
              <w:keepNext/>
              <w:snapToGrid w:val="0"/>
              <w:spacing w:line="360" w:lineRule="auto"/>
              <w:rPr>
                <w:rFonts w:hint="eastAsia" w:ascii="宋体" w:hAnsi="宋体" w:cs="宋体"/>
                <w:color w:val="auto"/>
                <w:sz w:val="22"/>
                <w:szCs w:val="21"/>
                <w:highlight w:val="none"/>
              </w:rPr>
            </w:pPr>
          </w:p>
        </w:tc>
        <w:tc>
          <w:tcPr>
            <w:tcW w:w="1134" w:type="dxa"/>
            <w:tcBorders>
              <w:bottom w:val="single" w:color="auto" w:sz="12" w:space="0"/>
            </w:tcBorders>
            <w:noWrap w:val="0"/>
            <w:vAlign w:val="center"/>
          </w:tcPr>
          <w:p w14:paraId="48DA79E9">
            <w:pPr>
              <w:keepNext/>
              <w:snapToGrid w:val="0"/>
              <w:spacing w:line="360" w:lineRule="auto"/>
              <w:rPr>
                <w:rFonts w:hint="eastAsia" w:ascii="宋体" w:hAnsi="宋体" w:cs="宋体"/>
                <w:color w:val="auto"/>
                <w:sz w:val="22"/>
                <w:szCs w:val="21"/>
                <w:highlight w:val="none"/>
              </w:rPr>
            </w:pPr>
          </w:p>
        </w:tc>
        <w:tc>
          <w:tcPr>
            <w:tcW w:w="1134" w:type="dxa"/>
            <w:tcBorders>
              <w:bottom w:val="single" w:color="auto" w:sz="12" w:space="0"/>
            </w:tcBorders>
            <w:noWrap w:val="0"/>
            <w:vAlign w:val="center"/>
          </w:tcPr>
          <w:p w14:paraId="663D0AEB">
            <w:pPr>
              <w:keepNext/>
              <w:snapToGrid w:val="0"/>
              <w:spacing w:line="360" w:lineRule="auto"/>
              <w:rPr>
                <w:rFonts w:hint="eastAsia" w:ascii="宋体" w:hAnsi="宋体" w:cs="宋体"/>
                <w:color w:val="auto"/>
                <w:sz w:val="22"/>
                <w:szCs w:val="21"/>
                <w:highlight w:val="none"/>
              </w:rPr>
            </w:pPr>
          </w:p>
        </w:tc>
        <w:tc>
          <w:tcPr>
            <w:tcW w:w="993" w:type="dxa"/>
            <w:tcBorders>
              <w:bottom w:val="single" w:color="auto" w:sz="12" w:space="0"/>
            </w:tcBorders>
            <w:noWrap w:val="0"/>
            <w:vAlign w:val="center"/>
          </w:tcPr>
          <w:p w14:paraId="3B5FC363">
            <w:pPr>
              <w:keepNext/>
              <w:snapToGrid w:val="0"/>
              <w:spacing w:line="360" w:lineRule="auto"/>
              <w:rPr>
                <w:rFonts w:hint="eastAsia" w:ascii="宋体" w:hAnsi="宋体" w:cs="宋体"/>
                <w:color w:val="auto"/>
                <w:sz w:val="22"/>
                <w:szCs w:val="21"/>
                <w:highlight w:val="none"/>
              </w:rPr>
            </w:pPr>
          </w:p>
        </w:tc>
        <w:tc>
          <w:tcPr>
            <w:tcW w:w="708" w:type="dxa"/>
            <w:tcBorders>
              <w:bottom w:val="single" w:color="auto" w:sz="12" w:space="0"/>
            </w:tcBorders>
            <w:noWrap w:val="0"/>
            <w:vAlign w:val="center"/>
          </w:tcPr>
          <w:p w14:paraId="165A6F2F">
            <w:pPr>
              <w:keepNext/>
              <w:snapToGrid w:val="0"/>
              <w:spacing w:line="360" w:lineRule="auto"/>
              <w:rPr>
                <w:rFonts w:hint="eastAsia" w:ascii="宋体" w:hAnsi="宋体" w:cs="宋体"/>
                <w:color w:val="auto"/>
                <w:sz w:val="22"/>
                <w:szCs w:val="21"/>
                <w:highlight w:val="none"/>
              </w:rPr>
            </w:pPr>
          </w:p>
        </w:tc>
        <w:tc>
          <w:tcPr>
            <w:tcW w:w="567" w:type="dxa"/>
            <w:tcBorders>
              <w:bottom w:val="single" w:color="auto" w:sz="12" w:space="0"/>
            </w:tcBorders>
            <w:noWrap w:val="0"/>
            <w:vAlign w:val="center"/>
          </w:tcPr>
          <w:p w14:paraId="4878C4D3">
            <w:pPr>
              <w:keepNext/>
              <w:snapToGrid w:val="0"/>
              <w:spacing w:line="360" w:lineRule="auto"/>
              <w:rPr>
                <w:rFonts w:hint="eastAsia" w:ascii="宋体" w:hAnsi="宋体" w:cs="宋体"/>
                <w:color w:val="auto"/>
                <w:sz w:val="22"/>
                <w:szCs w:val="21"/>
                <w:highlight w:val="none"/>
              </w:rPr>
            </w:pPr>
          </w:p>
        </w:tc>
      </w:tr>
    </w:tbl>
    <w:p w14:paraId="10B14F0C">
      <w:pPr>
        <w:spacing w:line="360" w:lineRule="auto"/>
        <w:rPr>
          <w:rFonts w:hint="eastAsia" w:ascii="宋体" w:hAnsi="宋体" w:cs="宋体"/>
          <w:color w:val="auto"/>
          <w:sz w:val="22"/>
          <w:szCs w:val="21"/>
          <w:highlight w:val="none"/>
        </w:rPr>
      </w:pPr>
    </w:p>
    <w:p w14:paraId="56D834BA">
      <w:pPr>
        <w:spacing w:line="360" w:lineRule="auto"/>
        <w:rPr>
          <w:rFonts w:hint="eastAsia" w:ascii="宋体" w:hAnsi="宋体" w:cs="宋体"/>
          <w:color w:val="auto"/>
          <w:sz w:val="22"/>
          <w:szCs w:val="21"/>
          <w:highlight w:val="none"/>
        </w:rPr>
      </w:pPr>
    </w:p>
    <w:p w14:paraId="5736A80F">
      <w:pPr>
        <w:keepNext/>
        <w:keepLines/>
        <w:spacing w:before="120" w:after="120" w:line="360" w:lineRule="auto"/>
        <w:jc w:val="left"/>
        <w:outlineLvl w:val="2"/>
        <w:rPr>
          <w:rFonts w:hint="eastAsia" w:ascii="宋体" w:hAnsi="宋体" w:cs="宋体"/>
          <w:bCs/>
          <w:color w:val="auto"/>
          <w:sz w:val="24"/>
          <w:highlight w:val="none"/>
        </w:rPr>
      </w:pPr>
      <w:bookmarkStart w:id="875" w:name="_Toc95223487"/>
      <w:r>
        <w:rPr>
          <w:rFonts w:hint="eastAsia" w:ascii="宋体" w:hAnsi="宋体" w:cs="宋体"/>
          <w:bCs/>
          <w:color w:val="auto"/>
          <w:sz w:val="24"/>
          <w:highlight w:val="none"/>
        </w:rPr>
        <w:t>附</w:t>
      </w:r>
      <w:bookmarkStart w:id="876" w:name="_Toc296891053"/>
      <w:bookmarkStart w:id="877" w:name="_Toc296944564"/>
      <w:bookmarkStart w:id="878" w:name="_Toc296347224"/>
      <w:bookmarkStart w:id="879" w:name="_Toc296346726"/>
      <w:bookmarkStart w:id="880" w:name="_Toc296891265"/>
      <w:bookmarkStart w:id="881" w:name="_Toc267261692"/>
      <w:bookmarkStart w:id="882" w:name="_Toc296503225"/>
      <w:r>
        <w:rPr>
          <w:rFonts w:hint="eastAsia" w:ascii="宋体" w:hAnsi="宋体" w:cs="宋体"/>
          <w:bCs/>
          <w:color w:val="auto"/>
          <w:sz w:val="24"/>
          <w:highlight w:val="none"/>
        </w:rPr>
        <w:t>件2：发包人供应材料设备一览表</w:t>
      </w:r>
      <w:bookmarkEnd w:id="875"/>
    </w:p>
    <w:bookmarkEnd w:id="876"/>
    <w:bookmarkEnd w:id="877"/>
    <w:bookmarkEnd w:id="878"/>
    <w:bookmarkEnd w:id="879"/>
    <w:bookmarkEnd w:id="880"/>
    <w:bookmarkEnd w:id="881"/>
    <w:bookmarkEnd w:id="882"/>
    <w:p w14:paraId="65C3F7DA">
      <w:pPr>
        <w:spacing w:line="360" w:lineRule="auto"/>
        <w:jc w:val="center"/>
        <w:rPr>
          <w:rFonts w:hint="eastAsia" w:ascii="宋体" w:hAnsi="宋体" w:cs="宋体"/>
          <w:color w:val="auto"/>
          <w:sz w:val="22"/>
          <w:szCs w:val="21"/>
          <w:highlight w:val="none"/>
        </w:rPr>
      </w:pPr>
      <w:r>
        <w:rPr>
          <w:rFonts w:hint="eastAsia" w:ascii="宋体" w:hAnsi="宋体" w:cs="宋体"/>
          <w:color w:val="auto"/>
          <w:sz w:val="22"/>
          <w:szCs w:val="21"/>
          <w:highlight w:val="none"/>
        </w:rPr>
        <w:t>发包人供应材料设备一览表</w:t>
      </w:r>
    </w:p>
    <w:tbl>
      <w:tblPr>
        <w:tblStyle w:val="47"/>
        <w:tblW w:w="965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082"/>
        <w:gridCol w:w="940"/>
        <w:gridCol w:w="851"/>
        <w:gridCol w:w="1044"/>
        <w:gridCol w:w="992"/>
        <w:gridCol w:w="851"/>
        <w:gridCol w:w="966"/>
        <w:gridCol w:w="803"/>
      </w:tblGrid>
      <w:tr w14:paraId="72B793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tcBorders>
              <w:top w:val="single" w:color="auto" w:sz="12" w:space="0"/>
              <w:bottom w:val="double" w:color="auto" w:sz="6" w:space="0"/>
            </w:tcBorders>
            <w:noWrap w:val="0"/>
            <w:vAlign w:val="center"/>
          </w:tcPr>
          <w:p w14:paraId="30E7BFBB">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序号</w:t>
            </w:r>
          </w:p>
        </w:tc>
        <w:tc>
          <w:tcPr>
            <w:tcW w:w="1276" w:type="dxa"/>
            <w:tcBorders>
              <w:top w:val="single" w:color="auto" w:sz="12" w:space="0"/>
              <w:bottom w:val="double" w:color="auto" w:sz="6" w:space="0"/>
            </w:tcBorders>
            <w:noWrap w:val="0"/>
            <w:vAlign w:val="center"/>
          </w:tcPr>
          <w:p w14:paraId="1DCD8925">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材料、设备品种</w:t>
            </w:r>
          </w:p>
        </w:tc>
        <w:tc>
          <w:tcPr>
            <w:tcW w:w="1082" w:type="dxa"/>
            <w:tcBorders>
              <w:top w:val="single" w:color="auto" w:sz="12" w:space="0"/>
              <w:bottom w:val="double" w:color="auto" w:sz="6" w:space="0"/>
            </w:tcBorders>
            <w:noWrap w:val="0"/>
            <w:vAlign w:val="center"/>
          </w:tcPr>
          <w:p w14:paraId="7BC70C08">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规格型号</w:t>
            </w:r>
          </w:p>
        </w:tc>
        <w:tc>
          <w:tcPr>
            <w:tcW w:w="940" w:type="dxa"/>
            <w:tcBorders>
              <w:top w:val="single" w:color="auto" w:sz="12" w:space="0"/>
              <w:bottom w:val="double" w:color="auto" w:sz="6" w:space="0"/>
            </w:tcBorders>
            <w:noWrap w:val="0"/>
            <w:vAlign w:val="center"/>
          </w:tcPr>
          <w:p w14:paraId="3C844980">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单位</w:t>
            </w:r>
          </w:p>
        </w:tc>
        <w:tc>
          <w:tcPr>
            <w:tcW w:w="851" w:type="dxa"/>
            <w:tcBorders>
              <w:top w:val="single" w:color="auto" w:sz="12" w:space="0"/>
              <w:bottom w:val="double" w:color="auto" w:sz="6" w:space="0"/>
            </w:tcBorders>
            <w:noWrap w:val="0"/>
            <w:vAlign w:val="center"/>
          </w:tcPr>
          <w:p w14:paraId="7449010F">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数量</w:t>
            </w:r>
          </w:p>
        </w:tc>
        <w:tc>
          <w:tcPr>
            <w:tcW w:w="1044" w:type="dxa"/>
            <w:tcBorders>
              <w:top w:val="single" w:color="auto" w:sz="12" w:space="0"/>
              <w:bottom w:val="double" w:color="auto" w:sz="6" w:space="0"/>
            </w:tcBorders>
            <w:noWrap w:val="0"/>
            <w:vAlign w:val="center"/>
          </w:tcPr>
          <w:p w14:paraId="30E13CC1">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单价（元）</w:t>
            </w:r>
          </w:p>
        </w:tc>
        <w:tc>
          <w:tcPr>
            <w:tcW w:w="992" w:type="dxa"/>
            <w:tcBorders>
              <w:top w:val="single" w:color="auto" w:sz="12" w:space="0"/>
              <w:bottom w:val="double" w:color="auto" w:sz="6" w:space="0"/>
            </w:tcBorders>
            <w:noWrap w:val="0"/>
            <w:vAlign w:val="center"/>
          </w:tcPr>
          <w:p w14:paraId="5E686EB2">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质量等级</w:t>
            </w:r>
          </w:p>
        </w:tc>
        <w:tc>
          <w:tcPr>
            <w:tcW w:w="851" w:type="dxa"/>
            <w:tcBorders>
              <w:top w:val="single" w:color="auto" w:sz="12" w:space="0"/>
              <w:bottom w:val="double" w:color="auto" w:sz="6" w:space="0"/>
            </w:tcBorders>
            <w:noWrap w:val="0"/>
            <w:vAlign w:val="center"/>
          </w:tcPr>
          <w:p w14:paraId="749633C3">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供应时间</w:t>
            </w:r>
          </w:p>
        </w:tc>
        <w:tc>
          <w:tcPr>
            <w:tcW w:w="966" w:type="dxa"/>
            <w:tcBorders>
              <w:top w:val="single" w:color="auto" w:sz="12" w:space="0"/>
              <w:bottom w:val="double" w:color="auto" w:sz="6" w:space="0"/>
            </w:tcBorders>
            <w:noWrap w:val="0"/>
            <w:vAlign w:val="center"/>
          </w:tcPr>
          <w:p w14:paraId="1A9DBB08">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送达地点</w:t>
            </w:r>
          </w:p>
        </w:tc>
        <w:tc>
          <w:tcPr>
            <w:tcW w:w="803" w:type="dxa"/>
            <w:tcBorders>
              <w:top w:val="single" w:color="auto" w:sz="12" w:space="0"/>
              <w:bottom w:val="double" w:color="auto" w:sz="6" w:space="0"/>
            </w:tcBorders>
            <w:noWrap w:val="0"/>
            <w:vAlign w:val="center"/>
          </w:tcPr>
          <w:p w14:paraId="1A5B8172">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备注</w:t>
            </w:r>
          </w:p>
        </w:tc>
      </w:tr>
      <w:tr w14:paraId="7D415D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top w:val="double" w:color="auto" w:sz="6" w:space="0"/>
            </w:tcBorders>
            <w:noWrap w:val="0"/>
            <w:vAlign w:val="center"/>
          </w:tcPr>
          <w:p w14:paraId="16BD464D">
            <w:pPr>
              <w:keepNext/>
              <w:snapToGrid w:val="0"/>
              <w:spacing w:line="360" w:lineRule="auto"/>
              <w:rPr>
                <w:rFonts w:hint="eastAsia" w:ascii="宋体" w:hAnsi="宋体" w:cs="宋体"/>
                <w:color w:val="auto"/>
                <w:sz w:val="22"/>
                <w:szCs w:val="21"/>
                <w:highlight w:val="none"/>
              </w:rPr>
            </w:pPr>
          </w:p>
        </w:tc>
        <w:tc>
          <w:tcPr>
            <w:tcW w:w="1276" w:type="dxa"/>
            <w:tcBorders>
              <w:top w:val="double" w:color="auto" w:sz="6" w:space="0"/>
            </w:tcBorders>
            <w:noWrap w:val="0"/>
            <w:vAlign w:val="center"/>
          </w:tcPr>
          <w:p w14:paraId="3AAD8862">
            <w:pPr>
              <w:keepNext/>
              <w:snapToGrid w:val="0"/>
              <w:spacing w:line="360" w:lineRule="auto"/>
              <w:rPr>
                <w:rFonts w:hint="eastAsia" w:ascii="宋体" w:hAnsi="宋体" w:cs="宋体"/>
                <w:color w:val="auto"/>
                <w:sz w:val="22"/>
                <w:szCs w:val="21"/>
                <w:highlight w:val="none"/>
              </w:rPr>
            </w:pPr>
          </w:p>
        </w:tc>
        <w:tc>
          <w:tcPr>
            <w:tcW w:w="1082" w:type="dxa"/>
            <w:tcBorders>
              <w:top w:val="double" w:color="auto" w:sz="6" w:space="0"/>
            </w:tcBorders>
            <w:noWrap w:val="0"/>
            <w:vAlign w:val="center"/>
          </w:tcPr>
          <w:p w14:paraId="2C0C88F3">
            <w:pPr>
              <w:keepNext/>
              <w:snapToGrid w:val="0"/>
              <w:spacing w:line="360" w:lineRule="auto"/>
              <w:rPr>
                <w:rFonts w:hint="eastAsia" w:ascii="宋体" w:hAnsi="宋体" w:cs="宋体"/>
                <w:color w:val="auto"/>
                <w:sz w:val="22"/>
                <w:szCs w:val="21"/>
                <w:highlight w:val="none"/>
              </w:rPr>
            </w:pPr>
          </w:p>
        </w:tc>
        <w:tc>
          <w:tcPr>
            <w:tcW w:w="940" w:type="dxa"/>
            <w:tcBorders>
              <w:top w:val="double" w:color="auto" w:sz="6" w:space="0"/>
            </w:tcBorders>
            <w:noWrap w:val="0"/>
            <w:vAlign w:val="center"/>
          </w:tcPr>
          <w:p w14:paraId="03450777">
            <w:pPr>
              <w:keepNext/>
              <w:snapToGrid w:val="0"/>
              <w:spacing w:line="360" w:lineRule="auto"/>
              <w:rPr>
                <w:rFonts w:hint="eastAsia" w:ascii="宋体" w:hAnsi="宋体" w:cs="宋体"/>
                <w:color w:val="auto"/>
                <w:sz w:val="22"/>
                <w:szCs w:val="21"/>
                <w:highlight w:val="none"/>
              </w:rPr>
            </w:pPr>
          </w:p>
        </w:tc>
        <w:tc>
          <w:tcPr>
            <w:tcW w:w="851" w:type="dxa"/>
            <w:tcBorders>
              <w:top w:val="double" w:color="auto" w:sz="6" w:space="0"/>
            </w:tcBorders>
            <w:noWrap w:val="0"/>
            <w:vAlign w:val="center"/>
          </w:tcPr>
          <w:p w14:paraId="7BB8DF66">
            <w:pPr>
              <w:keepNext/>
              <w:snapToGrid w:val="0"/>
              <w:spacing w:line="360" w:lineRule="auto"/>
              <w:rPr>
                <w:rFonts w:hint="eastAsia" w:ascii="宋体" w:hAnsi="宋体" w:cs="宋体"/>
                <w:color w:val="auto"/>
                <w:sz w:val="22"/>
                <w:szCs w:val="21"/>
                <w:highlight w:val="none"/>
              </w:rPr>
            </w:pPr>
          </w:p>
        </w:tc>
        <w:tc>
          <w:tcPr>
            <w:tcW w:w="1044" w:type="dxa"/>
            <w:tcBorders>
              <w:top w:val="double" w:color="auto" w:sz="6" w:space="0"/>
            </w:tcBorders>
            <w:noWrap w:val="0"/>
            <w:vAlign w:val="center"/>
          </w:tcPr>
          <w:p w14:paraId="4308D45C">
            <w:pPr>
              <w:keepNext/>
              <w:snapToGrid w:val="0"/>
              <w:spacing w:line="360" w:lineRule="auto"/>
              <w:rPr>
                <w:rFonts w:hint="eastAsia" w:ascii="宋体" w:hAnsi="宋体" w:cs="宋体"/>
                <w:color w:val="auto"/>
                <w:sz w:val="22"/>
                <w:szCs w:val="21"/>
                <w:highlight w:val="none"/>
              </w:rPr>
            </w:pPr>
          </w:p>
        </w:tc>
        <w:tc>
          <w:tcPr>
            <w:tcW w:w="992" w:type="dxa"/>
            <w:tcBorders>
              <w:top w:val="double" w:color="auto" w:sz="6" w:space="0"/>
            </w:tcBorders>
            <w:noWrap w:val="0"/>
            <w:vAlign w:val="center"/>
          </w:tcPr>
          <w:p w14:paraId="001DFEBC">
            <w:pPr>
              <w:keepNext/>
              <w:snapToGrid w:val="0"/>
              <w:spacing w:line="360" w:lineRule="auto"/>
              <w:rPr>
                <w:rFonts w:hint="eastAsia" w:ascii="宋体" w:hAnsi="宋体" w:cs="宋体"/>
                <w:color w:val="auto"/>
                <w:sz w:val="22"/>
                <w:szCs w:val="21"/>
                <w:highlight w:val="none"/>
              </w:rPr>
            </w:pPr>
          </w:p>
        </w:tc>
        <w:tc>
          <w:tcPr>
            <w:tcW w:w="851" w:type="dxa"/>
            <w:tcBorders>
              <w:top w:val="double" w:color="auto" w:sz="6" w:space="0"/>
            </w:tcBorders>
            <w:noWrap w:val="0"/>
            <w:vAlign w:val="center"/>
          </w:tcPr>
          <w:p w14:paraId="5BD99C3F">
            <w:pPr>
              <w:keepNext/>
              <w:snapToGrid w:val="0"/>
              <w:spacing w:line="360" w:lineRule="auto"/>
              <w:rPr>
                <w:rFonts w:hint="eastAsia" w:ascii="宋体" w:hAnsi="宋体" w:cs="宋体"/>
                <w:color w:val="auto"/>
                <w:sz w:val="22"/>
                <w:szCs w:val="21"/>
                <w:highlight w:val="none"/>
              </w:rPr>
            </w:pPr>
          </w:p>
        </w:tc>
        <w:tc>
          <w:tcPr>
            <w:tcW w:w="966" w:type="dxa"/>
            <w:tcBorders>
              <w:top w:val="double" w:color="auto" w:sz="6" w:space="0"/>
            </w:tcBorders>
            <w:noWrap w:val="0"/>
            <w:vAlign w:val="center"/>
          </w:tcPr>
          <w:p w14:paraId="48630F52">
            <w:pPr>
              <w:keepNext/>
              <w:snapToGrid w:val="0"/>
              <w:spacing w:line="360" w:lineRule="auto"/>
              <w:rPr>
                <w:rFonts w:hint="eastAsia" w:ascii="宋体" w:hAnsi="宋体" w:cs="宋体"/>
                <w:color w:val="auto"/>
                <w:sz w:val="22"/>
                <w:szCs w:val="21"/>
                <w:highlight w:val="none"/>
              </w:rPr>
            </w:pPr>
          </w:p>
        </w:tc>
        <w:tc>
          <w:tcPr>
            <w:tcW w:w="803" w:type="dxa"/>
            <w:tcBorders>
              <w:top w:val="double" w:color="auto" w:sz="6" w:space="0"/>
            </w:tcBorders>
            <w:noWrap w:val="0"/>
            <w:vAlign w:val="center"/>
          </w:tcPr>
          <w:p w14:paraId="0963CF67">
            <w:pPr>
              <w:keepNext/>
              <w:snapToGrid w:val="0"/>
              <w:spacing w:line="360" w:lineRule="auto"/>
              <w:rPr>
                <w:rFonts w:hint="eastAsia" w:ascii="宋体" w:hAnsi="宋体" w:cs="宋体"/>
                <w:color w:val="auto"/>
                <w:sz w:val="22"/>
                <w:szCs w:val="21"/>
                <w:highlight w:val="none"/>
              </w:rPr>
            </w:pPr>
          </w:p>
        </w:tc>
      </w:tr>
      <w:tr w14:paraId="2B6D06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noWrap w:val="0"/>
            <w:vAlign w:val="center"/>
          </w:tcPr>
          <w:p w14:paraId="48C09BA2">
            <w:pPr>
              <w:snapToGrid w:val="0"/>
              <w:spacing w:line="360" w:lineRule="auto"/>
              <w:rPr>
                <w:rFonts w:hint="eastAsia" w:ascii="宋体" w:hAnsi="宋体" w:cs="宋体"/>
                <w:color w:val="auto"/>
                <w:sz w:val="22"/>
                <w:szCs w:val="21"/>
                <w:highlight w:val="none"/>
              </w:rPr>
            </w:pPr>
          </w:p>
        </w:tc>
        <w:tc>
          <w:tcPr>
            <w:tcW w:w="1276" w:type="dxa"/>
            <w:noWrap w:val="0"/>
            <w:vAlign w:val="center"/>
          </w:tcPr>
          <w:p w14:paraId="5742AE75">
            <w:pPr>
              <w:snapToGrid w:val="0"/>
              <w:spacing w:line="360" w:lineRule="auto"/>
              <w:rPr>
                <w:rFonts w:hint="eastAsia" w:ascii="宋体" w:hAnsi="宋体" w:cs="宋体"/>
                <w:color w:val="auto"/>
                <w:sz w:val="22"/>
                <w:szCs w:val="21"/>
                <w:highlight w:val="none"/>
              </w:rPr>
            </w:pPr>
          </w:p>
        </w:tc>
        <w:tc>
          <w:tcPr>
            <w:tcW w:w="1082" w:type="dxa"/>
            <w:noWrap w:val="0"/>
            <w:vAlign w:val="center"/>
          </w:tcPr>
          <w:p w14:paraId="518E0633">
            <w:pPr>
              <w:snapToGrid w:val="0"/>
              <w:spacing w:line="360" w:lineRule="auto"/>
              <w:rPr>
                <w:rFonts w:hint="eastAsia" w:ascii="宋体" w:hAnsi="宋体" w:cs="宋体"/>
                <w:color w:val="auto"/>
                <w:sz w:val="22"/>
                <w:szCs w:val="21"/>
                <w:highlight w:val="none"/>
              </w:rPr>
            </w:pPr>
          </w:p>
        </w:tc>
        <w:tc>
          <w:tcPr>
            <w:tcW w:w="940" w:type="dxa"/>
            <w:noWrap w:val="0"/>
            <w:vAlign w:val="center"/>
          </w:tcPr>
          <w:p w14:paraId="4E56161B">
            <w:pPr>
              <w:snapToGrid w:val="0"/>
              <w:spacing w:line="360" w:lineRule="auto"/>
              <w:rPr>
                <w:rFonts w:hint="eastAsia" w:ascii="宋体" w:hAnsi="宋体" w:cs="宋体"/>
                <w:color w:val="auto"/>
                <w:sz w:val="22"/>
                <w:szCs w:val="21"/>
                <w:highlight w:val="none"/>
              </w:rPr>
            </w:pPr>
          </w:p>
        </w:tc>
        <w:tc>
          <w:tcPr>
            <w:tcW w:w="851" w:type="dxa"/>
            <w:noWrap w:val="0"/>
            <w:vAlign w:val="center"/>
          </w:tcPr>
          <w:p w14:paraId="48A48E38">
            <w:pPr>
              <w:snapToGrid w:val="0"/>
              <w:spacing w:line="360" w:lineRule="auto"/>
              <w:rPr>
                <w:rFonts w:hint="eastAsia" w:ascii="宋体" w:hAnsi="宋体" w:cs="宋体"/>
                <w:color w:val="auto"/>
                <w:sz w:val="22"/>
                <w:szCs w:val="21"/>
                <w:highlight w:val="none"/>
              </w:rPr>
            </w:pPr>
          </w:p>
        </w:tc>
        <w:tc>
          <w:tcPr>
            <w:tcW w:w="1044" w:type="dxa"/>
            <w:noWrap w:val="0"/>
            <w:vAlign w:val="center"/>
          </w:tcPr>
          <w:p w14:paraId="0709195A">
            <w:pPr>
              <w:snapToGrid w:val="0"/>
              <w:spacing w:line="360" w:lineRule="auto"/>
              <w:rPr>
                <w:rFonts w:hint="eastAsia" w:ascii="宋体" w:hAnsi="宋体" w:cs="宋体"/>
                <w:color w:val="auto"/>
                <w:sz w:val="22"/>
                <w:szCs w:val="21"/>
                <w:highlight w:val="none"/>
              </w:rPr>
            </w:pPr>
          </w:p>
        </w:tc>
        <w:tc>
          <w:tcPr>
            <w:tcW w:w="992" w:type="dxa"/>
            <w:noWrap w:val="0"/>
            <w:vAlign w:val="center"/>
          </w:tcPr>
          <w:p w14:paraId="63DC6AC9">
            <w:pPr>
              <w:snapToGrid w:val="0"/>
              <w:spacing w:line="360" w:lineRule="auto"/>
              <w:rPr>
                <w:rFonts w:hint="eastAsia" w:ascii="宋体" w:hAnsi="宋体" w:cs="宋体"/>
                <w:color w:val="auto"/>
                <w:sz w:val="22"/>
                <w:szCs w:val="21"/>
                <w:highlight w:val="none"/>
              </w:rPr>
            </w:pPr>
          </w:p>
        </w:tc>
        <w:tc>
          <w:tcPr>
            <w:tcW w:w="851" w:type="dxa"/>
            <w:noWrap w:val="0"/>
            <w:vAlign w:val="center"/>
          </w:tcPr>
          <w:p w14:paraId="05767BED">
            <w:pPr>
              <w:snapToGrid w:val="0"/>
              <w:spacing w:line="360" w:lineRule="auto"/>
              <w:rPr>
                <w:rFonts w:hint="eastAsia" w:ascii="宋体" w:hAnsi="宋体" w:cs="宋体"/>
                <w:color w:val="auto"/>
                <w:sz w:val="22"/>
                <w:szCs w:val="21"/>
                <w:highlight w:val="none"/>
              </w:rPr>
            </w:pPr>
          </w:p>
        </w:tc>
        <w:tc>
          <w:tcPr>
            <w:tcW w:w="966" w:type="dxa"/>
            <w:noWrap w:val="0"/>
            <w:vAlign w:val="center"/>
          </w:tcPr>
          <w:p w14:paraId="521D2477">
            <w:pPr>
              <w:snapToGrid w:val="0"/>
              <w:spacing w:line="360" w:lineRule="auto"/>
              <w:rPr>
                <w:rFonts w:hint="eastAsia" w:ascii="宋体" w:hAnsi="宋体" w:cs="宋体"/>
                <w:color w:val="auto"/>
                <w:sz w:val="22"/>
                <w:szCs w:val="21"/>
                <w:highlight w:val="none"/>
              </w:rPr>
            </w:pPr>
          </w:p>
        </w:tc>
        <w:tc>
          <w:tcPr>
            <w:tcW w:w="803" w:type="dxa"/>
            <w:noWrap w:val="0"/>
            <w:vAlign w:val="center"/>
          </w:tcPr>
          <w:p w14:paraId="65BE286F">
            <w:pPr>
              <w:snapToGrid w:val="0"/>
              <w:spacing w:line="360" w:lineRule="auto"/>
              <w:rPr>
                <w:rFonts w:hint="eastAsia" w:ascii="宋体" w:hAnsi="宋体" w:cs="宋体"/>
                <w:color w:val="auto"/>
                <w:sz w:val="22"/>
                <w:szCs w:val="21"/>
                <w:highlight w:val="none"/>
              </w:rPr>
            </w:pPr>
          </w:p>
        </w:tc>
      </w:tr>
      <w:tr w14:paraId="1B5CBA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bottom w:val="single" w:color="auto" w:sz="12" w:space="0"/>
            </w:tcBorders>
            <w:noWrap w:val="0"/>
            <w:vAlign w:val="center"/>
          </w:tcPr>
          <w:p w14:paraId="60501A89">
            <w:pPr>
              <w:snapToGrid w:val="0"/>
              <w:spacing w:line="360" w:lineRule="auto"/>
              <w:rPr>
                <w:rFonts w:hint="eastAsia" w:ascii="宋体" w:hAnsi="宋体" w:cs="宋体"/>
                <w:color w:val="auto"/>
                <w:sz w:val="22"/>
                <w:szCs w:val="21"/>
                <w:highlight w:val="none"/>
              </w:rPr>
            </w:pPr>
          </w:p>
        </w:tc>
        <w:tc>
          <w:tcPr>
            <w:tcW w:w="1276" w:type="dxa"/>
            <w:tcBorders>
              <w:bottom w:val="single" w:color="auto" w:sz="12" w:space="0"/>
            </w:tcBorders>
            <w:noWrap w:val="0"/>
            <w:vAlign w:val="center"/>
          </w:tcPr>
          <w:p w14:paraId="58834832">
            <w:pPr>
              <w:snapToGrid w:val="0"/>
              <w:spacing w:line="360" w:lineRule="auto"/>
              <w:rPr>
                <w:rFonts w:hint="eastAsia" w:ascii="宋体" w:hAnsi="宋体" w:cs="宋体"/>
                <w:color w:val="auto"/>
                <w:sz w:val="22"/>
                <w:szCs w:val="21"/>
                <w:highlight w:val="none"/>
              </w:rPr>
            </w:pPr>
          </w:p>
        </w:tc>
        <w:tc>
          <w:tcPr>
            <w:tcW w:w="1082" w:type="dxa"/>
            <w:tcBorders>
              <w:bottom w:val="single" w:color="auto" w:sz="12" w:space="0"/>
            </w:tcBorders>
            <w:noWrap w:val="0"/>
            <w:vAlign w:val="center"/>
          </w:tcPr>
          <w:p w14:paraId="3A718BB3">
            <w:pPr>
              <w:snapToGrid w:val="0"/>
              <w:spacing w:line="360" w:lineRule="auto"/>
              <w:rPr>
                <w:rFonts w:hint="eastAsia" w:ascii="宋体" w:hAnsi="宋体" w:cs="宋体"/>
                <w:color w:val="auto"/>
                <w:sz w:val="22"/>
                <w:szCs w:val="21"/>
                <w:highlight w:val="none"/>
              </w:rPr>
            </w:pPr>
          </w:p>
        </w:tc>
        <w:tc>
          <w:tcPr>
            <w:tcW w:w="940" w:type="dxa"/>
            <w:tcBorders>
              <w:bottom w:val="single" w:color="auto" w:sz="12" w:space="0"/>
            </w:tcBorders>
            <w:noWrap w:val="0"/>
            <w:vAlign w:val="center"/>
          </w:tcPr>
          <w:p w14:paraId="299319D6">
            <w:pPr>
              <w:snapToGrid w:val="0"/>
              <w:spacing w:line="360" w:lineRule="auto"/>
              <w:rPr>
                <w:rFonts w:hint="eastAsia" w:ascii="宋体" w:hAnsi="宋体" w:cs="宋体"/>
                <w:color w:val="auto"/>
                <w:sz w:val="22"/>
                <w:szCs w:val="21"/>
                <w:highlight w:val="none"/>
              </w:rPr>
            </w:pPr>
          </w:p>
        </w:tc>
        <w:tc>
          <w:tcPr>
            <w:tcW w:w="851" w:type="dxa"/>
            <w:tcBorders>
              <w:bottom w:val="single" w:color="auto" w:sz="12" w:space="0"/>
            </w:tcBorders>
            <w:noWrap w:val="0"/>
            <w:vAlign w:val="center"/>
          </w:tcPr>
          <w:p w14:paraId="3F8C004B">
            <w:pPr>
              <w:snapToGrid w:val="0"/>
              <w:spacing w:line="360" w:lineRule="auto"/>
              <w:rPr>
                <w:rFonts w:hint="eastAsia" w:ascii="宋体" w:hAnsi="宋体" w:cs="宋体"/>
                <w:color w:val="auto"/>
                <w:sz w:val="22"/>
                <w:szCs w:val="21"/>
                <w:highlight w:val="none"/>
              </w:rPr>
            </w:pPr>
          </w:p>
        </w:tc>
        <w:tc>
          <w:tcPr>
            <w:tcW w:w="1044" w:type="dxa"/>
            <w:tcBorders>
              <w:bottom w:val="single" w:color="auto" w:sz="12" w:space="0"/>
            </w:tcBorders>
            <w:noWrap w:val="0"/>
            <w:vAlign w:val="center"/>
          </w:tcPr>
          <w:p w14:paraId="01DF7C00">
            <w:pPr>
              <w:snapToGrid w:val="0"/>
              <w:spacing w:line="360" w:lineRule="auto"/>
              <w:rPr>
                <w:rFonts w:hint="eastAsia" w:ascii="宋体" w:hAnsi="宋体" w:cs="宋体"/>
                <w:color w:val="auto"/>
                <w:sz w:val="22"/>
                <w:szCs w:val="21"/>
                <w:highlight w:val="none"/>
              </w:rPr>
            </w:pPr>
          </w:p>
        </w:tc>
        <w:tc>
          <w:tcPr>
            <w:tcW w:w="992" w:type="dxa"/>
            <w:tcBorders>
              <w:bottom w:val="single" w:color="auto" w:sz="12" w:space="0"/>
            </w:tcBorders>
            <w:noWrap w:val="0"/>
            <w:vAlign w:val="center"/>
          </w:tcPr>
          <w:p w14:paraId="62070F81">
            <w:pPr>
              <w:snapToGrid w:val="0"/>
              <w:spacing w:line="360" w:lineRule="auto"/>
              <w:rPr>
                <w:rFonts w:hint="eastAsia" w:ascii="宋体" w:hAnsi="宋体" w:cs="宋体"/>
                <w:color w:val="auto"/>
                <w:sz w:val="22"/>
                <w:szCs w:val="21"/>
                <w:highlight w:val="none"/>
              </w:rPr>
            </w:pPr>
          </w:p>
        </w:tc>
        <w:tc>
          <w:tcPr>
            <w:tcW w:w="851" w:type="dxa"/>
            <w:tcBorders>
              <w:bottom w:val="single" w:color="auto" w:sz="12" w:space="0"/>
            </w:tcBorders>
            <w:noWrap w:val="0"/>
            <w:vAlign w:val="center"/>
          </w:tcPr>
          <w:p w14:paraId="180776BF">
            <w:pPr>
              <w:snapToGrid w:val="0"/>
              <w:spacing w:line="360" w:lineRule="auto"/>
              <w:rPr>
                <w:rFonts w:hint="eastAsia" w:ascii="宋体" w:hAnsi="宋体" w:cs="宋体"/>
                <w:color w:val="auto"/>
                <w:sz w:val="22"/>
                <w:szCs w:val="21"/>
                <w:highlight w:val="none"/>
              </w:rPr>
            </w:pPr>
          </w:p>
        </w:tc>
        <w:tc>
          <w:tcPr>
            <w:tcW w:w="966" w:type="dxa"/>
            <w:tcBorders>
              <w:bottom w:val="single" w:color="auto" w:sz="12" w:space="0"/>
            </w:tcBorders>
            <w:noWrap w:val="0"/>
            <w:vAlign w:val="center"/>
          </w:tcPr>
          <w:p w14:paraId="14D0E4B8">
            <w:pPr>
              <w:snapToGrid w:val="0"/>
              <w:spacing w:line="360" w:lineRule="auto"/>
              <w:rPr>
                <w:rFonts w:hint="eastAsia" w:ascii="宋体" w:hAnsi="宋体" w:cs="宋体"/>
                <w:color w:val="auto"/>
                <w:sz w:val="22"/>
                <w:szCs w:val="21"/>
                <w:highlight w:val="none"/>
              </w:rPr>
            </w:pPr>
          </w:p>
        </w:tc>
        <w:tc>
          <w:tcPr>
            <w:tcW w:w="803" w:type="dxa"/>
            <w:tcBorders>
              <w:bottom w:val="single" w:color="auto" w:sz="12" w:space="0"/>
            </w:tcBorders>
            <w:noWrap w:val="0"/>
            <w:vAlign w:val="center"/>
          </w:tcPr>
          <w:p w14:paraId="15870F20">
            <w:pPr>
              <w:snapToGrid w:val="0"/>
              <w:spacing w:line="360" w:lineRule="auto"/>
              <w:rPr>
                <w:rFonts w:hint="eastAsia" w:ascii="宋体" w:hAnsi="宋体" w:cs="宋体"/>
                <w:color w:val="auto"/>
                <w:sz w:val="22"/>
                <w:szCs w:val="21"/>
                <w:highlight w:val="none"/>
              </w:rPr>
            </w:pPr>
          </w:p>
        </w:tc>
      </w:tr>
    </w:tbl>
    <w:p w14:paraId="41156AFE">
      <w:pPr>
        <w:pStyle w:val="14"/>
        <w:rPr>
          <w:rFonts w:hint="eastAsia"/>
          <w:color w:val="auto"/>
          <w:highlight w:val="none"/>
        </w:rPr>
      </w:pPr>
    </w:p>
    <w:p w14:paraId="63658383">
      <w:pPr>
        <w:rPr>
          <w:rFonts w:hint="eastAsia"/>
          <w:color w:val="auto"/>
          <w:highlight w:val="none"/>
        </w:rPr>
      </w:pPr>
    </w:p>
    <w:p w14:paraId="668911F2">
      <w:pPr>
        <w:pStyle w:val="14"/>
        <w:rPr>
          <w:rFonts w:hint="eastAsia"/>
          <w:color w:val="auto"/>
          <w:highlight w:val="none"/>
        </w:rPr>
      </w:pPr>
    </w:p>
    <w:p w14:paraId="346A727E">
      <w:pPr>
        <w:rPr>
          <w:rFonts w:hint="eastAsia"/>
          <w:color w:val="auto"/>
          <w:highlight w:val="none"/>
        </w:rPr>
      </w:pPr>
    </w:p>
    <w:p w14:paraId="1C5B9316">
      <w:pPr>
        <w:pStyle w:val="14"/>
        <w:rPr>
          <w:rFonts w:hint="eastAsia"/>
          <w:color w:val="auto"/>
          <w:highlight w:val="none"/>
        </w:rPr>
      </w:pPr>
    </w:p>
    <w:p w14:paraId="6CEDC117">
      <w:pPr>
        <w:rPr>
          <w:rFonts w:hint="eastAsia"/>
          <w:color w:val="auto"/>
          <w:highlight w:val="none"/>
        </w:rPr>
      </w:pPr>
    </w:p>
    <w:p w14:paraId="60FA8106">
      <w:pPr>
        <w:pStyle w:val="14"/>
        <w:rPr>
          <w:rFonts w:hint="eastAsia"/>
          <w:color w:val="auto"/>
          <w:highlight w:val="none"/>
        </w:rPr>
      </w:pPr>
    </w:p>
    <w:p w14:paraId="750E2ED4">
      <w:pPr>
        <w:rPr>
          <w:rFonts w:hint="eastAsia"/>
          <w:color w:val="auto"/>
          <w:highlight w:val="none"/>
        </w:rPr>
      </w:pPr>
    </w:p>
    <w:p w14:paraId="7B7E6C0E">
      <w:pPr>
        <w:pStyle w:val="14"/>
        <w:rPr>
          <w:rFonts w:hint="eastAsia"/>
          <w:color w:val="auto"/>
          <w:highlight w:val="none"/>
        </w:rPr>
      </w:pPr>
    </w:p>
    <w:p w14:paraId="5690D59A">
      <w:pPr>
        <w:rPr>
          <w:rFonts w:hint="eastAsia"/>
          <w:color w:val="auto"/>
          <w:highlight w:val="none"/>
        </w:rPr>
      </w:pPr>
    </w:p>
    <w:p w14:paraId="609DECB3">
      <w:pPr>
        <w:pStyle w:val="14"/>
        <w:rPr>
          <w:rFonts w:hint="eastAsia"/>
          <w:color w:val="auto"/>
          <w:highlight w:val="none"/>
        </w:rPr>
      </w:pPr>
    </w:p>
    <w:p w14:paraId="6D713AB3">
      <w:pPr>
        <w:pStyle w:val="14"/>
        <w:rPr>
          <w:rFonts w:hint="eastAsia"/>
          <w:color w:val="auto"/>
          <w:highlight w:val="none"/>
        </w:rPr>
      </w:pPr>
    </w:p>
    <w:p w14:paraId="2BFFADDB">
      <w:pPr>
        <w:rPr>
          <w:rFonts w:hint="eastAsia"/>
          <w:color w:val="auto"/>
          <w:highlight w:val="none"/>
        </w:rPr>
      </w:pPr>
    </w:p>
    <w:p w14:paraId="5A3C4779">
      <w:pPr>
        <w:pStyle w:val="14"/>
        <w:rPr>
          <w:rFonts w:hint="eastAsia"/>
          <w:color w:val="auto"/>
          <w:highlight w:val="none"/>
        </w:rPr>
      </w:pPr>
    </w:p>
    <w:p w14:paraId="352A613F">
      <w:pPr>
        <w:keepNext/>
        <w:keepLines/>
        <w:spacing w:before="120" w:after="120" w:line="360" w:lineRule="auto"/>
        <w:jc w:val="left"/>
        <w:outlineLvl w:val="2"/>
        <w:rPr>
          <w:rFonts w:ascii="宋体" w:hAnsi="宋体" w:cs="宋体"/>
          <w:bCs/>
          <w:color w:val="auto"/>
          <w:sz w:val="24"/>
          <w:highlight w:val="none"/>
        </w:rPr>
        <w:sectPr>
          <w:footnotePr>
            <w:numFmt w:val="decimalEnclosedCircleChinese"/>
            <w:numRestart w:val="eachPage"/>
          </w:footnotePr>
          <w:pgSz w:w="11907" w:h="16840"/>
          <w:pgMar w:top="1474" w:right="1474" w:bottom="1474" w:left="1474" w:header="799" w:footer="907" w:gutter="0"/>
          <w:cols w:space="720" w:num="1"/>
          <w:docGrid w:linePitch="271" w:charSpace="0"/>
        </w:sectPr>
      </w:pPr>
      <w:bookmarkStart w:id="883" w:name="_Toc95223488"/>
    </w:p>
    <w:p w14:paraId="419682F1">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附件3：工程质量保修书</w:t>
      </w:r>
      <w:bookmarkEnd w:id="883"/>
    </w:p>
    <w:p w14:paraId="0127F340">
      <w:pPr>
        <w:adjustRightInd w:val="0"/>
        <w:snapToGrid w:val="0"/>
        <w:spacing w:before="120" w:beforeLines="50" w:after="120" w:afterLines="50"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工程质量保修书</w:t>
      </w:r>
    </w:p>
    <w:p w14:paraId="7B8E252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5267EB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承包人（全称）：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3397245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发包人和承包人</w:t>
      </w:r>
      <w:r>
        <w:rPr>
          <w:rFonts w:hint="eastAsia" w:ascii="宋体" w:hAnsi="宋体" w:cs="宋体"/>
          <w:color w:val="auto"/>
          <w:sz w:val="21"/>
          <w:szCs w:val="21"/>
          <w:highlight w:val="none"/>
        </w:rPr>
        <w:t>根据《中华人民共和国建筑法》和《建设工程质量管理条例》，经协</w:t>
      </w:r>
      <w:r>
        <w:rPr>
          <w:rFonts w:hint="eastAsia" w:ascii="宋体" w:hAnsi="宋体" w:cs="宋体"/>
          <w:color w:val="auto"/>
          <w:szCs w:val="21"/>
          <w:highlight w:val="none"/>
        </w:rPr>
        <w:t>商一致就_______________（工程全称）签订工程质量保修书。</w:t>
      </w:r>
    </w:p>
    <w:p w14:paraId="448EE0A1">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一、工程质量保修范围和内容</w:t>
      </w:r>
    </w:p>
    <w:p w14:paraId="3C666F4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承包人在质量保修期内，按照有关法律规定和合同约定，承担工程质量保修责任。</w:t>
      </w:r>
    </w:p>
    <w:p w14:paraId="4D87BAA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3C4015C">
      <w:pPr>
        <w:adjustRightInd w:val="0"/>
        <w:snapToGrid w:val="0"/>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二、质量保修期</w:t>
      </w:r>
    </w:p>
    <w:p w14:paraId="7609B69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根据《建设工程质量管理条例》及有关规定，工程的质量保修期如下：</w:t>
      </w:r>
    </w:p>
    <w:p w14:paraId="7D9830D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地基基础工程和主体结构工程为设计文件规定的工程合理使用年限；</w:t>
      </w:r>
    </w:p>
    <w:p w14:paraId="7DFA8CF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屋面防水工程、有防水要求的卫生间、房间和外墙面的防渗为</w:t>
      </w:r>
      <w:r>
        <w:rPr>
          <w:rFonts w:hint="eastAsia" w:ascii="宋体" w:hAnsi="宋体" w:cs="宋体"/>
          <w:color w:val="auto"/>
          <w:szCs w:val="21"/>
          <w:highlight w:val="none"/>
          <w:u w:val="single"/>
        </w:rPr>
        <w:t>5</w:t>
      </w:r>
      <w:r>
        <w:rPr>
          <w:rFonts w:hint="eastAsia" w:ascii="宋体" w:hAnsi="宋体" w:cs="宋体"/>
          <w:color w:val="auto"/>
          <w:szCs w:val="21"/>
          <w:highlight w:val="none"/>
        </w:rPr>
        <w:t>年；</w:t>
      </w:r>
    </w:p>
    <w:p w14:paraId="3063700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装修工程为</w:t>
      </w:r>
      <w:r>
        <w:rPr>
          <w:rFonts w:hint="eastAsia" w:ascii="宋体" w:hAnsi="宋体" w:cs="宋体"/>
          <w:color w:val="auto"/>
          <w:szCs w:val="21"/>
          <w:highlight w:val="none"/>
          <w:u w:val="single"/>
        </w:rPr>
        <w:t>2</w:t>
      </w:r>
      <w:r>
        <w:rPr>
          <w:rFonts w:hint="eastAsia" w:ascii="宋体" w:hAnsi="宋体" w:cs="宋体"/>
          <w:color w:val="auto"/>
          <w:szCs w:val="21"/>
          <w:highlight w:val="none"/>
        </w:rPr>
        <w:t>年；</w:t>
      </w:r>
    </w:p>
    <w:p w14:paraId="4B971FB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电气管线、给排水管道、设备安装工程为</w:t>
      </w:r>
      <w:r>
        <w:rPr>
          <w:rFonts w:hint="eastAsia" w:ascii="宋体" w:hAnsi="宋体" w:cs="宋体"/>
          <w:color w:val="auto"/>
          <w:szCs w:val="21"/>
          <w:highlight w:val="none"/>
          <w:u w:val="single"/>
        </w:rPr>
        <w:t>2</w:t>
      </w:r>
      <w:r>
        <w:rPr>
          <w:rFonts w:hint="eastAsia" w:ascii="宋体" w:hAnsi="宋体" w:cs="宋体"/>
          <w:color w:val="auto"/>
          <w:szCs w:val="21"/>
          <w:highlight w:val="none"/>
        </w:rPr>
        <w:t>年；</w:t>
      </w:r>
    </w:p>
    <w:p w14:paraId="3470489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 供热与供冷系统为</w:t>
      </w:r>
      <w:r>
        <w:rPr>
          <w:rFonts w:hint="eastAsia" w:ascii="宋体" w:hAnsi="宋体" w:cs="宋体"/>
          <w:color w:val="auto"/>
          <w:szCs w:val="21"/>
          <w:highlight w:val="none"/>
          <w:u w:val="single"/>
        </w:rPr>
        <w:t>2</w:t>
      </w:r>
      <w:r>
        <w:rPr>
          <w:rFonts w:hint="eastAsia" w:ascii="宋体" w:hAnsi="宋体" w:cs="宋体"/>
          <w:color w:val="auto"/>
          <w:szCs w:val="21"/>
          <w:highlight w:val="none"/>
        </w:rPr>
        <w:t>个采暖期、供冷期；</w:t>
      </w:r>
    </w:p>
    <w:p w14:paraId="5B0EB71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 住宅小区内的给排水设施、道路等配套工程为</w:t>
      </w:r>
      <w:r>
        <w:rPr>
          <w:rFonts w:hint="eastAsia" w:ascii="宋体" w:hAnsi="宋体" w:cs="宋体"/>
          <w:color w:val="auto"/>
          <w:szCs w:val="21"/>
          <w:highlight w:val="none"/>
          <w:u w:val="single"/>
        </w:rPr>
        <w:t>2</w:t>
      </w:r>
      <w:r>
        <w:rPr>
          <w:rFonts w:hint="eastAsia" w:ascii="宋体" w:hAnsi="宋体" w:cs="宋体"/>
          <w:color w:val="auto"/>
          <w:szCs w:val="21"/>
          <w:highlight w:val="none"/>
        </w:rPr>
        <w:t>年；</w:t>
      </w:r>
    </w:p>
    <w:p w14:paraId="420966F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 其他项目保修期限约定如下：</w:t>
      </w:r>
      <w:r>
        <w:rPr>
          <w:rFonts w:hint="eastAsia" w:ascii="宋体" w:hAnsi="宋体" w:cs="宋体"/>
          <w:color w:val="auto"/>
          <w:szCs w:val="21"/>
          <w:highlight w:val="none"/>
          <w:u w:val="single"/>
        </w:rPr>
        <w:t>保温工程5年</w:t>
      </w:r>
      <w:r>
        <w:rPr>
          <w:rFonts w:hint="eastAsia" w:ascii="宋体" w:hAnsi="宋体" w:cs="宋体"/>
          <w:color w:val="auto"/>
          <w:szCs w:val="21"/>
          <w:highlight w:val="none"/>
        </w:rPr>
        <w:t>。</w:t>
      </w:r>
    </w:p>
    <w:p w14:paraId="77FA168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质量保修期自工程竣工验收合格之日起计算。</w:t>
      </w:r>
    </w:p>
    <w:p w14:paraId="01B011B4">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三、缺陷责任期</w:t>
      </w:r>
    </w:p>
    <w:p w14:paraId="1584407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工程缺陷责任期</w:t>
      </w:r>
      <w:r>
        <w:rPr>
          <w:rFonts w:hint="eastAsia" w:ascii="宋体" w:hAnsi="宋体" w:cs="宋体"/>
          <w:color w:val="auto"/>
          <w:szCs w:val="21"/>
          <w:highlight w:val="none"/>
        </w:rPr>
        <w:t>为</w:t>
      </w:r>
      <w:r>
        <w:rPr>
          <w:rFonts w:hint="eastAsia" w:ascii="宋体" w:hAnsi="宋体" w:cs="宋体"/>
          <w:color w:val="auto"/>
          <w:szCs w:val="21"/>
          <w:highlight w:val="none"/>
          <w:u w:val="single"/>
          <w:lang w:val="en-US" w:eastAsia="zh-CN"/>
        </w:rPr>
        <w:t>2年</w:t>
      </w:r>
      <w:r>
        <w:rPr>
          <w:rFonts w:hint="eastAsia" w:ascii="宋体" w:hAnsi="宋体" w:cs="宋体"/>
          <w:color w:val="auto"/>
          <w:szCs w:val="21"/>
          <w:highlight w:val="none"/>
        </w:rPr>
        <w:t>，缺</w:t>
      </w:r>
      <w:r>
        <w:rPr>
          <w:rFonts w:hint="eastAsia" w:ascii="宋体" w:hAnsi="宋体" w:cs="宋体"/>
          <w:color w:val="auto"/>
          <w:szCs w:val="21"/>
          <w:highlight w:val="none"/>
        </w:rPr>
        <w:t>陷责任期自工程竣工验收合格之日起计算。单位工程先于全部工程进行验收，单位工程缺陷责任期自单位工程验收合格之日起算。</w:t>
      </w:r>
    </w:p>
    <w:p w14:paraId="5A7CA20B">
      <w:pPr>
        <w:adjustRightInd w:val="0"/>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缺陷责任期终止后，发包人应退还剩余的质量保证金。</w:t>
      </w:r>
    </w:p>
    <w:p w14:paraId="1347A9FD">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四、质量保修责任</w:t>
      </w:r>
    </w:p>
    <w:p w14:paraId="292EC824">
      <w:pPr>
        <w:adjustRightInd w:val="0"/>
        <w:snapToGrid w:val="0"/>
        <w:spacing w:line="360" w:lineRule="auto"/>
        <w:ind w:firstLine="430" w:firstLineChars="205"/>
        <w:rPr>
          <w:rFonts w:hint="eastAsia" w:ascii="宋体" w:hAnsi="宋体" w:cs="宋体"/>
          <w:color w:val="auto"/>
          <w:szCs w:val="21"/>
          <w:highlight w:val="none"/>
        </w:rPr>
      </w:pPr>
      <w:r>
        <w:rPr>
          <w:rFonts w:hint="eastAsia" w:ascii="宋体" w:hAnsi="宋体" w:cs="宋体"/>
          <w:color w:val="auto"/>
          <w:szCs w:val="21"/>
          <w:highlight w:val="none"/>
        </w:rPr>
        <w:t>1. 属于保修范围、内容的项目，承包人应当在接到保修通知之日起7天内派人保修。承包人不在约定期限内派人保修的，发包人可以委托他人修理。</w:t>
      </w:r>
    </w:p>
    <w:p w14:paraId="6F2D721B">
      <w:pPr>
        <w:adjustRightInd w:val="0"/>
        <w:snapToGrid w:val="0"/>
        <w:spacing w:line="360" w:lineRule="auto"/>
        <w:ind w:firstLine="430" w:firstLineChars="205"/>
        <w:rPr>
          <w:rFonts w:hint="eastAsia" w:ascii="宋体" w:hAnsi="宋体" w:cs="宋体"/>
          <w:color w:val="auto"/>
          <w:szCs w:val="21"/>
          <w:highlight w:val="none"/>
        </w:rPr>
      </w:pPr>
      <w:r>
        <w:rPr>
          <w:rFonts w:hint="eastAsia" w:ascii="宋体" w:hAnsi="宋体" w:cs="宋体"/>
          <w:color w:val="auto"/>
          <w:szCs w:val="21"/>
          <w:highlight w:val="none"/>
        </w:rPr>
        <w:t>2. 发生紧急事故需抢修的，承包人在接到事故通知后，应当立即到达事故现场抢修。</w:t>
      </w:r>
    </w:p>
    <w:p w14:paraId="7242503E">
      <w:pPr>
        <w:adjustRightInd w:val="0"/>
        <w:snapToGrid w:val="0"/>
        <w:spacing w:line="360" w:lineRule="auto"/>
        <w:ind w:firstLine="430" w:firstLineChars="205"/>
        <w:rPr>
          <w:rFonts w:hint="eastAsia" w:ascii="宋体" w:hAnsi="宋体" w:cs="宋体"/>
          <w:color w:val="auto"/>
          <w:szCs w:val="21"/>
          <w:highlight w:val="none"/>
        </w:rPr>
      </w:pPr>
      <w:r>
        <w:rPr>
          <w:rFonts w:hint="eastAsia" w:ascii="宋体" w:hAnsi="宋体" w:cs="宋体"/>
          <w:color w:val="auto"/>
          <w:szCs w:val="21"/>
          <w:highlight w:val="none"/>
        </w:rPr>
        <w:t>3. 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BB4FBC8">
      <w:pPr>
        <w:adjustRightInd w:val="0"/>
        <w:snapToGrid w:val="0"/>
        <w:spacing w:line="360" w:lineRule="auto"/>
        <w:ind w:firstLine="430" w:firstLineChars="205"/>
        <w:rPr>
          <w:rFonts w:hint="eastAsia" w:ascii="宋体" w:hAnsi="宋体" w:cs="宋体"/>
          <w:color w:val="auto"/>
          <w:szCs w:val="21"/>
          <w:highlight w:val="none"/>
        </w:rPr>
      </w:pPr>
      <w:r>
        <w:rPr>
          <w:rFonts w:hint="eastAsia" w:ascii="宋体" w:hAnsi="宋体" w:cs="宋体"/>
          <w:color w:val="auto"/>
          <w:szCs w:val="21"/>
          <w:highlight w:val="none"/>
        </w:rPr>
        <w:t>4. 质量保修完成后，由发包人组织验收。</w:t>
      </w:r>
    </w:p>
    <w:p w14:paraId="19643CE4">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五、保修费用</w:t>
      </w:r>
    </w:p>
    <w:p w14:paraId="3485A8F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保修费用由造成质量缺陷的责任方承担。</w:t>
      </w:r>
    </w:p>
    <w:p w14:paraId="688608C1">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六、双方约定的其他工程质量保修事项：</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w:t>
      </w:r>
    </w:p>
    <w:p w14:paraId="7587D0B7">
      <w:pPr>
        <w:adjustRightInd w:val="0"/>
        <w:snapToGrid w:val="0"/>
        <w:spacing w:line="360" w:lineRule="auto"/>
        <w:ind w:firstLine="399" w:firstLineChars="190"/>
        <w:rPr>
          <w:rFonts w:hint="eastAsia" w:ascii="宋体" w:hAnsi="宋体" w:cs="宋体"/>
          <w:color w:val="auto"/>
          <w:szCs w:val="21"/>
          <w:highlight w:val="none"/>
        </w:rPr>
      </w:pPr>
      <w:r>
        <w:rPr>
          <w:rFonts w:hint="eastAsia" w:ascii="宋体" w:hAnsi="宋体" w:cs="宋体"/>
          <w:color w:val="auto"/>
          <w:szCs w:val="21"/>
          <w:highlight w:val="none"/>
        </w:rPr>
        <w:t>工程质量保修书由发包人、承包人在工程竣工验收前共同签署，作为施工合同附件，其有效期限至保修期满。</w:t>
      </w:r>
    </w:p>
    <w:p w14:paraId="358A67C8">
      <w:pPr>
        <w:adjustRightInd w:val="0"/>
        <w:snapToGrid w:val="0"/>
        <w:spacing w:line="360" w:lineRule="auto"/>
        <w:ind w:firstLine="420"/>
        <w:rPr>
          <w:rFonts w:hint="eastAsia" w:ascii="宋体" w:hAnsi="宋体" w:cs="宋体"/>
          <w:color w:val="auto"/>
          <w:szCs w:val="21"/>
          <w:highlight w:val="none"/>
        </w:rPr>
      </w:pPr>
    </w:p>
    <w:p w14:paraId="36076C49">
      <w:pPr>
        <w:adjustRightInd w:val="0"/>
        <w:snapToGrid w:val="0"/>
        <w:spacing w:line="360" w:lineRule="auto"/>
        <w:ind w:firstLine="420"/>
        <w:rPr>
          <w:rFonts w:hint="eastAsia" w:ascii="宋体" w:hAnsi="宋体" w:cs="宋体"/>
          <w:color w:val="auto"/>
          <w:szCs w:val="21"/>
          <w:highlight w:val="none"/>
        </w:rPr>
      </w:pPr>
    </w:p>
    <w:p w14:paraId="3696E431">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发包人(公章)：</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承包人(公章)：</w:t>
      </w:r>
      <w:r>
        <w:rPr>
          <w:rFonts w:hint="eastAsia" w:ascii="宋体" w:hAnsi="宋体" w:cs="宋体"/>
          <w:color w:val="auto"/>
          <w:szCs w:val="21"/>
          <w:highlight w:val="none"/>
          <w:u w:val="single"/>
        </w:rPr>
        <w:t xml:space="preserve">           </w:t>
      </w:r>
    </w:p>
    <w:p w14:paraId="7B28FFC8">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w:t>
      </w:r>
    </w:p>
    <w:p w14:paraId="4CA84289">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法定代表人(签字)：</w:t>
      </w:r>
      <w:r>
        <w:rPr>
          <w:rFonts w:hint="eastAsia" w:ascii="宋体" w:hAnsi="宋体" w:cs="宋体"/>
          <w:color w:val="auto"/>
          <w:szCs w:val="21"/>
          <w:highlight w:val="none"/>
          <w:u w:val="single"/>
        </w:rPr>
        <w:t xml:space="preserve">           </w:t>
      </w:r>
    </w:p>
    <w:p w14:paraId="0ABD84DA">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委托代理人(签字)：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委托代理人(签字)：</w:t>
      </w:r>
      <w:r>
        <w:rPr>
          <w:rFonts w:hint="eastAsia" w:ascii="宋体" w:hAnsi="宋体" w:cs="宋体"/>
          <w:color w:val="auto"/>
          <w:szCs w:val="21"/>
          <w:highlight w:val="none"/>
          <w:u w:val="single"/>
        </w:rPr>
        <w:t xml:space="preserve">            </w:t>
      </w:r>
    </w:p>
    <w:p w14:paraId="0B4950E9">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14:paraId="48DAA545">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14:paraId="6C3B7129">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14:paraId="35F49A6E">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14:paraId="58984311">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14:paraId="22078124">
      <w:pPr>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br w:type="page"/>
      </w:r>
    </w:p>
    <w:p w14:paraId="1F047A36">
      <w:pPr>
        <w:keepNext/>
        <w:keepLines/>
        <w:spacing w:before="120" w:after="120" w:line="360" w:lineRule="auto"/>
        <w:jc w:val="left"/>
        <w:outlineLvl w:val="2"/>
        <w:rPr>
          <w:rFonts w:hint="eastAsia" w:ascii="宋体" w:hAnsi="宋体" w:cs="宋体"/>
          <w:bCs/>
          <w:color w:val="auto"/>
          <w:sz w:val="24"/>
          <w:highlight w:val="none"/>
        </w:rPr>
      </w:pPr>
      <w:bookmarkStart w:id="884" w:name="_Toc95223490"/>
      <w:r>
        <w:rPr>
          <w:rFonts w:hint="eastAsia" w:ascii="宋体" w:hAnsi="宋体" w:cs="宋体"/>
          <w:bCs/>
          <w:color w:val="auto"/>
          <w:sz w:val="24"/>
          <w:highlight w:val="none"/>
        </w:rPr>
        <w:t>附件4：主要建设工程文件目录</w:t>
      </w:r>
      <w:bookmarkEnd w:id="884"/>
    </w:p>
    <w:p w14:paraId="204F7D30">
      <w:pPr>
        <w:spacing w:before="120" w:beforeLines="50" w:after="120" w:afterLines="50"/>
        <w:jc w:val="center"/>
        <w:rPr>
          <w:rFonts w:hint="eastAsia" w:ascii="宋体" w:hAnsi="宋体" w:cs="宋体"/>
          <w:color w:val="auto"/>
          <w:szCs w:val="21"/>
          <w:highlight w:val="none"/>
        </w:rPr>
      </w:pPr>
      <w:r>
        <w:rPr>
          <w:rFonts w:hint="eastAsia" w:ascii="宋体" w:hAnsi="宋体" w:cs="宋体"/>
          <w:color w:val="auto"/>
          <w:szCs w:val="21"/>
          <w:highlight w:val="none"/>
        </w:rPr>
        <w:t>主要建设工程文件目录</w:t>
      </w:r>
    </w:p>
    <w:tbl>
      <w:tblPr>
        <w:tblStyle w:val="4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6B02D4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953" w:type="dxa"/>
            <w:tcBorders>
              <w:top w:val="single" w:color="auto" w:sz="12" w:space="0"/>
              <w:bottom w:val="double" w:color="auto" w:sz="6" w:space="0"/>
            </w:tcBorders>
            <w:noWrap w:val="0"/>
            <w:vAlign w:val="center"/>
          </w:tcPr>
          <w:p w14:paraId="4F13F1F0">
            <w:pPr>
              <w:keepNext/>
              <w:rPr>
                <w:rFonts w:hint="eastAsia" w:ascii="宋体" w:hAnsi="宋体" w:cs="宋体"/>
                <w:color w:val="auto"/>
                <w:szCs w:val="21"/>
                <w:highlight w:val="none"/>
              </w:rPr>
            </w:pPr>
            <w:r>
              <w:rPr>
                <w:rFonts w:hint="eastAsia" w:ascii="宋体" w:hAnsi="宋体" w:cs="宋体"/>
                <w:color w:val="auto"/>
                <w:szCs w:val="21"/>
                <w:highlight w:val="none"/>
              </w:rPr>
              <w:t>文件名称</w:t>
            </w:r>
          </w:p>
        </w:tc>
        <w:tc>
          <w:tcPr>
            <w:tcW w:w="1276" w:type="dxa"/>
            <w:tcBorders>
              <w:top w:val="single" w:color="auto" w:sz="12" w:space="0"/>
              <w:bottom w:val="double" w:color="auto" w:sz="6" w:space="0"/>
            </w:tcBorders>
            <w:noWrap w:val="0"/>
            <w:vAlign w:val="center"/>
          </w:tcPr>
          <w:p w14:paraId="5E50F9E3">
            <w:pPr>
              <w:keepNext/>
              <w:rPr>
                <w:rFonts w:hint="eastAsia" w:ascii="宋体" w:hAnsi="宋体" w:cs="宋体"/>
                <w:color w:val="auto"/>
                <w:szCs w:val="21"/>
                <w:highlight w:val="none"/>
              </w:rPr>
            </w:pPr>
            <w:r>
              <w:rPr>
                <w:rFonts w:hint="eastAsia" w:ascii="宋体" w:hAnsi="宋体" w:cs="宋体"/>
                <w:color w:val="auto"/>
                <w:szCs w:val="21"/>
                <w:highlight w:val="none"/>
              </w:rPr>
              <w:t>套数</w:t>
            </w:r>
          </w:p>
        </w:tc>
        <w:tc>
          <w:tcPr>
            <w:tcW w:w="1450" w:type="dxa"/>
            <w:tcBorders>
              <w:top w:val="single" w:color="auto" w:sz="12" w:space="0"/>
              <w:bottom w:val="double" w:color="auto" w:sz="6" w:space="0"/>
            </w:tcBorders>
            <w:noWrap w:val="0"/>
            <w:vAlign w:val="center"/>
          </w:tcPr>
          <w:p w14:paraId="552F9EEB">
            <w:pPr>
              <w:keepNext/>
              <w:rPr>
                <w:rFonts w:hint="eastAsia" w:ascii="宋体" w:hAnsi="宋体" w:cs="宋体"/>
                <w:color w:val="auto"/>
                <w:szCs w:val="21"/>
                <w:highlight w:val="none"/>
              </w:rPr>
            </w:pPr>
            <w:r>
              <w:rPr>
                <w:rFonts w:hint="eastAsia" w:ascii="宋体" w:hAnsi="宋体" w:cs="宋体"/>
                <w:color w:val="auto"/>
                <w:szCs w:val="21"/>
                <w:highlight w:val="none"/>
              </w:rPr>
              <w:t>费用（元）</w:t>
            </w:r>
          </w:p>
        </w:tc>
        <w:tc>
          <w:tcPr>
            <w:tcW w:w="1243" w:type="dxa"/>
            <w:tcBorders>
              <w:top w:val="single" w:color="auto" w:sz="12" w:space="0"/>
              <w:bottom w:val="double" w:color="auto" w:sz="6" w:space="0"/>
            </w:tcBorders>
            <w:noWrap w:val="0"/>
            <w:vAlign w:val="center"/>
          </w:tcPr>
          <w:p w14:paraId="70A6AC27">
            <w:pPr>
              <w:keepNext/>
              <w:rPr>
                <w:rFonts w:hint="eastAsia" w:ascii="宋体" w:hAnsi="宋体" w:cs="宋体"/>
                <w:color w:val="auto"/>
                <w:szCs w:val="21"/>
                <w:highlight w:val="none"/>
              </w:rPr>
            </w:pPr>
            <w:r>
              <w:rPr>
                <w:rFonts w:hint="eastAsia" w:ascii="宋体" w:hAnsi="宋体" w:cs="宋体"/>
                <w:color w:val="auto"/>
                <w:szCs w:val="21"/>
                <w:highlight w:val="none"/>
              </w:rPr>
              <w:t>质量</w:t>
            </w:r>
          </w:p>
        </w:tc>
        <w:tc>
          <w:tcPr>
            <w:tcW w:w="1450" w:type="dxa"/>
            <w:tcBorders>
              <w:top w:val="single" w:color="auto" w:sz="12" w:space="0"/>
              <w:bottom w:val="double" w:color="auto" w:sz="6" w:space="0"/>
            </w:tcBorders>
            <w:noWrap w:val="0"/>
            <w:vAlign w:val="top"/>
          </w:tcPr>
          <w:p w14:paraId="0C1B2003">
            <w:pPr>
              <w:rPr>
                <w:rFonts w:hint="eastAsia" w:ascii="宋体" w:hAnsi="宋体" w:cs="宋体"/>
                <w:color w:val="auto"/>
                <w:szCs w:val="21"/>
                <w:highlight w:val="none"/>
              </w:rPr>
            </w:pPr>
            <w:r>
              <w:rPr>
                <w:rFonts w:hint="eastAsia" w:ascii="宋体" w:hAnsi="宋体" w:cs="宋体"/>
                <w:color w:val="auto"/>
                <w:szCs w:val="21"/>
                <w:highlight w:val="none"/>
              </w:rPr>
              <w:t>移交时间</w:t>
            </w:r>
          </w:p>
        </w:tc>
        <w:tc>
          <w:tcPr>
            <w:tcW w:w="1667" w:type="dxa"/>
            <w:tcBorders>
              <w:top w:val="single" w:color="auto" w:sz="12" w:space="0"/>
              <w:bottom w:val="double" w:color="auto" w:sz="6" w:space="0"/>
            </w:tcBorders>
            <w:noWrap w:val="0"/>
            <w:vAlign w:val="top"/>
          </w:tcPr>
          <w:p w14:paraId="6E237B00">
            <w:pPr>
              <w:rPr>
                <w:rFonts w:hint="eastAsia" w:ascii="宋体" w:hAnsi="宋体" w:cs="宋体"/>
                <w:color w:val="auto"/>
                <w:szCs w:val="21"/>
                <w:highlight w:val="none"/>
              </w:rPr>
            </w:pPr>
            <w:r>
              <w:rPr>
                <w:rFonts w:hint="eastAsia" w:ascii="宋体" w:hAnsi="宋体" w:cs="宋体"/>
                <w:color w:val="auto"/>
                <w:szCs w:val="21"/>
                <w:highlight w:val="none"/>
              </w:rPr>
              <w:t>责任人</w:t>
            </w:r>
          </w:p>
        </w:tc>
      </w:tr>
      <w:tr w14:paraId="698257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double" w:color="auto" w:sz="6" w:space="0"/>
            </w:tcBorders>
            <w:noWrap w:val="0"/>
            <w:vAlign w:val="center"/>
          </w:tcPr>
          <w:p w14:paraId="5A212D43">
            <w:pPr>
              <w:keepNext/>
              <w:rPr>
                <w:rFonts w:hint="eastAsia" w:ascii="宋体" w:hAnsi="宋体" w:cs="宋体"/>
                <w:color w:val="auto"/>
                <w:szCs w:val="21"/>
                <w:highlight w:val="none"/>
              </w:rPr>
            </w:pPr>
          </w:p>
        </w:tc>
        <w:tc>
          <w:tcPr>
            <w:tcW w:w="1276" w:type="dxa"/>
            <w:tcBorders>
              <w:top w:val="double" w:color="auto" w:sz="6" w:space="0"/>
            </w:tcBorders>
            <w:noWrap w:val="0"/>
            <w:vAlign w:val="center"/>
          </w:tcPr>
          <w:p w14:paraId="3C6D7D2A">
            <w:pPr>
              <w:keepNext/>
              <w:rPr>
                <w:rFonts w:hint="eastAsia" w:ascii="宋体" w:hAnsi="宋体" w:cs="宋体"/>
                <w:color w:val="auto"/>
                <w:szCs w:val="21"/>
                <w:highlight w:val="none"/>
              </w:rPr>
            </w:pPr>
          </w:p>
        </w:tc>
        <w:tc>
          <w:tcPr>
            <w:tcW w:w="1450" w:type="dxa"/>
            <w:tcBorders>
              <w:top w:val="double" w:color="auto" w:sz="6" w:space="0"/>
            </w:tcBorders>
            <w:noWrap w:val="0"/>
            <w:vAlign w:val="center"/>
          </w:tcPr>
          <w:p w14:paraId="550CEFC2">
            <w:pPr>
              <w:keepNext/>
              <w:rPr>
                <w:rFonts w:hint="eastAsia" w:ascii="宋体" w:hAnsi="宋体" w:cs="宋体"/>
                <w:color w:val="auto"/>
                <w:szCs w:val="21"/>
                <w:highlight w:val="none"/>
              </w:rPr>
            </w:pPr>
          </w:p>
        </w:tc>
        <w:tc>
          <w:tcPr>
            <w:tcW w:w="1243" w:type="dxa"/>
            <w:tcBorders>
              <w:top w:val="double" w:color="auto" w:sz="6" w:space="0"/>
            </w:tcBorders>
            <w:noWrap w:val="0"/>
            <w:vAlign w:val="center"/>
          </w:tcPr>
          <w:p w14:paraId="4375FC6E">
            <w:pPr>
              <w:keepNext/>
              <w:rPr>
                <w:rFonts w:hint="eastAsia" w:ascii="宋体" w:hAnsi="宋体" w:cs="宋体"/>
                <w:color w:val="auto"/>
                <w:szCs w:val="21"/>
                <w:highlight w:val="none"/>
              </w:rPr>
            </w:pPr>
          </w:p>
        </w:tc>
        <w:tc>
          <w:tcPr>
            <w:tcW w:w="1450" w:type="dxa"/>
            <w:tcBorders>
              <w:top w:val="double" w:color="auto" w:sz="6" w:space="0"/>
            </w:tcBorders>
            <w:noWrap w:val="0"/>
            <w:vAlign w:val="center"/>
          </w:tcPr>
          <w:p w14:paraId="3E76D2FE">
            <w:pPr>
              <w:keepNext/>
              <w:rPr>
                <w:rFonts w:hint="eastAsia" w:ascii="宋体" w:hAnsi="宋体" w:cs="宋体"/>
                <w:color w:val="auto"/>
                <w:szCs w:val="21"/>
                <w:highlight w:val="none"/>
              </w:rPr>
            </w:pPr>
          </w:p>
        </w:tc>
        <w:tc>
          <w:tcPr>
            <w:tcW w:w="1667" w:type="dxa"/>
            <w:tcBorders>
              <w:top w:val="double" w:color="auto" w:sz="6" w:space="0"/>
            </w:tcBorders>
            <w:noWrap w:val="0"/>
            <w:vAlign w:val="center"/>
          </w:tcPr>
          <w:p w14:paraId="533C31AA">
            <w:pPr>
              <w:keepNext/>
              <w:rPr>
                <w:rFonts w:hint="eastAsia" w:ascii="宋体" w:hAnsi="宋体" w:cs="宋体"/>
                <w:color w:val="auto"/>
                <w:szCs w:val="21"/>
                <w:highlight w:val="none"/>
              </w:rPr>
            </w:pPr>
          </w:p>
        </w:tc>
      </w:tr>
      <w:tr w14:paraId="3928F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nil"/>
            </w:tcBorders>
            <w:noWrap w:val="0"/>
            <w:vAlign w:val="center"/>
          </w:tcPr>
          <w:p w14:paraId="72B1E850">
            <w:pPr>
              <w:keepNext/>
              <w:rPr>
                <w:rFonts w:hint="eastAsia" w:ascii="宋体" w:hAnsi="宋体" w:cs="宋体"/>
                <w:color w:val="auto"/>
                <w:szCs w:val="21"/>
                <w:highlight w:val="none"/>
              </w:rPr>
            </w:pPr>
          </w:p>
        </w:tc>
        <w:tc>
          <w:tcPr>
            <w:tcW w:w="1276" w:type="dxa"/>
            <w:tcBorders>
              <w:top w:val="nil"/>
            </w:tcBorders>
            <w:noWrap w:val="0"/>
            <w:vAlign w:val="center"/>
          </w:tcPr>
          <w:p w14:paraId="731F9C29">
            <w:pPr>
              <w:keepNext/>
              <w:rPr>
                <w:rFonts w:hint="eastAsia" w:ascii="宋体" w:hAnsi="宋体" w:cs="宋体"/>
                <w:color w:val="auto"/>
                <w:szCs w:val="21"/>
                <w:highlight w:val="none"/>
              </w:rPr>
            </w:pPr>
          </w:p>
        </w:tc>
        <w:tc>
          <w:tcPr>
            <w:tcW w:w="1450" w:type="dxa"/>
            <w:tcBorders>
              <w:top w:val="nil"/>
            </w:tcBorders>
            <w:noWrap w:val="0"/>
            <w:vAlign w:val="center"/>
          </w:tcPr>
          <w:p w14:paraId="0B3D3F66">
            <w:pPr>
              <w:keepNext/>
              <w:rPr>
                <w:rFonts w:hint="eastAsia" w:ascii="宋体" w:hAnsi="宋体" w:cs="宋体"/>
                <w:color w:val="auto"/>
                <w:szCs w:val="21"/>
                <w:highlight w:val="none"/>
              </w:rPr>
            </w:pPr>
          </w:p>
        </w:tc>
        <w:tc>
          <w:tcPr>
            <w:tcW w:w="1243" w:type="dxa"/>
            <w:tcBorders>
              <w:top w:val="nil"/>
            </w:tcBorders>
            <w:noWrap w:val="0"/>
            <w:vAlign w:val="center"/>
          </w:tcPr>
          <w:p w14:paraId="2B8C277B">
            <w:pPr>
              <w:keepNext/>
              <w:rPr>
                <w:rFonts w:hint="eastAsia" w:ascii="宋体" w:hAnsi="宋体" w:cs="宋体"/>
                <w:color w:val="auto"/>
                <w:szCs w:val="21"/>
                <w:highlight w:val="none"/>
              </w:rPr>
            </w:pPr>
          </w:p>
        </w:tc>
        <w:tc>
          <w:tcPr>
            <w:tcW w:w="1450" w:type="dxa"/>
            <w:tcBorders>
              <w:top w:val="nil"/>
            </w:tcBorders>
            <w:noWrap w:val="0"/>
            <w:vAlign w:val="center"/>
          </w:tcPr>
          <w:p w14:paraId="49051088">
            <w:pPr>
              <w:keepNext/>
              <w:rPr>
                <w:rFonts w:hint="eastAsia" w:ascii="宋体" w:hAnsi="宋体" w:cs="宋体"/>
                <w:color w:val="auto"/>
                <w:szCs w:val="21"/>
                <w:highlight w:val="none"/>
              </w:rPr>
            </w:pPr>
          </w:p>
        </w:tc>
        <w:tc>
          <w:tcPr>
            <w:tcW w:w="1667" w:type="dxa"/>
            <w:tcBorders>
              <w:top w:val="nil"/>
            </w:tcBorders>
            <w:noWrap w:val="0"/>
            <w:vAlign w:val="center"/>
          </w:tcPr>
          <w:p w14:paraId="102B6286">
            <w:pPr>
              <w:keepNext/>
              <w:rPr>
                <w:rFonts w:hint="eastAsia" w:ascii="宋体" w:hAnsi="宋体" w:cs="宋体"/>
                <w:color w:val="auto"/>
                <w:szCs w:val="21"/>
                <w:highlight w:val="none"/>
              </w:rPr>
            </w:pPr>
          </w:p>
        </w:tc>
      </w:tr>
      <w:tr w14:paraId="4E8C9D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4B456179">
            <w:pPr>
              <w:rPr>
                <w:rFonts w:hint="eastAsia" w:ascii="宋体" w:hAnsi="宋体" w:cs="宋体"/>
                <w:color w:val="auto"/>
                <w:szCs w:val="21"/>
                <w:highlight w:val="none"/>
              </w:rPr>
            </w:pPr>
          </w:p>
        </w:tc>
        <w:tc>
          <w:tcPr>
            <w:tcW w:w="1276" w:type="dxa"/>
            <w:noWrap w:val="0"/>
            <w:vAlign w:val="top"/>
          </w:tcPr>
          <w:p w14:paraId="23631F2C">
            <w:pPr>
              <w:rPr>
                <w:rFonts w:hint="eastAsia" w:ascii="宋体" w:hAnsi="宋体" w:cs="宋体"/>
                <w:color w:val="auto"/>
                <w:szCs w:val="21"/>
                <w:highlight w:val="none"/>
              </w:rPr>
            </w:pPr>
          </w:p>
        </w:tc>
        <w:tc>
          <w:tcPr>
            <w:tcW w:w="1450" w:type="dxa"/>
            <w:noWrap w:val="0"/>
            <w:vAlign w:val="top"/>
          </w:tcPr>
          <w:p w14:paraId="7930B18C">
            <w:pPr>
              <w:rPr>
                <w:rFonts w:hint="eastAsia" w:ascii="宋体" w:hAnsi="宋体" w:cs="宋体"/>
                <w:color w:val="auto"/>
                <w:szCs w:val="21"/>
                <w:highlight w:val="none"/>
              </w:rPr>
            </w:pPr>
          </w:p>
        </w:tc>
        <w:tc>
          <w:tcPr>
            <w:tcW w:w="1243" w:type="dxa"/>
            <w:noWrap w:val="0"/>
            <w:vAlign w:val="top"/>
          </w:tcPr>
          <w:p w14:paraId="54E0D7A1">
            <w:pPr>
              <w:rPr>
                <w:rFonts w:hint="eastAsia" w:ascii="宋体" w:hAnsi="宋体" w:cs="宋体"/>
                <w:color w:val="auto"/>
                <w:szCs w:val="21"/>
                <w:highlight w:val="none"/>
              </w:rPr>
            </w:pPr>
          </w:p>
        </w:tc>
        <w:tc>
          <w:tcPr>
            <w:tcW w:w="1450" w:type="dxa"/>
            <w:noWrap w:val="0"/>
            <w:vAlign w:val="top"/>
          </w:tcPr>
          <w:p w14:paraId="7ACEF08D">
            <w:pPr>
              <w:rPr>
                <w:rFonts w:hint="eastAsia" w:ascii="宋体" w:hAnsi="宋体" w:cs="宋体"/>
                <w:color w:val="auto"/>
                <w:szCs w:val="21"/>
                <w:highlight w:val="none"/>
              </w:rPr>
            </w:pPr>
          </w:p>
        </w:tc>
        <w:tc>
          <w:tcPr>
            <w:tcW w:w="1667" w:type="dxa"/>
            <w:noWrap w:val="0"/>
            <w:vAlign w:val="top"/>
          </w:tcPr>
          <w:p w14:paraId="099ACF0B">
            <w:pPr>
              <w:rPr>
                <w:rFonts w:hint="eastAsia" w:ascii="宋体" w:hAnsi="宋体" w:cs="宋体"/>
                <w:color w:val="auto"/>
                <w:szCs w:val="21"/>
                <w:highlight w:val="none"/>
              </w:rPr>
            </w:pPr>
          </w:p>
        </w:tc>
      </w:tr>
      <w:tr w14:paraId="4FE12D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14:paraId="5884A1D2">
            <w:pPr>
              <w:rPr>
                <w:rFonts w:hint="eastAsia" w:ascii="宋体" w:hAnsi="宋体" w:cs="宋体"/>
                <w:color w:val="auto"/>
                <w:szCs w:val="21"/>
                <w:highlight w:val="none"/>
              </w:rPr>
            </w:pPr>
          </w:p>
        </w:tc>
        <w:tc>
          <w:tcPr>
            <w:tcW w:w="1276" w:type="dxa"/>
            <w:noWrap w:val="0"/>
            <w:vAlign w:val="top"/>
          </w:tcPr>
          <w:p w14:paraId="0F5358A1">
            <w:pPr>
              <w:rPr>
                <w:rFonts w:hint="eastAsia" w:ascii="宋体" w:hAnsi="宋体" w:cs="宋体"/>
                <w:color w:val="auto"/>
                <w:szCs w:val="21"/>
                <w:highlight w:val="none"/>
              </w:rPr>
            </w:pPr>
          </w:p>
        </w:tc>
        <w:tc>
          <w:tcPr>
            <w:tcW w:w="1450" w:type="dxa"/>
            <w:noWrap w:val="0"/>
            <w:vAlign w:val="top"/>
          </w:tcPr>
          <w:p w14:paraId="3C5E5F41">
            <w:pPr>
              <w:rPr>
                <w:rFonts w:hint="eastAsia" w:ascii="宋体" w:hAnsi="宋体" w:cs="宋体"/>
                <w:color w:val="auto"/>
                <w:szCs w:val="21"/>
                <w:highlight w:val="none"/>
              </w:rPr>
            </w:pPr>
          </w:p>
        </w:tc>
        <w:tc>
          <w:tcPr>
            <w:tcW w:w="1243" w:type="dxa"/>
            <w:noWrap w:val="0"/>
            <w:vAlign w:val="top"/>
          </w:tcPr>
          <w:p w14:paraId="79621580">
            <w:pPr>
              <w:rPr>
                <w:rFonts w:hint="eastAsia" w:ascii="宋体" w:hAnsi="宋体" w:cs="宋体"/>
                <w:color w:val="auto"/>
                <w:szCs w:val="21"/>
                <w:highlight w:val="none"/>
              </w:rPr>
            </w:pPr>
          </w:p>
        </w:tc>
        <w:tc>
          <w:tcPr>
            <w:tcW w:w="1450" w:type="dxa"/>
            <w:noWrap w:val="0"/>
            <w:vAlign w:val="top"/>
          </w:tcPr>
          <w:p w14:paraId="48A64FF9">
            <w:pPr>
              <w:rPr>
                <w:rFonts w:hint="eastAsia" w:ascii="宋体" w:hAnsi="宋体" w:cs="宋体"/>
                <w:color w:val="auto"/>
                <w:szCs w:val="21"/>
                <w:highlight w:val="none"/>
              </w:rPr>
            </w:pPr>
          </w:p>
        </w:tc>
        <w:tc>
          <w:tcPr>
            <w:tcW w:w="1667" w:type="dxa"/>
            <w:noWrap w:val="0"/>
            <w:vAlign w:val="top"/>
          </w:tcPr>
          <w:p w14:paraId="354990D4">
            <w:pPr>
              <w:rPr>
                <w:rFonts w:hint="eastAsia" w:ascii="宋体" w:hAnsi="宋体" w:cs="宋体"/>
                <w:color w:val="auto"/>
                <w:szCs w:val="21"/>
                <w:highlight w:val="none"/>
              </w:rPr>
            </w:pPr>
          </w:p>
        </w:tc>
      </w:tr>
      <w:tr w14:paraId="55324E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bottom w:val="single" w:color="auto" w:sz="12" w:space="0"/>
            </w:tcBorders>
            <w:noWrap w:val="0"/>
            <w:vAlign w:val="top"/>
          </w:tcPr>
          <w:p w14:paraId="729AC42E">
            <w:pPr>
              <w:rPr>
                <w:rFonts w:hint="eastAsia" w:ascii="宋体" w:hAnsi="宋体" w:cs="宋体"/>
                <w:color w:val="auto"/>
                <w:szCs w:val="21"/>
                <w:highlight w:val="none"/>
              </w:rPr>
            </w:pPr>
          </w:p>
        </w:tc>
        <w:tc>
          <w:tcPr>
            <w:tcW w:w="1276" w:type="dxa"/>
            <w:tcBorders>
              <w:bottom w:val="single" w:color="auto" w:sz="12" w:space="0"/>
            </w:tcBorders>
            <w:noWrap w:val="0"/>
            <w:vAlign w:val="top"/>
          </w:tcPr>
          <w:p w14:paraId="06DC1260">
            <w:pPr>
              <w:rPr>
                <w:rFonts w:hint="eastAsia" w:ascii="宋体" w:hAnsi="宋体" w:cs="宋体"/>
                <w:color w:val="auto"/>
                <w:szCs w:val="21"/>
                <w:highlight w:val="none"/>
              </w:rPr>
            </w:pPr>
          </w:p>
        </w:tc>
        <w:tc>
          <w:tcPr>
            <w:tcW w:w="1450" w:type="dxa"/>
            <w:tcBorders>
              <w:bottom w:val="single" w:color="auto" w:sz="12" w:space="0"/>
            </w:tcBorders>
            <w:noWrap w:val="0"/>
            <w:vAlign w:val="top"/>
          </w:tcPr>
          <w:p w14:paraId="3ABC2D5F">
            <w:pPr>
              <w:rPr>
                <w:rFonts w:hint="eastAsia" w:ascii="宋体" w:hAnsi="宋体" w:cs="宋体"/>
                <w:color w:val="auto"/>
                <w:szCs w:val="21"/>
                <w:highlight w:val="none"/>
              </w:rPr>
            </w:pPr>
          </w:p>
        </w:tc>
        <w:tc>
          <w:tcPr>
            <w:tcW w:w="1243" w:type="dxa"/>
            <w:tcBorders>
              <w:bottom w:val="single" w:color="auto" w:sz="12" w:space="0"/>
            </w:tcBorders>
            <w:noWrap w:val="0"/>
            <w:vAlign w:val="top"/>
          </w:tcPr>
          <w:p w14:paraId="4F0A1FFB">
            <w:pPr>
              <w:rPr>
                <w:rFonts w:hint="eastAsia" w:ascii="宋体" w:hAnsi="宋体" w:cs="宋体"/>
                <w:color w:val="auto"/>
                <w:szCs w:val="21"/>
                <w:highlight w:val="none"/>
              </w:rPr>
            </w:pPr>
          </w:p>
        </w:tc>
        <w:tc>
          <w:tcPr>
            <w:tcW w:w="1450" w:type="dxa"/>
            <w:tcBorders>
              <w:bottom w:val="single" w:color="auto" w:sz="12" w:space="0"/>
            </w:tcBorders>
            <w:noWrap w:val="0"/>
            <w:vAlign w:val="top"/>
          </w:tcPr>
          <w:p w14:paraId="3D680CEB">
            <w:pPr>
              <w:rPr>
                <w:rFonts w:hint="eastAsia" w:ascii="宋体" w:hAnsi="宋体" w:cs="宋体"/>
                <w:color w:val="auto"/>
                <w:szCs w:val="21"/>
                <w:highlight w:val="none"/>
              </w:rPr>
            </w:pPr>
          </w:p>
        </w:tc>
        <w:tc>
          <w:tcPr>
            <w:tcW w:w="1667" w:type="dxa"/>
            <w:tcBorders>
              <w:bottom w:val="single" w:color="auto" w:sz="12" w:space="0"/>
            </w:tcBorders>
            <w:noWrap w:val="0"/>
            <w:vAlign w:val="top"/>
          </w:tcPr>
          <w:p w14:paraId="2BD6CC2D">
            <w:pPr>
              <w:rPr>
                <w:rFonts w:hint="eastAsia" w:ascii="宋体" w:hAnsi="宋体" w:cs="宋体"/>
                <w:color w:val="auto"/>
                <w:szCs w:val="21"/>
                <w:highlight w:val="none"/>
              </w:rPr>
            </w:pPr>
          </w:p>
        </w:tc>
      </w:tr>
    </w:tbl>
    <w:p w14:paraId="6F102B0C">
      <w:pPr>
        <w:rPr>
          <w:rFonts w:hint="eastAsia" w:ascii="宋体" w:hAnsi="宋体" w:cs="宋体"/>
          <w:color w:val="auto"/>
          <w:szCs w:val="21"/>
          <w:highlight w:val="none"/>
        </w:rPr>
      </w:pPr>
    </w:p>
    <w:p w14:paraId="2098DAB8">
      <w:pPr>
        <w:keepNext/>
        <w:keepLines/>
        <w:spacing w:before="120" w:after="120" w:line="360" w:lineRule="auto"/>
        <w:jc w:val="left"/>
        <w:outlineLvl w:val="2"/>
        <w:rPr>
          <w:rFonts w:hint="eastAsia" w:ascii="宋体" w:hAnsi="宋体" w:cs="宋体"/>
          <w:bCs/>
          <w:color w:val="auto"/>
          <w:sz w:val="24"/>
          <w:highlight w:val="none"/>
        </w:rPr>
      </w:pPr>
      <w:bookmarkStart w:id="885" w:name="_Toc95223491"/>
      <w:r>
        <w:rPr>
          <w:rFonts w:hint="eastAsia" w:ascii="宋体" w:hAnsi="宋体" w:cs="宋体"/>
          <w:bCs/>
          <w:color w:val="auto"/>
          <w:sz w:val="24"/>
          <w:highlight w:val="none"/>
        </w:rPr>
        <w:t>附</w:t>
      </w:r>
      <w:bookmarkStart w:id="886" w:name="_Toc296346728"/>
      <w:bookmarkStart w:id="887" w:name="_Toc296891267"/>
      <w:bookmarkStart w:id="888" w:name="_Toc296891055"/>
      <w:bookmarkStart w:id="889" w:name="_Toc296347226"/>
      <w:bookmarkStart w:id="890" w:name="_Toc267261698"/>
      <w:bookmarkStart w:id="891" w:name="_Toc296503227"/>
      <w:bookmarkStart w:id="892" w:name="_Toc296944566"/>
      <w:r>
        <w:rPr>
          <w:rFonts w:hint="eastAsia" w:ascii="宋体" w:hAnsi="宋体" w:cs="宋体"/>
          <w:bCs/>
          <w:color w:val="auto"/>
          <w:sz w:val="24"/>
          <w:highlight w:val="none"/>
        </w:rPr>
        <w:t>件5：承包人用于本工程施工的机械设备表</w:t>
      </w:r>
      <w:bookmarkEnd w:id="885"/>
    </w:p>
    <w:bookmarkEnd w:id="886"/>
    <w:bookmarkEnd w:id="887"/>
    <w:bookmarkEnd w:id="888"/>
    <w:bookmarkEnd w:id="889"/>
    <w:bookmarkEnd w:id="890"/>
    <w:bookmarkEnd w:id="891"/>
    <w:bookmarkEnd w:id="892"/>
    <w:p w14:paraId="14404A2D">
      <w:pPr>
        <w:spacing w:before="120" w:beforeLines="50" w:after="120" w:afterLines="50"/>
        <w:jc w:val="center"/>
        <w:rPr>
          <w:rFonts w:hint="eastAsia" w:ascii="宋体" w:hAnsi="宋体" w:cs="宋体"/>
          <w:color w:val="auto"/>
          <w:szCs w:val="21"/>
          <w:highlight w:val="none"/>
        </w:rPr>
      </w:pPr>
      <w:r>
        <w:rPr>
          <w:rFonts w:hint="eastAsia" w:ascii="宋体" w:hAnsi="宋体" w:cs="宋体"/>
          <w:color w:val="auto"/>
          <w:szCs w:val="21"/>
          <w:highlight w:val="none"/>
        </w:rPr>
        <w:t>承包人用于本工程施工的机械设备表</w:t>
      </w:r>
    </w:p>
    <w:tbl>
      <w:tblPr>
        <w:tblStyle w:val="47"/>
        <w:tblW w:w="895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7"/>
        <w:gridCol w:w="1418"/>
        <w:gridCol w:w="850"/>
        <w:gridCol w:w="709"/>
        <w:gridCol w:w="850"/>
        <w:gridCol w:w="963"/>
        <w:gridCol w:w="1480"/>
        <w:gridCol w:w="1020"/>
        <w:gridCol w:w="932"/>
      </w:tblGrid>
      <w:tr w14:paraId="7A25D8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737" w:type="dxa"/>
            <w:tcBorders>
              <w:top w:val="single" w:color="auto" w:sz="12" w:space="0"/>
              <w:bottom w:val="double" w:color="auto" w:sz="6" w:space="0"/>
            </w:tcBorders>
            <w:noWrap w:val="0"/>
            <w:vAlign w:val="center"/>
          </w:tcPr>
          <w:p w14:paraId="60E13898">
            <w:pPr>
              <w:keepNext/>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418" w:type="dxa"/>
            <w:tcBorders>
              <w:top w:val="single" w:color="auto" w:sz="12" w:space="0"/>
              <w:bottom w:val="double" w:color="auto" w:sz="6" w:space="0"/>
            </w:tcBorders>
            <w:noWrap w:val="0"/>
            <w:vAlign w:val="center"/>
          </w:tcPr>
          <w:p w14:paraId="1324526D">
            <w:pPr>
              <w:keepNext/>
              <w:rPr>
                <w:rFonts w:hint="eastAsia" w:ascii="宋体" w:hAnsi="宋体" w:cs="宋体"/>
                <w:color w:val="auto"/>
                <w:szCs w:val="21"/>
                <w:highlight w:val="none"/>
              </w:rPr>
            </w:pPr>
            <w:r>
              <w:rPr>
                <w:rFonts w:hint="eastAsia" w:ascii="宋体" w:hAnsi="宋体" w:cs="宋体"/>
                <w:color w:val="auto"/>
                <w:szCs w:val="21"/>
                <w:highlight w:val="none"/>
              </w:rPr>
              <w:t>机械或设备名称</w:t>
            </w:r>
          </w:p>
        </w:tc>
        <w:tc>
          <w:tcPr>
            <w:tcW w:w="850" w:type="dxa"/>
            <w:tcBorders>
              <w:top w:val="single" w:color="auto" w:sz="12" w:space="0"/>
              <w:bottom w:val="double" w:color="auto" w:sz="6" w:space="0"/>
            </w:tcBorders>
            <w:noWrap w:val="0"/>
            <w:vAlign w:val="center"/>
          </w:tcPr>
          <w:p w14:paraId="00DED29D">
            <w:pPr>
              <w:keepNext/>
              <w:rPr>
                <w:rFonts w:hint="eastAsia" w:ascii="宋体" w:hAnsi="宋体" w:cs="宋体"/>
                <w:color w:val="auto"/>
                <w:szCs w:val="21"/>
                <w:highlight w:val="none"/>
              </w:rPr>
            </w:pPr>
            <w:r>
              <w:rPr>
                <w:rFonts w:hint="eastAsia" w:ascii="宋体" w:hAnsi="宋体" w:cs="宋体"/>
                <w:color w:val="auto"/>
                <w:szCs w:val="21"/>
                <w:highlight w:val="none"/>
              </w:rPr>
              <w:t>规格型号</w:t>
            </w:r>
          </w:p>
        </w:tc>
        <w:tc>
          <w:tcPr>
            <w:tcW w:w="709" w:type="dxa"/>
            <w:tcBorders>
              <w:top w:val="single" w:color="auto" w:sz="12" w:space="0"/>
              <w:bottom w:val="double" w:color="auto" w:sz="6" w:space="0"/>
            </w:tcBorders>
            <w:noWrap w:val="0"/>
            <w:vAlign w:val="center"/>
          </w:tcPr>
          <w:p w14:paraId="082F1394">
            <w:pPr>
              <w:keepNext/>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850" w:type="dxa"/>
            <w:tcBorders>
              <w:top w:val="single" w:color="auto" w:sz="12" w:space="0"/>
              <w:bottom w:val="double" w:color="auto" w:sz="6" w:space="0"/>
            </w:tcBorders>
            <w:noWrap w:val="0"/>
            <w:vAlign w:val="center"/>
          </w:tcPr>
          <w:p w14:paraId="1C472879">
            <w:pPr>
              <w:keepNext/>
              <w:rPr>
                <w:rFonts w:hint="eastAsia" w:ascii="宋体" w:hAnsi="宋体" w:cs="宋体"/>
                <w:color w:val="auto"/>
                <w:szCs w:val="21"/>
                <w:highlight w:val="none"/>
              </w:rPr>
            </w:pPr>
            <w:r>
              <w:rPr>
                <w:rFonts w:hint="eastAsia" w:ascii="宋体" w:hAnsi="宋体" w:cs="宋体"/>
                <w:color w:val="auto"/>
                <w:szCs w:val="21"/>
                <w:highlight w:val="none"/>
              </w:rPr>
              <w:t>产地</w:t>
            </w:r>
          </w:p>
        </w:tc>
        <w:tc>
          <w:tcPr>
            <w:tcW w:w="963" w:type="dxa"/>
            <w:tcBorders>
              <w:top w:val="single" w:color="auto" w:sz="12" w:space="0"/>
              <w:bottom w:val="double" w:color="auto" w:sz="6" w:space="0"/>
            </w:tcBorders>
            <w:noWrap w:val="0"/>
            <w:vAlign w:val="center"/>
          </w:tcPr>
          <w:p w14:paraId="01E23222">
            <w:pPr>
              <w:keepNext/>
              <w:rPr>
                <w:rFonts w:hint="eastAsia" w:ascii="宋体" w:hAnsi="宋体" w:cs="宋体"/>
                <w:color w:val="auto"/>
                <w:szCs w:val="21"/>
                <w:highlight w:val="none"/>
              </w:rPr>
            </w:pPr>
            <w:r>
              <w:rPr>
                <w:rFonts w:hint="eastAsia" w:ascii="宋体" w:hAnsi="宋体" w:cs="宋体"/>
                <w:color w:val="auto"/>
                <w:szCs w:val="21"/>
                <w:highlight w:val="none"/>
              </w:rPr>
              <w:t>制造年份</w:t>
            </w:r>
          </w:p>
        </w:tc>
        <w:tc>
          <w:tcPr>
            <w:tcW w:w="1480" w:type="dxa"/>
            <w:tcBorders>
              <w:top w:val="single" w:color="auto" w:sz="12" w:space="0"/>
              <w:bottom w:val="double" w:color="auto" w:sz="6" w:space="0"/>
            </w:tcBorders>
            <w:noWrap w:val="0"/>
            <w:vAlign w:val="center"/>
          </w:tcPr>
          <w:p w14:paraId="4D6538D3">
            <w:pPr>
              <w:keepNext/>
              <w:rPr>
                <w:rFonts w:hint="eastAsia" w:ascii="宋体" w:hAnsi="宋体" w:cs="宋体"/>
                <w:color w:val="auto"/>
                <w:szCs w:val="21"/>
                <w:highlight w:val="none"/>
              </w:rPr>
            </w:pPr>
            <w:r>
              <w:rPr>
                <w:rFonts w:hint="eastAsia" w:ascii="宋体" w:hAnsi="宋体" w:cs="宋体"/>
                <w:color w:val="auto"/>
                <w:szCs w:val="21"/>
                <w:highlight w:val="none"/>
              </w:rPr>
              <w:t>额定功率(kW)</w:t>
            </w:r>
          </w:p>
        </w:tc>
        <w:tc>
          <w:tcPr>
            <w:tcW w:w="1020" w:type="dxa"/>
            <w:tcBorders>
              <w:top w:val="single" w:color="auto" w:sz="12" w:space="0"/>
              <w:bottom w:val="double" w:color="auto" w:sz="6" w:space="0"/>
            </w:tcBorders>
            <w:noWrap w:val="0"/>
            <w:vAlign w:val="center"/>
          </w:tcPr>
          <w:p w14:paraId="4A63501F">
            <w:pPr>
              <w:keepNext/>
              <w:rPr>
                <w:rFonts w:hint="eastAsia" w:ascii="宋体" w:hAnsi="宋体" w:cs="宋体"/>
                <w:color w:val="auto"/>
                <w:szCs w:val="21"/>
                <w:highlight w:val="none"/>
              </w:rPr>
            </w:pPr>
            <w:r>
              <w:rPr>
                <w:rFonts w:hint="eastAsia" w:ascii="宋体" w:hAnsi="宋体" w:cs="宋体"/>
                <w:color w:val="auto"/>
                <w:szCs w:val="21"/>
                <w:highlight w:val="none"/>
              </w:rPr>
              <w:t>生产能力</w:t>
            </w:r>
          </w:p>
        </w:tc>
        <w:tc>
          <w:tcPr>
            <w:tcW w:w="932" w:type="dxa"/>
            <w:tcBorders>
              <w:top w:val="single" w:color="auto" w:sz="12" w:space="0"/>
              <w:bottom w:val="double" w:color="auto" w:sz="6" w:space="0"/>
            </w:tcBorders>
            <w:noWrap w:val="0"/>
            <w:vAlign w:val="center"/>
          </w:tcPr>
          <w:p w14:paraId="44036839">
            <w:pPr>
              <w:keepNext/>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012D92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double" w:color="auto" w:sz="6" w:space="0"/>
            </w:tcBorders>
            <w:noWrap w:val="0"/>
            <w:vAlign w:val="center"/>
          </w:tcPr>
          <w:p w14:paraId="04FC182C">
            <w:pPr>
              <w:keepNext/>
              <w:rPr>
                <w:rFonts w:hint="eastAsia" w:ascii="宋体" w:hAnsi="宋体" w:cs="宋体"/>
                <w:color w:val="auto"/>
                <w:szCs w:val="21"/>
                <w:highlight w:val="none"/>
              </w:rPr>
            </w:pPr>
          </w:p>
        </w:tc>
        <w:tc>
          <w:tcPr>
            <w:tcW w:w="1418" w:type="dxa"/>
            <w:tcBorders>
              <w:top w:val="double" w:color="auto" w:sz="6" w:space="0"/>
            </w:tcBorders>
            <w:noWrap w:val="0"/>
            <w:vAlign w:val="center"/>
          </w:tcPr>
          <w:p w14:paraId="041CC651">
            <w:pPr>
              <w:keepNext/>
              <w:rPr>
                <w:rFonts w:hint="eastAsia" w:ascii="宋体" w:hAnsi="宋体" w:cs="宋体"/>
                <w:color w:val="auto"/>
                <w:szCs w:val="21"/>
                <w:highlight w:val="none"/>
              </w:rPr>
            </w:pPr>
          </w:p>
        </w:tc>
        <w:tc>
          <w:tcPr>
            <w:tcW w:w="850" w:type="dxa"/>
            <w:tcBorders>
              <w:top w:val="double" w:color="auto" w:sz="6" w:space="0"/>
            </w:tcBorders>
            <w:noWrap w:val="0"/>
            <w:vAlign w:val="center"/>
          </w:tcPr>
          <w:p w14:paraId="3ADEF52E">
            <w:pPr>
              <w:keepNext/>
              <w:rPr>
                <w:rFonts w:hint="eastAsia" w:ascii="宋体" w:hAnsi="宋体" w:cs="宋体"/>
                <w:color w:val="auto"/>
                <w:szCs w:val="21"/>
                <w:highlight w:val="none"/>
              </w:rPr>
            </w:pPr>
          </w:p>
        </w:tc>
        <w:tc>
          <w:tcPr>
            <w:tcW w:w="709" w:type="dxa"/>
            <w:tcBorders>
              <w:top w:val="double" w:color="auto" w:sz="6" w:space="0"/>
            </w:tcBorders>
            <w:noWrap w:val="0"/>
            <w:vAlign w:val="center"/>
          </w:tcPr>
          <w:p w14:paraId="12A56C58">
            <w:pPr>
              <w:keepNext/>
              <w:rPr>
                <w:rFonts w:hint="eastAsia" w:ascii="宋体" w:hAnsi="宋体" w:cs="宋体"/>
                <w:color w:val="auto"/>
                <w:szCs w:val="21"/>
                <w:highlight w:val="none"/>
              </w:rPr>
            </w:pPr>
          </w:p>
        </w:tc>
        <w:tc>
          <w:tcPr>
            <w:tcW w:w="850" w:type="dxa"/>
            <w:tcBorders>
              <w:top w:val="double" w:color="auto" w:sz="6" w:space="0"/>
            </w:tcBorders>
            <w:noWrap w:val="0"/>
            <w:vAlign w:val="center"/>
          </w:tcPr>
          <w:p w14:paraId="533DA03E">
            <w:pPr>
              <w:keepNext/>
              <w:rPr>
                <w:rFonts w:hint="eastAsia" w:ascii="宋体" w:hAnsi="宋体" w:cs="宋体"/>
                <w:color w:val="auto"/>
                <w:szCs w:val="21"/>
                <w:highlight w:val="none"/>
              </w:rPr>
            </w:pPr>
          </w:p>
        </w:tc>
        <w:tc>
          <w:tcPr>
            <w:tcW w:w="963" w:type="dxa"/>
            <w:tcBorders>
              <w:top w:val="double" w:color="auto" w:sz="6" w:space="0"/>
            </w:tcBorders>
            <w:noWrap w:val="0"/>
            <w:vAlign w:val="center"/>
          </w:tcPr>
          <w:p w14:paraId="086FBB15">
            <w:pPr>
              <w:keepNext/>
              <w:rPr>
                <w:rFonts w:hint="eastAsia" w:ascii="宋体" w:hAnsi="宋体" w:cs="宋体"/>
                <w:color w:val="auto"/>
                <w:szCs w:val="21"/>
                <w:highlight w:val="none"/>
              </w:rPr>
            </w:pPr>
          </w:p>
        </w:tc>
        <w:tc>
          <w:tcPr>
            <w:tcW w:w="1480" w:type="dxa"/>
            <w:tcBorders>
              <w:top w:val="double" w:color="auto" w:sz="6" w:space="0"/>
            </w:tcBorders>
            <w:noWrap w:val="0"/>
            <w:vAlign w:val="center"/>
          </w:tcPr>
          <w:p w14:paraId="13D56EB5">
            <w:pPr>
              <w:keepNext/>
              <w:rPr>
                <w:rFonts w:hint="eastAsia" w:ascii="宋体" w:hAnsi="宋体" w:cs="宋体"/>
                <w:color w:val="auto"/>
                <w:szCs w:val="21"/>
                <w:highlight w:val="none"/>
              </w:rPr>
            </w:pPr>
          </w:p>
        </w:tc>
        <w:tc>
          <w:tcPr>
            <w:tcW w:w="1020" w:type="dxa"/>
            <w:tcBorders>
              <w:top w:val="double" w:color="auto" w:sz="6" w:space="0"/>
            </w:tcBorders>
            <w:noWrap w:val="0"/>
            <w:vAlign w:val="center"/>
          </w:tcPr>
          <w:p w14:paraId="49A04A8A">
            <w:pPr>
              <w:keepNext/>
              <w:rPr>
                <w:rFonts w:hint="eastAsia" w:ascii="宋体" w:hAnsi="宋体" w:cs="宋体"/>
                <w:color w:val="auto"/>
                <w:szCs w:val="21"/>
                <w:highlight w:val="none"/>
              </w:rPr>
            </w:pPr>
          </w:p>
        </w:tc>
        <w:tc>
          <w:tcPr>
            <w:tcW w:w="932" w:type="dxa"/>
            <w:tcBorders>
              <w:top w:val="double" w:color="auto" w:sz="6" w:space="0"/>
            </w:tcBorders>
            <w:noWrap w:val="0"/>
            <w:vAlign w:val="center"/>
          </w:tcPr>
          <w:p w14:paraId="38AF3FF8">
            <w:pPr>
              <w:keepNext/>
              <w:rPr>
                <w:rFonts w:hint="eastAsia" w:ascii="宋体" w:hAnsi="宋体" w:cs="宋体"/>
                <w:color w:val="auto"/>
                <w:szCs w:val="21"/>
                <w:highlight w:val="none"/>
              </w:rPr>
            </w:pPr>
          </w:p>
        </w:tc>
      </w:tr>
      <w:tr w14:paraId="4B4FBB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nil"/>
            </w:tcBorders>
            <w:noWrap w:val="0"/>
            <w:vAlign w:val="center"/>
          </w:tcPr>
          <w:p w14:paraId="7D2AFA17">
            <w:pPr>
              <w:keepNext/>
              <w:rPr>
                <w:rFonts w:hint="eastAsia" w:ascii="宋体" w:hAnsi="宋体" w:cs="宋体"/>
                <w:color w:val="auto"/>
                <w:szCs w:val="21"/>
                <w:highlight w:val="none"/>
              </w:rPr>
            </w:pPr>
          </w:p>
        </w:tc>
        <w:tc>
          <w:tcPr>
            <w:tcW w:w="1418" w:type="dxa"/>
            <w:tcBorders>
              <w:top w:val="nil"/>
            </w:tcBorders>
            <w:noWrap w:val="0"/>
            <w:vAlign w:val="center"/>
          </w:tcPr>
          <w:p w14:paraId="3683E9D4">
            <w:pPr>
              <w:keepNext/>
              <w:rPr>
                <w:rFonts w:hint="eastAsia" w:ascii="宋体" w:hAnsi="宋体" w:cs="宋体"/>
                <w:color w:val="auto"/>
                <w:szCs w:val="21"/>
                <w:highlight w:val="none"/>
              </w:rPr>
            </w:pPr>
          </w:p>
        </w:tc>
        <w:tc>
          <w:tcPr>
            <w:tcW w:w="850" w:type="dxa"/>
            <w:tcBorders>
              <w:top w:val="nil"/>
            </w:tcBorders>
            <w:noWrap w:val="0"/>
            <w:vAlign w:val="center"/>
          </w:tcPr>
          <w:p w14:paraId="532D561E">
            <w:pPr>
              <w:keepNext/>
              <w:rPr>
                <w:rFonts w:hint="eastAsia" w:ascii="宋体" w:hAnsi="宋体" w:cs="宋体"/>
                <w:color w:val="auto"/>
                <w:szCs w:val="21"/>
                <w:highlight w:val="none"/>
              </w:rPr>
            </w:pPr>
          </w:p>
        </w:tc>
        <w:tc>
          <w:tcPr>
            <w:tcW w:w="709" w:type="dxa"/>
            <w:tcBorders>
              <w:top w:val="nil"/>
            </w:tcBorders>
            <w:noWrap w:val="0"/>
            <w:vAlign w:val="center"/>
          </w:tcPr>
          <w:p w14:paraId="215F0570">
            <w:pPr>
              <w:keepNext/>
              <w:rPr>
                <w:rFonts w:hint="eastAsia" w:ascii="宋体" w:hAnsi="宋体" w:cs="宋体"/>
                <w:color w:val="auto"/>
                <w:szCs w:val="21"/>
                <w:highlight w:val="none"/>
              </w:rPr>
            </w:pPr>
          </w:p>
        </w:tc>
        <w:tc>
          <w:tcPr>
            <w:tcW w:w="850" w:type="dxa"/>
            <w:tcBorders>
              <w:top w:val="nil"/>
            </w:tcBorders>
            <w:noWrap w:val="0"/>
            <w:vAlign w:val="center"/>
          </w:tcPr>
          <w:p w14:paraId="52938B7D">
            <w:pPr>
              <w:keepNext/>
              <w:rPr>
                <w:rFonts w:hint="eastAsia" w:ascii="宋体" w:hAnsi="宋体" w:cs="宋体"/>
                <w:color w:val="auto"/>
                <w:szCs w:val="21"/>
                <w:highlight w:val="none"/>
              </w:rPr>
            </w:pPr>
          </w:p>
        </w:tc>
        <w:tc>
          <w:tcPr>
            <w:tcW w:w="963" w:type="dxa"/>
            <w:tcBorders>
              <w:top w:val="nil"/>
            </w:tcBorders>
            <w:noWrap w:val="0"/>
            <w:vAlign w:val="center"/>
          </w:tcPr>
          <w:p w14:paraId="58F037D6">
            <w:pPr>
              <w:keepNext/>
              <w:rPr>
                <w:rFonts w:hint="eastAsia" w:ascii="宋体" w:hAnsi="宋体" w:cs="宋体"/>
                <w:color w:val="auto"/>
                <w:szCs w:val="21"/>
                <w:highlight w:val="none"/>
              </w:rPr>
            </w:pPr>
          </w:p>
        </w:tc>
        <w:tc>
          <w:tcPr>
            <w:tcW w:w="1480" w:type="dxa"/>
            <w:tcBorders>
              <w:top w:val="nil"/>
            </w:tcBorders>
            <w:noWrap w:val="0"/>
            <w:vAlign w:val="center"/>
          </w:tcPr>
          <w:p w14:paraId="42E6EB49">
            <w:pPr>
              <w:keepNext/>
              <w:rPr>
                <w:rFonts w:hint="eastAsia" w:ascii="宋体" w:hAnsi="宋体" w:cs="宋体"/>
                <w:color w:val="auto"/>
                <w:szCs w:val="21"/>
                <w:highlight w:val="none"/>
              </w:rPr>
            </w:pPr>
          </w:p>
        </w:tc>
        <w:tc>
          <w:tcPr>
            <w:tcW w:w="1020" w:type="dxa"/>
            <w:tcBorders>
              <w:top w:val="nil"/>
            </w:tcBorders>
            <w:noWrap w:val="0"/>
            <w:vAlign w:val="center"/>
          </w:tcPr>
          <w:p w14:paraId="6C6651D5">
            <w:pPr>
              <w:keepNext/>
              <w:rPr>
                <w:rFonts w:hint="eastAsia" w:ascii="宋体" w:hAnsi="宋体" w:cs="宋体"/>
                <w:color w:val="auto"/>
                <w:szCs w:val="21"/>
                <w:highlight w:val="none"/>
              </w:rPr>
            </w:pPr>
          </w:p>
        </w:tc>
        <w:tc>
          <w:tcPr>
            <w:tcW w:w="932" w:type="dxa"/>
            <w:tcBorders>
              <w:top w:val="nil"/>
            </w:tcBorders>
            <w:noWrap w:val="0"/>
            <w:vAlign w:val="center"/>
          </w:tcPr>
          <w:p w14:paraId="5A794D50">
            <w:pPr>
              <w:keepNext/>
              <w:rPr>
                <w:rFonts w:hint="eastAsia" w:ascii="宋体" w:hAnsi="宋体" w:cs="宋体"/>
                <w:color w:val="auto"/>
                <w:szCs w:val="21"/>
                <w:highlight w:val="none"/>
              </w:rPr>
            </w:pPr>
          </w:p>
        </w:tc>
      </w:tr>
      <w:tr w14:paraId="2478B5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noWrap w:val="0"/>
            <w:vAlign w:val="top"/>
          </w:tcPr>
          <w:p w14:paraId="6AB1E43A">
            <w:pPr>
              <w:rPr>
                <w:rFonts w:hint="eastAsia" w:ascii="宋体" w:hAnsi="宋体" w:cs="宋体"/>
                <w:color w:val="auto"/>
                <w:szCs w:val="21"/>
                <w:highlight w:val="none"/>
              </w:rPr>
            </w:pPr>
          </w:p>
        </w:tc>
        <w:tc>
          <w:tcPr>
            <w:tcW w:w="1418" w:type="dxa"/>
            <w:noWrap w:val="0"/>
            <w:vAlign w:val="top"/>
          </w:tcPr>
          <w:p w14:paraId="1F4976AF">
            <w:pPr>
              <w:rPr>
                <w:rFonts w:hint="eastAsia" w:ascii="宋体" w:hAnsi="宋体" w:cs="宋体"/>
                <w:color w:val="auto"/>
                <w:szCs w:val="21"/>
                <w:highlight w:val="none"/>
              </w:rPr>
            </w:pPr>
          </w:p>
        </w:tc>
        <w:tc>
          <w:tcPr>
            <w:tcW w:w="850" w:type="dxa"/>
            <w:noWrap w:val="0"/>
            <w:vAlign w:val="top"/>
          </w:tcPr>
          <w:p w14:paraId="020F37EB">
            <w:pPr>
              <w:rPr>
                <w:rFonts w:hint="eastAsia" w:ascii="宋体" w:hAnsi="宋体" w:cs="宋体"/>
                <w:color w:val="auto"/>
                <w:szCs w:val="21"/>
                <w:highlight w:val="none"/>
              </w:rPr>
            </w:pPr>
          </w:p>
        </w:tc>
        <w:tc>
          <w:tcPr>
            <w:tcW w:w="709" w:type="dxa"/>
            <w:noWrap w:val="0"/>
            <w:vAlign w:val="top"/>
          </w:tcPr>
          <w:p w14:paraId="46C39710">
            <w:pPr>
              <w:rPr>
                <w:rFonts w:hint="eastAsia" w:ascii="宋体" w:hAnsi="宋体" w:cs="宋体"/>
                <w:color w:val="auto"/>
                <w:szCs w:val="21"/>
                <w:highlight w:val="none"/>
              </w:rPr>
            </w:pPr>
          </w:p>
        </w:tc>
        <w:tc>
          <w:tcPr>
            <w:tcW w:w="850" w:type="dxa"/>
            <w:noWrap w:val="0"/>
            <w:vAlign w:val="top"/>
          </w:tcPr>
          <w:p w14:paraId="105FB488">
            <w:pPr>
              <w:rPr>
                <w:rFonts w:hint="eastAsia" w:ascii="宋体" w:hAnsi="宋体" w:cs="宋体"/>
                <w:color w:val="auto"/>
                <w:szCs w:val="21"/>
                <w:highlight w:val="none"/>
              </w:rPr>
            </w:pPr>
          </w:p>
        </w:tc>
        <w:tc>
          <w:tcPr>
            <w:tcW w:w="963" w:type="dxa"/>
            <w:noWrap w:val="0"/>
            <w:vAlign w:val="top"/>
          </w:tcPr>
          <w:p w14:paraId="7903563D">
            <w:pPr>
              <w:rPr>
                <w:rFonts w:hint="eastAsia" w:ascii="宋体" w:hAnsi="宋体" w:cs="宋体"/>
                <w:color w:val="auto"/>
                <w:szCs w:val="21"/>
                <w:highlight w:val="none"/>
              </w:rPr>
            </w:pPr>
          </w:p>
        </w:tc>
        <w:tc>
          <w:tcPr>
            <w:tcW w:w="1480" w:type="dxa"/>
            <w:noWrap w:val="0"/>
            <w:vAlign w:val="top"/>
          </w:tcPr>
          <w:p w14:paraId="299643F0">
            <w:pPr>
              <w:rPr>
                <w:rFonts w:hint="eastAsia" w:ascii="宋体" w:hAnsi="宋体" w:cs="宋体"/>
                <w:color w:val="auto"/>
                <w:szCs w:val="21"/>
                <w:highlight w:val="none"/>
              </w:rPr>
            </w:pPr>
          </w:p>
        </w:tc>
        <w:tc>
          <w:tcPr>
            <w:tcW w:w="1020" w:type="dxa"/>
            <w:noWrap w:val="0"/>
            <w:vAlign w:val="top"/>
          </w:tcPr>
          <w:p w14:paraId="4653D33E">
            <w:pPr>
              <w:rPr>
                <w:rFonts w:hint="eastAsia" w:ascii="宋体" w:hAnsi="宋体" w:cs="宋体"/>
                <w:color w:val="auto"/>
                <w:szCs w:val="21"/>
                <w:highlight w:val="none"/>
              </w:rPr>
            </w:pPr>
          </w:p>
        </w:tc>
        <w:tc>
          <w:tcPr>
            <w:tcW w:w="932" w:type="dxa"/>
            <w:noWrap w:val="0"/>
            <w:vAlign w:val="top"/>
          </w:tcPr>
          <w:p w14:paraId="61810C24">
            <w:pPr>
              <w:rPr>
                <w:rFonts w:hint="eastAsia" w:ascii="宋体" w:hAnsi="宋体" w:cs="宋体"/>
                <w:color w:val="auto"/>
                <w:szCs w:val="21"/>
                <w:highlight w:val="none"/>
              </w:rPr>
            </w:pPr>
          </w:p>
        </w:tc>
      </w:tr>
      <w:tr w14:paraId="73D355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noWrap w:val="0"/>
            <w:vAlign w:val="top"/>
          </w:tcPr>
          <w:p w14:paraId="3D9EEBD8">
            <w:pPr>
              <w:rPr>
                <w:rFonts w:hint="eastAsia" w:ascii="宋体" w:hAnsi="宋体" w:cs="宋体"/>
                <w:color w:val="auto"/>
                <w:szCs w:val="21"/>
                <w:highlight w:val="none"/>
              </w:rPr>
            </w:pPr>
          </w:p>
        </w:tc>
        <w:tc>
          <w:tcPr>
            <w:tcW w:w="1418" w:type="dxa"/>
            <w:noWrap w:val="0"/>
            <w:vAlign w:val="top"/>
          </w:tcPr>
          <w:p w14:paraId="05471ACD">
            <w:pPr>
              <w:rPr>
                <w:rFonts w:hint="eastAsia" w:ascii="宋体" w:hAnsi="宋体" w:cs="宋体"/>
                <w:color w:val="auto"/>
                <w:szCs w:val="21"/>
                <w:highlight w:val="none"/>
              </w:rPr>
            </w:pPr>
          </w:p>
        </w:tc>
        <w:tc>
          <w:tcPr>
            <w:tcW w:w="850" w:type="dxa"/>
            <w:noWrap w:val="0"/>
            <w:vAlign w:val="top"/>
          </w:tcPr>
          <w:p w14:paraId="12FD512E">
            <w:pPr>
              <w:rPr>
                <w:rFonts w:hint="eastAsia" w:ascii="宋体" w:hAnsi="宋体" w:cs="宋体"/>
                <w:color w:val="auto"/>
                <w:szCs w:val="21"/>
                <w:highlight w:val="none"/>
              </w:rPr>
            </w:pPr>
          </w:p>
        </w:tc>
        <w:tc>
          <w:tcPr>
            <w:tcW w:w="709" w:type="dxa"/>
            <w:noWrap w:val="0"/>
            <w:vAlign w:val="top"/>
          </w:tcPr>
          <w:p w14:paraId="55BF8D81">
            <w:pPr>
              <w:rPr>
                <w:rFonts w:hint="eastAsia" w:ascii="宋体" w:hAnsi="宋体" w:cs="宋体"/>
                <w:color w:val="auto"/>
                <w:szCs w:val="21"/>
                <w:highlight w:val="none"/>
              </w:rPr>
            </w:pPr>
          </w:p>
        </w:tc>
        <w:tc>
          <w:tcPr>
            <w:tcW w:w="850" w:type="dxa"/>
            <w:noWrap w:val="0"/>
            <w:vAlign w:val="top"/>
          </w:tcPr>
          <w:p w14:paraId="274ADA9F">
            <w:pPr>
              <w:rPr>
                <w:rFonts w:hint="eastAsia" w:ascii="宋体" w:hAnsi="宋体" w:cs="宋体"/>
                <w:color w:val="auto"/>
                <w:szCs w:val="21"/>
                <w:highlight w:val="none"/>
              </w:rPr>
            </w:pPr>
          </w:p>
        </w:tc>
        <w:tc>
          <w:tcPr>
            <w:tcW w:w="963" w:type="dxa"/>
            <w:noWrap w:val="0"/>
            <w:vAlign w:val="top"/>
          </w:tcPr>
          <w:p w14:paraId="5A18C35D">
            <w:pPr>
              <w:rPr>
                <w:rFonts w:hint="eastAsia" w:ascii="宋体" w:hAnsi="宋体" w:cs="宋体"/>
                <w:color w:val="auto"/>
                <w:szCs w:val="21"/>
                <w:highlight w:val="none"/>
              </w:rPr>
            </w:pPr>
          </w:p>
        </w:tc>
        <w:tc>
          <w:tcPr>
            <w:tcW w:w="1480" w:type="dxa"/>
            <w:noWrap w:val="0"/>
            <w:vAlign w:val="top"/>
          </w:tcPr>
          <w:p w14:paraId="286A1876">
            <w:pPr>
              <w:rPr>
                <w:rFonts w:hint="eastAsia" w:ascii="宋体" w:hAnsi="宋体" w:cs="宋体"/>
                <w:color w:val="auto"/>
                <w:szCs w:val="21"/>
                <w:highlight w:val="none"/>
              </w:rPr>
            </w:pPr>
          </w:p>
        </w:tc>
        <w:tc>
          <w:tcPr>
            <w:tcW w:w="1020" w:type="dxa"/>
            <w:noWrap w:val="0"/>
            <w:vAlign w:val="top"/>
          </w:tcPr>
          <w:p w14:paraId="0418BC3A">
            <w:pPr>
              <w:rPr>
                <w:rFonts w:hint="eastAsia" w:ascii="宋体" w:hAnsi="宋体" w:cs="宋体"/>
                <w:color w:val="auto"/>
                <w:szCs w:val="21"/>
                <w:highlight w:val="none"/>
              </w:rPr>
            </w:pPr>
          </w:p>
        </w:tc>
        <w:tc>
          <w:tcPr>
            <w:tcW w:w="932" w:type="dxa"/>
            <w:noWrap w:val="0"/>
            <w:vAlign w:val="top"/>
          </w:tcPr>
          <w:p w14:paraId="35A2CA3D">
            <w:pPr>
              <w:rPr>
                <w:rFonts w:hint="eastAsia" w:ascii="宋体" w:hAnsi="宋体" w:cs="宋体"/>
                <w:color w:val="auto"/>
                <w:szCs w:val="21"/>
                <w:highlight w:val="none"/>
              </w:rPr>
            </w:pPr>
          </w:p>
        </w:tc>
      </w:tr>
      <w:tr w14:paraId="072BED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bottom w:val="single" w:color="auto" w:sz="12" w:space="0"/>
            </w:tcBorders>
            <w:noWrap w:val="0"/>
            <w:vAlign w:val="top"/>
          </w:tcPr>
          <w:p w14:paraId="55BD2607">
            <w:pPr>
              <w:rPr>
                <w:rFonts w:hint="eastAsia" w:ascii="宋体" w:hAnsi="宋体" w:cs="宋体"/>
                <w:color w:val="auto"/>
                <w:szCs w:val="21"/>
                <w:highlight w:val="none"/>
              </w:rPr>
            </w:pPr>
          </w:p>
        </w:tc>
        <w:tc>
          <w:tcPr>
            <w:tcW w:w="1418" w:type="dxa"/>
            <w:tcBorders>
              <w:bottom w:val="single" w:color="auto" w:sz="12" w:space="0"/>
            </w:tcBorders>
            <w:noWrap w:val="0"/>
            <w:vAlign w:val="top"/>
          </w:tcPr>
          <w:p w14:paraId="0ECB6BF8">
            <w:pPr>
              <w:rPr>
                <w:rFonts w:hint="eastAsia" w:ascii="宋体" w:hAnsi="宋体" w:cs="宋体"/>
                <w:color w:val="auto"/>
                <w:szCs w:val="21"/>
                <w:highlight w:val="none"/>
              </w:rPr>
            </w:pPr>
          </w:p>
        </w:tc>
        <w:tc>
          <w:tcPr>
            <w:tcW w:w="850" w:type="dxa"/>
            <w:tcBorders>
              <w:bottom w:val="single" w:color="auto" w:sz="12" w:space="0"/>
            </w:tcBorders>
            <w:noWrap w:val="0"/>
            <w:vAlign w:val="top"/>
          </w:tcPr>
          <w:p w14:paraId="16CC2A50">
            <w:pPr>
              <w:rPr>
                <w:rFonts w:hint="eastAsia" w:ascii="宋体" w:hAnsi="宋体" w:cs="宋体"/>
                <w:color w:val="auto"/>
                <w:szCs w:val="21"/>
                <w:highlight w:val="none"/>
              </w:rPr>
            </w:pPr>
          </w:p>
        </w:tc>
        <w:tc>
          <w:tcPr>
            <w:tcW w:w="709" w:type="dxa"/>
            <w:tcBorders>
              <w:bottom w:val="single" w:color="auto" w:sz="12" w:space="0"/>
            </w:tcBorders>
            <w:noWrap w:val="0"/>
            <w:vAlign w:val="top"/>
          </w:tcPr>
          <w:p w14:paraId="320B6761">
            <w:pPr>
              <w:rPr>
                <w:rFonts w:hint="eastAsia" w:ascii="宋体" w:hAnsi="宋体" w:cs="宋体"/>
                <w:color w:val="auto"/>
                <w:szCs w:val="21"/>
                <w:highlight w:val="none"/>
              </w:rPr>
            </w:pPr>
          </w:p>
        </w:tc>
        <w:tc>
          <w:tcPr>
            <w:tcW w:w="850" w:type="dxa"/>
            <w:tcBorders>
              <w:bottom w:val="single" w:color="auto" w:sz="12" w:space="0"/>
            </w:tcBorders>
            <w:noWrap w:val="0"/>
            <w:vAlign w:val="top"/>
          </w:tcPr>
          <w:p w14:paraId="0B6DD956">
            <w:pPr>
              <w:rPr>
                <w:rFonts w:hint="eastAsia" w:ascii="宋体" w:hAnsi="宋体" w:cs="宋体"/>
                <w:color w:val="auto"/>
                <w:szCs w:val="21"/>
                <w:highlight w:val="none"/>
              </w:rPr>
            </w:pPr>
          </w:p>
        </w:tc>
        <w:tc>
          <w:tcPr>
            <w:tcW w:w="963" w:type="dxa"/>
            <w:tcBorders>
              <w:bottom w:val="single" w:color="auto" w:sz="12" w:space="0"/>
            </w:tcBorders>
            <w:noWrap w:val="0"/>
            <w:vAlign w:val="top"/>
          </w:tcPr>
          <w:p w14:paraId="619BCC8D">
            <w:pPr>
              <w:rPr>
                <w:rFonts w:hint="eastAsia" w:ascii="宋体" w:hAnsi="宋体" w:cs="宋体"/>
                <w:color w:val="auto"/>
                <w:szCs w:val="21"/>
                <w:highlight w:val="none"/>
              </w:rPr>
            </w:pPr>
          </w:p>
        </w:tc>
        <w:tc>
          <w:tcPr>
            <w:tcW w:w="1480" w:type="dxa"/>
            <w:tcBorders>
              <w:bottom w:val="single" w:color="auto" w:sz="12" w:space="0"/>
            </w:tcBorders>
            <w:noWrap w:val="0"/>
            <w:vAlign w:val="top"/>
          </w:tcPr>
          <w:p w14:paraId="3C426AE1">
            <w:pPr>
              <w:rPr>
                <w:rFonts w:hint="eastAsia" w:ascii="宋体" w:hAnsi="宋体" w:cs="宋体"/>
                <w:color w:val="auto"/>
                <w:szCs w:val="21"/>
                <w:highlight w:val="none"/>
              </w:rPr>
            </w:pPr>
          </w:p>
        </w:tc>
        <w:tc>
          <w:tcPr>
            <w:tcW w:w="1020" w:type="dxa"/>
            <w:tcBorders>
              <w:bottom w:val="single" w:color="auto" w:sz="12" w:space="0"/>
            </w:tcBorders>
            <w:noWrap w:val="0"/>
            <w:vAlign w:val="top"/>
          </w:tcPr>
          <w:p w14:paraId="04CCEB65">
            <w:pPr>
              <w:rPr>
                <w:rFonts w:hint="eastAsia" w:ascii="宋体" w:hAnsi="宋体" w:cs="宋体"/>
                <w:color w:val="auto"/>
                <w:szCs w:val="21"/>
                <w:highlight w:val="none"/>
              </w:rPr>
            </w:pPr>
          </w:p>
        </w:tc>
        <w:tc>
          <w:tcPr>
            <w:tcW w:w="932" w:type="dxa"/>
            <w:tcBorders>
              <w:bottom w:val="single" w:color="auto" w:sz="12" w:space="0"/>
            </w:tcBorders>
            <w:noWrap w:val="0"/>
            <w:vAlign w:val="top"/>
          </w:tcPr>
          <w:p w14:paraId="59719D41">
            <w:pPr>
              <w:rPr>
                <w:rFonts w:hint="eastAsia" w:ascii="宋体" w:hAnsi="宋体" w:cs="宋体"/>
                <w:color w:val="auto"/>
                <w:szCs w:val="21"/>
                <w:highlight w:val="none"/>
              </w:rPr>
            </w:pPr>
          </w:p>
        </w:tc>
      </w:tr>
    </w:tbl>
    <w:p w14:paraId="01BAC0B4">
      <w:pPr>
        <w:rPr>
          <w:rFonts w:hint="eastAsia" w:ascii="宋体" w:hAnsi="宋体" w:cs="宋体"/>
          <w:color w:val="auto"/>
          <w:szCs w:val="21"/>
          <w:highlight w:val="none"/>
        </w:rPr>
      </w:pPr>
    </w:p>
    <w:p w14:paraId="5585C2BC">
      <w:pPr>
        <w:widowControl/>
        <w:spacing w:line="360" w:lineRule="auto"/>
        <w:rPr>
          <w:rFonts w:hint="eastAsia" w:ascii="宋体" w:hAnsi="宋体" w:cs="宋体"/>
          <w:color w:val="auto"/>
          <w:szCs w:val="21"/>
          <w:highlight w:val="none"/>
        </w:rPr>
      </w:pPr>
    </w:p>
    <w:p w14:paraId="05718EB9">
      <w:pPr>
        <w:widowControl/>
        <w:spacing w:line="360" w:lineRule="auto"/>
        <w:rPr>
          <w:rFonts w:hint="eastAsia" w:ascii="宋体" w:hAnsi="宋体" w:cs="宋体"/>
          <w:color w:val="auto"/>
          <w:szCs w:val="21"/>
          <w:highlight w:val="none"/>
        </w:rPr>
      </w:pPr>
    </w:p>
    <w:p w14:paraId="712F931F">
      <w:pPr>
        <w:widowControl/>
        <w:spacing w:line="360" w:lineRule="auto"/>
        <w:rPr>
          <w:rFonts w:hint="eastAsia" w:ascii="宋体" w:hAnsi="宋体" w:cs="宋体"/>
          <w:color w:val="auto"/>
          <w:szCs w:val="21"/>
          <w:highlight w:val="none"/>
        </w:rPr>
      </w:pPr>
    </w:p>
    <w:p w14:paraId="6247D2D4">
      <w:pPr>
        <w:widowControl/>
        <w:spacing w:line="360" w:lineRule="auto"/>
        <w:rPr>
          <w:rFonts w:hint="eastAsia" w:ascii="宋体" w:hAnsi="宋体" w:cs="宋体"/>
          <w:color w:val="auto"/>
          <w:szCs w:val="21"/>
          <w:highlight w:val="none"/>
        </w:rPr>
      </w:pPr>
    </w:p>
    <w:p w14:paraId="63571358">
      <w:pPr>
        <w:widowControl/>
        <w:spacing w:line="360" w:lineRule="auto"/>
        <w:rPr>
          <w:rFonts w:hint="eastAsia" w:ascii="宋体" w:hAnsi="宋体" w:cs="宋体"/>
          <w:color w:val="auto"/>
          <w:szCs w:val="21"/>
          <w:highlight w:val="none"/>
        </w:rPr>
      </w:pPr>
    </w:p>
    <w:p w14:paraId="2C5F191B">
      <w:pPr>
        <w:widowControl/>
        <w:spacing w:line="360" w:lineRule="auto"/>
        <w:rPr>
          <w:rFonts w:hint="eastAsia" w:ascii="宋体" w:hAnsi="宋体" w:cs="宋体"/>
          <w:color w:val="auto"/>
          <w:szCs w:val="21"/>
          <w:highlight w:val="none"/>
        </w:rPr>
      </w:pPr>
    </w:p>
    <w:p w14:paraId="5250B392">
      <w:pPr>
        <w:widowControl/>
        <w:spacing w:line="360" w:lineRule="auto"/>
        <w:rPr>
          <w:rFonts w:hint="eastAsia" w:ascii="宋体" w:hAnsi="宋体" w:cs="宋体"/>
          <w:color w:val="auto"/>
          <w:szCs w:val="21"/>
          <w:highlight w:val="none"/>
        </w:rPr>
      </w:pPr>
    </w:p>
    <w:p w14:paraId="065C3A8E">
      <w:pPr>
        <w:widowControl/>
        <w:spacing w:line="360" w:lineRule="auto"/>
        <w:rPr>
          <w:rFonts w:hint="eastAsia" w:ascii="宋体" w:hAnsi="宋体" w:cs="宋体"/>
          <w:color w:val="auto"/>
          <w:sz w:val="24"/>
          <w:highlight w:val="none"/>
        </w:rPr>
      </w:pPr>
    </w:p>
    <w:p w14:paraId="53FBDD36">
      <w:pPr>
        <w:rPr>
          <w:rFonts w:hint="eastAsia" w:ascii="宋体" w:hAnsi="宋体" w:cs="宋体"/>
          <w:bCs/>
          <w:color w:val="auto"/>
          <w:sz w:val="24"/>
          <w:highlight w:val="none"/>
        </w:rPr>
      </w:pPr>
      <w:bookmarkStart w:id="893" w:name="_Toc95223492"/>
      <w:r>
        <w:rPr>
          <w:rFonts w:hint="eastAsia" w:ascii="宋体" w:hAnsi="宋体" w:cs="宋体"/>
          <w:bCs/>
          <w:color w:val="auto"/>
          <w:sz w:val="24"/>
          <w:highlight w:val="none"/>
        </w:rPr>
        <w:br w:type="page"/>
      </w:r>
    </w:p>
    <w:p w14:paraId="0B2B87D6">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w:t>
      </w:r>
      <w:bookmarkStart w:id="894" w:name="_Toc296891268"/>
      <w:bookmarkStart w:id="895" w:name="_Toc296944567"/>
      <w:bookmarkStart w:id="896" w:name="_Toc296891056"/>
      <w:bookmarkStart w:id="897" w:name="_Toc267261699"/>
      <w:bookmarkStart w:id="898" w:name="_Toc296346729"/>
      <w:bookmarkStart w:id="899" w:name="_Toc296347227"/>
      <w:bookmarkStart w:id="900" w:name="_Toc296503228"/>
      <w:r>
        <w:rPr>
          <w:rFonts w:hint="eastAsia" w:ascii="宋体" w:hAnsi="宋体" w:cs="宋体"/>
          <w:bCs/>
          <w:color w:val="auto"/>
          <w:sz w:val="24"/>
          <w:highlight w:val="none"/>
        </w:rPr>
        <w:t>件</w:t>
      </w:r>
      <w:bookmarkEnd w:id="894"/>
      <w:bookmarkEnd w:id="895"/>
      <w:bookmarkEnd w:id="896"/>
      <w:bookmarkEnd w:id="897"/>
      <w:bookmarkEnd w:id="898"/>
      <w:bookmarkEnd w:id="899"/>
      <w:bookmarkEnd w:id="900"/>
      <w:r>
        <w:rPr>
          <w:rFonts w:hint="eastAsia" w:ascii="宋体" w:hAnsi="宋体" w:cs="宋体"/>
          <w:bCs/>
          <w:color w:val="auto"/>
          <w:sz w:val="24"/>
          <w:highlight w:val="none"/>
        </w:rPr>
        <w:t>6：承包人主要施工管理人员表</w:t>
      </w:r>
      <w:bookmarkEnd w:id="893"/>
    </w:p>
    <w:p w14:paraId="12EA1DA6">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承包人主要施工管理人员表</w:t>
      </w:r>
    </w:p>
    <w:tbl>
      <w:tblPr>
        <w:tblStyle w:val="47"/>
        <w:tblW w:w="5113"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729"/>
        <w:gridCol w:w="1156"/>
        <w:gridCol w:w="926"/>
        <w:gridCol w:w="926"/>
        <w:gridCol w:w="2358"/>
        <w:gridCol w:w="2124"/>
      </w:tblGrid>
      <w:tr w14:paraId="33A43F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single" w:color="auto" w:sz="12" w:space="0"/>
              <w:bottom w:val="double" w:color="auto" w:sz="6" w:space="0"/>
            </w:tcBorders>
            <w:noWrap w:val="0"/>
            <w:vAlign w:val="center"/>
          </w:tcPr>
          <w:p w14:paraId="5A15560C">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名    称</w:t>
            </w:r>
          </w:p>
        </w:tc>
        <w:tc>
          <w:tcPr>
            <w:tcW w:w="627" w:type="pct"/>
            <w:tcBorders>
              <w:top w:val="single" w:color="auto" w:sz="12" w:space="0"/>
              <w:bottom w:val="double" w:color="auto" w:sz="6" w:space="0"/>
            </w:tcBorders>
            <w:noWrap w:val="0"/>
            <w:vAlign w:val="center"/>
          </w:tcPr>
          <w:p w14:paraId="6D666670">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502" w:type="pct"/>
            <w:tcBorders>
              <w:top w:val="single" w:color="auto" w:sz="12" w:space="0"/>
              <w:bottom w:val="double" w:color="auto" w:sz="6" w:space="0"/>
            </w:tcBorders>
            <w:noWrap w:val="0"/>
            <w:vAlign w:val="center"/>
          </w:tcPr>
          <w:p w14:paraId="12DEEE6E">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502" w:type="pct"/>
            <w:tcBorders>
              <w:top w:val="single" w:color="auto" w:sz="12" w:space="0"/>
              <w:bottom w:val="double" w:color="auto" w:sz="6" w:space="0"/>
            </w:tcBorders>
            <w:noWrap w:val="0"/>
            <w:vAlign w:val="center"/>
          </w:tcPr>
          <w:p w14:paraId="181E7294">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职称</w:t>
            </w:r>
          </w:p>
        </w:tc>
        <w:tc>
          <w:tcPr>
            <w:tcW w:w="1279" w:type="pct"/>
            <w:tcBorders>
              <w:top w:val="single" w:color="auto" w:sz="12" w:space="0"/>
              <w:bottom w:val="double" w:color="auto" w:sz="6" w:space="0"/>
            </w:tcBorders>
            <w:noWrap w:val="0"/>
            <w:vAlign w:val="center"/>
          </w:tcPr>
          <w:p w14:paraId="1C9579C9">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主要资历、经验及承担过的项目</w:t>
            </w:r>
          </w:p>
        </w:tc>
        <w:tc>
          <w:tcPr>
            <w:tcW w:w="1153" w:type="pct"/>
            <w:tcBorders>
              <w:top w:val="single" w:color="auto" w:sz="12" w:space="0"/>
              <w:bottom w:val="double" w:color="auto" w:sz="6" w:space="0"/>
            </w:tcBorders>
            <w:noWrap w:val="0"/>
            <w:vAlign w:val="top"/>
          </w:tcPr>
          <w:p w14:paraId="436CD293">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身份证号码</w:t>
            </w:r>
          </w:p>
        </w:tc>
      </w:tr>
      <w:tr w14:paraId="066977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tcBorders>
              <w:top w:val="double" w:color="auto" w:sz="6" w:space="0"/>
            </w:tcBorders>
            <w:noWrap w:val="0"/>
            <w:vAlign w:val="center"/>
          </w:tcPr>
          <w:p w14:paraId="61642AA1">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一、总部人员</w:t>
            </w:r>
          </w:p>
        </w:tc>
        <w:tc>
          <w:tcPr>
            <w:tcW w:w="1153" w:type="pct"/>
            <w:tcBorders>
              <w:top w:val="double" w:color="auto" w:sz="6" w:space="0"/>
            </w:tcBorders>
            <w:noWrap w:val="0"/>
            <w:vAlign w:val="top"/>
          </w:tcPr>
          <w:p w14:paraId="0274D57E">
            <w:pPr>
              <w:keepNext/>
              <w:spacing w:line="360" w:lineRule="auto"/>
              <w:jc w:val="center"/>
              <w:rPr>
                <w:rFonts w:hint="eastAsia" w:ascii="宋体" w:hAnsi="宋体" w:cs="宋体"/>
                <w:color w:val="auto"/>
                <w:szCs w:val="21"/>
                <w:highlight w:val="none"/>
              </w:rPr>
            </w:pPr>
          </w:p>
        </w:tc>
      </w:tr>
      <w:tr w14:paraId="50D5D0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27C3E87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项目主管</w:t>
            </w:r>
          </w:p>
        </w:tc>
        <w:tc>
          <w:tcPr>
            <w:tcW w:w="627" w:type="pct"/>
            <w:tcBorders>
              <w:top w:val="nil"/>
            </w:tcBorders>
            <w:noWrap w:val="0"/>
            <w:vAlign w:val="center"/>
          </w:tcPr>
          <w:p w14:paraId="552B2FB8">
            <w:pPr>
              <w:keepNext/>
              <w:spacing w:line="360" w:lineRule="auto"/>
              <w:jc w:val="center"/>
              <w:rPr>
                <w:rFonts w:hint="eastAsia" w:ascii="宋体" w:hAnsi="宋体" w:cs="宋体"/>
                <w:color w:val="auto"/>
                <w:szCs w:val="21"/>
                <w:highlight w:val="none"/>
              </w:rPr>
            </w:pPr>
          </w:p>
        </w:tc>
        <w:tc>
          <w:tcPr>
            <w:tcW w:w="502" w:type="pct"/>
            <w:tcBorders>
              <w:top w:val="nil"/>
            </w:tcBorders>
            <w:noWrap w:val="0"/>
            <w:vAlign w:val="center"/>
          </w:tcPr>
          <w:p w14:paraId="7D64F8AC">
            <w:pPr>
              <w:keepNext/>
              <w:spacing w:line="360" w:lineRule="auto"/>
              <w:jc w:val="center"/>
              <w:rPr>
                <w:rFonts w:hint="eastAsia" w:ascii="宋体" w:hAnsi="宋体" w:cs="宋体"/>
                <w:color w:val="auto"/>
                <w:szCs w:val="21"/>
                <w:highlight w:val="none"/>
              </w:rPr>
            </w:pPr>
          </w:p>
        </w:tc>
        <w:tc>
          <w:tcPr>
            <w:tcW w:w="502" w:type="pct"/>
            <w:tcBorders>
              <w:top w:val="nil"/>
            </w:tcBorders>
            <w:noWrap w:val="0"/>
            <w:vAlign w:val="center"/>
          </w:tcPr>
          <w:p w14:paraId="58A53FFA">
            <w:pPr>
              <w:keepNext/>
              <w:spacing w:line="360" w:lineRule="auto"/>
              <w:jc w:val="center"/>
              <w:rPr>
                <w:rFonts w:hint="eastAsia" w:ascii="宋体" w:hAnsi="宋体" w:cs="宋体"/>
                <w:color w:val="auto"/>
                <w:szCs w:val="21"/>
                <w:highlight w:val="none"/>
              </w:rPr>
            </w:pPr>
          </w:p>
        </w:tc>
        <w:tc>
          <w:tcPr>
            <w:tcW w:w="1279" w:type="pct"/>
            <w:tcBorders>
              <w:top w:val="nil"/>
            </w:tcBorders>
            <w:noWrap w:val="0"/>
            <w:vAlign w:val="center"/>
          </w:tcPr>
          <w:p w14:paraId="3A087D67">
            <w:pPr>
              <w:keepNext/>
              <w:spacing w:line="360" w:lineRule="auto"/>
              <w:jc w:val="center"/>
              <w:rPr>
                <w:rFonts w:hint="eastAsia" w:ascii="宋体" w:hAnsi="宋体" w:cs="宋体"/>
                <w:color w:val="auto"/>
                <w:szCs w:val="21"/>
                <w:highlight w:val="none"/>
              </w:rPr>
            </w:pPr>
          </w:p>
        </w:tc>
        <w:tc>
          <w:tcPr>
            <w:tcW w:w="1153" w:type="pct"/>
            <w:tcBorders>
              <w:top w:val="nil"/>
            </w:tcBorders>
            <w:noWrap w:val="0"/>
            <w:vAlign w:val="top"/>
          </w:tcPr>
          <w:p w14:paraId="4D28BA54">
            <w:pPr>
              <w:keepNext/>
              <w:spacing w:line="360" w:lineRule="auto"/>
              <w:jc w:val="center"/>
              <w:rPr>
                <w:rFonts w:hint="eastAsia" w:ascii="宋体" w:hAnsi="宋体" w:cs="宋体"/>
                <w:color w:val="auto"/>
                <w:szCs w:val="21"/>
                <w:highlight w:val="none"/>
              </w:rPr>
            </w:pPr>
          </w:p>
        </w:tc>
      </w:tr>
      <w:tr w14:paraId="454028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bottom w:val="nil"/>
            </w:tcBorders>
            <w:noWrap w:val="0"/>
            <w:vAlign w:val="center"/>
          </w:tcPr>
          <w:p w14:paraId="2A885CDB">
            <w:pPr>
              <w:spacing w:line="360" w:lineRule="auto"/>
              <w:jc w:val="center"/>
              <w:rPr>
                <w:rFonts w:hint="eastAsia" w:ascii="宋体" w:hAnsi="宋体" w:cs="宋体"/>
                <w:color w:val="auto"/>
                <w:szCs w:val="21"/>
                <w:highlight w:val="none"/>
              </w:rPr>
            </w:pPr>
          </w:p>
        </w:tc>
        <w:tc>
          <w:tcPr>
            <w:tcW w:w="627" w:type="pct"/>
            <w:noWrap w:val="0"/>
            <w:vAlign w:val="center"/>
          </w:tcPr>
          <w:p w14:paraId="59B1BDA6">
            <w:pPr>
              <w:keepNext/>
              <w:spacing w:line="360" w:lineRule="auto"/>
              <w:jc w:val="center"/>
              <w:rPr>
                <w:rFonts w:hint="eastAsia" w:ascii="宋体" w:hAnsi="宋体" w:cs="宋体"/>
                <w:color w:val="auto"/>
                <w:szCs w:val="21"/>
                <w:highlight w:val="none"/>
              </w:rPr>
            </w:pPr>
          </w:p>
        </w:tc>
        <w:tc>
          <w:tcPr>
            <w:tcW w:w="502" w:type="pct"/>
            <w:noWrap w:val="0"/>
            <w:vAlign w:val="center"/>
          </w:tcPr>
          <w:p w14:paraId="501443D8">
            <w:pPr>
              <w:keepNext/>
              <w:spacing w:line="360" w:lineRule="auto"/>
              <w:jc w:val="center"/>
              <w:rPr>
                <w:rFonts w:hint="eastAsia" w:ascii="宋体" w:hAnsi="宋体" w:cs="宋体"/>
                <w:color w:val="auto"/>
                <w:szCs w:val="21"/>
                <w:highlight w:val="none"/>
              </w:rPr>
            </w:pPr>
          </w:p>
        </w:tc>
        <w:tc>
          <w:tcPr>
            <w:tcW w:w="502" w:type="pct"/>
            <w:noWrap w:val="0"/>
            <w:vAlign w:val="center"/>
          </w:tcPr>
          <w:p w14:paraId="2B6464F2">
            <w:pPr>
              <w:keepNext/>
              <w:spacing w:line="360" w:lineRule="auto"/>
              <w:jc w:val="center"/>
              <w:rPr>
                <w:rFonts w:hint="eastAsia" w:ascii="宋体" w:hAnsi="宋体" w:cs="宋体"/>
                <w:color w:val="auto"/>
                <w:szCs w:val="21"/>
                <w:highlight w:val="none"/>
              </w:rPr>
            </w:pPr>
          </w:p>
        </w:tc>
        <w:tc>
          <w:tcPr>
            <w:tcW w:w="1279" w:type="pct"/>
            <w:noWrap w:val="0"/>
            <w:vAlign w:val="center"/>
          </w:tcPr>
          <w:p w14:paraId="19A1C2B4">
            <w:pPr>
              <w:keepNext/>
              <w:spacing w:line="360" w:lineRule="auto"/>
              <w:jc w:val="center"/>
              <w:rPr>
                <w:rFonts w:hint="eastAsia" w:ascii="宋体" w:hAnsi="宋体" w:cs="宋体"/>
                <w:color w:val="auto"/>
                <w:szCs w:val="21"/>
                <w:highlight w:val="none"/>
              </w:rPr>
            </w:pPr>
          </w:p>
        </w:tc>
        <w:tc>
          <w:tcPr>
            <w:tcW w:w="1153" w:type="pct"/>
            <w:noWrap w:val="0"/>
            <w:vAlign w:val="top"/>
          </w:tcPr>
          <w:p w14:paraId="0D6D1354">
            <w:pPr>
              <w:keepNext/>
              <w:spacing w:line="360" w:lineRule="auto"/>
              <w:jc w:val="center"/>
              <w:rPr>
                <w:rFonts w:hint="eastAsia" w:ascii="宋体" w:hAnsi="宋体" w:cs="宋体"/>
                <w:color w:val="auto"/>
                <w:szCs w:val="21"/>
                <w:highlight w:val="none"/>
              </w:rPr>
            </w:pPr>
          </w:p>
        </w:tc>
      </w:tr>
      <w:tr w14:paraId="17256A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3FD62EF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627" w:type="pct"/>
            <w:noWrap w:val="0"/>
            <w:vAlign w:val="center"/>
          </w:tcPr>
          <w:p w14:paraId="4B09C892">
            <w:pPr>
              <w:keepNext/>
              <w:spacing w:line="360" w:lineRule="auto"/>
              <w:jc w:val="center"/>
              <w:rPr>
                <w:rFonts w:hint="eastAsia" w:ascii="宋体" w:hAnsi="宋体" w:cs="宋体"/>
                <w:color w:val="auto"/>
                <w:szCs w:val="21"/>
                <w:highlight w:val="none"/>
              </w:rPr>
            </w:pPr>
          </w:p>
        </w:tc>
        <w:tc>
          <w:tcPr>
            <w:tcW w:w="502" w:type="pct"/>
            <w:noWrap w:val="0"/>
            <w:vAlign w:val="center"/>
          </w:tcPr>
          <w:p w14:paraId="082418EC">
            <w:pPr>
              <w:keepNext/>
              <w:spacing w:line="360" w:lineRule="auto"/>
              <w:jc w:val="center"/>
              <w:rPr>
                <w:rFonts w:hint="eastAsia" w:ascii="宋体" w:hAnsi="宋体" w:cs="宋体"/>
                <w:color w:val="auto"/>
                <w:szCs w:val="21"/>
                <w:highlight w:val="none"/>
              </w:rPr>
            </w:pPr>
          </w:p>
        </w:tc>
        <w:tc>
          <w:tcPr>
            <w:tcW w:w="502" w:type="pct"/>
            <w:noWrap w:val="0"/>
            <w:vAlign w:val="center"/>
          </w:tcPr>
          <w:p w14:paraId="3024BA26">
            <w:pPr>
              <w:keepNext/>
              <w:spacing w:line="360" w:lineRule="auto"/>
              <w:jc w:val="center"/>
              <w:rPr>
                <w:rFonts w:hint="eastAsia" w:ascii="宋体" w:hAnsi="宋体" w:cs="宋体"/>
                <w:color w:val="auto"/>
                <w:szCs w:val="21"/>
                <w:highlight w:val="none"/>
              </w:rPr>
            </w:pPr>
          </w:p>
        </w:tc>
        <w:tc>
          <w:tcPr>
            <w:tcW w:w="1279" w:type="pct"/>
            <w:noWrap w:val="0"/>
            <w:vAlign w:val="center"/>
          </w:tcPr>
          <w:p w14:paraId="7A4E40E8">
            <w:pPr>
              <w:keepNext/>
              <w:spacing w:line="360" w:lineRule="auto"/>
              <w:jc w:val="center"/>
              <w:rPr>
                <w:rFonts w:hint="eastAsia" w:ascii="宋体" w:hAnsi="宋体" w:cs="宋体"/>
                <w:color w:val="auto"/>
                <w:szCs w:val="21"/>
                <w:highlight w:val="none"/>
              </w:rPr>
            </w:pPr>
          </w:p>
        </w:tc>
        <w:tc>
          <w:tcPr>
            <w:tcW w:w="1153" w:type="pct"/>
            <w:noWrap w:val="0"/>
            <w:vAlign w:val="top"/>
          </w:tcPr>
          <w:p w14:paraId="12F646D4">
            <w:pPr>
              <w:keepNext/>
              <w:spacing w:line="360" w:lineRule="auto"/>
              <w:jc w:val="center"/>
              <w:rPr>
                <w:rFonts w:hint="eastAsia" w:ascii="宋体" w:hAnsi="宋体" w:cs="宋体"/>
                <w:color w:val="auto"/>
                <w:szCs w:val="21"/>
                <w:highlight w:val="none"/>
              </w:rPr>
            </w:pPr>
          </w:p>
        </w:tc>
      </w:tr>
      <w:tr w14:paraId="2327C3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41597E10">
            <w:pPr>
              <w:spacing w:line="360" w:lineRule="auto"/>
              <w:jc w:val="center"/>
              <w:rPr>
                <w:rFonts w:hint="eastAsia" w:ascii="宋体" w:hAnsi="宋体" w:cs="宋体"/>
                <w:color w:val="auto"/>
                <w:szCs w:val="21"/>
                <w:highlight w:val="none"/>
              </w:rPr>
            </w:pPr>
          </w:p>
        </w:tc>
        <w:tc>
          <w:tcPr>
            <w:tcW w:w="627" w:type="pct"/>
            <w:noWrap w:val="0"/>
            <w:vAlign w:val="center"/>
          </w:tcPr>
          <w:p w14:paraId="5F932537">
            <w:pPr>
              <w:keepNext/>
              <w:spacing w:line="360" w:lineRule="auto"/>
              <w:jc w:val="center"/>
              <w:rPr>
                <w:rFonts w:hint="eastAsia" w:ascii="宋体" w:hAnsi="宋体" w:cs="宋体"/>
                <w:color w:val="auto"/>
                <w:szCs w:val="21"/>
                <w:highlight w:val="none"/>
              </w:rPr>
            </w:pPr>
          </w:p>
        </w:tc>
        <w:tc>
          <w:tcPr>
            <w:tcW w:w="502" w:type="pct"/>
            <w:noWrap w:val="0"/>
            <w:vAlign w:val="center"/>
          </w:tcPr>
          <w:p w14:paraId="1B567134">
            <w:pPr>
              <w:keepNext/>
              <w:spacing w:line="360" w:lineRule="auto"/>
              <w:jc w:val="center"/>
              <w:rPr>
                <w:rFonts w:hint="eastAsia" w:ascii="宋体" w:hAnsi="宋体" w:cs="宋体"/>
                <w:color w:val="auto"/>
                <w:szCs w:val="21"/>
                <w:highlight w:val="none"/>
              </w:rPr>
            </w:pPr>
          </w:p>
        </w:tc>
        <w:tc>
          <w:tcPr>
            <w:tcW w:w="502" w:type="pct"/>
            <w:noWrap w:val="0"/>
            <w:vAlign w:val="center"/>
          </w:tcPr>
          <w:p w14:paraId="2AB060D9">
            <w:pPr>
              <w:keepNext/>
              <w:spacing w:line="360" w:lineRule="auto"/>
              <w:jc w:val="center"/>
              <w:rPr>
                <w:rFonts w:hint="eastAsia" w:ascii="宋体" w:hAnsi="宋体" w:cs="宋体"/>
                <w:color w:val="auto"/>
                <w:szCs w:val="21"/>
                <w:highlight w:val="none"/>
              </w:rPr>
            </w:pPr>
          </w:p>
        </w:tc>
        <w:tc>
          <w:tcPr>
            <w:tcW w:w="1279" w:type="pct"/>
            <w:noWrap w:val="0"/>
            <w:vAlign w:val="center"/>
          </w:tcPr>
          <w:p w14:paraId="0B68D713">
            <w:pPr>
              <w:keepNext/>
              <w:spacing w:line="360" w:lineRule="auto"/>
              <w:jc w:val="center"/>
              <w:rPr>
                <w:rFonts w:hint="eastAsia" w:ascii="宋体" w:hAnsi="宋体" w:cs="宋体"/>
                <w:color w:val="auto"/>
                <w:szCs w:val="21"/>
                <w:highlight w:val="none"/>
              </w:rPr>
            </w:pPr>
          </w:p>
        </w:tc>
        <w:tc>
          <w:tcPr>
            <w:tcW w:w="1153" w:type="pct"/>
            <w:noWrap w:val="0"/>
            <w:vAlign w:val="top"/>
          </w:tcPr>
          <w:p w14:paraId="38AE0480">
            <w:pPr>
              <w:keepNext/>
              <w:spacing w:line="360" w:lineRule="auto"/>
              <w:jc w:val="center"/>
              <w:rPr>
                <w:rFonts w:hint="eastAsia" w:ascii="宋体" w:hAnsi="宋体" w:cs="宋体"/>
                <w:color w:val="auto"/>
                <w:szCs w:val="21"/>
                <w:highlight w:val="none"/>
              </w:rPr>
            </w:pPr>
          </w:p>
        </w:tc>
      </w:tr>
      <w:tr w14:paraId="4BE5CE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noWrap w:val="0"/>
            <w:vAlign w:val="center"/>
          </w:tcPr>
          <w:p w14:paraId="4E55DC9A">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二、现场人员</w:t>
            </w:r>
          </w:p>
        </w:tc>
        <w:tc>
          <w:tcPr>
            <w:tcW w:w="1153" w:type="pct"/>
            <w:noWrap w:val="0"/>
            <w:vAlign w:val="top"/>
          </w:tcPr>
          <w:p w14:paraId="7A33A489">
            <w:pPr>
              <w:keepNext/>
              <w:spacing w:line="360" w:lineRule="auto"/>
              <w:jc w:val="center"/>
              <w:rPr>
                <w:rFonts w:hint="eastAsia" w:ascii="宋体" w:hAnsi="宋体" w:cs="宋体"/>
                <w:color w:val="auto"/>
                <w:szCs w:val="21"/>
                <w:highlight w:val="none"/>
              </w:rPr>
            </w:pPr>
          </w:p>
        </w:tc>
      </w:tr>
      <w:tr w14:paraId="04D86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154D267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627" w:type="pct"/>
            <w:noWrap w:val="0"/>
            <w:vAlign w:val="center"/>
          </w:tcPr>
          <w:p w14:paraId="219C31EE">
            <w:pPr>
              <w:keepNext/>
              <w:spacing w:line="360" w:lineRule="auto"/>
              <w:jc w:val="center"/>
              <w:rPr>
                <w:rFonts w:hint="eastAsia" w:ascii="宋体" w:hAnsi="宋体" w:cs="宋体"/>
                <w:color w:val="auto"/>
                <w:szCs w:val="21"/>
                <w:highlight w:val="none"/>
              </w:rPr>
            </w:pPr>
          </w:p>
        </w:tc>
        <w:tc>
          <w:tcPr>
            <w:tcW w:w="502" w:type="pct"/>
            <w:noWrap w:val="0"/>
            <w:vAlign w:val="center"/>
          </w:tcPr>
          <w:p w14:paraId="5CF212E6">
            <w:pPr>
              <w:keepNext/>
              <w:spacing w:line="360" w:lineRule="auto"/>
              <w:jc w:val="center"/>
              <w:rPr>
                <w:rFonts w:hint="eastAsia" w:ascii="宋体" w:hAnsi="宋体" w:cs="宋体"/>
                <w:color w:val="auto"/>
                <w:szCs w:val="21"/>
                <w:highlight w:val="none"/>
              </w:rPr>
            </w:pPr>
          </w:p>
        </w:tc>
        <w:tc>
          <w:tcPr>
            <w:tcW w:w="502" w:type="pct"/>
            <w:noWrap w:val="0"/>
            <w:vAlign w:val="center"/>
          </w:tcPr>
          <w:p w14:paraId="62E2D749">
            <w:pPr>
              <w:keepNext/>
              <w:spacing w:line="360" w:lineRule="auto"/>
              <w:jc w:val="center"/>
              <w:rPr>
                <w:rFonts w:hint="eastAsia" w:ascii="宋体" w:hAnsi="宋体" w:cs="宋体"/>
                <w:color w:val="auto"/>
                <w:szCs w:val="21"/>
                <w:highlight w:val="none"/>
              </w:rPr>
            </w:pPr>
          </w:p>
        </w:tc>
        <w:tc>
          <w:tcPr>
            <w:tcW w:w="1279" w:type="pct"/>
            <w:noWrap w:val="0"/>
            <w:vAlign w:val="center"/>
          </w:tcPr>
          <w:p w14:paraId="76B4CDBB">
            <w:pPr>
              <w:keepNext/>
              <w:spacing w:line="360" w:lineRule="auto"/>
              <w:jc w:val="center"/>
              <w:rPr>
                <w:rFonts w:hint="eastAsia" w:ascii="宋体" w:hAnsi="宋体" w:cs="宋体"/>
                <w:color w:val="auto"/>
                <w:szCs w:val="21"/>
                <w:highlight w:val="none"/>
              </w:rPr>
            </w:pPr>
          </w:p>
        </w:tc>
        <w:tc>
          <w:tcPr>
            <w:tcW w:w="1153" w:type="pct"/>
            <w:noWrap w:val="0"/>
            <w:vAlign w:val="top"/>
          </w:tcPr>
          <w:p w14:paraId="5B99ED2C">
            <w:pPr>
              <w:keepNext/>
              <w:spacing w:line="360" w:lineRule="auto"/>
              <w:jc w:val="center"/>
              <w:rPr>
                <w:rFonts w:hint="eastAsia" w:ascii="宋体" w:hAnsi="宋体" w:cs="宋体"/>
                <w:color w:val="auto"/>
                <w:szCs w:val="21"/>
                <w:highlight w:val="none"/>
              </w:rPr>
            </w:pPr>
          </w:p>
        </w:tc>
      </w:tr>
      <w:tr w14:paraId="4700F1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08FAE9B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项目副经理</w:t>
            </w:r>
          </w:p>
        </w:tc>
        <w:tc>
          <w:tcPr>
            <w:tcW w:w="627" w:type="pct"/>
            <w:noWrap w:val="0"/>
            <w:vAlign w:val="center"/>
          </w:tcPr>
          <w:p w14:paraId="4714ADE7">
            <w:pPr>
              <w:keepNext/>
              <w:spacing w:line="360" w:lineRule="auto"/>
              <w:jc w:val="center"/>
              <w:rPr>
                <w:rFonts w:hint="eastAsia" w:ascii="宋体" w:hAnsi="宋体" w:cs="宋体"/>
                <w:color w:val="auto"/>
                <w:szCs w:val="21"/>
                <w:highlight w:val="none"/>
              </w:rPr>
            </w:pPr>
          </w:p>
        </w:tc>
        <w:tc>
          <w:tcPr>
            <w:tcW w:w="502" w:type="pct"/>
            <w:noWrap w:val="0"/>
            <w:vAlign w:val="center"/>
          </w:tcPr>
          <w:p w14:paraId="0D5976B9">
            <w:pPr>
              <w:keepNext/>
              <w:spacing w:line="360" w:lineRule="auto"/>
              <w:jc w:val="center"/>
              <w:rPr>
                <w:rFonts w:hint="eastAsia" w:ascii="宋体" w:hAnsi="宋体" w:cs="宋体"/>
                <w:color w:val="auto"/>
                <w:szCs w:val="21"/>
                <w:highlight w:val="none"/>
              </w:rPr>
            </w:pPr>
          </w:p>
        </w:tc>
        <w:tc>
          <w:tcPr>
            <w:tcW w:w="502" w:type="pct"/>
            <w:noWrap w:val="0"/>
            <w:vAlign w:val="center"/>
          </w:tcPr>
          <w:p w14:paraId="0D93F653">
            <w:pPr>
              <w:keepNext/>
              <w:spacing w:line="360" w:lineRule="auto"/>
              <w:jc w:val="center"/>
              <w:rPr>
                <w:rFonts w:hint="eastAsia" w:ascii="宋体" w:hAnsi="宋体" w:cs="宋体"/>
                <w:color w:val="auto"/>
                <w:szCs w:val="21"/>
                <w:highlight w:val="none"/>
              </w:rPr>
            </w:pPr>
          </w:p>
        </w:tc>
        <w:tc>
          <w:tcPr>
            <w:tcW w:w="1279" w:type="pct"/>
            <w:noWrap w:val="0"/>
            <w:vAlign w:val="center"/>
          </w:tcPr>
          <w:p w14:paraId="340FD879">
            <w:pPr>
              <w:keepNext/>
              <w:spacing w:line="360" w:lineRule="auto"/>
              <w:jc w:val="center"/>
              <w:rPr>
                <w:rFonts w:hint="eastAsia" w:ascii="宋体" w:hAnsi="宋体" w:cs="宋体"/>
                <w:color w:val="auto"/>
                <w:szCs w:val="21"/>
                <w:highlight w:val="none"/>
              </w:rPr>
            </w:pPr>
          </w:p>
        </w:tc>
        <w:tc>
          <w:tcPr>
            <w:tcW w:w="1153" w:type="pct"/>
            <w:noWrap w:val="0"/>
            <w:vAlign w:val="top"/>
          </w:tcPr>
          <w:p w14:paraId="72DB3008">
            <w:pPr>
              <w:keepNext/>
              <w:spacing w:line="360" w:lineRule="auto"/>
              <w:jc w:val="center"/>
              <w:rPr>
                <w:rFonts w:hint="eastAsia" w:ascii="宋体" w:hAnsi="宋体" w:cs="宋体"/>
                <w:color w:val="auto"/>
                <w:szCs w:val="21"/>
                <w:highlight w:val="none"/>
              </w:rPr>
            </w:pPr>
          </w:p>
        </w:tc>
      </w:tr>
      <w:tr w14:paraId="7DAEB3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674860D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项目技术负责人</w:t>
            </w:r>
          </w:p>
        </w:tc>
        <w:tc>
          <w:tcPr>
            <w:tcW w:w="627" w:type="pct"/>
            <w:noWrap w:val="0"/>
            <w:vAlign w:val="center"/>
          </w:tcPr>
          <w:p w14:paraId="28328C4C">
            <w:pPr>
              <w:keepNext/>
              <w:spacing w:line="360" w:lineRule="auto"/>
              <w:jc w:val="center"/>
              <w:rPr>
                <w:rFonts w:hint="eastAsia" w:ascii="宋体" w:hAnsi="宋体" w:cs="宋体"/>
                <w:color w:val="auto"/>
                <w:szCs w:val="21"/>
                <w:highlight w:val="none"/>
              </w:rPr>
            </w:pPr>
          </w:p>
        </w:tc>
        <w:tc>
          <w:tcPr>
            <w:tcW w:w="502" w:type="pct"/>
            <w:noWrap w:val="0"/>
            <w:vAlign w:val="center"/>
          </w:tcPr>
          <w:p w14:paraId="65B3CF88">
            <w:pPr>
              <w:keepNext/>
              <w:spacing w:line="360" w:lineRule="auto"/>
              <w:jc w:val="center"/>
              <w:rPr>
                <w:rFonts w:hint="eastAsia" w:ascii="宋体" w:hAnsi="宋体" w:cs="宋体"/>
                <w:color w:val="auto"/>
                <w:szCs w:val="21"/>
                <w:highlight w:val="none"/>
              </w:rPr>
            </w:pPr>
          </w:p>
        </w:tc>
        <w:tc>
          <w:tcPr>
            <w:tcW w:w="502" w:type="pct"/>
            <w:noWrap w:val="0"/>
            <w:vAlign w:val="center"/>
          </w:tcPr>
          <w:p w14:paraId="6E7CF116">
            <w:pPr>
              <w:keepNext/>
              <w:spacing w:line="360" w:lineRule="auto"/>
              <w:jc w:val="center"/>
              <w:rPr>
                <w:rFonts w:hint="eastAsia" w:ascii="宋体" w:hAnsi="宋体" w:cs="宋体"/>
                <w:color w:val="auto"/>
                <w:szCs w:val="21"/>
                <w:highlight w:val="none"/>
              </w:rPr>
            </w:pPr>
          </w:p>
        </w:tc>
        <w:tc>
          <w:tcPr>
            <w:tcW w:w="1279" w:type="pct"/>
            <w:noWrap w:val="0"/>
            <w:vAlign w:val="center"/>
          </w:tcPr>
          <w:p w14:paraId="42C208A9">
            <w:pPr>
              <w:keepNext/>
              <w:spacing w:line="360" w:lineRule="auto"/>
              <w:jc w:val="center"/>
              <w:rPr>
                <w:rFonts w:hint="eastAsia" w:ascii="宋体" w:hAnsi="宋体" w:cs="宋体"/>
                <w:color w:val="auto"/>
                <w:szCs w:val="21"/>
                <w:highlight w:val="none"/>
              </w:rPr>
            </w:pPr>
          </w:p>
        </w:tc>
        <w:tc>
          <w:tcPr>
            <w:tcW w:w="1153" w:type="pct"/>
            <w:noWrap w:val="0"/>
            <w:vAlign w:val="top"/>
          </w:tcPr>
          <w:p w14:paraId="05E647ED">
            <w:pPr>
              <w:keepNext/>
              <w:spacing w:line="360" w:lineRule="auto"/>
              <w:jc w:val="center"/>
              <w:rPr>
                <w:rFonts w:hint="eastAsia" w:ascii="宋体" w:hAnsi="宋体" w:cs="宋体"/>
                <w:color w:val="auto"/>
                <w:szCs w:val="21"/>
                <w:highlight w:val="none"/>
              </w:rPr>
            </w:pPr>
          </w:p>
        </w:tc>
      </w:tr>
      <w:tr w14:paraId="2CCD57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0A9F6F5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施工员</w:t>
            </w:r>
          </w:p>
        </w:tc>
        <w:tc>
          <w:tcPr>
            <w:tcW w:w="627" w:type="pct"/>
            <w:noWrap w:val="0"/>
            <w:vAlign w:val="center"/>
          </w:tcPr>
          <w:p w14:paraId="1300ADCA">
            <w:pPr>
              <w:keepNext/>
              <w:spacing w:line="360" w:lineRule="auto"/>
              <w:jc w:val="center"/>
              <w:rPr>
                <w:rFonts w:hint="eastAsia" w:ascii="宋体" w:hAnsi="宋体" w:cs="宋体"/>
                <w:color w:val="auto"/>
                <w:szCs w:val="21"/>
                <w:highlight w:val="none"/>
              </w:rPr>
            </w:pPr>
          </w:p>
        </w:tc>
        <w:tc>
          <w:tcPr>
            <w:tcW w:w="502" w:type="pct"/>
            <w:noWrap w:val="0"/>
            <w:vAlign w:val="center"/>
          </w:tcPr>
          <w:p w14:paraId="6A76131E">
            <w:pPr>
              <w:keepNext/>
              <w:spacing w:line="360" w:lineRule="auto"/>
              <w:jc w:val="center"/>
              <w:rPr>
                <w:rFonts w:hint="eastAsia" w:ascii="宋体" w:hAnsi="宋体" w:cs="宋体"/>
                <w:color w:val="auto"/>
                <w:szCs w:val="21"/>
                <w:highlight w:val="none"/>
              </w:rPr>
            </w:pPr>
          </w:p>
        </w:tc>
        <w:tc>
          <w:tcPr>
            <w:tcW w:w="502" w:type="pct"/>
            <w:noWrap w:val="0"/>
            <w:vAlign w:val="center"/>
          </w:tcPr>
          <w:p w14:paraId="4CB6D67F">
            <w:pPr>
              <w:keepNext/>
              <w:spacing w:line="360" w:lineRule="auto"/>
              <w:jc w:val="center"/>
              <w:rPr>
                <w:rFonts w:hint="eastAsia" w:ascii="宋体" w:hAnsi="宋体" w:cs="宋体"/>
                <w:color w:val="auto"/>
                <w:szCs w:val="21"/>
                <w:highlight w:val="none"/>
              </w:rPr>
            </w:pPr>
          </w:p>
        </w:tc>
        <w:tc>
          <w:tcPr>
            <w:tcW w:w="1279" w:type="pct"/>
            <w:noWrap w:val="0"/>
            <w:vAlign w:val="center"/>
          </w:tcPr>
          <w:p w14:paraId="4CEE8692">
            <w:pPr>
              <w:keepNext/>
              <w:spacing w:line="360" w:lineRule="auto"/>
              <w:jc w:val="center"/>
              <w:rPr>
                <w:rFonts w:hint="eastAsia" w:ascii="宋体" w:hAnsi="宋体" w:cs="宋体"/>
                <w:color w:val="auto"/>
                <w:szCs w:val="21"/>
                <w:highlight w:val="none"/>
              </w:rPr>
            </w:pPr>
          </w:p>
        </w:tc>
        <w:tc>
          <w:tcPr>
            <w:tcW w:w="1153" w:type="pct"/>
            <w:noWrap w:val="0"/>
            <w:vAlign w:val="top"/>
          </w:tcPr>
          <w:p w14:paraId="22BB565C">
            <w:pPr>
              <w:keepNext/>
              <w:spacing w:line="360" w:lineRule="auto"/>
              <w:jc w:val="center"/>
              <w:rPr>
                <w:rFonts w:hint="eastAsia" w:ascii="宋体" w:hAnsi="宋体" w:cs="宋体"/>
                <w:color w:val="auto"/>
                <w:szCs w:val="21"/>
                <w:highlight w:val="none"/>
              </w:rPr>
            </w:pPr>
          </w:p>
        </w:tc>
      </w:tr>
      <w:tr w14:paraId="3DCE8C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021D531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质检员（质量员）</w:t>
            </w:r>
          </w:p>
        </w:tc>
        <w:tc>
          <w:tcPr>
            <w:tcW w:w="627" w:type="pct"/>
            <w:noWrap w:val="0"/>
            <w:vAlign w:val="center"/>
          </w:tcPr>
          <w:p w14:paraId="7D5DA808">
            <w:pPr>
              <w:keepNext/>
              <w:spacing w:line="360" w:lineRule="auto"/>
              <w:jc w:val="center"/>
              <w:rPr>
                <w:rFonts w:hint="eastAsia" w:ascii="宋体" w:hAnsi="宋体" w:cs="宋体"/>
                <w:color w:val="auto"/>
                <w:szCs w:val="21"/>
                <w:highlight w:val="none"/>
              </w:rPr>
            </w:pPr>
          </w:p>
        </w:tc>
        <w:tc>
          <w:tcPr>
            <w:tcW w:w="502" w:type="pct"/>
            <w:noWrap w:val="0"/>
            <w:vAlign w:val="center"/>
          </w:tcPr>
          <w:p w14:paraId="75A21267">
            <w:pPr>
              <w:keepNext/>
              <w:spacing w:line="360" w:lineRule="auto"/>
              <w:jc w:val="center"/>
              <w:rPr>
                <w:rFonts w:hint="eastAsia" w:ascii="宋体" w:hAnsi="宋体" w:cs="宋体"/>
                <w:color w:val="auto"/>
                <w:szCs w:val="21"/>
                <w:highlight w:val="none"/>
              </w:rPr>
            </w:pPr>
          </w:p>
        </w:tc>
        <w:tc>
          <w:tcPr>
            <w:tcW w:w="502" w:type="pct"/>
            <w:noWrap w:val="0"/>
            <w:vAlign w:val="center"/>
          </w:tcPr>
          <w:p w14:paraId="797DDE39">
            <w:pPr>
              <w:keepNext/>
              <w:spacing w:line="360" w:lineRule="auto"/>
              <w:jc w:val="center"/>
              <w:rPr>
                <w:rFonts w:hint="eastAsia" w:ascii="宋体" w:hAnsi="宋体" w:cs="宋体"/>
                <w:color w:val="auto"/>
                <w:szCs w:val="21"/>
                <w:highlight w:val="none"/>
              </w:rPr>
            </w:pPr>
          </w:p>
        </w:tc>
        <w:tc>
          <w:tcPr>
            <w:tcW w:w="1279" w:type="pct"/>
            <w:noWrap w:val="0"/>
            <w:vAlign w:val="center"/>
          </w:tcPr>
          <w:p w14:paraId="76B09736">
            <w:pPr>
              <w:keepNext/>
              <w:spacing w:line="360" w:lineRule="auto"/>
              <w:jc w:val="center"/>
              <w:rPr>
                <w:rFonts w:hint="eastAsia" w:ascii="宋体" w:hAnsi="宋体" w:cs="宋体"/>
                <w:color w:val="auto"/>
                <w:szCs w:val="21"/>
                <w:highlight w:val="none"/>
              </w:rPr>
            </w:pPr>
          </w:p>
        </w:tc>
        <w:tc>
          <w:tcPr>
            <w:tcW w:w="1153" w:type="pct"/>
            <w:noWrap w:val="0"/>
            <w:vAlign w:val="top"/>
          </w:tcPr>
          <w:p w14:paraId="267E2735">
            <w:pPr>
              <w:keepNext/>
              <w:spacing w:line="360" w:lineRule="auto"/>
              <w:jc w:val="center"/>
              <w:rPr>
                <w:rFonts w:hint="eastAsia" w:ascii="宋体" w:hAnsi="宋体" w:cs="宋体"/>
                <w:color w:val="auto"/>
                <w:szCs w:val="21"/>
                <w:highlight w:val="none"/>
              </w:rPr>
            </w:pPr>
          </w:p>
        </w:tc>
      </w:tr>
      <w:tr w14:paraId="39E3A3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780611D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安全员</w:t>
            </w:r>
          </w:p>
        </w:tc>
        <w:tc>
          <w:tcPr>
            <w:tcW w:w="627" w:type="pct"/>
            <w:noWrap w:val="0"/>
            <w:vAlign w:val="center"/>
          </w:tcPr>
          <w:p w14:paraId="18B1CF3B">
            <w:pPr>
              <w:keepNext/>
              <w:spacing w:line="360" w:lineRule="auto"/>
              <w:jc w:val="center"/>
              <w:rPr>
                <w:rFonts w:hint="eastAsia" w:ascii="宋体" w:hAnsi="宋体" w:cs="宋体"/>
                <w:color w:val="auto"/>
                <w:szCs w:val="21"/>
                <w:highlight w:val="none"/>
              </w:rPr>
            </w:pPr>
          </w:p>
        </w:tc>
        <w:tc>
          <w:tcPr>
            <w:tcW w:w="502" w:type="pct"/>
            <w:noWrap w:val="0"/>
            <w:vAlign w:val="center"/>
          </w:tcPr>
          <w:p w14:paraId="7B858D43">
            <w:pPr>
              <w:keepNext/>
              <w:spacing w:line="360" w:lineRule="auto"/>
              <w:jc w:val="center"/>
              <w:rPr>
                <w:rFonts w:hint="eastAsia" w:ascii="宋体" w:hAnsi="宋体" w:cs="宋体"/>
                <w:color w:val="auto"/>
                <w:szCs w:val="21"/>
                <w:highlight w:val="none"/>
              </w:rPr>
            </w:pPr>
          </w:p>
        </w:tc>
        <w:tc>
          <w:tcPr>
            <w:tcW w:w="502" w:type="pct"/>
            <w:noWrap w:val="0"/>
            <w:vAlign w:val="center"/>
          </w:tcPr>
          <w:p w14:paraId="0FA098B1">
            <w:pPr>
              <w:keepNext/>
              <w:spacing w:line="360" w:lineRule="auto"/>
              <w:jc w:val="center"/>
              <w:rPr>
                <w:rFonts w:hint="eastAsia" w:ascii="宋体" w:hAnsi="宋体" w:cs="宋体"/>
                <w:color w:val="auto"/>
                <w:szCs w:val="21"/>
                <w:highlight w:val="none"/>
              </w:rPr>
            </w:pPr>
          </w:p>
        </w:tc>
        <w:tc>
          <w:tcPr>
            <w:tcW w:w="1279" w:type="pct"/>
            <w:noWrap w:val="0"/>
            <w:vAlign w:val="center"/>
          </w:tcPr>
          <w:p w14:paraId="2B971FE1">
            <w:pPr>
              <w:keepNext/>
              <w:spacing w:line="360" w:lineRule="auto"/>
              <w:jc w:val="center"/>
              <w:rPr>
                <w:rFonts w:hint="eastAsia" w:ascii="宋体" w:hAnsi="宋体" w:cs="宋体"/>
                <w:color w:val="auto"/>
                <w:szCs w:val="21"/>
                <w:highlight w:val="none"/>
              </w:rPr>
            </w:pPr>
          </w:p>
        </w:tc>
        <w:tc>
          <w:tcPr>
            <w:tcW w:w="1153" w:type="pct"/>
            <w:noWrap w:val="0"/>
            <w:vAlign w:val="top"/>
          </w:tcPr>
          <w:p w14:paraId="0109F7C0">
            <w:pPr>
              <w:keepNext/>
              <w:spacing w:line="360" w:lineRule="auto"/>
              <w:jc w:val="center"/>
              <w:rPr>
                <w:rFonts w:hint="eastAsia" w:ascii="宋体" w:hAnsi="宋体" w:cs="宋体"/>
                <w:color w:val="auto"/>
                <w:szCs w:val="21"/>
                <w:highlight w:val="none"/>
              </w:rPr>
            </w:pPr>
          </w:p>
        </w:tc>
      </w:tr>
      <w:tr w14:paraId="46EC2F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73D6965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资料员</w:t>
            </w:r>
          </w:p>
        </w:tc>
        <w:tc>
          <w:tcPr>
            <w:tcW w:w="627" w:type="pct"/>
            <w:noWrap w:val="0"/>
            <w:vAlign w:val="center"/>
          </w:tcPr>
          <w:p w14:paraId="3E2A4A5F">
            <w:pPr>
              <w:keepNext/>
              <w:spacing w:line="360" w:lineRule="auto"/>
              <w:jc w:val="center"/>
              <w:rPr>
                <w:rFonts w:hint="eastAsia" w:ascii="宋体" w:hAnsi="宋体" w:cs="宋体"/>
                <w:color w:val="auto"/>
                <w:szCs w:val="21"/>
                <w:highlight w:val="none"/>
              </w:rPr>
            </w:pPr>
          </w:p>
        </w:tc>
        <w:tc>
          <w:tcPr>
            <w:tcW w:w="502" w:type="pct"/>
            <w:noWrap w:val="0"/>
            <w:vAlign w:val="center"/>
          </w:tcPr>
          <w:p w14:paraId="768EB56E">
            <w:pPr>
              <w:keepNext/>
              <w:spacing w:line="360" w:lineRule="auto"/>
              <w:jc w:val="center"/>
              <w:rPr>
                <w:rFonts w:hint="eastAsia" w:ascii="宋体" w:hAnsi="宋体" w:cs="宋体"/>
                <w:color w:val="auto"/>
                <w:szCs w:val="21"/>
                <w:highlight w:val="none"/>
              </w:rPr>
            </w:pPr>
          </w:p>
        </w:tc>
        <w:tc>
          <w:tcPr>
            <w:tcW w:w="502" w:type="pct"/>
            <w:noWrap w:val="0"/>
            <w:vAlign w:val="center"/>
          </w:tcPr>
          <w:p w14:paraId="1FDE5267">
            <w:pPr>
              <w:keepNext/>
              <w:spacing w:line="360" w:lineRule="auto"/>
              <w:jc w:val="center"/>
              <w:rPr>
                <w:rFonts w:hint="eastAsia" w:ascii="宋体" w:hAnsi="宋体" w:cs="宋体"/>
                <w:color w:val="auto"/>
                <w:szCs w:val="21"/>
                <w:highlight w:val="none"/>
              </w:rPr>
            </w:pPr>
          </w:p>
        </w:tc>
        <w:tc>
          <w:tcPr>
            <w:tcW w:w="1279" w:type="pct"/>
            <w:noWrap w:val="0"/>
            <w:vAlign w:val="center"/>
          </w:tcPr>
          <w:p w14:paraId="363546EF">
            <w:pPr>
              <w:keepNext/>
              <w:spacing w:line="360" w:lineRule="auto"/>
              <w:jc w:val="center"/>
              <w:rPr>
                <w:rFonts w:hint="eastAsia" w:ascii="宋体" w:hAnsi="宋体" w:cs="宋体"/>
                <w:color w:val="auto"/>
                <w:szCs w:val="21"/>
                <w:highlight w:val="none"/>
              </w:rPr>
            </w:pPr>
          </w:p>
        </w:tc>
        <w:tc>
          <w:tcPr>
            <w:tcW w:w="1153" w:type="pct"/>
            <w:noWrap w:val="0"/>
            <w:vAlign w:val="top"/>
          </w:tcPr>
          <w:p w14:paraId="3BDAD3A1">
            <w:pPr>
              <w:keepNext/>
              <w:spacing w:line="360" w:lineRule="auto"/>
              <w:jc w:val="center"/>
              <w:rPr>
                <w:rFonts w:hint="eastAsia" w:ascii="宋体" w:hAnsi="宋体" w:cs="宋体"/>
                <w:color w:val="auto"/>
                <w:szCs w:val="21"/>
                <w:highlight w:val="none"/>
              </w:rPr>
            </w:pPr>
          </w:p>
        </w:tc>
      </w:tr>
      <w:tr w14:paraId="0B1A8A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restart"/>
            <w:noWrap w:val="0"/>
            <w:vAlign w:val="center"/>
          </w:tcPr>
          <w:p w14:paraId="467E9D3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627" w:type="pct"/>
            <w:noWrap w:val="0"/>
            <w:vAlign w:val="center"/>
          </w:tcPr>
          <w:p w14:paraId="78F38699">
            <w:pPr>
              <w:keepNext/>
              <w:spacing w:line="360" w:lineRule="auto"/>
              <w:jc w:val="center"/>
              <w:rPr>
                <w:rFonts w:hint="eastAsia" w:ascii="宋体" w:hAnsi="宋体" w:cs="宋体"/>
                <w:color w:val="auto"/>
                <w:szCs w:val="21"/>
                <w:highlight w:val="none"/>
              </w:rPr>
            </w:pPr>
          </w:p>
        </w:tc>
        <w:tc>
          <w:tcPr>
            <w:tcW w:w="502" w:type="pct"/>
            <w:noWrap w:val="0"/>
            <w:vAlign w:val="center"/>
          </w:tcPr>
          <w:p w14:paraId="28A343D2">
            <w:pPr>
              <w:keepNext/>
              <w:spacing w:line="360" w:lineRule="auto"/>
              <w:jc w:val="center"/>
              <w:rPr>
                <w:rFonts w:hint="eastAsia" w:ascii="宋体" w:hAnsi="宋体" w:cs="宋体"/>
                <w:color w:val="auto"/>
                <w:szCs w:val="21"/>
                <w:highlight w:val="none"/>
              </w:rPr>
            </w:pPr>
          </w:p>
        </w:tc>
        <w:tc>
          <w:tcPr>
            <w:tcW w:w="502" w:type="pct"/>
            <w:noWrap w:val="0"/>
            <w:vAlign w:val="center"/>
          </w:tcPr>
          <w:p w14:paraId="6B66FC4E">
            <w:pPr>
              <w:keepNext/>
              <w:spacing w:line="360" w:lineRule="auto"/>
              <w:jc w:val="center"/>
              <w:rPr>
                <w:rFonts w:hint="eastAsia" w:ascii="宋体" w:hAnsi="宋体" w:cs="宋体"/>
                <w:color w:val="auto"/>
                <w:szCs w:val="21"/>
                <w:highlight w:val="none"/>
              </w:rPr>
            </w:pPr>
          </w:p>
        </w:tc>
        <w:tc>
          <w:tcPr>
            <w:tcW w:w="1279" w:type="pct"/>
            <w:noWrap w:val="0"/>
            <w:vAlign w:val="center"/>
          </w:tcPr>
          <w:p w14:paraId="528C6441">
            <w:pPr>
              <w:keepNext/>
              <w:spacing w:line="360" w:lineRule="auto"/>
              <w:jc w:val="center"/>
              <w:rPr>
                <w:rFonts w:hint="eastAsia" w:ascii="宋体" w:hAnsi="宋体" w:cs="宋体"/>
                <w:color w:val="auto"/>
                <w:szCs w:val="21"/>
                <w:highlight w:val="none"/>
              </w:rPr>
            </w:pPr>
          </w:p>
        </w:tc>
        <w:tc>
          <w:tcPr>
            <w:tcW w:w="1153" w:type="pct"/>
            <w:noWrap w:val="0"/>
            <w:vAlign w:val="top"/>
          </w:tcPr>
          <w:p w14:paraId="320AAD68">
            <w:pPr>
              <w:keepNext/>
              <w:spacing w:line="360" w:lineRule="auto"/>
              <w:jc w:val="center"/>
              <w:rPr>
                <w:rFonts w:hint="eastAsia" w:ascii="宋体" w:hAnsi="宋体" w:cs="宋体"/>
                <w:color w:val="auto"/>
                <w:szCs w:val="21"/>
                <w:highlight w:val="none"/>
              </w:rPr>
            </w:pPr>
          </w:p>
        </w:tc>
      </w:tr>
      <w:tr w14:paraId="3D7B9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23B9A92B">
            <w:pPr>
              <w:keepNext/>
              <w:spacing w:line="360" w:lineRule="auto"/>
              <w:jc w:val="center"/>
              <w:rPr>
                <w:rFonts w:hint="eastAsia" w:ascii="宋体" w:hAnsi="宋体" w:cs="宋体"/>
                <w:color w:val="auto"/>
                <w:szCs w:val="21"/>
                <w:highlight w:val="none"/>
              </w:rPr>
            </w:pPr>
          </w:p>
        </w:tc>
        <w:tc>
          <w:tcPr>
            <w:tcW w:w="627" w:type="pct"/>
            <w:tcBorders>
              <w:bottom w:val="nil"/>
            </w:tcBorders>
            <w:noWrap w:val="0"/>
            <w:vAlign w:val="center"/>
          </w:tcPr>
          <w:p w14:paraId="7C57A15A">
            <w:pPr>
              <w:keepNext/>
              <w:spacing w:line="360" w:lineRule="auto"/>
              <w:jc w:val="center"/>
              <w:rPr>
                <w:rFonts w:hint="eastAsia" w:ascii="宋体" w:hAnsi="宋体" w:cs="宋体"/>
                <w:color w:val="auto"/>
                <w:szCs w:val="21"/>
                <w:highlight w:val="none"/>
              </w:rPr>
            </w:pPr>
          </w:p>
        </w:tc>
        <w:tc>
          <w:tcPr>
            <w:tcW w:w="502" w:type="pct"/>
            <w:tcBorders>
              <w:bottom w:val="nil"/>
            </w:tcBorders>
            <w:noWrap w:val="0"/>
            <w:vAlign w:val="center"/>
          </w:tcPr>
          <w:p w14:paraId="04D2BBF8">
            <w:pPr>
              <w:keepNext/>
              <w:spacing w:line="360" w:lineRule="auto"/>
              <w:jc w:val="center"/>
              <w:rPr>
                <w:rFonts w:hint="eastAsia" w:ascii="宋体" w:hAnsi="宋体" w:cs="宋体"/>
                <w:color w:val="auto"/>
                <w:szCs w:val="21"/>
                <w:highlight w:val="none"/>
              </w:rPr>
            </w:pPr>
          </w:p>
        </w:tc>
        <w:tc>
          <w:tcPr>
            <w:tcW w:w="502" w:type="pct"/>
            <w:tcBorders>
              <w:bottom w:val="nil"/>
            </w:tcBorders>
            <w:noWrap w:val="0"/>
            <w:vAlign w:val="center"/>
          </w:tcPr>
          <w:p w14:paraId="6C80CAE0">
            <w:pPr>
              <w:keepNext/>
              <w:spacing w:line="360" w:lineRule="auto"/>
              <w:jc w:val="center"/>
              <w:rPr>
                <w:rFonts w:hint="eastAsia" w:ascii="宋体" w:hAnsi="宋体" w:cs="宋体"/>
                <w:color w:val="auto"/>
                <w:szCs w:val="21"/>
                <w:highlight w:val="none"/>
              </w:rPr>
            </w:pPr>
          </w:p>
        </w:tc>
        <w:tc>
          <w:tcPr>
            <w:tcW w:w="1279" w:type="pct"/>
            <w:tcBorders>
              <w:bottom w:val="nil"/>
            </w:tcBorders>
            <w:noWrap w:val="0"/>
            <w:vAlign w:val="center"/>
          </w:tcPr>
          <w:p w14:paraId="218A2665">
            <w:pPr>
              <w:keepNext/>
              <w:spacing w:line="360" w:lineRule="auto"/>
              <w:jc w:val="center"/>
              <w:rPr>
                <w:rFonts w:hint="eastAsia" w:ascii="宋体" w:hAnsi="宋体" w:cs="宋体"/>
                <w:color w:val="auto"/>
                <w:szCs w:val="21"/>
                <w:highlight w:val="none"/>
              </w:rPr>
            </w:pPr>
          </w:p>
        </w:tc>
        <w:tc>
          <w:tcPr>
            <w:tcW w:w="1153" w:type="pct"/>
            <w:tcBorders>
              <w:bottom w:val="nil"/>
            </w:tcBorders>
            <w:noWrap w:val="0"/>
            <w:vAlign w:val="top"/>
          </w:tcPr>
          <w:p w14:paraId="6FFE7FAE">
            <w:pPr>
              <w:keepNext/>
              <w:spacing w:line="360" w:lineRule="auto"/>
              <w:jc w:val="center"/>
              <w:rPr>
                <w:rFonts w:hint="eastAsia" w:ascii="宋体" w:hAnsi="宋体" w:cs="宋体"/>
                <w:color w:val="auto"/>
                <w:szCs w:val="21"/>
                <w:highlight w:val="none"/>
              </w:rPr>
            </w:pPr>
          </w:p>
        </w:tc>
      </w:tr>
      <w:tr w14:paraId="250BA1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3A1B82DF">
            <w:pPr>
              <w:keepNext/>
              <w:spacing w:line="360" w:lineRule="auto"/>
              <w:jc w:val="center"/>
              <w:rPr>
                <w:rFonts w:hint="eastAsia" w:ascii="宋体" w:hAnsi="宋体" w:cs="宋体"/>
                <w:color w:val="auto"/>
                <w:szCs w:val="21"/>
                <w:highlight w:val="none"/>
              </w:rPr>
            </w:pPr>
          </w:p>
        </w:tc>
        <w:tc>
          <w:tcPr>
            <w:tcW w:w="627" w:type="pct"/>
            <w:noWrap w:val="0"/>
            <w:vAlign w:val="center"/>
          </w:tcPr>
          <w:p w14:paraId="3AC8BC2F">
            <w:pPr>
              <w:keepNext/>
              <w:spacing w:line="360" w:lineRule="auto"/>
              <w:jc w:val="center"/>
              <w:rPr>
                <w:rFonts w:hint="eastAsia" w:ascii="宋体" w:hAnsi="宋体" w:cs="宋体"/>
                <w:color w:val="auto"/>
                <w:szCs w:val="21"/>
                <w:highlight w:val="none"/>
              </w:rPr>
            </w:pPr>
          </w:p>
        </w:tc>
        <w:tc>
          <w:tcPr>
            <w:tcW w:w="502" w:type="pct"/>
            <w:noWrap w:val="0"/>
            <w:vAlign w:val="center"/>
          </w:tcPr>
          <w:p w14:paraId="02796CF8">
            <w:pPr>
              <w:keepNext/>
              <w:spacing w:line="360" w:lineRule="auto"/>
              <w:jc w:val="center"/>
              <w:rPr>
                <w:rFonts w:hint="eastAsia" w:ascii="宋体" w:hAnsi="宋体" w:cs="宋体"/>
                <w:color w:val="auto"/>
                <w:szCs w:val="21"/>
                <w:highlight w:val="none"/>
              </w:rPr>
            </w:pPr>
          </w:p>
        </w:tc>
        <w:tc>
          <w:tcPr>
            <w:tcW w:w="502" w:type="pct"/>
            <w:noWrap w:val="0"/>
            <w:vAlign w:val="center"/>
          </w:tcPr>
          <w:p w14:paraId="1A1CF63C">
            <w:pPr>
              <w:keepNext/>
              <w:spacing w:line="360" w:lineRule="auto"/>
              <w:jc w:val="center"/>
              <w:rPr>
                <w:rFonts w:hint="eastAsia" w:ascii="宋体" w:hAnsi="宋体" w:cs="宋体"/>
                <w:color w:val="auto"/>
                <w:szCs w:val="21"/>
                <w:highlight w:val="none"/>
              </w:rPr>
            </w:pPr>
          </w:p>
        </w:tc>
        <w:tc>
          <w:tcPr>
            <w:tcW w:w="1279" w:type="pct"/>
            <w:noWrap w:val="0"/>
            <w:vAlign w:val="center"/>
          </w:tcPr>
          <w:p w14:paraId="3EE936B3">
            <w:pPr>
              <w:keepNext/>
              <w:spacing w:line="360" w:lineRule="auto"/>
              <w:jc w:val="center"/>
              <w:rPr>
                <w:rFonts w:hint="eastAsia" w:ascii="宋体" w:hAnsi="宋体" w:cs="宋体"/>
                <w:color w:val="auto"/>
                <w:szCs w:val="21"/>
                <w:highlight w:val="none"/>
              </w:rPr>
            </w:pPr>
          </w:p>
        </w:tc>
        <w:tc>
          <w:tcPr>
            <w:tcW w:w="1153" w:type="pct"/>
            <w:noWrap w:val="0"/>
            <w:vAlign w:val="top"/>
          </w:tcPr>
          <w:p w14:paraId="6C7A8114">
            <w:pPr>
              <w:keepNext/>
              <w:spacing w:line="360" w:lineRule="auto"/>
              <w:jc w:val="center"/>
              <w:rPr>
                <w:rFonts w:hint="eastAsia" w:ascii="宋体" w:hAnsi="宋体" w:cs="宋体"/>
                <w:color w:val="auto"/>
                <w:szCs w:val="21"/>
                <w:highlight w:val="none"/>
              </w:rPr>
            </w:pPr>
          </w:p>
        </w:tc>
      </w:tr>
      <w:tr w14:paraId="3AF626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42FEF589">
            <w:pPr>
              <w:keepNext/>
              <w:spacing w:line="360" w:lineRule="auto"/>
              <w:jc w:val="center"/>
              <w:rPr>
                <w:rFonts w:hint="eastAsia" w:ascii="宋体" w:hAnsi="宋体" w:cs="宋体"/>
                <w:color w:val="auto"/>
                <w:szCs w:val="21"/>
                <w:highlight w:val="none"/>
              </w:rPr>
            </w:pPr>
          </w:p>
        </w:tc>
        <w:tc>
          <w:tcPr>
            <w:tcW w:w="627" w:type="pct"/>
            <w:noWrap w:val="0"/>
            <w:vAlign w:val="center"/>
          </w:tcPr>
          <w:p w14:paraId="2563C757">
            <w:pPr>
              <w:keepNext/>
              <w:spacing w:line="360" w:lineRule="auto"/>
              <w:jc w:val="center"/>
              <w:rPr>
                <w:rFonts w:hint="eastAsia" w:ascii="宋体" w:hAnsi="宋体" w:cs="宋体"/>
                <w:color w:val="auto"/>
                <w:szCs w:val="21"/>
                <w:highlight w:val="none"/>
              </w:rPr>
            </w:pPr>
          </w:p>
        </w:tc>
        <w:tc>
          <w:tcPr>
            <w:tcW w:w="502" w:type="pct"/>
            <w:noWrap w:val="0"/>
            <w:vAlign w:val="center"/>
          </w:tcPr>
          <w:p w14:paraId="5E0EFFB0">
            <w:pPr>
              <w:keepNext/>
              <w:spacing w:line="360" w:lineRule="auto"/>
              <w:jc w:val="center"/>
              <w:rPr>
                <w:rFonts w:hint="eastAsia" w:ascii="宋体" w:hAnsi="宋体" w:cs="宋体"/>
                <w:color w:val="auto"/>
                <w:szCs w:val="21"/>
                <w:highlight w:val="none"/>
              </w:rPr>
            </w:pPr>
          </w:p>
        </w:tc>
        <w:tc>
          <w:tcPr>
            <w:tcW w:w="502" w:type="pct"/>
            <w:noWrap w:val="0"/>
            <w:vAlign w:val="center"/>
          </w:tcPr>
          <w:p w14:paraId="590DA1A1">
            <w:pPr>
              <w:keepNext/>
              <w:spacing w:line="360" w:lineRule="auto"/>
              <w:jc w:val="center"/>
              <w:rPr>
                <w:rFonts w:hint="eastAsia" w:ascii="宋体" w:hAnsi="宋体" w:cs="宋体"/>
                <w:color w:val="auto"/>
                <w:szCs w:val="21"/>
                <w:highlight w:val="none"/>
              </w:rPr>
            </w:pPr>
          </w:p>
        </w:tc>
        <w:tc>
          <w:tcPr>
            <w:tcW w:w="1279" w:type="pct"/>
            <w:noWrap w:val="0"/>
            <w:vAlign w:val="center"/>
          </w:tcPr>
          <w:p w14:paraId="084253EC">
            <w:pPr>
              <w:keepNext/>
              <w:spacing w:line="360" w:lineRule="auto"/>
              <w:jc w:val="center"/>
              <w:rPr>
                <w:rFonts w:hint="eastAsia" w:ascii="宋体" w:hAnsi="宋体" w:cs="宋体"/>
                <w:color w:val="auto"/>
                <w:szCs w:val="21"/>
                <w:highlight w:val="none"/>
              </w:rPr>
            </w:pPr>
          </w:p>
        </w:tc>
        <w:tc>
          <w:tcPr>
            <w:tcW w:w="1153" w:type="pct"/>
            <w:noWrap w:val="0"/>
            <w:vAlign w:val="top"/>
          </w:tcPr>
          <w:p w14:paraId="0A5B7642">
            <w:pPr>
              <w:keepNext/>
              <w:spacing w:line="360" w:lineRule="auto"/>
              <w:jc w:val="center"/>
              <w:rPr>
                <w:rFonts w:hint="eastAsia" w:ascii="宋体" w:hAnsi="宋体" w:cs="宋体"/>
                <w:color w:val="auto"/>
                <w:szCs w:val="21"/>
                <w:highlight w:val="none"/>
              </w:rPr>
            </w:pPr>
          </w:p>
        </w:tc>
      </w:tr>
      <w:tr w14:paraId="61002E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71D9F812">
            <w:pPr>
              <w:keepNext/>
              <w:spacing w:line="360" w:lineRule="auto"/>
              <w:jc w:val="center"/>
              <w:rPr>
                <w:rFonts w:hint="eastAsia" w:ascii="宋体" w:hAnsi="宋体" w:cs="宋体"/>
                <w:color w:val="auto"/>
                <w:szCs w:val="21"/>
                <w:highlight w:val="none"/>
              </w:rPr>
            </w:pPr>
          </w:p>
        </w:tc>
        <w:tc>
          <w:tcPr>
            <w:tcW w:w="627" w:type="pct"/>
            <w:noWrap w:val="0"/>
            <w:vAlign w:val="center"/>
          </w:tcPr>
          <w:p w14:paraId="5AF8903D">
            <w:pPr>
              <w:keepNext/>
              <w:spacing w:line="360" w:lineRule="auto"/>
              <w:jc w:val="center"/>
              <w:rPr>
                <w:rFonts w:hint="eastAsia" w:ascii="宋体" w:hAnsi="宋体" w:cs="宋体"/>
                <w:color w:val="auto"/>
                <w:szCs w:val="21"/>
                <w:highlight w:val="none"/>
              </w:rPr>
            </w:pPr>
          </w:p>
        </w:tc>
        <w:tc>
          <w:tcPr>
            <w:tcW w:w="502" w:type="pct"/>
            <w:noWrap w:val="0"/>
            <w:vAlign w:val="center"/>
          </w:tcPr>
          <w:p w14:paraId="2381383C">
            <w:pPr>
              <w:keepNext/>
              <w:spacing w:line="360" w:lineRule="auto"/>
              <w:jc w:val="center"/>
              <w:rPr>
                <w:rFonts w:hint="eastAsia" w:ascii="宋体" w:hAnsi="宋体" w:cs="宋体"/>
                <w:color w:val="auto"/>
                <w:szCs w:val="21"/>
                <w:highlight w:val="none"/>
              </w:rPr>
            </w:pPr>
          </w:p>
        </w:tc>
        <w:tc>
          <w:tcPr>
            <w:tcW w:w="502" w:type="pct"/>
            <w:noWrap w:val="0"/>
            <w:vAlign w:val="center"/>
          </w:tcPr>
          <w:p w14:paraId="334262CB">
            <w:pPr>
              <w:keepNext/>
              <w:spacing w:line="360" w:lineRule="auto"/>
              <w:jc w:val="center"/>
              <w:rPr>
                <w:rFonts w:hint="eastAsia" w:ascii="宋体" w:hAnsi="宋体" w:cs="宋体"/>
                <w:color w:val="auto"/>
                <w:szCs w:val="21"/>
                <w:highlight w:val="none"/>
              </w:rPr>
            </w:pPr>
          </w:p>
        </w:tc>
        <w:tc>
          <w:tcPr>
            <w:tcW w:w="1279" w:type="pct"/>
            <w:noWrap w:val="0"/>
            <w:vAlign w:val="center"/>
          </w:tcPr>
          <w:p w14:paraId="64D1BC0E">
            <w:pPr>
              <w:keepNext/>
              <w:spacing w:line="360" w:lineRule="auto"/>
              <w:jc w:val="center"/>
              <w:rPr>
                <w:rFonts w:hint="eastAsia" w:ascii="宋体" w:hAnsi="宋体" w:cs="宋体"/>
                <w:color w:val="auto"/>
                <w:szCs w:val="21"/>
                <w:highlight w:val="none"/>
              </w:rPr>
            </w:pPr>
          </w:p>
        </w:tc>
        <w:tc>
          <w:tcPr>
            <w:tcW w:w="1153" w:type="pct"/>
            <w:noWrap w:val="0"/>
            <w:vAlign w:val="top"/>
          </w:tcPr>
          <w:p w14:paraId="66513B11">
            <w:pPr>
              <w:keepNext/>
              <w:spacing w:line="360" w:lineRule="auto"/>
              <w:jc w:val="center"/>
              <w:rPr>
                <w:rFonts w:hint="eastAsia" w:ascii="宋体" w:hAnsi="宋体" w:cs="宋体"/>
                <w:color w:val="auto"/>
                <w:szCs w:val="21"/>
                <w:highlight w:val="none"/>
              </w:rPr>
            </w:pPr>
          </w:p>
        </w:tc>
      </w:tr>
      <w:tr w14:paraId="23898B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tcBorders>
              <w:bottom w:val="single" w:color="auto" w:sz="12" w:space="0"/>
            </w:tcBorders>
            <w:noWrap w:val="0"/>
            <w:vAlign w:val="center"/>
          </w:tcPr>
          <w:p w14:paraId="6247C18C">
            <w:pPr>
              <w:keepNext/>
              <w:spacing w:line="360" w:lineRule="auto"/>
              <w:jc w:val="center"/>
              <w:rPr>
                <w:rFonts w:hint="eastAsia" w:ascii="宋体" w:hAnsi="宋体" w:cs="宋体"/>
                <w:color w:val="auto"/>
                <w:szCs w:val="21"/>
                <w:highlight w:val="none"/>
              </w:rPr>
            </w:pPr>
          </w:p>
        </w:tc>
        <w:tc>
          <w:tcPr>
            <w:tcW w:w="627" w:type="pct"/>
            <w:tcBorders>
              <w:bottom w:val="single" w:color="auto" w:sz="12" w:space="0"/>
            </w:tcBorders>
            <w:noWrap w:val="0"/>
            <w:vAlign w:val="center"/>
          </w:tcPr>
          <w:p w14:paraId="57E46C66">
            <w:pPr>
              <w:keepNext/>
              <w:spacing w:line="360" w:lineRule="auto"/>
              <w:jc w:val="center"/>
              <w:rPr>
                <w:rFonts w:hint="eastAsia" w:ascii="宋体" w:hAnsi="宋体" w:cs="宋体"/>
                <w:color w:val="auto"/>
                <w:szCs w:val="21"/>
                <w:highlight w:val="none"/>
              </w:rPr>
            </w:pPr>
          </w:p>
        </w:tc>
        <w:tc>
          <w:tcPr>
            <w:tcW w:w="502" w:type="pct"/>
            <w:tcBorders>
              <w:bottom w:val="single" w:color="auto" w:sz="12" w:space="0"/>
            </w:tcBorders>
            <w:noWrap w:val="0"/>
            <w:vAlign w:val="center"/>
          </w:tcPr>
          <w:p w14:paraId="2BA70D54">
            <w:pPr>
              <w:keepNext/>
              <w:spacing w:line="360" w:lineRule="auto"/>
              <w:jc w:val="center"/>
              <w:rPr>
                <w:rFonts w:hint="eastAsia" w:ascii="宋体" w:hAnsi="宋体" w:cs="宋体"/>
                <w:color w:val="auto"/>
                <w:szCs w:val="21"/>
                <w:highlight w:val="none"/>
              </w:rPr>
            </w:pPr>
          </w:p>
        </w:tc>
        <w:tc>
          <w:tcPr>
            <w:tcW w:w="502" w:type="pct"/>
            <w:tcBorders>
              <w:bottom w:val="single" w:color="auto" w:sz="12" w:space="0"/>
            </w:tcBorders>
            <w:noWrap w:val="0"/>
            <w:vAlign w:val="center"/>
          </w:tcPr>
          <w:p w14:paraId="469E5BAF">
            <w:pPr>
              <w:keepNext/>
              <w:spacing w:line="360" w:lineRule="auto"/>
              <w:jc w:val="center"/>
              <w:rPr>
                <w:rFonts w:hint="eastAsia" w:ascii="宋体" w:hAnsi="宋体" w:cs="宋体"/>
                <w:color w:val="auto"/>
                <w:szCs w:val="21"/>
                <w:highlight w:val="none"/>
              </w:rPr>
            </w:pPr>
          </w:p>
        </w:tc>
        <w:tc>
          <w:tcPr>
            <w:tcW w:w="1279" w:type="pct"/>
            <w:tcBorders>
              <w:bottom w:val="single" w:color="auto" w:sz="12" w:space="0"/>
            </w:tcBorders>
            <w:noWrap w:val="0"/>
            <w:vAlign w:val="center"/>
          </w:tcPr>
          <w:p w14:paraId="76D6B892">
            <w:pPr>
              <w:keepNext/>
              <w:spacing w:line="360" w:lineRule="auto"/>
              <w:jc w:val="center"/>
              <w:rPr>
                <w:rFonts w:hint="eastAsia" w:ascii="宋体" w:hAnsi="宋体" w:cs="宋体"/>
                <w:color w:val="auto"/>
                <w:szCs w:val="21"/>
                <w:highlight w:val="none"/>
              </w:rPr>
            </w:pPr>
          </w:p>
        </w:tc>
        <w:tc>
          <w:tcPr>
            <w:tcW w:w="1153" w:type="pct"/>
            <w:tcBorders>
              <w:bottom w:val="single" w:color="auto" w:sz="12" w:space="0"/>
            </w:tcBorders>
            <w:noWrap w:val="0"/>
            <w:vAlign w:val="top"/>
          </w:tcPr>
          <w:p w14:paraId="5CBA14AA">
            <w:pPr>
              <w:keepNext/>
              <w:spacing w:line="360" w:lineRule="auto"/>
              <w:jc w:val="center"/>
              <w:rPr>
                <w:rFonts w:hint="eastAsia" w:ascii="宋体" w:hAnsi="宋体" w:cs="宋体"/>
                <w:color w:val="auto"/>
                <w:szCs w:val="21"/>
                <w:highlight w:val="none"/>
              </w:rPr>
            </w:pPr>
          </w:p>
        </w:tc>
      </w:tr>
    </w:tbl>
    <w:p w14:paraId="57AEE2E7">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br w:type="page"/>
      </w:r>
      <w:bookmarkStart w:id="901" w:name="_Toc95223493"/>
      <w:r>
        <w:rPr>
          <w:rFonts w:hint="eastAsia" w:ascii="宋体" w:hAnsi="宋体" w:cs="宋体"/>
          <w:bCs/>
          <w:color w:val="auto"/>
          <w:sz w:val="24"/>
          <w:highlight w:val="none"/>
        </w:rPr>
        <w:t>附</w:t>
      </w:r>
      <w:bookmarkStart w:id="902" w:name="_Toc296346730"/>
      <w:bookmarkStart w:id="903" w:name="_Toc296944568"/>
      <w:bookmarkStart w:id="904" w:name="_Toc296891057"/>
      <w:bookmarkStart w:id="905" w:name="_Toc296503229"/>
      <w:bookmarkStart w:id="906" w:name="_Toc296347228"/>
      <w:bookmarkStart w:id="907" w:name="_Toc296891269"/>
      <w:r>
        <w:rPr>
          <w:rFonts w:hint="eastAsia" w:ascii="宋体" w:hAnsi="宋体" w:cs="宋体"/>
          <w:bCs/>
          <w:color w:val="auto"/>
          <w:sz w:val="24"/>
          <w:highlight w:val="none"/>
        </w:rPr>
        <w:t>件7：分包人主要施工管理人员表</w:t>
      </w:r>
      <w:bookmarkEnd w:id="901"/>
    </w:p>
    <w:bookmarkEnd w:id="902"/>
    <w:bookmarkEnd w:id="903"/>
    <w:bookmarkEnd w:id="904"/>
    <w:bookmarkEnd w:id="905"/>
    <w:bookmarkEnd w:id="906"/>
    <w:bookmarkEnd w:id="907"/>
    <w:p w14:paraId="18407CBC">
      <w:pPr>
        <w:spacing w:before="120" w:beforeLines="50" w:after="120" w:afterLines="50" w:line="360" w:lineRule="auto"/>
        <w:jc w:val="center"/>
        <w:rPr>
          <w:rFonts w:hint="eastAsia" w:ascii="宋体" w:hAnsi="宋体" w:cs="宋体"/>
          <w:b/>
          <w:color w:val="auto"/>
          <w:szCs w:val="21"/>
          <w:highlight w:val="none"/>
        </w:rPr>
      </w:pPr>
      <w:bookmarkStart w:id="908" w:name="_Toc22101"/>
      <w:bookmarkStart w:id="909" w:name="_Toc95223494"/>
      <w:bookmarkStart w:id="910" w:name="_Toc179"/>
      <w:r>
        <w:rPr>
          <w:rFonts w:hint="eastAsia" w:ascii="宋体" w:hAnsi="宋体" w:cs="宋体"/>
          <w:b/>
          <w:color w:val="auto"/>
          <w:szCs w:val="21"/>
          <w:highlight w:val="none"/>
        </w:rPr>
        <w:t>分包人主要施工管理人员表</w:t>
      </w:r>
      <w:bookmarkEnd w:id="908"/>
      <w:bookmarkEnd w:id="909"/>
      <w:bookmarkEnd w:id="910"/>
    </w:p>
    <w:tbl>
      <w:tblPr>
        <w:tblStyle w:val="4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25"/>
        <w:gridCol w:w="1156"/>
        <w:gridCol w:w="925"/>
        <w:gridCol w:w="674"/>
        <w:gridCol w:w="3119"/>
        <w:gridCol w:w="1616"/>
      </w:tblGrid>
      <w:tr w14:paraId="6C4D1B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top w:val="single" w:color="auto" w:sz="12" w:space="0"/>
              <w:bottom w:val="double" w:color="auto" w:sz="6" w:space="0"/>
            </w:tcBorders>
            <w:noWrap w:val="0"/>
            <w:vAlign w:val="center"/>
          </w:tcPr>
          <w:p w14:paraId="26146530">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名    称</w:t>
            </w:r>
          </w:p>
        </w:tc>
        <w:tc>
          <w:tcPr>
            <w:tcW w:w="641" w:type="pct"/>
            <w:tcBorders>
              <w:top w:val="single" w:color="auto" w:sz="12" w:space="0"/>
              <w:bottom w:val="double" w:color="auto" w:sz="6" w:space="0"/>
            </w:tcBorders>
            <w:noWrap w:val="0"/>
            <w:vAlign w:val="center"/>
          </w:tcPr>
          <w:p w14:paraId="32B89496">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513" w:type="pct"/>
            <w:tcBorders>
              <w:top w:val="single" w:color="auto" w:sz="12" w:space="0"/>
              <w:bottom w:val="double" w:color="auto" w:sz="6" w:space="0"/>
            </w:tcBorders>
            <w:noWrap w:val="0"/>
            <w:vAlign w:val="center"/>
          </w:tcPr>
          <w:p w14:paraId="4433EF6B">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374" w:type="pct"/>
            <w:tcBorders>
              <w:top w:val="single" w:color="auto" w:sz="12" w:space="0"/>
              <w:bottom w:val="double" w:color="auto" w:sz="6" w:space="0"/>
            </w:tcBorders>
            <w:noWrap w:val="0"/>
            <w:vAlign w:val="center"/>
          </w:tcPr>
          <w:p w14:paraId="6E5E4C77">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职称</w:t>
            </w:r>
          </w:p>
        </w:tc>
        <w:tc>
          <w:tcPr>
            <w:tcW w:w="1730" w:type="pct"/>
            <w:tcBorders>
              <w:top w:val="single" w:color="auto" w:sz="12" w:space="0"/>
              <w:bottom w:val="double" w:color="auto" w:sz="6" w:space="0"/>
            </w:tcBorders>
            <w:noWrap w:val="0"/>
            <w:vAlign w:val="center"/>
          </w:tcPr>
          <w:p w14:paraId="3E545CD0">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主要资历、经验及承担过的项目</w:t>
            </w:r>
          </w:p>
        </w:tc>
        <w:tc>
          <w:tcPr>
            <w:tcW w:w="896" w:type="pct"/>
            <w:tcBorders>
              <w:top w:val="single" w:color="auto" w:sz="12" w:space="0"/>
              <w:bottom w:val="double" w:color="auto" w:sz="6" w:space="0"/>
            </w:tcBorders>
            <w:noWrap w:val="0"/>
            <w:vAlign w:val="center"/>
          </w:tcPr>
          <w:p w14:paraId="1DD3F435">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身份证号码</w:t>
            </w:r>
          </w:p>
        </w:tc>
      </w:tr>
      <w:tr w14:paraId="230222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104" w:type="pct"/>
            <w:gridSpan w:val="5"/>
            <w:tcBorders>
              <w:top w:val="double" w:color="auto" w:sz="6" w:space="0"/>
            </w:tcBorders>
            <w:noWrap w:val="0"/>
            <w:vAlign w:val="center"/>
          </w:tcPr>
          <w:p w14:paraId="1A3FAA52">
            <w:pPr>
              <w:keepNext/>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一、总部人员</w:t>
            </w:r>
          </w:p>
        </w:tc>
        <w:tc>
          <w:tcPr>
            <w:tcW w:w="896" w:type="pct"/>
            <w:tcBorders>
              <w:top w:val="double" w:color="auto" w:sz="6" w:space="0"/>
            </w:tcBorders>
            <w:noWrap w:val="0"/>
            <w:vAlign w:val="top"/>
          </w:tcPr>
          <w:p w14:paraId="75739233">
            <w:pPr>
              <w:keepNext/>
              <w:spacing w:line="360" w:lineRule="auto"/>
              <w:rPr>
                <w:rFonts w:hint="eastAsia" w:ascii="宋体" w:hAnsi="宋体" w:cs="宋体"/>
                <w:color w:val="auto"/>
                <w:szCs w:val="21"/>
                <w:highlight w:val="none"/>
              </w:rPr>
            </w:pPr>
          </w:p>
        </w:tc>
      </w:tr>
      <w:tr w14:paraId="75DEDD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top w:val="nil"/>
              <w:bottom w:val="nil"/>
            </w:tcBorders>
            <w:noWrap w:val="0"/>
            <w:vAlign w:val="center"/>
          </w:tcPr>
          <w:p w14:paraId="3D94AE54">
            <w:pPr>
              <w:keepNext/>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项目主管</w:t>
            </w:r>
          </w:p>
        </w:tc>
        <w:tc>
          <w:tcPr>
            <w:tcW w:w="641" w:type="pct"/>
            <w:tcBorders>
              <w:top w:val="nil"/>
            </w:tcBorders>
            <w:noWrap w:val="0"/>
            <w:vAlign w:val="center"/>
          </w:tcPr>
          <w:p w14:paraId="54095929">
            <w:pPr>
              <w:keepNext/>
              <w:spacing w:line="360" w:lineRule="auto"/>
              <w:rPr>
                <w:rFonts w:hint="eastAsia" w:ascii="宋体" w:hAnsi="宋体" w:cs="宋体"/>
                <w:color w:val="auto"/>
                <w:szCs w:val="21"/>
                <w:highlight w:val="none"/>
              </w:rPr>
            </w:pPr>
          </w:p>
        </w:tc>
        <w:tc>
          <w:tcPr>
            <w:tcW w:w="513" w:type="pct"/>
            <w:tcBorders>
              <w:top w:val="nil"/>
            </w:tcBorders>
            <w:noWrap w:val="0"/>
            <w:vAlign w:val="center"/>
          </w:tcPr>
          <w:p w14:paraId="36C3E486">
            <w:pPr>
              <w:keepNext/>
              <w:spacing w:line="360" w:lineRule="auto"/>
              <w:rPr>
                <w:rFonts w:hint="eastAsia" w:ascii="宋体" w:hAnsi="宋体" w:cs="宋体"/>
                <w:color w:val="auto"/>
                <w:szCs w:val="21"/>
                <w:highlight w:val="none"/>
              </w:rPr>
            </w:pPr>
          </w:p>
        </w:tc>
        <w:tc>
          <w:tcPr>
            <w:tcW w:w="374" w:type="pct"/>
            <w:tcBorders>
              <w:top w:val="nil"/>
            </w:tcBorders>
            <w:noWrap w:val="0"/>
            <w:vAlign w:val="center"/>
          </w:tcPr>
          <w:p w14:paraId="1FF383DD">
            <w:pPr>
              <w:keepNext/>
              <w:spacing w:line="360" w:lineRule="auto"/>
              <w:rPr>
                <w:rFonts w:hint="eastAsia" w:ascii="宋体" w:hAnsi="宋体" w:cs="宋体"/>
                <w:color w:val="auto"/>
                <w:szCs w:val="21"/>
                <w:highlight w:val="none"/>
              </w:rPr>
            </w:pPr>
          </w:p>
        </w:tc>
        <w:tc>
          <w:tcPr>
            <w:tcW w:w="1730" w:type="pct"/>
            <w:tcBorders>
              <w:top w:val="nil"/>
            </w:tcBorders>
            <w:noWrap w:val="0"/>
            <w:vAlign w:val="center"/>
          </w:tcPr>
          <w:p w14:paraId="4E1A9B7B">
            <w:pPr>
              <w:keepNext/>
              <w:spacing w:line="360" w:lineRule="auto"/>
              <w:rPr>
                <w:rFonts w:hint="eastAsia" w:ascii="宋体" w:hAnsi="宋体" w:cs="宋体"/>
                <w:color w:val="auto"/>
                <w:szCs w:val="21"/>
                <w:highlight w:val="none"/>
              </w:rPr>
            </w:pPr>
          </w:p>
        </w:tc>
        <w:tc>
          <w:tcPr>
            <w:tcW w:w="896" w:type="pct"/>
            <w:tcBorders>
              <w:top w:val="nil"/>
            </w:tcBorders>
            <w:noWrap w:val="0"/>
            <w:vAlign w:val="top"/>
          </w:tcPr>
          <w:p w14:paraId="6C13F00B">
            <w:pPr>
              <w:keepNext/>
              <w:spacing w:line="360" w:lineRule="auto"/>
              <w:rPr>
                <w:rFonts w:hint="eastAsia" w:ascii="宋体" w:hAnsi="宋体" w:cs="宋体"/>
                <w:color w:val="auto"/>
                <w:szCs w:val="21"/>
                <w:highlight w:val="none"/>
              </w:rPr>
            </w:pPr>
          </w:p>
        </w:tc>
      </w:tr>
      <w:tr w14:paraId="6EA6ED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bottom w:val="nil"/>
            </w:tcBorders>
            <w:noWrap w:val="0"/>
            <w:vAlign w:val="center"/>
          </w:tcPr>
          <w:p w14:paraId="4CCC8DFC">
            <w:pPr>
              <w:keepNext/>
              <w:spacing w:line="360" w:lineRule="auto"/>
              <w:rPr>
                <w:rFonts w:hint="eastAsia" w:ascii="宋体" w:hAnsi="宋体" w:cs="宋体"/>
                <w:color w:val="auto"/>
                <w:szCs w:val="21"/>
                <w:highlight w:val="none"/>
              </w:rPr>
            </w:pPr>
          </w:p>
        </w:tc>
        <w:tc>
          <w:tcPr>
            <w:tcW w:w="641" w:type="pct"/>
            <w:noWrap w:val="0"/>
            <w:vAlign w:val="center"/>
          </w:tcPr>
          <w:p w14:paraId="53F18643">
            <w:pPr>
              <w:keepNext/>
              <w:spacing w:line="360" w:lineRule="auto"/>
              <w:rPr>
                <w:rFonts w:hint="eastAsia" w:ascii="宋体" w:hAnsi="宋体" w:cs="宋体"/>
                <w:color w:val="auto"/>
                <w:szCs w:val="21"/>
                <w:highlight w:val="none"/>
              </w:rPr>
            </w:pPr>
          </w:p>
        </w:tc>
        <w:tc>
          <w:tcPr>
            <w:tcW w:w="513" w:type="pct"/>
            <w:noWrap w:val="0"/>
            <w:vAlign w:val="center"/>
          </w:tcPr>
          <w:p w14:paraId="117B61F3">
            <w:pPr>
              <w:keepNext/>
              <w:spacing w:line="360" w:lineRule="auto"/>
              <w:rPr>
                <w:rFonts w:hint="eastAsia" w:ascii="宋体" w:hAnsi="宋体" w:cs="宋体"/>
                <w:color w:val="auto"/>
                <w:szCs w:val="21"/>
                <w:highlight w:val="none"/>
              </w:rPr>
            </w:pPr>
          </w:p>
        </w:tc>
        <w:tc>
          <w:tcPr>
            <w:tcW w:w="374" w:type="pct"/>
            <w:noWrap w:val="0"/>
            <w:vAlign w:val="center"/>
          </w:tcPr>
          <w:p w14:paraId="51694BBE">
            <w:pPr>
              <w:keepNext/>
              <w:spacing w:line="360" w:lineRule="auto"/>
              <w:rPr>
                <w:rFonts w:hint="eastAsia" w:ascii="宋体" w:hAnsi="宋体" w:cs="宋体"/>
                <w:color w:val="auto"/>
                <w:szCs w:val="21"/>
                <w:highlight w:val="none"/>
              </w:rPr>
            </w:pPr>
          </w:p>
        </w:tc>
        <w:tc>
          <w:tcPr>
            <w:tcW w:w="1730" w:type="pct"/>
            <w:noWrap w:val="0"/>
            <w:vAlign w:val="center"/>
          </w:tcPr>
          <w:p w14:paraId="187F19DB">
            <w:pPr>
              <w:keepNext/>
              <w:spacing w:line="360" w:lineRule="auto"/>
              <w:rPr>
                <w:rFonts w:hint="eastAsia" w:ascii="宋体" w:hAnsi="宋体" w:cs="宋体"/>
                <w:color w:val="auto"/>
                <w:szCs w:val="21"/>
                <w:highlight w:val="none"/>
              </w:rPr>
            </w:pPr>
          </w:p>
        </w:tc>
        <w:tc>
          <w:tcPr>
            <w:tcW w:w="896" w:type="pct"/>
            <w:noWrap w:val="0"/>
            <w:vAlign w:val="top"/>
          </w:tcPr>
          <w:p w14:paraId="2250A50C">
            <w:pPr>
              <w:keepNext/>
              <w:spacing w:line="360" w:lineRule="auto"/>
              <w:rPr>
                <w:rFonts w:hint="eastAsia" w:ascii="宋体" w:hAnsi="宋体" w:cs="宋体"/>
                <w:color w:val="auto"/>
                <w:szCs w:val="21"/>
                <w:highlight w:val="none"/>
              </w:rPr>
            </w:pPr>
          </w:p>
        </w:tc>
      </w:tr>
      <w:tr w14:paraId="7583E2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top w:val="nil"/>
              <w:bottom w:val="nil"/>
            </w:tcBorders>
            <w:noWrap w:val="0"/>
            <w:vAlign w:val="center"/>
          </w:tcPr>
          <w:p w14:paraId="0692C0CB">
            <w:pPr>
              <w:keepNext/>
              <w:spacing w:line="360" w:lineRule="auto"/>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641" w:type="pct"/>
            <w:noWrap w:val="0"/>
            <w:vAlign w:val="center"/>
          </w:tcPr>
          <w:p w14:paraId="30DD3A9B">
            <w:pPr>
              <w:keepNext/>
              <w:spacing w:line="360" w:lineRule="auto"/>
              <w:rPr>
                <w:rFonts w:hint="eastAsia" w:ascii="宋体" w:hAnsi="宋体" w:cs="宋体"/>
                <w:color w:val="auto"/>
                <w:szCs w:val="21"/>
                <w:highlight w:val="none"/>
              </w:rPr>
            </w:pPr>
          </w:p>
        </w:tc>
        <w:tc>
          <w:tcPr>
            <w:tcW w:w="513" w:type="pct"/>
            <w:noWrap w:val="0"/>
            <w:vAlign w:val="center"/>
          </w:tcPr>
          <w:p w14:paraId="5E0F0DF6">
            <w:pPr>
              <w:keepNext/>
              <w:spacing w:line="360" w:lineRule="auto"/>
              <w:rPr>
                <w:rFonts w:hint="eastAsia" w:ascii="宋体" w:hAnsi="宋体" w:cs="宋体"/>
                <w:color w:val="auto"/>
                <w:szCs w:val="21"/>
                <w:highlight w:val="none"/>
              </w:rPr>
            </w:pPr>
          </w:p>
        </w:tc>
        <w:tc>
          <w:tcPr>
            <w:tcW w:w="374" w:type="pct"/>
            <w:noWrap w:val="0"/>
            <w:vAlign w:val="center"/>
          </w:tcPr>
          <w:p w14:paraId="73E2BD67">
            <w:pPr>
              <w:keepNext/>
              <w:spacing w:line="360" w:lineRule="auto"/>
              <w:rPr>
                <w:rFonts w:hint="eastAsia" w:ascii="宋体" w:hAnsi="宋体" w:cs="宋体"/>
                <w:color w:val="auto"/>
                <w:szCs w:val="21"/>
                <w:highlight w:val="none"/>
              </w:rPr>
            </w:pPr>
          </w:p>
        </w:tc>
        <w:tc>
          <w:tcPr>
            <w:tcW w:w="1730" w:type="pct"/>
            <w:noWrap w:val="0"/>
            <w:vAlign w:val="center"/>
          </w:tcPr>
          <w:p w14:paraId="4A390DCF">
            <w:pPr>
              <w:keepNext/>
              <w:spacing w:line="360" w:lineRule="auto"/>
              <w:rPr>
                <w:rFonts w:hint="eastAsia" w:ascii="宋体" w:hAnsi="宋体" w:cs="宋体"/>
                <w:color w:val="auto"/>
                <w:szCs w:val="21"/>
                <w:highlight w:val="none"/>
              </w:rPr>
            </w:pPr>
          </w:p>
        </w:tc>
        <w:tc>
          <w:tcPr>
            <w:tcW w:w="896" w:type="pct"/>
            <w:noWrap w:val="0"/>
            <w:vAlign w:val="top"/>
          </w:tcPr>
          <w:p w14:paraId="0F479ED4">
            <w:pPr>
              <w:keepNext/>
              <w:spacing w:line="360" w:lineRule="auto"/>
              <w:rPr>
                <w:rFonts w:hint="eastAsia" w:ascii="宋体" w:hAnsi="宋体" w:cs="宋体"/>
                <w:color w:val="auto"/>
                <w:szCs w:val="21"/>
                <w:highlight w:val="none"/>
              </w:rPr>
            </w:pPr>
          </w:p>
        </w:tc>
      </w:tr>
      <w:tr w14:paraId="047007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tcBorders>
              <w:top w:val="nil"/>
              <w:bottom w:val="nil"/>
            </w:tcBorders>
            <w:noWrap w:val="0"/>
            <w:vAlign w:val="center"/>
          </w:tcPr>
          <w:p w14:paraId="25E5A08A">
            <w:pPr>
              <w:keepNext/>
              <w:spacing w:line="360" w:lineRule="auto"/>
              <w:rPr>
                <w:rFonts w:hint="eastAsia" w:ascii="宋体" w:hAnsi="宋体" w:cs="宋体"/>
                <w:color w:val="auto"/>
                <w:szCs w:val="21"/>
                <w:highlight w:val="none"/>
              </w:rPr>
            </w:pPr>
          </w:p>
        </w:tc>
        <w:tc>
          <w:tcPr>
            <w:tcW w:w="641" w:type="pct"/>
            <w:noWrap w:val="0"/>
            <w:vAlign w:val="center"/>
          </w:tcPr>
          <w:p w14:paraId="18558432">
            <w:pPr>
              <w:keepNext/>
              <w:spacing w:line="360" w:lineRule="auto"/>
              <w:rPr>
                <w:rFonts w:hint="eastAsia" w:ascii="宋体" w:hAnsi="宋体" w:cs="宋体"/>
                <w:color w:val="auto"/>
                <w:szCs w:val="21"/>
                <w:highlight w:val="none"/>
              </w:rPr>
            </w:pPr>
          </w:p>
        </w:tc>
        <w:tc>
          <w:tcPr>
            <w:tcW w:w="513" w:type="pct"/>
            <w:noWrap w:val="0"/>
            <w:vAlign w:val="center"/>
          </w:tcPr>
          <w:p w14:paraId="528EB0A3">
            <w:pPr>
              <w:keepNext/>
              <w:spacing w:line="360" w:lineRule="auto"/>
              <w:rPr>
                <w:rFonts w:hint="eastAsia" w:ascii="宋体" w:hAnsi="宋体" w:cs="宋体"/>
                <w:color w:val="auto"/>
                <w:szCs w:val="21"/>
                <w:highlight w:val="none"/>
              </w:rPr>
            </w:pPr>
          </w:p>
        </w:tc>
        <w:tc>
          <w:tcPr>
            <w:tcW w:w="374" w:type="pct"/>
            <w:noWrap w:val="0"/>
            <w:vAlign w:val="center"/>
          </w:tcPr>
          <w:p w14:paraId="1837A690">
            <w:pPr>
              <w:keepNext/>
              <w:spacing w:line="360" w:lineRule="auto"/>
              <w:rPr>
                <w:rFonts w:hint="eastAsia" w:ascii="宋体" w:hAnsi="宋体" w:cs="宋体"/>
                <w:color w:val="auto"/>
                <w:szCs w:val="21"/>
                <w:highlight w:val="none"/>
              </w:rPr>
            </w:pPr>
          </w:p>
        </w:tc>
        <w:tc>
          <w:tcPr>
            <w:tcW w:w="1730" w:type="pct"/>
            <w:noWrap w:val="0"/>
            <w:vAlign w:val="center"/>
          </w:tcPr>
          <w:p w14:paraId="6B995B68">
            <w:pPr>
              <w:keepNext/>
              <w:spacing w:line="360" w:lineRule="auto"/>
              <w:rPr>
                <w:rFonts w:hint="eastAsia" w:ascii="宋体" w:hAnsi="宋体" w:cs="宋体"/>
                <w:color w:val="auto"/>
                <w:szCs w:val="21"/>
                <w:highlight w:val="none"/>
              </w:rPr>
            </w:pPr>
          </w:p>
        </w:tc>
        <w:tc>
          <w:tcPr>
            <w:tcW w:w="896" w:type="pct"/>
            <w:noWrap w:val="0"/>
            <w:vAlign w:val="top"/>
          </w:tcPr>
          <w:p w14:paraId="418895D3">
            <w:pPr>
              <w:keepNext/>
              <w:spacing w:line="360" w:lineRule="auto"/>
              <w:rPr>
                <w:rFonts w:hint="eastAsia" w:ascii="宋体" w:hAnsi="宋体" w:cs="宋体"/>
                <w:color w:val="auto"/>
                <w:szCs w:val="21"/>
                <w:highlight w:val="none"/>
              </w:rPr>
            </w:pPr>
          </w:p>
        </w:tc>
      </w:tr>
      <w:tr w14:paraId="0F8CFC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104" w:type="pct"/>
            <w:gridSpan w:val="5"/>
            <w:noWrap w:val="0"/>
            <w:vAlign w:val="center"/>
          </w:tcPr>
          <w:p w14:paraId="1B97093F">
            <w:pPr>
              <w:keepNext/>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二、现场人员</w:t>
            </w:r>
          </w:p>
        </w:tc>
        <w:tc>
          <w:tcPr>
            <w:tcW w:w="896" w:type="pct"/>
            <w:noWrap w:val="0"/>
            <w:vAlign w:val="top"/>
          </w:tcPr>
          <w:p w14:paraId="3D776CB1">
            <w:pPr>
              <w:keepNext/>
              <w:spacing w:line="360" w:lineRule="auto"/>
              <w:rPr>
                <w:rFonts w:hint="eastAsia" w:ascii="宋体" w:hAnsi="宋体" w:cs="宋体"/>
                <w:color w:val="auto"/>
                <w:szCs w:val="21"/>
                <w:highlight w:val="none"/>
              </w:rPr>
            </w:pPr>
          </w:p>
        </w:tc>
      </w:tr>
      <w:tr w14:paraId="370679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0D1C2BAD">
            <w:pPr>
              <w:spacing w:line="360" w:lineRule="auto"/>
              <w:rPr>
                <w:rFonts w:hint="eastAsia" w:ascii="宋体" w:hAnsi="宋体" w:cs="宋体"/>
                <w:color w:val="auto"/>
                <w:szCs w:val="22"/>
                <w:highlight w:val="none"/>
              </w:rPr>
            </w:pPr>
            <w:r>
              <w:rPr>
                <w:rFonts w:hint="eastAsia" w:ascii="宋体" w:hAnsi="宋体" w:cs="宋体"/>
                <w:color w:val="auto"/>
                <w:szCs w:val="22"/>
                <w:highlight w:val="none"/>
              </w:rPr>
              <w:t>项目经理</w:t>
            </w:r>
          </w:p>
        </w:tc>
        <w:tc>
          <w:tcPr>
            <w:tcW w:w="641" w:type="pct"/>
            <w:noWrap w:val="0"/>
            <w:vAlign w:val="center"/>
          </w:tcPr>
          <w:p w14:paraId="469EB2A7">
            <w:pPr>
              <w:keepNext/>
              <w:spacing w:line="360" w:lineRule="auto"/>
              <w:rPr>
                <w:rFonts w:hint="eastAsia" w:ascii="宋体" w:hAnsi="宋体" w:cs="宋体"/>
                <w:color w:val="auto"/>
                <w:szCs w:val="21"/>
                <w:highlight w:val="none"/>
              </w:rPr>
            </w:pPr>
          </w:p>
        </w:tc>
        <w:tc>
          <w:tcPr>
            <w:tcW w:w="513" w:type="pct"/>
            <w:noWrap w:val="0"/>
            <w:vAlign w:val="center"/>
          </w:tcPr>
          <w:p w14:paraId="0F5D62BD">
            <w:pPr>
              <w:keepNext/>
              <w:spacing w:line="360" w:lineRule="auto"/>
              <w:rPr>
                <w:rFonts w:hint="eastAsia" w:ascii="宋体" w:hAnsi="宋体" w:cs="宋体"/>
                <w:color w:val="auto"/>
                <w:szCs w:val="21"/>
                <w:highlight w:val="none"/>
              </w:rPr>
            </w:pPr>
          </w:p>
        </w:tc>
        <w:tc>
          <w:tcPr>
            <w:tcW w:w="374" w:type="pct"/>
            <w:noWrap w:val="0"/>
            <w:vAlign w:val="center"/>
          </w:tcPr>
          <w:p w14:paraId="5F8163C3">
            <w:pPr>
              <w:keepNext/>
              <w:spacing w:line="360" w:lineRule="auto"/>
              <w:rPr>
                <w:rFonts w:hint="eastAsia" w:ascii="宋体" w:hAnsi="宋体" w:cs="宋体"/>
                <w:color w:val="auto"/>
                <w:szCs w:val="21"/>
                <w:highlight w:val="none"/>
              </w:rPr>
            </w:pPr>
          </w:p>
        </w:tc>
        <w:tc>
          <w:tcPr>
            <w:tcW w:w="1730" w:type="pct"/>
            <w:noWrap w:val="0"/>
            <w:vAlign w:val="center"/>
          </w:tcPr>
          <w:p w14:paraId="3DE3B9C3">
            <w:pPr>
              <w:keepNext/>
              <w:spacing w:line="360" w:lineRule="auto"/>
              <w:rPr>
                <w:rFonts w:hint="eastAsia" w:ascii="宋体" w:hAnsi="宋体" w:cs="宋体"/>
                <w:color w:val="auto"/>
                <w:szCs w:val="21"/>
                <w:highlight w:val="none"/>
              </w:rPr>
            </w:pPr>
          </w:p>
        </w:tc>
        <w:tc>
          <w:tcPr>
            <w:tcW w:w="896" w:type="pct"/>
            <w:noWrap w:val="0"/>
            <w:vAlign w:val="top"/>
          </w:tcPr>
          <w:p w14:paraId="4ADFB88B">
            <w:pPr>
              <w:keepNext/>
              <w:spacing w:line="360" w:lineRule="auto"/>
              <w:rPr>
                <w:rFonts w:hint="eastAsia" w:ascii="宋体" w:hAnsi="宋体" w:cs="宋体"/>
                <w:color w:val="auto"/>
                <w:szCs w:val="21"/>
                <w:highlight w:val="none"/>
              </w:rPr>
            </w:pPr>
          </w:p>
        </w:tc>
      </w:tr>
      <w:tr w14:paraId="12BB57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43B398A3">
            <w:pPr>
              <w:spacing w:line="360" w:lineRule="auto"/>
              <w:rPr>
                <w:rFonts w:hint="eastAsia" w:ascii="宋体" w:hAnsi="宋体" w:cs="宋体"/>
                <w:color w:val="auto"/>
                <w:szCs w:val="22"/>
                <w:highlight w:val="none"/>
              </w:rPr>
            </w:pPr>
            <w:r>
              <w:rPr>
                <w:rFonts w:hint="eastAsia" w:ascii="宋体" w:hAnsi="宋体" w:cs="宋体"/>
                <w:color w:val="auto"/>
                <w:szCs w:val="22"/>
                <w:highlight w:val="none"/>
              </w:rPr>
              <w:t>项目副经理</w:t>
            </w:r>
          </w:p>
        </w:tc>
        <w:tc>
          <w:tcPr>
            <w:tcW w:w="641" w:type="pct"/>
            <w:noWrap w:val="0"/>
            <w:vAlign w:val="center"/>
          </w:tcPr>
          <w:p w14:paraId="5E255BDD">
            <w:pPr>
              <w:keepNext/>
              <w:spacing w:line="360" w:lineRule="auto"/>
              <w:rPr>
                <w:rFonts w:hint="eastAsia" w:ascii="宋体" w:hAnsi="宋体" w:cs="宋体"/>
                <w:color w:val="auto"/>
                <w:szCs w:val="21"/>
                <w:highlight w:val="none"/>
              </w:rPr>
            </w:pPr>
          </w:p>
        </w:tc>
        <w:tc>
          <w:tcPr>
            <w:tcW w:w="513" w:type="pct"/>
            <w:noWrap w:val="0"/>
            <w:vAlign w:val="center"/>
          </w:tcPr>
          <w:p w14:paraId="112E296F">
            <w:pPr>
              <w:keepNext/>
              <w:spacing w:line="360" w:lineRule="auto"/>
              <w:rPr>
                <w:rFonts w:hint="eastAsia" w:ascii="宋体" w:hAnsi="宋体" w:cs="宋体"/>
                <w:color w:val="auto"/>
                <w:szCs w:val="21"/>
                <w:highlight w:val="none"/>
              </w:rPr>
            </w:pPr>
          </w:p>
        </w:tc>
        <w:tc>
          <w:tcPr>
            <w:tcW w:w="374" w:type="pct"/>
            <w:noWrap w:val="0"/>
            <w:vAlign w:val="center"/>
          </w:tcPr>
          <w:p w14:paraId="1104B48F">
            <w:pPr>
              <w:keepNext/>
              <w:spacing w:line="360" w:lineRule="auto"/>
              <w:rPr>
                <w:rFonts w:hint="eastAsia" w:ascii="宋体" w:hAnsi="宋体" w:cs="宋体"/>
                <w:color w:val="auto"/>
                <w:szCs w:val="21"/>
                <w:highlight w:val="none"/>
              </w:rPr>
            </w:pPr>
          </w:p>
        </w:tc>
        <w:tc>
          <w:tcPr>
            <w:tcW w:w="1730" w:type="pct"/>
            <w:noWrap w:val="0"/>
            <w:vAlign w:val="center"/>
          </w:tcPr>
          <w:p w14:paraId="1E63D4AA">
            <w:pPr>
              <w:keepNext/>
              <w:spacing w:line="360" w:lineRule="auto"/>
              <w:rPr>
                <w:rFonts w:hint="eastAsia" w:ascii="宋体" w:hAnsi="宋体" w:cs="宋体"/>
                <w:color w:val="auto"/>
                <w:szCs w:val="21"/>
                <w:highlight w:val="none"/>
              </w:rPr>
            </w:pPr>
          </w:p>
        </w:tc>
        <w:tc>
          <w:tcPr>
            <w:tcW w:w="896" w:type="pct"/>
            <w:noWrap w:val="0"/>
            <w:vAlign w:val="top"/>
          </w:tcPr>
          <w:p w14:paraId="0E80CA76">
            <w:pPr>
              <w:keepNext/>
              <w:spacing w:line="360" w:lineRule="auto"/>
              <w:rPr>
                <w:rFonts w:hint="eastAsia" w:ascii="宋体" w:hAnsi="宋体" w:cs="宋体"/>
                <w:color w:val="auto"/>
                <w:szCs w:val="21"/>
                <w:highlight w:val="none"/>
              </w:rPr>
            </w:pPr>
          </w:p>
        </w:tc>
      </w:tr>
      <w:tr w14:paraId="22F002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078EEF05">
            <w:pPr>
              <w:spacing w:line="360" w:lineRule="auto"/>
              <w:rPr>
                <w:rFonts w:hint="eastAsia" w:ascii="宋体" w:hAnsi="宋体" w:cs="宋体"/>
                <w:color w:val="auto"/>
                <w:szCs w:val="22"/>
                <w:highlight w:val="none"/>
              </w:rPr>
            </w:pPr>
            <w:r>
              <w:rPr>
                <w:rFonts w:hint="eastAsia" w:ascii="宋体" w:hAnsi="宋体" w:cs="宋体"/>
                <w:color w:val="auto"/>
                <w:szCs w:val="22"/>
                <w:highlight w:val="none"/>
              </w:rPr>
              <w:t>项目技术负责人</w:t>
            </w:r>
          </w:p>
        </w:tc>
        <w:tc>
          <w:tcPr>
            <w:tcW w:w="641" w:type="pct"/>
            <w:noWrap w:val="0"/>
            <w:vAlign w:val="center"/>
          </w:tcPr>
          <w:p w14:paraId="3F6EF9F2">
            <w:pPr>
              <w:keepNext/>
              <w:spacing w:line="360" w:lineRule="auto"/>
              <w:rPr>
                <w:rFonts w:hint="eastAsia" w:ascii="宋体" w:hAnsi="宋体" w:cs="宋体"/>
                <w:color w:val="auto"/>
                <w:szCs w:val="21"/>
                <w:highlight w:val="none"/>
              </w:rPr>
            </w:pPr>
          </w:p>
        </w:tc>
        <w:tc>
          <w:tcPr>
            <w:tcW w:w="513" w:type="pct"/>
            <w:noWrap w:val="0"/>
            <w:vAlign w:val="center"/>
          </w:tcPr>
          <w:p w14:paraId="0530AA1F">
            <w:pPr>
              <w:keepNext/>
              <w:spacing w:line="360" w:lineRule="auto"/>
              <w:rPr>
                <w:rFonts w:hint="eastAsia" w:ascii="宋体" w:hAnsi="宋体" w:cs="宋体"/>
                <w:color w:val="auto"/>
                <w:szCs w:val="21"/>
                <w:highlight w:val="none"/>
              </w:rPr>
            </w:pPr>
          </w:p>
        </w:tc>
        <w:tc>
          <w:tcPr>
            <w:tcW w:w="374" w:type="pct"/>
            <w:noWrap w:val="0"/>
            <w:vAlign w:val="center"/>
          </w:tcPr>
          <w:p w14:paraId="1F5F45D2">
            <w:pPr>
              <w:keepNext/>
              <w:spacing w:line="360" w:lineRule="auto"/>
              <w:rPr>
                <w:rFonts w:hint="eastAsia" w:ascii="宋体" w:hAnsi="宋体" w:cs="宋体"/>
                <w:color w:val="auto"/>
                <w:szCs w:val="21"/>
                <w:highlight w:val="none"/>
              </w:rPr>
            </w:pPr>
          </w:p>
        </w:tc>
        <w:tc>
          <w:tcPr>
            <w:tcW w:w="1730" w:type="pct"/>
            <w:noWrap w:val="0"/>
            <w:vAlign w:val="center"/>
          </w:tcPr>
          <w:p w14:paraId="1E2B9750">
            <w:pPr>
              <w:keepNext/>
              <w:spacing w:line="360" w:lineRule="auto"/>
              <w:rPr>
                <w:rFonts w:hint="eastAsia" w:ascii="宋体" w:hAnsi="宋体" w:cs="宋体"/>
                <w:color w:val="auto"/>
                <w:szCs w:val="21"/>
                <w:highlight w:val="none"/>
              </w:rPr>
            </w:pPr>
          </w:p>
        </w:tc>
        <w:tc>
          <w:tcPr>
            <w:tcW w:w="896" w:type="pct"/>
            <w:noWrap w:val="0"/>
            <w:vAlign w:val="top"/>
          </w:tcPr>
          <w:p w14:paraId="4D7D1170">
            <w:pPr>
              <w:keepNext/>
              <w:spacing w:line="360" w:lineRule="auto"/>
              <w:rPr>
                <w:rFonts w:hint="eastAsia" w:ascii="宋体" w:hAnsi="宋体" w:cs="宋体"/>
                <w:color w:val="auto"/>
                <w:szCs w:val="21"/>
                <w:highlight w:val="none"/>
              </w:rPr>
            </w:pPr>
          </w:p>
        </w:tc>
      </w:tr>
      <w:tr w14:paraId="389EEC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3262C41E">
            <w:pPr>
              <w:spacing w:line="360" w:lineRule="auto"/>
              <w:rPr>
                <w:rFonts w:hint="eastAsia" w:ascii="宋体" w:hAnsi="宋体" w:cs="宋体"/>
                <w:color w:val="auto"/>
                <w:szCs w:val="22"/>
                <w:highlight w:val="none"/>
              </w:rPr>
            </w:pPr>
            <w:r>
              <w:rPr>
                <w:rFonts w:hint="eastAsia" w:ascii="宋体" w:hAnsi="宋体" w:cs="宋体"/>
                <w:color w:val="auto"/>
                <w:szCs w:val="22"/>
                <w:highlight w:val="none"/>
              </w:rPr>
              <w:t>施工员</w:t>
            </w:r>
          </w:p>
        </w:tc>
        <w:tc>
          <w:tcPr>
            <w:tcW w:w="641" w:type="pct"/>
            <w:noWrap w:val="0"/>
            <w:vAlign w:val="center"/>
          </w:tcPr>
          <w:p w14:paraId="573C31B0">
            <w:pPr>
              <w:keepNext/>
              <w:spacing w:line="360" w:lineRule="auto"/>
              <w:rPr>
                <w:rFonts w:hint="eastAsia" w:ascii="宋体" w:hAnsi="宋体" w:cs="宋体"/>
                <w:color w:val="auto"/>
                <w:szCs w:val="21"/>
                <w:highlight w:val="none"/>
              </w:rPr>
            </w:pPr>
          </w:p>
        </w:tc>
        <w:tc>
          <w:tcPr>
            <w:tcW w:w="513" w:type="pct"/>
            <w:noWrap w:val="0"/>
            <w:vAlign w:val="center"/>
          </w:tcPr>
          <w:p w14:paraId="4C76416D">
            <w:pPr>
              <w:keepNext/>
              <w:spacing w:line="360" w:lineRule="auto"/>
              <w:rPr>
                <w:rFonts w:hint="eastAsia" w:ascii="宋体" w:hAnsi="宋体" w:cs="宋体"/>
                <w:color w:val="auto"/>
                <w:szCs w:val="21"/>
                <w:highlight w:val="none"/>
              </w:rPr>
            </w:pPr>
          </w:p>
        </w:tc>
        <w:tc>
          <w:tcPr>
            <w:tcW w:w="374" w:type="pct"/>
            <w:noWrap w:val="0"/>
            <w:vAlign w:val="center"/>
          </w:tcPr>
          <w:p w14:paraId="1905AE81">
            <w:pPr>
              <w:keepNext/>
              <w:spacing w:line="360" w:lineRule="auto"/>
              <w:rPr>
                <w:rFonts w:hint="eastAsia" w:ascii="宋体" w:hAnsi="宋体" w:cs="宋体"/>
                <w:color w:val="auto"/>
                <w:szCs w:val="21"/>
                <w:highlight w:val="none"/>
              </w:rPr>
            </w:pPr>
          </w:p>
        </w:tc>
        <w:tc>
          <w:tcPr>
            <w:tcW w:w="1730" w:type="pct"/>
            <w:noWrap w:val="0"/>
            <w:vAlign w:val="center"/>
          </w:tcPr>
          <w:p w14:paraId="3C03A9F5">
            <w:pPr>
              <w:keepNext/>
              <w:spacing w:line="360" w:lineRule="auto"/>
              <w:rPr>
                <w:rFonts w:hint="eastAsia" w:ascii="宋体" w:hAnsi="宋体" w:cs="宋体"/>
                <w:color w:val="auto"/>
                <w:szCs w:val="21"/>
                <w:highlight w:val="none"/>
              </w:rPr>
            </w:pPr>
          </w:p>
        </w:tc>
        <w:tc>
          <w:tcPr>
            <w:tcW w:w="896" w:type="pct"/>
            <w:noWrap w:val="0"/>
            <w:vAlign w:val="top"/>
          </w:tcPr>
          <w:p w14:paraId="0558B03E">
            <w:pPr>
              <w:keepNext/>
              <w:spacing w:line="360" w:lineRule="auto"/>
              <w:rPr>
                <w:rFonts w:hint="eastAsia" w:ascii="宋体" w:hAnsi="宋体" w:cs="宋体"/>
                <w:color w:val="auto"/>
                <w:szCs w:val="21"/>
                <w:highlight w:val="none"/>
              </w:rPr>
            </w:pPr>
          </w:p>
        </w:tc>
      </w:tr>
      <w:tr w14:paraId="0EDE20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13C9AABF">
            <w:pPr>
              <w:spacing w:line="360" w:lineRule="auto"/>
              <w:rPr>
                <w:rFonts w:hint="eastAsia" w:ascii="宋体" w:hAnsi="宋体" w:cs="宋体"/>
                <w:color w:val="auto"/>
                <w:szCs w:val="22"/>
                <w:highlight w:val="none"/>
              </w:rPr>
            </w:pPr>
            <w:r>
              <w:rPr>
                <w:rFonts w:hint="eastAsia" w:ascii="宋体" w:hAnsi="宋体" w:cs="宋体"/>
                <w:color w:val="auto"/>
                <w:szCs w:val="22"/>
                <w:highlight w:val="none"/>
              </w:rPr>
              <w:t>质检员（质量员）</w:t>
            </w:r>
          </w:p>
        </w:tc>
        <w:tc>
          <w:tcPr>
            <w:tcW w:w="641" w:type="pct"/>
            <w:noWrap w:val="0"/>
            <w:vAlign w:val="center"/>
          </w:tcPr>
          <w:p w14:paraId="62B9C44D">
            <w:pPr>
              <w:keepNext/>
              <w:spacing w:line="360" w:lineRule="auto"/>
              <w:rPr>
                <w:rFonts w:hint="eastAsia" w:ascii="宋体" w:hAnsi="宋体" w:cs="宋体"/>
                <w:color w:val="auto"/>
                <w:szCs w:val="21"/>
                <w:highlight w:val="none"/>
              </w:rPr>
            </w:pPr>
          </w:p>
        </w:tc>
        <w:tc>
          <w:tcPr>
            <w:tcW w:w="513" w:type="pct"/>
            <w:noWrap w:val="0"/>
            <w:vAlign w:val="center"/>
          </w:tcPr>
          <w:p w14:paraId="5BD80349">
            <w:pPr>
              <w:keepNext/>
              <w:spacing w:line="360" w:lineRule="auto"/>
              <w:rPr>
                <w:rFonts w:hint="eastAsia" w:ascii="宋体" w:hAnsi="宋体" w:cs="宋体"/>
                <w:color w:val="auto"/>
                <w:szCs w:val="21"/>
                <w:highlight w:val="none"/>
              </w:rPr>
            </w:pPr>
          </w:p>
        </w:tc>
        <w:tc>
          <w:tcPr>
            <w:tcW w:w="374" w:type="pct"/>
            <w:noWrap w:val="0"/>
            <w:vAlign w:val="center"/>
          </w:tcPr>
          <w:p w14:paraId="1BE4708D">
            <w:pPr>
              <w:keepNext/>
              <w:spacing w:line="360" w:lineRule="auto"/>
              <w:rPr>
                <w:rFonts w:hint="eastAsia" w:ascii="宋体" w:hAnsi="宋体" w:cs="宋体"/>
                <w:color w:val="auto"/>
                <w:szCs w:val="21"/>
                <w:highlight w:val="none"/>
              </w:rPr>
            </w:pPr>
          </w:p>
        </w:tc>
        <w:tc>
          <w:tcPr>
            <w:tcW w:w="1730" w:type="pct"/>
            <w:noWrap w:val="0"/>
            <w:vAlign w:val="center"/>
          </w:tcPr>
          <w:p w14:paraId="6DADFEE6">
            <w:pPr>
              <w:keepNext/>
              <w:spacing w:line="360" w:lineRule="auto"/>
              <w:rPr>
                <w:rFonts w:hint="eastAsia" w:ascii="宋体" w:hAnsi="宋体" w:cs="宋体"/>
                <w:color w:val="auto"/>
                <w:szCs w:val="21"/>
                <w:highlight w:val="none"/>
              </w:rPr>
            </w:pPr>
          </w:p>
        </w:tc>
        <w:tc>
          <w:tcPr>
            <w:tcW w:w="896" w:type="pct"/>
            <w:noWrap w:val="0"/>
            <w:vAlign w:val="top"/>
          </w:tcPr>
          <w:p w14:paraId="05A8DB12">
            <w:pPr>
              <w:keepNext/>
              <w:spacing w:line="360" w:lineRule="auto"/>
              <w:rPr>
                <w:rFonts w:hint="eastAsia" w:ascii="宋体" w:hAnsi="宋体" w:cs="宋体"/>
                <w:color w:val="auto"/>
                <w:szCs w:val="21"/>
                <w:highlight w:val="none"/>
              </w:rPr>
            </w:pPr>
          </w:p>
        </w:tc>
      </w:tr>
      <w:tr w14:paraId="44D073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22201716">
            <w:pPr>
              <w:spacing w:line="360" w:lineRule="auto"/>
              <w:rPr>
                <w:rFonts w:hint="eastAsia" w:ascii="宋体" w:hAnsi="宋体" w:cs="宋体"/>
                <w:color w:val="auto"/>
                <w:szCs w:val="22"/>
                <w:highlight w:val="none"/>
              </w:rPr>
            </w:pPr>
            <w:r>
              <w:rPr>
                <w:rFonts w:hint="eastAsia" w:ascii="宋体" w:hAnsi="宋体" w:cs="宋体"/>
                <w:color w:val="auto"/>
                <w:szCs w:val="22"/>
                <w:highlight w:val="none"/>
              </w:rPr>
              <w:t>安全员</w:t>
            </w:r>
          </w:p>
        </w:tc>
        <w:tc>
          <w:tcPr>
            <w:tcW w:w="641" w:type="pct"/>
            <w:noWrap w:val="0"/>
            <w:vAlign w:val="center"/>
          </w:tcPr>
          <w:p w14:paraId="146338BC">
            <w:pPr>
              <w:keepNext/>
              <w:spacing w:line="360" w:lineRule="auto"/>
              <w:rPr>
                <w:rFonts w:hint="eastAsia" w:ascii="宋体" w:hAnsi="宋体" w:cs="宋体"/>
                <w:color w:val="auto"/>
                <w:szCs w:val="21"/>
                <w:highlight w:val="none"/>
              </w:rPr>
            </w:pPr>
          </w:p>
        </w:tc>
        <w:tc>
          <w:tcPr>
            <w:tcW w:w="513" w:type="pct"/>
            <w:noWrap w:val="0"/>
            <w:vAlign w:val="center"/>
          </w:tcPr>
          <w:p w14:paraId="06652E14">
            <w:pPr>
              <w:keepNext/>
              <w:spacing w:line="360" w:lineRule="auto"/>
              <w:rPr>
                <w:rFonts w:hint="eastAsia" w:ascii="宋体" w:hAnsi="宋体" w:cs="宋体"/>
                <w:color w:val="auto"/>
                <w:szCs w:val="21"/>
                <w:highlight w:val="none"/>
              </w:rPr>
            </w:pPr>
          </w:p>
        </w:tc>
        <w:tc>
          <w:tcPr>
            <w:tcW w:w="374" w:type="pct"/>
            <w:noWrap w:val="0"/>
            <w:vAlign w:val="center"/>
          </w:tcPr>
          <w:p w14:paraId="21E7F6BB">
            <w:pPr>
              <w:keepNext/>
              <w:spacing w:line="360" w:lineRule="auto"/>
              <w:rPr>
                <w:rFonts w:hint="eastAsia" w:ascii="宋体" w:hAnsi="宋体" w:cs="宋体"/>
                <w:color w:val="auto"/>
                <w:szCs w:val="21"/>
                <w:highlight w:val="none"/>
              </w:rPr>
            </w:pPr>
          </w:p>
        </w:tc>
        <w:tc>
          <w:tcPr>
            <w:tcW w:w="1730" w:type="pct"/>
            <w:noWrap w:val="0"/>
            <w:vAlign w:val="center"/>
          </w:tcPr>
          <w:p w14:paraId="2C766C89">
            <w:pPr>
              <w:keepNext/>
              <w:spacing w:line="360" w:lineRule="auto"/>
              <w:rPr>
                <w:rFonts w:hint="eastAsia" w:ascii="宋体" w:hAnsi="宋体" w:cs="宋体"/>
                <w:color w:val="auto"/>
                <w:szCs w:val="21"/>
                <w:highlight w:val="none"/>
              </w:rPr>
            </w:pPr>
          </w:p>
        </w:tc>
        <w:tc>
          <w:tcPr>
            <w:tcW w:w="896" w:type="pct"/>
            <w:noWrap w:val="0"/>
            <w:vAlign w:val="top"/>
          </w:tcPr>
          <w:p w14:paraId="20F75106">
            <w:pPr>
              <w:keepNext/>
              <w:spacing w:line="360" w:lineRule="auto"/>
              <w:rPr>
                <w:rFonts w:hint="eastAsia" w:ascii="宋体" w:hAnsi="宋体" w:cs="宋体"/>
                <w:color w:val="auto"/>
                <w:szCs w:val="21"/>
                <w:highlight w:val="none"/>
              </w:rPr>
            </w:pPr>
          </w:p>
        </w:tc>
      </w:tr>
      <w:tr w14:paraId="76F22F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noWrap w:val="0"/>
            <w:vAlign w:val="top"/>
          </w:tcPr>
          <w:p w14:paraId="2003D53E">
            <w:pPr>
              <w:spacing w:line="360" w:lineRule="auto"/>
              <w:rPr>
                <w:rFonts w:hint="eastAsia" w:ascii="宋体" w:hAnsi="宋体" w:cs="宋体"/>
                <w:color w:val="auto"/>
                <w:szCs w:val="22"/>
                <w:highlight w:val="none"/>
              </w:rPr>
            </w:pPr>
            <w:r>
              <w:rPr>
                <w:rFonts w:hint="eastAsia" w:ascii="宋体" w:hAnsi="宋体" w:cs="宋体"/>
                <w:color w:val="auto"/>
                <w:szCs w:val="22"/>
                <w:highlight w:val="none"/>
              </w:rPr>
              <w:t>资料员</w:t>
            </w:r>
          </w:p>
        </w:tc>
        <w:tc>
          <w:tcPr>
            <w:tcW w:w="641" w:type="pct"/>
            <w:noWrap w:val="0"/>
            <w:vAlign w:val="center"/>
          </w:tcPr>
          <w:p w14:paraId="43A30368">
            <w:pPr>
              <w:keepNext/>
              <w:spacing w:line="360" w:lineRule="auto"/>
              <w:rPr>
                <w:rFonts w:hint="eastAsia" w:ascii="宋体" w:hAnsi="宋体" w:cs="宋体"/>
                <w:color w:val="auto"/>
                <w:szCs w:val="21"/>
                <w:highlight w:val="none"/>
              </w:rPr>
            </w:pPr>
          </w:p>
        </w:tc>
        <w:tc>
          <w:tcPr>
            <w:tcW w:w="513" w:type="pct"/>
            <w:noWrap w:val="0"/>
            <w:vAlign w:val="center"/>
          </w:tcPr>
          <w:p w14:paraId="28CA5A65">
            <w:pPr>
              <w:keepNext/>
              <w:spacing w:line="360" w:lineRule="auto"/>
              <w:rPr>
                <w:rFonts w:hint="eastAsia" w:ascii="宋体" w:hAnsi="宋体" w:cs="宋体"/>
                <w:color w:val="auto"/>
                <w:szCs w:val="21"/>
                <w:highlight w:val="none"/>
              </w:rPr>
            </w:pPr>
          </w:p>
        </w:tc>
        <w:tc>
          <w:tcPr>
            <w:tcW w:w="374" w:type="pct"/>
            <w:noWrap w:val="0"/>
            <w:vAlign w:val="center"/>
          </w:tcPr>
          <w:p w14:paraId="3C7439E5">
            <w:pPr>
              <w:keepNext/>
              <w:spacing w:line="360" w:lineRule="auto"/>
              <w:rPr>
                <w:rFonts w:hint="eastAsia" w:ascii="宋体" w:hAnsi="宋体" w:cs="宋体"/>
                <w:color w:val="auto"/>
                <w:szCs w:val="21"/>
                <w:highlight w:val="none"/>
              </w:rPr>
            </w:pPr>
          </w:p>
        </w:tc>
        <w:tc>
          <w:tcPr>
            <w:tcW w:w="1730" w:type="pct"/>
            <w:noWrap w:val="0"/>
            <w:vAlign w:val="center"/>
          </w:tcPr>
          <w:p w14:paraId="4CDDA5BB">
            <w:pPr>
              <w:keepNext/>
              <w:spacing w:line="360" w:lineRule="auto"/>
              <w:rPr>
                <w:rFonts w:hint="eastAsia" w:ascii="宋体" w:hAnsi="宋体" w:cs="宋体"/>
                <w:color w:val="auto"/>
                <w:szCs w:val="21"/>
                <w:highlight w:val="none"/>
              </w:rPr>
            </w:pPr>
          </w:p>
        </w:tc>
        <w:tc>
          <w:tcPr>
            <w:tcW w:w="896" w:type="pct"/>
            <w:noWrap w:val="0"/>
            <w:vAlign w:val="top"/>
          </w:tcPr>
          <w:p w14:paraId="4E631971">
            <w:pPr>
              <w:keepNext/>
              <w:spacing w:line="360" w:lineRule="auto"/>
              <w:rPr>
                <w:rFonts w:hint="eastAsia" w:ascii="宋体" w:hAnsi="宋体" w:cs="宋体"/>
                <w:color w:val="auto"/>
                <w:szCs w:val="21"/>
                <w:highlight w:val="none"/>
              </w:rPr>
            </w:pPr>
          </w:p>
        </w:tc>
      </w:tr>
      <w:tr w14:paraId="0C8BC9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restart"/>
            <w:noWrap w:val="0"/>
            <w:vAlign w:val="center"/>
          </w:tcPr>
          <w:p w14:paraId="795B3C7D">
            <w:pPr>
              <w:keepNext/>
              <w:spacing w:line="360" w:lineRule="auto"/>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641" w:type="pct"/>
            <w:noWrap w:val="0"/>
            <w:vAlign w:val="center"/>
          </w:tcPr>
          <w:p w14:paraId="78FC5437">
            <w:pPr>
              <w:keepNext/>
              <w:spacing w:line="360" w:lineRule="auto"/>
              <w:rPr>
                <w:rFonts w:hint="eastAsia" w:ascii="宋体" w:hAnsi="宋体" w:cs="宋体"/>
                <w:color w:val="auto"/>
                <w:szCs w:val="21"/>
                <w:highlight w:val="none"/>
              </w:rPr>
            </w:pPr>
          </w:p>
        </w:tc>
        <w:tc>
          <w:tcPr>
            <w:tcW w:w="513" w:type="pct"/>
            <w:noWrap w:val="0"/>
            <w:vAlign w:val="center"/>
          </w:tcPr>
          <w:p w14:paraId="107C6AF8">
            <w:pPr>
              <w:keepNext/>
              <w:spacing w:line="360" w:lineRule="auto"/>
              <w:rPr>
                <w:rFonts w:hint="eastAsia" w:ascii="宋体" w:hAnsi="宋体" w:cs="宋体"/>
                <w:color w:val="auto"/>
                <w:szCs w:val="21"/>
                <w:highlight w:val="none"/>
              </w:rPr>
            </w:pPr>
          </w:p>
        </w:tc>
        <w:tc>
          <w:tcPr>
            <w:tcW w:w="374" w:type="pct"/>
            <w:noWrap w:val="0"/>
            <w:vAlign w:val="center"/>
          </w:tcPr>
          <w:p w14:paraId="5982D898">
            <w:pPr>
              <w:keepNext/>
              <w:spacing w:line="360" w:lineRule="auto"/>
              <w:rPr>
                <w:rFonts w:hint="eastAsia" w:ascii="宋体" w:hAnsi="宋体" w:cs="宋体"/>
                <w:color w:val="auto"/>
                <w:szCs w:val="21"/>
                <w:highlight w:val="none"/>
              </w:rPr>
            </w:pPr>
          </w:p>
        </w:tc>
        <w:tc>
          <w:tcPr>
            <w:tcW w:w="1730" w:type="pct"/>
            <w:noWrap w:val="0"/>
            <w:vAlign w:val="center"/>
          </w:tcPr>
          <w:p w14:paraId="26AAB8F0">
            <w:pPr>
              <w:keepNext/>
              <w:spacing w:line="360" w:lineRule="auto"/>
              <w:rPr>
                <w:rFonts w:hint="eastAsia" w:ascii="宋体" w:hAnsi="宋体" w:cs="宋体"/>
                <w:color w:val="auto"/>
                <w:szCs w:val="21"/>
                <w:highlight w:val="none"/>
              </w:rPr>
            </w:pPr>
          </w:p>
        </w:tc>
        <w:tc>
          <w:tcPr>
            <w:tcW w:w="896" w:type="pct"/>
            <w:noWrap w:val="0"/>
            <w:vAlign w:val="top"/>
          </w:tcPr>
          <w:p w14:paraId="38622765">
            <w:pPr>
              <w:keepNext/>
              <w:spacing w:line="360" w:lineRule="auto"/>
              <w:rPr>
                <w:rFonts w:hint="eastAsia" w:ascii="宋体" w:hAnsi="宋体" w:cs="宋体"/>
                <w:color w:val="auto"/>
                <w:szCs w:val="21"/>
                <w:highlight w:val="none"/>
              </w:rPr>
            </w:pPr>
          </w:p>
        </w:tc>
      </w:tr>
      <w:tr w14:paraId="1242C4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noWrap w:val="0"/>
            <w:vAlign w:val="center"/>
          </w:tcPr>
          <w:p w14:paraId="1AE625F2">
            <w:pPr>
              <w:keepNext/>
              <w:spacing w:line="360" w:lineRule="auto"/>
              <w:rPr>
                <w:rFonts w:hint="eastAsia" w:ascii="宋体" w:hAnsi="宋体" w:cs="宋体"/>
                <w:color w:val="auto"/>
                <w:szCs w:val="21"/>
                <w:highlight w:val="none"/>
              </w:rPr>
            </w:pPr>
          </w:p>
        </w:tc>
        <w:tc>
          <w:tcPr>
            <w:tcW w:w="641" w:type="pct"/>
            <w:tcBorders>
              <w:bottom w:val="nil"/>
            </w:tcBorders>
            <w:noWrap w:val="0"/>
            <w:vAlign w:val="center"/>
          </w:tcPr>
          <w:p w14:paraId="18EFA55A">
            <w:pPr>
              <w:keepNext/>
              <w:spacing w:line="360" w:lineRule="auto"/>
              <w:rPr>
                <w:rFonts w:hint="eastAsia" w:ascii="宋体" w:hAnsi="宋体" w:cs="宋体"/>
                <w:color w:val="auto"/>
                <w:szCs w:val="21"/>
                <w:highlight w:val="none"/>
              </w:rPr>
            </w:pPr>
          </w:p>
        </w:tc>
        <w:tc>
          <w:tcPr>
            <w:tcW w:w="513" w:type="pct"/>
            <w:tcBorders>
              <w:bottom w:val="nil"/>
            </w:tcBorders>
            <w:noWrap w:val="0"/>
            <w:vAlign w:val="center"/>
          </w:tcPr>
          <w:p w14:paraId="75DEF166">
            <w:pPr>
              <w:keepNext/>
              <w:spacing w:line="360" w:lineRule="auto"/>
              <w:rPr>
                <w:rFonts w:hint="eastAsia" w:ascii="宋体" w:hAnsi="宋体" w:cs="宋体"/>
                <w:color w:val="auto"/>
                <w:szCs w:val="21"/>
                <w:highlight w:val="none"/>
              </w:rPr>
            </w:pPr>
          </w:p>
        </w:tc>
        <w:tc>
          <w:tcPr>
            <w:tcW w:w="374" w:type="pct"/>
            <w:tcBorders>
              <w:bottom w:val="nil"/>
            </w:tcBorders>
            <w:noWrap w:val="0"/>
            <w:vAlign w:val="center"/>
          </w:tcPr>
          <w:p w14:paraId="17EDA1AF">
            <w:pPr>
              <w:keepNext/>
              <w:spacing w:line="360" w:lineRule="auto"/>
              <w:rPr>
                <w:rFonts w:hint="eastAsia" w:ascii="宋体" w:hAnsi="宋体" w:cs="宋体"/>
                <w:color w:val="auto"/>
                <w:szCs w:val="21"/>
                <w:highlight w:val="none"/>
              </w:rPr>
            </w:pPr>
          </w:p>
        </w:tc>
        <w:tc>
          <w:tcPr>
            <w:tcW w:w="1730" w:type="pct"/>
            <w:tcBorders>
              <w:bottom w:val="nil"/>
            </w:tcBorders>
            <w:noWrap w:val="0"/>
            <w:vAlign w:val="center"/>
          </w:tcPr>
          <w:p w14:paraId="3D072168">
            <w:pPr>
              <w:keepNext/>
              <w:spacing w:line="360" w:lineRule="auto"/>
              <w:rPr>
                <w:rFonts w:hint="eastAsia" w:ascii="宋体" w:hAnsi="宋体" w:cs="宋体"/>
                <w:color w:val="auto"/>
                <w:szCs w:val="21"/>
                <w:highlight w:val="none"/>
              </w:rPr>
            </w:pPr>
          </w:p>
        </w:tc>
        <w:tc>
          <w:tcPr>
            <w:tcW w:w="896" w:type="pct"/>
            <w:tcBorders>
              <w:bottom w:val="nil"/>
            </w:tcBorders>
            <w:noWrap w:val="0"/>
            <w:vAlign w:val="top"/>
          </w:tcPr>
          <w:p w14:paraId="5C36A08F">
            <w:pPr>
              <w:keepNext/>
              <w:spacing w:line="360" w:lineRule="auto"/>
              <w:rPr>
                <w:rFonts w:hint="eastAsia" w:ascii="宋体" w:hAnsi="宋体" w:cs="宋体"/>
                <w:color w:val="auto"/>
                <w:szCs w:val="21"/>
                <w:highlight w:val="none"/>
              </w:rPr>
            </w:pPr>
          </w:p>
        </w:tc>
      </w:tr>
      <w:tr w14:paraId="6DBAFD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noWrap w:val="0"/>
            <w:vAlign w:val="center"/>
          </w:tcPr>
          <w:p w14:paraId="1A718956">
            <w:pPr>
              <w:keepNext/>
              <w:spacing w:line="360" w:lineRule="auto"/>
              <w:rPr>
                <w:rFonts w:hint="eastAsia" w:ascii="宋体" w:hAnsi="宋体" w:cs="宋体"/>
                <w:color w:val="auto"/>
                <w:szCs w:val="21"/>
                <w:highlight w:val="none"/>
              </w:rPr>
            </w:pPr>
          </w:p>
        </w:tc>
        <w:tc>
          <w:tcPr>
            <w:tcW w:w="641" w:type="pct"/>
            <w:noWrap w:val="0"/>
            <w:vAlign w:val="center"/>
          </w:tcPr>
          <w:p w14:paraId="6774367C">
            <w:pPr>
              <w:keepNext/>
              <w:spacing w:line="360" w:lineRule="auto"/>
              <w:rPr>
                <w:rFonts w:hint="eastAsia" w:ascii="宋体" w:hAnsi="宋体" w:cs="宋体"/>
                <w:color w:val="auto"/>
                <w:szCs w:val="21"/>
                <w:highlight w:val="none"/>
              </w:rPr>
            </w:pPr>
          </w:p>
        </w:tc>
        <w:tc>
          <w:tcPr>
            <w:tcW w:w="513" w:type="pct"/>
            <w:noWrap w:val="0"/>
            <w:vAlign w:val="center"/>
          </w:tcPr>
          <w:p w14:paraId="79AD48F6">
            <w:pPr>
              <w:keepNext/>
              <w:spacing w:line="360" w:lineRule="auto"/>
              <w:rPr>
                <w:rFonts w:hint="eastAsia" w:ascii="宋体" w:hAnsi="宋体" w:cs="宋体"/>
                <w:color w:val="auto"/>
                <w:szCs w:val="21"/>
                <w:highlight w:val="none"/>
              </w:rPr>
            </w:pPr>
          </w:p>
        </w:tc>
        <w:tc>
          <w:tcPr>
            <w:tcW w:w="374" w:type="pct"/>
            <w:noWrap w:val="0"/>
            <w:vAlign w:val="center"/>
          </w:tcPr>
          <w:p w14:paraId="3435CFE4">
            <w:pPr>
              <w:keepNext/>
              <w:spacing w:line="360" w:lineRule="auto"/>
              <w:rPr>
                <w:rFonts w:hint="eastAsia" w:ascii="宋体" w:hAnsi="宋体" w:cs="宋体"/>
                <w:color w:val="auto"/>
                <w:szCs w:val="21"/>
                <w:highlight w:val="none"/>
              </w:rPr>
            </w:pPr>
          </w:p>
        </w:tc>
        <w:tc>
          <w:tcPr>
            <w:tcW w:w="1730" w:type="pct"/>
            <w:noWrap w:val="0"/>
            <w:vAlign w:val="center"/>
          </w:tcPr>
          <w:p w14:paraId="111740E0">
            <w:pPr>
              <w:keepNext/>
              <w:spacing w:line="360" w:lineRule="auto"/>
              <w:rPr>
                <w:rFonts w:hint="eastAsia" w:ascii="宋体" w:hAnsi="宋体" w:cs="宋体"/>
                <w:color w:val="auto"/>
                <w:szCs w:val="21"/>
                <w:highlight w:val="none"/>
              </w:rPr>
            </w:pPr>
          </w:p>
        </w:tc>
        <w:tc>
          <w:tcPr>
            <w:tcW w:w="896" w:type="pct"/>
            <w:noWrap w:val="0"/>
            <w:vAlign w:val="top"/>
          </w:tcPr>
          <w:p w14:paraId="5F1E93D9">
            <w:pPr>
              <w:keepNext/>
              <w:spacing w:line="360" w:lineRule="auto"/>
              <w:rPr>
                <w:rFonts w:hint="eastAsia" w:ascii="宋体" w:hAnsi="宋体" w:cs="宋体"/>
                <w:color w:val="auto"/>
                <w:szCs w:val="21"/>
                <w:highlight w:val="none"/>
              </w:rPr>
            </w:pPr>
          </w:p>
        </w:tc>
      </w:tr>
      <w:tr w14:paraId="203655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noWrap w:val="0"/>
            <w:vAlign w:val="center"/>
          </w:tcPr>
          <w:p w14:paraId="3CC0408F">
            <w:pPr>
              <w:keepNext/>
              <w:spacing w:line="360" w:lineRule="auto"/>
              <w:rPr>
                <w:rFonts w:hint="eastAsia" w:ascii="宋体" w:hAnsi="宋体" w:cs="宋体"/>
                <w:color w:val="auto"/>
                <w:szCs w:val="21"/>
                <w:highlight w:val="none"/>
              </w:rPr>
            </w:pPr>
          </w:p>
        </w:tc>
        <w:tc>
          <w:tcPr>
            <w:tcW w:w="641" w:type="pct"/>
            <w:noWrap w:val="0"/>
            <w:vAlign w:val="center"/>
          </w:tcPr>
          <w:p w14:paraId="1A23BCF7">
            <w:pPr>
              <w:keepNext/>
              <w:spacing w:line="360" w:lineRule="auto"/>
              <w:rPr>
                <w:rFonts w:hint="eastAsia" w:ascii="宋体" w:hAnsi="宋体" w:cs="宋体"/>
                <w:color w:val="auto"/>
                <w:szCs w:val="21"/>
                <w:highlight w:val="none"/>
              </w:rPr>
            </w:pPr>
          </w:p>
        </w:tc>
        <w:tc>
          <w:tcPr>
            <w:tcW w:w="513" w:type="pct"/>
            <w:noWrap w:val="0"/>
            <w:vAlign w:val="center"/>
          </w:tcPr>
          <w:p w14:paraId="5190AFB6">
            <w:pPr>
              <w:keepNext/>
              <w:spacing w:line="360" w:lineRule="auto"/>
              <w:rPr>
                <w:rFonts w:hint="eastAsia" w:ascii="宋体" w:hAnsi="宋体" w:cs="宋体"/>
                <w:color w:val="auto"/>
                <w:szCs w:val="21"/>
                <w:highlight w:val="none"/>
              </w:rPr>
            </w:pPr>
          </w:p>
        </w:tc>
        <w:tc>
          <w:tcPr>
            <w:tcW w:w="374" w:type="pct"/>
            <w:noWrap w:val="0"/>
            <w:vAlign w:val="center"/>
          </w:tcPr>
          <w:p w14:paraId="0A697DF7">
            <w:pPr>
              <w:keepNext/>
              <w:spacing w:line="360" w:lineRule="auto"/>
              <w:rPr>
                <w:rFonts w:hint="eastAsia" w:ascii="宋体" w:hAnsi="宋体" w:cs="宋体"/>
                <w:color w:val="auto"/>
                <w:szCs w:val="21"/>
                <w:highlight w:val="none"/>
              </w:rPr>
            </w:pPr>
          </w:p>
        </w:tc>
        <w:tc>
          <w:tcPr>
            <w:tcW w:w="1730" w:type="pct"/>
            <w:noWrap w:val="0"/>
            <w:vAlign w:val="center"/>
          </w:tcPr>
          <w:p w14:paraId="4710C6AD">
            <w:pPr>
              <w:keepNext/>
              <w:spacing w:line="360" w:lineRule="auto"/>
              <w:rPr>
                <w:rFonts w:hint="eastAsia" w:ascii="宋体" w:hAnsi="宋体" w:cs="宋体"/>
                <w:color w:val="auto"/>
                <w:szCs w:val="21"/>
                <w:highlight w:val="none"/>
              </w:rPr>
            </w:pPr>
          </w:p>
        </w:tc>
        <w:tc>
          <w:tcPr>
            <w:tcW w:w="896" w:type="pct"/>
            <w:noWrap w:val="0"/>
            <w:vAlign w:val="top"/>
          </w:tcPr>
          <w:p w14:paraId="44C42A9C">
            <w:pPr>
              <w:keepNext/>
              <w:spacing w:line="360" w:lineRule="auto"/>
              <w:rPr>
                <w:rFonts w:hint="eastAsia" w:ascii="宋体" w:hAnsi="宋体" w:cs="宋体"/>
                <w:color w:val="auto"/>
                <w:szCs w:val="21"/>
                <w:highlight w:val="none"/>
              </w:rPr>
            </w:pPr>
          </w:p>
        </w:tc>
      </w:tr>
      <w:tr w14:paraId="1F3BC8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noWrap w:val="0"/>
            <w:vAlign w:val="center"/>
          </w:tcPr>
          <w:p w14:paraId="68A70479">
            <w:pPr>
              <w:keepNext/>
              <w:spacing w:line="360" w:lineRule="auto"/>
              <w:rPr>
                <w:rFonts w:hint="eastAsia" w:ascii="宋体" w:hAnsi="宋体" w:cs="宋体"/>
                <w:color w:val="auto"/>
                <w:szCs w:val="21"/>
                <w:highlight w:val="none"/>
              </w:rPr>
            </w:pPr>
          </w:p>
        </w:tc>
        <w:tc>
          <w:tcPr>
            <w:tcW w:w="641" w:type="pct"/>
            <w:noWrap w:val="0"/>
            <w:vAlign w:val="center"/>
          </w:tcPr>
          <w:p w14:paraId="1E59129D">
            <w:pPr>
              <w:keepNext/>
              <w:spacing w:line="360" w:lineRule="auto"/>
              <w:rPr>
                <w:rFonts w:hint="eastAsia" w:ascii="宋体" w:hAnsi="宋体" w:cs="宋体"/>
                <w:color w:val="auto"/>
                <w:szCs w:val="21"/>
                <w:highlight w:val="none"/>
              </w:rPr>
            </w:pPr>
          </w:p>
        </w:tc>
        <w:tc>
          <w:tcPr>
            <w:tcW w:w="513" w:type="pct"/>
            <w:noWrap w:val="0"/>
            <w:vAlign w:val="center"/>
          </w:tcPr>
          <w:p w14:paraId="1C3ADE05">
            <w:pPr>
              <w:keepNext/>
              <w:spacing w:line="360" w:lineRule="auto"/>
              <w:rPr>
                <w:rFonts w:hint="eastAsia" w:ascii="宋体" w:hAnsi="宋体" w:cs="宋体"/>
                <w:color w:val="auto"/>
                <w:szCs w:val="21"/>
                <w:highlight w:val="none"/>
              </w:rPr>
            </w:pPr>
          </w:p>
        </w:tc>
        <w:tc>
          <w:tcPr>
            <w:tcW w:w="374" w:type="pct"/>
            <w:noWrap w:val="0"/>
            <w:vAlign w:val="center"/>
          </w:tcPr>
          <w:p w14:paraId="7B662B55">
            <w:pPr>
              <w:keepNext/>
              <w:spacing w:line="360" w:lineRule="auto"/>
              <w:rPr>
                <w:rFonts w:hint="eastAsia" w:ascii="宋体" w:hAnsi="宋体" w:cs="宋体"/>
                <w:color w:val="auto"/>
                <w:szCs w:val="21"/>
                <w:highlight w:val="none"/>
              </w:rPr>
            </w:pPr>
          </w:p>
        </w:tc>
        <w:tc>
          <w:tcPr>
            <w:tcW w:w="1730" w:type="pct"/>
            <w:noWrap w:val="0"/>
            <w:vAlign w:val="center"/>
          </w:tcPr>
          <w:p w14:paraId="5532B4E8">
            <w:pPr>
              <w:keepNext/>
              <w:spacing w:line="360" w:lineRule="auto"/>
              <w:rPr>
                <w:rFonts w:hint="eastAsia" w:ascii="宋体" w:hAnsi="宋体" w:cs="宋体"/>
                <w:color w:val="auto"/>
                <w:szCs w:val="21"/>
                <w:highlight w:val="none"/>
              </w:rPr>
            </w:pPr>
          </w:p>
        </w:tc>
        <w:tc>
          <w:tcPr>
            <w:tcW w:w="896" w:type="pct"/>
            <w:noWrap w:val="0"/>
            <w:vAlign w:val="top"/>
          </w:tcPr>
          <w:p w14:paraId="4F12449A">
            <w:pPr>
              <w:keepNext/>
              <w:spacing w:line="360" w:lineRule="auto"/>
              <w:rPr>
                <w:rFonts w:hint="eastAsia" w:ascii="宋体" w:hAnsi="宋体" w:cs="宋体"/>
                <w:color w:val="auto"/>
                <w:szCs w:val="21"/>
                <w:highlight w:val="none"/>
              </w:rPr>
            </w:pPr>
          </w:p>
        </w:tc>
      </w:tr>
      <w:tr w14:paraId="67B22B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6" w:type="pct"/>
            <w:vMerge w:val="continue"/>
            <w:tcBorders>
              <w:bottom w:val="single" w:color="auto" w:sz="12" w:space="0"/>
            </w:tcBorders>
            <w:noWrap w:val="0"/>
            <w:vAlign w:val="center"/>
          </w:tcPr>
          <w:p w14:paraId="488B55DA">
            <w:pPr>
              <w:keepNext/>
              <w:spacing w:line="360" w:lineRule="auto"/>
              <w:rPr>
                <w:rFonts w:hint="eastAsia" w:ascii="宋体" w:hAnsi="宋体" w:cs="宋体"/>
                <w:color w:val="auto"/>
                <w:szCs w:val="21"/>
                <w:highlight w:val="none"/>
              </w:rPr>
            </w:pPr>
          </w:p>
        </w:tc>
        <w:tc>
          <w:tcPr>
            <w:tcW w:w="641" w:type="pct"/>
            <w:tcBorders>
              <w:bottom w:val="single" w:color="auto" w:sz="12" w:space="0"/>
            </w:tcBorders>
            <w:noWrap w:val="0"/>
            <w:vAlign w:val="center"/>
          </w:tcPr>
          <w:p w14:paraId="66F0D4B0">
            <w:pPr>
              <w:keepNext/>
              <w:spacing w:line="360" w:lineRule="auto"/>
              <w:rPr>
                <w:rFonts w:hint="eastAsia" w:ascii="宋体" w:hAnsi="宋体" w:cs="宋体"/>
                <w:color w:val="auto"/>
                <w:szCs w:val="21"/>
                <w:highlight w:val="none"/>
              </w:rPr>
            </w:pPr>
          </w:p>
        </w:tc>
        <w:tc>
          <w:tcPr>
            <w:tcW w:w="513" w:type="pct"/>
            <w:tcBorders>
              <w:bottom w:val="single" w:color="auto" w:sz="12" w:space="0"/>
            </w:tcBorders>
            <w:noWrap w:val="0"/>
            <w:vAlign w:val="center"/>
          </w:tcPr>
          <w:p w14:paraId="300E5678">
            <w:pPr>
              <w:keepNext/>
              <w:spacing w:line="360" w:lineRule="auto"/>
              <w:rPr>
                <w:rFonts w:hint="eastAsia" w:ascii="宋体" w:hAnsi="宋体" w:cs="宋体"/>
                <w:color w:val="auto"/>
                <w:szCs w:val="21"/>
                <w:highlight w:val="none"/>
              </w:rPr>
            </w:pPr>
          </w:p>
        </w:tc>
        <w:tc>
          <w:tcPr>
            <w:tcW w:w="374" w:type="pct"/>
            <w:tcBorders>
              <w:bottom w:val="single" w:color="auto" w:sz="12" w:space="0"/>
            </w:tcBorders>
            <w:noWrap w:val="0"/>
            <w:vAlign w:val="center"/>
          </w:tcPr>
          <w:p w14:paraId="5024FEBA">
            <w:pPr>
              <w:keepNext/>
              <w:spacing w:line="360" w:lineRule="auto"/>
              <w:rPr>
                <w:rFonts w:hint="eastAsia" w:ascii="宋体" w:hAnsi="宋体" w:cs="宋体"/>
                <w:color w:val="auto"/>
                <w:szCs w:val="21"/>
                <w:highlight w:val="none"/>
              </w:rPr>
            </w:pPr>
          </w:p>
        </w:tc>
        <w:tc>
          <w:tcPr>
            <w:tcW w:w="1730" w:type="pct"/>
            <w:tcBorders>
              <w:bottom w:val="single" w:color="auto" w:sz="12" w:space="0"/>
            </w:tcBorders>
            <w:noWrap w:val="0"/>
            <w:vAlign w:val="center"/>
          </w:tcPr>
          <w:p w14:paraId="6F125130">
            <w:pPr>
              <w:keepNext/>
              <w:spacing w:line="360" w:lineRule="auto"/>
              <w:rPr>
                <w:rFonts w:hint="eastAsia" w:ascii="宋体" w:hAnsi="宋体" w:cs="宋体"/>
                <w:color w:val="auto"/>
                <w:szCs w:val="21"/>
                <w:highlight w:val="none"/>
              </w:rPr>
            </w:pPr>
          </w:p>
        </w:tc>
        <w:tc>
          <w:tcPr>
            <w:tcW w:w="896" w:type="pct"/>
            <w:tcBorders>
              <w:bottom w:val="single" w:color="auto" w:sz="12" w:space="0"/>
            </w:tcBorders>
            <w:noWrap w:val="0"/>
            <w:vAlign w:val="top"/>
          </w:tcPr>
          <w:p w14:paraId="145C487F">
            <w:pPr>
              <w:keepNext/>
              <w:spacing w:line="360" w:lineRule="auto"/>
              <w:rPr>
                <w:rFonts w:hint="eastAsia" w:ascii="宋体" w:hAnsi="宋体" w:cs="宋体"/>
                <w:color w:val="auto"/>
                <w:szCs w:val="21"/>
                <w:highlight w:val="none"/>
              </w:rPr>
            </w:pPr>
          </w:p>
        </w:tc>
      </w:tr>
    </w:tbl>
    <w:p w14:paraId="6DE6886F">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br w:type="page"/>
      </w:r>
      <w:bookmarkStart w:id="911" w:name="_Toc7655"/>
      <w:bookmarkStart w:id="912" w:name="_Toc95223495"/>
      <w:bookmarkStart w:id="913" w:name="_Toc25726"/>
      <w:r>
        <w:rPr>
          <w:rFonts w:hint="eastAsia" w:ascii="宋体" w:hAnsi="宋体" w:cs="宋体"/>
          <w:bCs/>
          <w:color w:val="auto"/>
          <w:sz w:val="24"/>
          <w:highlight w:val="none"/>
        </w:rPr>
        <w:t>附</w:t>
      </w:r>
      <w:bookmarkStart w:id="914" w:name="_Toc296347230"/>
      <w:bookmarkStart w:id="915" w:name="_Toc296891059"/>
      <w:bookmarkStart w:id="916" w:name="_Toc296503231"/>
      <w:bookmarkStart w:id="917" w:name="_Toc296346732"/>
      <w:bookmarkStart w:id="918" w:name="_Toc296891271"/>
      <w:bookmarkStart w:id="919" w:name="_Toc296944570"/>
      <w:r>
        <w:rPr>
          <w:rFonts w:hint="eastAsia" w:ascii="宋体" w:hAnsi="宋体" w:cs="宋体"/>
          <w:bCs/>
          <w:color w:val="auto"/>
          <w:sz w:val="24"/>
          <w:highlight w:val="none"/>
        </w:rPr>
        <w:t>件8：廉政协议</w:t>
      </w:r>
      <w:bookmarkEnd w:id="911"/>
      <w:bookmarkEnd w:id="912"/>
      <w:bookmarkEnd w:id="913"/>
    </w:p>
    <w:bookmarkEnd w:id="914"/>
    <w:bookmarkEnd w:id="915"/>
    <w:bookmarkEnd w:id="916"/>
    <w:bookmarkEnd w:id="917"/>
    <w:bookmarkEnd w:id="918"/>
    <w:bookmarkEnd w:id="919"/>
    <w:p w14:paraId="3F405457">
      <w:pPr>
        <w:widowControl/>
        <w:spacing w:line="360" w:lineRule="auto"/>
        <w:ind w:firstLine="641"/>
        <w:jc w:val="center"/>
        <w:rPr>
          <w:rFonts w:hint="eastAsia" w:ascii="宋体" w:hAnsi="宋体" w:cs="宋体"/>
          <w:b/>
          <w:bCs/>
          <w:color w:val="auto"/>
          <w:kern w:val="0"/>
          <w:sz w:val="32"/>
          <w:szCs w:val="32"/>
          <w:highlight w:val="none"/>
        </w:rPr>
      </w:pPr>
      <w:bookmarkStart w:id="920" w:name="_Toc9808"/>
      <w:bookmarkStart w:id="921" w:name="_Toc7607"/>
      <w:bookmarkStart w:id="922" w:name="_Toc95223496"/>
      <w:r>
        <w:rPr>
          <w:rFonts w:hint="eastAsia" w:ascii="宋体" w:hAnsi="宋体" w:cs="宋体"/>
          <w:b/>
          <w:bCs/>
          <w:color w:val="auto"/>
          <w:kern w:val="0"/>
          <w:sz w:val="32"/>
          <w:szCs w:val="32"/>
          <w:highlight w:val="none"/>
        </w:rPr>
        <w:t>廉 政 协 议</w:t>
      </w:r>
      <w:bookmarkEnd w:id="920"/>
      <w:bookmarkEnd w:id="921"/>
      <w:bookmarkEnd w:id="922"/>
    </w:p>
    <w:p w14:paraId="7E5DF8F2">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为促进双方诚信经营、廉洁从业，防范商业贿赂，保护国家、集体和当事人的合法权益，根据国家有关法律法规和安徽省、项目所在地廉政建设的规定，</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(以下称甲方)与</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(以下称乙方)，特此订立本协议共同遵照执行。</w:t>
      </w:r>
    </w:p>
    <w:p w14:paraId="61EDAF90">
      <w:pPr>
        <w:widowControl/>
        <w:spacing w:line="360" w:lineRule="auto"/>
        <w:ind w:firstLine="420" w:firstLineChars="200"/>
        <w:jc w:val="left"/>
        <w:rPr>
          <w:rFonts w:hint="eastAsia" w:ascii="宋体" w:hAnsi="宋体" w:cs="宋体"/>
          <w:color w:val="auto"/>
          <w:kern w:val="0"/>
          <w:szCs w:val="21"/>
          <w:highlight w:val="none"/>
        </w:rPr>
      </w:pPr>
      <w:bookmarkStart w:id="923" w:name="_Toc21306"/>
      <w:bookmarkStart w:id="924" w:name="_Toc95223497"/>
      <w:bookmarkStart w:id="925" w:name="_Toc9888"/>
      <w:r>
        <w:rPr>
          <w:rFonts w:hint="eastAsia" w:ascii="宋体" w:hAnsi="宋体" w:cs="宋体"/>
          <w:color w:val="auto"/>
          <w:kern w:val="0"/>
          <w:szCs w:val="21"/>
          <w:highlight w:val="none"/>
        </w:rPr>
        <w:t>第一条 甲乙双方的权利和义务</w:t>
      </w:r>
      <w:bookmarkEnd w:id="923"/>
      <w:bookmarkEnd w:id="924"/>
      <w:bookmarkEnd w:id="925"/>
    </w:p>
    <w:p w14:paraId="0C3A26A4">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1CE2AE5F">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（二）严格执行</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的合同要求，自觉履行合同约定的相关义务。</w:t>
      </w:r>
    </w:p>
    <w:p w14:paraId="477C61C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（三）在业务活动中坚持公开、公正、诚信、透明的原则，不得损害国家、集体利益。</w:t>
      </w:r>
    </w:p>
    <w:p w14:paraId="4BAAC7D4">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（四）建立健全廉政制度，开展廉政教育，公布举报电话，监督并认真查处违法违纪行为。</w:t>
      </w:r>
    </w:p>
    <w:p w14:paraId="554A90D5">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（五）发现对方在业务活动中有违反廉政规定的行为，应及时提醒对方纠正。情节严重的，应向其上级有关部门举报、建议给予处理，并有权要求告知处理结果。</w:t>
      </w:r>
    </w:p>
    <w:p w14:paraId="2F378BA1">
      <w:pPr>
        <w:widowControl/>
        <w:spacing w:line="360" w:lineRule="auto"/>
        <w:ind w:firstLine="420" w:firstLineChars="200"/>
        <w:jc w:val="left"/>
        <w:rPr>
          <w:rFonts w:hint="eastAsia" w:ascii="宋体" w:hAnsi="宋体" w:cs="宋体"/>
          <w:color w:val="auto"/>
          <w:kern w:val="0"/>
          <w:szCs w:val="21"/>
          <w:highlight w:val="none"/>
        </w:rPr>
      </w:pPr>
      <w:bookmarkStart w:id="926" w:name="_Toc3866"/>
      <w:bookmarkStart w:id="927" w:name="_Toc95223498"/>
      <w:bookmarkStart w:id="928" w:name="_Toc1917"/>
      <w:r>
        <w:rPr>
          <w:rFonts w:hint="eastAsia" w:ascii="宋体" w:hAnsi="宋体" w:cs="宋体"/>
          <w:color w:val="auto"/>
          <w:kern w:val="0"/>
          <w:szCs w:val="21"/>
          <w:highlight w:val="none"/>
        </w:rPr>
        <w:t>第二条 甲方的义务</w:t>
      </w:r>
      <w:bookmarkEnd w:id="926"/>
      <w:bookmarkEnd w:id="927"/>
      <w:bookmarkEnd w:id="928"/>
    </w:p>
    <w:p w14:paraId="7661A700">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(一)甲方及其工作人员不得索要或接受乙方的礼金、有价证券和贵重物品，不得在乙方报销任何应由甲方单位或个人支付的费用等。</w:t>
      </w:r>
    </w:p>
    <w:p w14:paraId="1F06C4FF">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5F59BBD1">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 甲方及其工作人员不得要求或者接受乙方为其住房装修、婚丧嫁娶活动、配偶子女工作安排以及出国出境、旅游等提供方便等。</w:t>
      </w:r>
    </w:p>
    <w:p w14:paraId="2A1E9BD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 甲方工作人员不得在乙方有股权关联的企业兼职，不得向乙方介绍家属或者亲友从事与甲方业务有关的经济活动。</w:t>
      </w:r>
    </w:p>
    <w:p w14:paraId="3BA0AB57">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（五）甲方工作人员不得以明显低于市场的价格向乙方购买房屋、汽车等物品；不得以明显高于市场的价格向乙方出售房屋、汽车等物品；不得以其他交易形式非法收受请托人财物。</w:t>
      </w:r>
    </w:p>
    <w:p w14:paraId="76F182AB">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（六）甲方工作人员不得利用职务之便收受乙方以回扣、手续费、加班费、咨询费、劳务费、协调费、辛苦费等各种名义给予或赠送的钱物。</w:t>
      </w:r>
    </w:p>
    <w:p w14:paraId="0CB5691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（七）甲方工作人员不得接受乙方给予或赠送的干股或红利。</w:t>
      </w:r>
    </w:p>
    <w:p w14:paraId="40486B9D">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（八）甲方任何人不得以个人的名义向乙方推荐设备、部件等供货商以及其他合作单位。</w:t>
      </w:r>
    </w:p>
    <w:p w14:paraId="2BA96BA5">
      <w:pPr>
        <w:widowControl/>
        <w:spacing w:line="360" w:lineRule="auto"/>
        <w:ind w:firstLine="420" w:firstLineChars="200"/>
        <w:jc w:val="left"/>
        <w:rPr>
          <w:rFonts w:hint="eastAsia" w:ascii="宋体" w:hAnsi="宋体" w:cs="宋体"/>
          <w:color w:val="auto"/>
          <w:kern w:val="0"/>
          <w:szCs w:val="21"/>
          <w:highlight w:val="none"/>
        </w:rPr>
      </w:pPr>
      <w:bookmarkStart w:id="929" w:name="_Toc95223499"/>
      <w:bookmarkStart w:id="930" w:name="_Toc20831"/>
      <w:bookmarkStart w:id="931" w:name="_Toc10556"/>
      <w:r>
        <w:rPr>
          <w:rFonts w:hint="eastAsia" w:ascii="宋体" w:hAnsi="宋体" w:cs="宋体"/>
          <w:color w:val="auto"/>
          <w:kern w:val="0"/>
          <w:szCs w:val="21"/>
          <w:highlight w:val="none"/>
        </w:rPr>
        <w:t>第三条 乙方的义务</w:t>
      </w:r>
      <w:bookmarkEnd w:id="929"/>
      <w:bookmarkEnd w:id="930"/>
      <w:bookmarkEnd w:id="931"/>
    </w:p>
    <w:p w14:paraId="0D5C5A9A">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(一)乙方不得以任何理由向甲方及其工作人员行贿或馈赠礼金、有价证券、贵重礼品。</w:t>
      </w:r>
    </w:p>
    <w:p w14:paraId="43C73AB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（二)乙方不得以任何名义为甲方及其工作人员报销应由甲方单位或个人支付的任何费用。</w:t>
      </w:r>
    </w:p>
    <w:p w14:paraId="6A04627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(三)乙方不得以任何理由安排甲方工作人员参加可能影响相关业务公开、公正、公平性的宴请及娱乐活动。</w:t>
      </w:r>
    </w:p>
    <w:p w14:paraId="65084392">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（四）乙方不得为甲方单位和个人购置或提供通讯工具和高档办公用品等物品，也不得为甲方提供与工作无关的房屋、汽车等。</w:t>
      </w:r>
    </w:p>
    <w:p w14:paraId="7D494AED">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（五）乙方不得与甲方工作人员就合同中的质量、数量、价格、工程量、验收等条款进行私下商谈或者达成默契。</w:t>
      </w:r>
    </w:p>
    <w:p w14:paraId="2DDD0495">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（六）乙方不得以回扣、手续费、加班费、咨询费、劳务费、协调费、辛苦费等各种名义向甲方工作人员给予或赠送钱物。</w:t>
      </w:r>
    </w:p>
    <w:p w14:paraId="7BEB8604">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（七）乙方不得向甲方工作人员提供干股或红利。</w:t>
      </w:r>
    </w:p>
    <w:p w14:paraId="3767CB1C">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（八）乙方须按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专项纪检监察工作组(如有)要求开展相关工作。</w:t>
      </w:r>
    </w:p>
    <w:p w14:paraId="7A4FA4F2">
      <w:pPr>
        <w:widowControl/>
        <w:spacing w:line="360" w:lineRule="auto"/>
        <w:ind w:firstLine="420" w:firstLineChars="200"/>
        <w:jc w:val="left"/>
        <w:rPr>
          <w:rFonts w:hint="eastAsia" w:ascii="宋体" w:hAnsi="宋体" w:cs="宋体"/>
          <w:color w:val="auto"/>
          <w:kern w:val="0"/>
          <w:szCs w:val="21"/>
          <w:highlight w:val="none"/>
        </w:rPr>
      </w:pPr>
      <w:bookmarkStart w:id="932" w:name="_Toc14507"/>
      <w:bookmarkStart w:id="933" w:name="_Toc95223500"/>
      <w:bookmarkStart w:id="934" w:name="_Toc2198"/>
      <w:r>
        <w:rPr>
          <w:rFonts w:hint="eastAsia" w:ascii="宋体" w:hAnsi="宋体" w:cs="宋体"/>
          <w:color w:val="auto"/>
          <w:kern w:val="0"/>
          <w:szCs w:val="21"/>
          <w:highlight w:val="none"/>
        </w:rPr>
        <w:t>第四条 违约责任</w:t>
      </w:r>
      <w:bookmarkEnd w:id="932"/>
      <w:bookmarkEnd w:id="933"/>
      <w:bookmarkEnd w:id="934"/>
    </w:p>
    <w:p w14:paraId="57B00438">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0124D82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甲方投诉联系部门：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，联系电话：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4A44709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（二）乙方及其工作人员违反本协议第一、三条规定。根据具体情节和造成的后果，甲方有权对乙方采取以下一种或多种处理办法：</w:t>
      </w:r>
    </w:p>
    <w:p w14:paraId="240655D3">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 全额收取乙方合同履约保证金不予退还； </w:t>
      </w:r>
    </w:p>
    <w:p w14:paraId="0B9DE33F">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 追究乙方其他违约责任；</w:t>
      </w:r>
    </w:p>
    <w:p w14:paraId="1BCCD4B9">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 终止或解除双方已签订的包括本合同在内的所有合同；</w:t>
      </w:r>
    </w:p>
    <w:p w14:paraId="20DCF34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 乙方一定期限内（6个月至3年，具体由甲方根据情况而定）不得参与甲方作为发包人（业主）的工程项目投标。</w:t>
      </w:r>
    </w:p>
    <w:p w14:paraId="07FB2132">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甲方作出的处理意见，乙方应无条件接受并承担给甲方造成的损失，全额返还通过不正当手段从甲方获取的非法所得，并承担相应的法律责任。</w:t>
      </w:r>
    </w:p>
    <w:p w14:paraId="09BAA8D2">
      <w:pPr>
        <w:widowControl/>
        <w:spacing w:line="360" w:lineRule="auto"/>
        <w:ind w:firstLine="420" w:firstLineChars="200"/>
        <w:jc w:val="left"/>
        <w:rPr>
          <w:rFonts w:hint="eastAsia" w:ascii="宋体" w:hAnsi="宋体" w:cs="宋体"/>
          <w:color w:val="auto"/>
          <w:kern w:val="0"/>
          <w:szCs w:val="21"/>
          <w:highlight w:val="none"/>
        </w:rPr>
      </w:pPr>
      <w:bookmarkStart w:id="935" w:name="_Toc10228"/>
      <w:bookmarkStart w:id="936" w:name="_Toc2334"/>
      <w:bookmarkStart w:id="937" w:name="_Toc95223501"/>
      <w:r>
        <w:rPr>
          <w:rFonts w:hint="eastAsia" w:ascii="宋体" w:hAnsi="宋体" w:cs="宋体"/>
          <w:color w:val="auto"/>
          <w:kern w:val="0"/>
          <w:szCs w:val="21"/>
          <w:highlight w:val="none"/>
        </w:rPr>
        <w:t>第五条 双方约定</w:t>
      </w:r>
      <w:bookmarkEnd w:id="935"/>
      <w:bookmarkEnd w:id="936"/>
      <w:bookmarkEnd w:id="937"/>
    </w:p>
    <w:p w14:paraId="045B4244">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0AA7BB2F">
      <w:pPr>
        <w:widowControl/>
        <w:spacing w:line="360" w:lineRule="auto"/>
        <w:ind w:firstLine="420" w:firstLineChars="200"/>
        <w:jc w:val="left"/>
        <w:rPr>
          <w:rFonts w:hint="eastAsia" w:ascii="宋体" w:hAnsi="宋体" w:cs="宋体"/>
          <w:color w:val="auto"/>
          <w:kern w:val="0"/>
          <w:szCs w:val="21"/>
          <w:highlight w:val="none"/>
        </w:rPr>
      </w:pPr>
      <w:bookmarkStart w:id="938" w:name="_Toc17717"/>
      <w:bookmarkStart w:id="939" w:name="_Toc32140"/>
      <w:bookmarkStart w:id="940" w:name="_Toc95223502"/>
      <w:r>
        <w:rPr>
          <w:rFonts w:hint="eastAsia" w:ascii="宋体" w:hAnsi="宋体" w:cs="宋体"/>
          <w:color w:val="auto"/>
          <w:kern w:val="0"/>
          <w:szCs w:val="21"/>
          <w:highlight w:val="none"/>
        </w:rPr>
        <w:t>第六条  本协议有效期为甲乙双方签署之日起至合同终止。</w:t>
      </w:r>
      <w:bookmarkEnd w:id="938"/>
      <w:bookmarkEnd w:id="939"/>
      <w:bookmarkEnd w:id="940"/>
      <w:r>
        <w:rPr>
          <w:rFonts w:hint="eastAsia" w:ascii="宋体" w:hAnsi="宋体" w:cs="宋体"/>
          <w:color w:val="auto"/>
          <w:kern w:val="0"/>
          <w:szCs w:val="21"/>
          <w:highlight w:val="none"/>
        </w:rPr>
        <w:t xml:space="preserve">  </w:t>
      </w:r>
    </w:p>
    <w:p w14:paraId="64D3B180">
      <w:pPr>
        <w:widowControl/>
        <w:spacing w:line="360" w:lineRule="auto"/>
        <w:ind w:firstLine="420" w:firstLineChars="200"/>
        <w:jc w:val="left"/>
        <w:rPr>
          <w:rFonts w:hint="eastAsia" w:ascii="宋体" w:hAnsi="宋体" w:cs="宋体"/>
          <w:color w:val="auto"/>
          <w:kern w:val="0"/>
          <w:szCs w:val="21"/>
          <w:highlight w:val="none"/>
        </w:rPr>
      </w:pPr>
      <w:bookmarkStart w:id="941" w:name="_Toc95223503"/>
      <w:bookmarkStart w:id="942" w:name="_Toc1871"/>
      <w:bookmarkStart w:id="943" w:name="_Toc24032"/>
      <w:r>
        <w:rPr>
          <w:rFonts w:hint="eastAsia" w:ascii="宋体" w:hAnsi="宋体" w:cs="宋体"/>
          <w:color w:val="auto"/>
          <w:kern w:val="0"/>
          <w:szCs w:val="21"/>
          <w:highlight w:val="none"/>
        </w:rPr>
        <w:t>第七条  本协议作为合同的附件，与本合同具有同等法律效力。</w:t>
      </w:r>
      <w:bookmarkEnd w:id="941"/>
      <w:bookmarkEnd w:id="942"/>
      <w:bookmarkEnd w:id="943"/>
    </w:p>
    <w:p w14:paraId="48CACDC6">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p>
    <w:p w14:paraId="477026E5">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甲方（盖章）：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乙方（盖章）：</w:t>
      </w:r>
      <w:r>
        <w:rPr>
          <w:rFonts w:hint="eastAsia" w:ascii="宋体" w:hAnsi="宋体" w:cs="宋体"/>
          <w:color w:val="auto"/>
          <w:kern w:val="0"/>
          <w:szCs w:val="21"/>
          <w:highlight w:val="none"/>
          <w:u w:val="single"/>
        </w:rPr>
        <w:t xml:space="preserve">                      </w:t>
      </w:r>
    </w:p>
    <w:p w14:paraId="0D1FC570">
      <w:pPr>
        <w:widowControl/>
        <w:spacing w:line="360" w:lineRule="auto"/>
        <w:ind w:firstLine="420" w:firstLineChars="200"/>
        <w:jc w:val="left"/>
        <w:rPr>
          <w:rFonts w:hint="eastAsia" w:ascii="宋体" w:hAnsi="宋体" w:cs="宋体"/>
          <w:color w:val="auto"/>
          <w:kern w:val="0"/>
          <w:szCs w:val="21"/>
          <w:highlight w:val="none"/>
        </w:rPr>
      </w:pPr>
    </w:p>
    <w:p w14:paraId="602B8195">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                                法定代表人或</w:t>
      </w:r>
    </w:p>
    <w:p w14:paraId="21AD585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              授权代表：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p>
    <w:p w14:paraId="207C010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姓名：</w:t>
      </w:r>
      <w:r>
        <w:rPr>
          <w:rFonts w:hint="eastAsia" w:ascii="宋体" w:hAnsi="宋体" w:cs="宋体"/>
          <w:color w:val="auto"/>
          <w:kern w:val="0"/>
          <w:szCs w:val="21"/>
          <w:highlight w:val="none"/>
          <w:u w:val="single"/>
        </w:rPr>
        <w:t xml:space="preserve">             </w:t>
      </w:r>
    </w:p>
    <w:p w14:paraId="3ADE98FC">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签字：</w:t>
      </w:r>
      <w:r>
        <w:rPr>
          <w:rFonts w:hint="eastAsia" w:ascii="宋体" w:hAnsi="宋体" w:cs="宋体"/>
          <w:color w:val="auto"/>
          <w:kern w:val="0"/>
          <w:szCs w:val="21"/>
          <w:highlight w:val="none"/>
          <w:u w:val="single"/>
        </w:rPr>
        <w:t xml:space="preserve">             </w:t>
      </w:r>
    </w:p>
    <w:p w14:paraId="5F795282">
      <w:pPr>
        <w:widowControl/>
        <w:spacing w:line="360" w:lineRule="auto"/>
        <w:ind w:firstLine="420" w:firstLineChars="200"/>
        <w:jc w:val="left"/>
        <w:rPr>
          <w:rFonts w:hint="eastAsia" w:ascii="宋体" w:hAnsi="宋体" w:cs="宋体"/>
          <w:color w:val="auto"/>
          <w:kern w:val="0"/>
          <w:szCs w:val="21"/>
          <w:highlight w:val="none"/>
        </w:rPr>
      </w:pPr>
    </w:p>
    <w:p w14:paraId="4BE5BDF0">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廉政监督联系人                              廉政监督联系人</w:t>
      </w:r>
    </w:p>
    <w:p w14:paraId="41473A64">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姓名：</w:t>
      </w:r>
      <w:r>
        <w:rPr>
          <w:rFonts w:hint="eastAsia" w:ascii="宋体" w:hAnsi="宋体" w:cs="宋体"/>
          <w:color w:val="auto"/>
          <w:kern w:val="0"/>
          <w:szCs w:val="21"/>
          <w:highlight w:val="none"/>
          <w:u w:val="single"/>
        </w:rPr>
        <w:t xml:space="preserve">                       </w:t>
      </w:r>
    </w:p>
    <w:p w14:paraId="4CC497F7">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签字：</w:t>
      </w:r>
      <w:r>
        <w:rPr>
          <w:rFonts w:hint="eastAsia" w:ascii="宋体" w:hAnsi="宋体" w:cs="宋体"/>
          <w:color w:val="auto"/>
          <w:kern w:val="0"/>
          <w:szCs w:val="21"/>
          <w:highlight w:val="none"/>
          <w:u w:val="single"/>
        </w:rPr>
        <w:t xml:space="preserve">                       </w:t>
      </w:r>
    </w:p>
    <w:p w14:paraId="65B3392A">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电话：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电话：</w:t>
      </w:r>
      <w:r>
        <w:rPr>
          <w:rFonts w:hint="eastAsia" w:ascii="宋体" w:hAnsi="宋体" w:cs="宋体"/>
          <w:color w:val="auto"/>
          <w:kern w:val="0"/>
          <w:szCs w:val="21"/>
          <w:highlight w:val="none"/>
          <w:u w:val="single"/>
        </w:rPr>
        <w:t xml:space="preserve">                       </w:t>
      </w:r>
    </w:p>
    <w:p w14:paraId="017F93D1">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地址：</w:t>
      </w:r>
      <w:r>
        <w:rPr>
          <w:rFonts w:hint="eastAsia" w:ascii="宋体" w:hAnsi="宋体" w:cs="宋体"/>
          <w:color w:val="auto"/>
          <w:kern w:val="0"/>
          <w:szCs w:val="21"/>
          <w:highlight w:val="none"/>
          <w:u w:val="single"/>
        </w:rPr>
        <w:t xml:space="preserve">                       </w:t>
      </w:r>
    </w:p>
    <w:p w14:paraId="66B4E8F5">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日期：</w:t>
      </w:r>
      <w:r>
        <w:rPr>
          <w:rFonts w:hint="eastAsia" w:ascii="宋体" w:hAnsi="宋体" w:cs="宋体"/>
          <w:color w:val="auto"/>
          <w:kern w:val="0"/>
          <w:szCs w:val="21"/>
          <w:highlight w:val="none"/>
          <w:u w:val="single"/>
        </w:rPr>
        <w:t xml:space="preserve">                       </w:t>
      </w:r>
    </w:p>
    <w:p w14:paraId="6775D691">
      <w:pPr>
        <w:keepNext/>
        <w:keepLines/>
        <w:spacing w:before="120" w:after="120" w:line="360" w:lineRule="auto"/>
        <w:jc w:val="left"/>
        <w:outlineLvl w:val="2"/>
        <w:rPr>
          <w:rFonts w:hint="eastAsia" w:ascii="宋体" w:hAnsi="宋体" w:cs="宋体"/>
          <w:color w:val="auto"/>
          <w:szCs w:val="21"/>
          <w:highlight w:val="none"/>
        </w:rPr>
      </w:pPr>
      <w:r>
        <w:rPr>
          <w:rFonts w:hint="eastAsia" w:ascii="宋体" w:hAnsi="宋体" w:cs="宋体"/>
          <w:bCs/>
          <w:color w:val="auto"/>
          <w:kern w:val="0"/>
          <w:sz w:val="24"/>
          <w:szCs w:val="21"/>
          <w:highlight w:val="none"/>
        </w:rPr>
        <w:br w:type="page"/>
      </w:r>
      <w:bookmarkStart w:id="944" w:name="_Toc95223504"/>
      <w:r>
        <w:rPr>
          <w:rFonts w:hint="eastAsia" w:ascii="宋体" w:hAnsi="宋体" w:cs="宋体"/>
          <w:bCs/>
          <w:color w:val="auto"/>
          <w:sz w:val="24"/>
          <w:highlight w:val="none"/>
        </w:rPr>
        <w:t>附件9：履约保证金</w:t>
      </w:r>
      <w:bookmarkEnd w:id="944"/>
    </w:p>
    <w:p w14:paraId="200A71B3">
      <w:pPr>
        <w:adjustRightInd w:val="0"/>
        <w:snapToGrid w:val="0"/>
        <w:spacing w:line="360" w:lineRule="auto"/>
        <w:jc w:val="center"/>
        <w:rPr>
          <w:rFonts w:hint="eastAsia" w:ascii="宋体" w:hAnsi="宋体" w:cs="宋体"/>
          <w:b/>
          <w:bCs/>
          <w:color w:val="auto"/>
          <w:sz w:val="32"/>
          <w:szCs w:val="32"/>
          <w:highlight w:val="none"/>
        </w:rPr>
      </w:pPr>
      <w:bookmarkStart w:id="945" w:name="_Toc8655"/>
      <w:bookmarkStart w:id="946" w:name="_Toc25855"/>
      <w:bookmarkStart w:id="947" w:name="_Toc95223505"/>
      <w:r>
        <w:rPr>
          <w:rFonts w:hint="eastAsia" w:ascii="宋体" w:hAnsi="宋体" w:cs="宋体"/>
          <w:b/>
          <w:bCs/>
          <w:color w:val="auto"/>
          <w:sz w:val="32"/>
          <w:szCs w:val="32"/>
          <w:highlight w:val="none"/>
        </w:rPr>
        <w:t>履约保函示范文本</w:t>
      </w:r>
      <w:bookmarkEnd w:id="945"/>
      <w:bookmarkEnd w:id="946"/>
      <w:bookmarkEnd w:id="947"/>
    </w:p>
    <w:p w14:paraId="17DE69EE">
      <w:pPr>
        <w:wordWrap w:val="0"/>
        <w:adjustRightInd w:val="0"/>
        <w:snapToGrid w:val="0"/>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rPr>
        <w:t xml:space="preserve">编号：           </w:t>
      </w:r>
    </w:p>
    <w:p w14:paraId="66CDFEC9">
      <w:pPr>
        <w:adjustRightInd w:val="0"/>
        <w:snapToGrid w:val="0"/>
        <w:spacing w:line="360" w:lineRule="auto"/>
        <w:rPr>
          <w:rFonts w:hint="eastAsia" w:ascii="宋体" w:hAnsi="宋体" w:cs="宋体"/>
          <w:color w:val="auto"/>
          <w:szCs w:val="21"/>
          <w:highlight w:val="none"/>
        </w:rPr>
      </w:pPr>
    </w:p>
    <w:p w14:paraId="791C3E11">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（受益人名称）： </w:t>
      </w:r>
    </w:p>
    <w:p w14:paraId="1E0481F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（以下简称“受益人”）与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（以下简称“申请人”）于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日就</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（标段编号）的</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（标段名称）</w:t>
      </w:r>
      <w:r>
        <w:rPr>
          <w:rFonts w:hint="eastAsia" w:ascii="宋体" w:hAnsi="宋体" w:cs="宋体"/>
          <w:color w:val="auto"/>
          <w:szCs w:val="21"/>
          <w:highlight w:val="none"/>
        </w:rPr>
        <w:t>有关事项协商一致共同签订</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63F2D6C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一、本保函担保范围：承包人未按照基础合同的约定履行义务，应当向受益人承担的违约责任和赔偿因此造成的损失、利息、律师费、诉讼费用等实现债权的费用。</w:t>
      </w:r>
    </w:p>
    <w:p w14:paraId="3483343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二、本保函担保金额最高不超过人民币（大写）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75A0BC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三、本保函有效期自开立之日起至基础合同约定的缺陷责任期满之日止。 </w:t>
      </w:r>
    </w:p>
    <w:p w14:paraId="379869AB">
      <w:pPr>
        <w:adjustRightInd w:val="0"/>
        <w:snapToGrid w:val="0"/>
        <w:spacing w:line="360" w:lineRule="auto"/>
        <w:ind w:firstLine="480"/>
        <w:rPr>
          <w:rFonts w:hint="eastAsia" w:ascii="宋体" w:hAnsi="宋体" w:cs="宋体"/>
          <w:color w:val="auto"/>
          <w:szCs w:val="21"/>
          <w:highlight w:val="none"/>
        </w:rPr>
      </w:pPr>
      <w:bookmarkStart w:id="948" w:name="_Hlk40302764"/>
      <w:r>
        <w:rPr>
          <w:rFonts w:hint="eastAsia" w:ascii="宋体" w:hAnsi="宋体" w:cs="宋体"/>
          <w:color w:val="auto"/>
          <w:szCs w:val="21"/>
          <w:highlight w:val="none"/>
        </w:rPr>
        <w:t>四、开立人承诺，在收到受益人发来的书面付款通知后的七日内无条件支付，前述书面付款通知即为付款要求之单据，且应满足以下要求：</w:t>
      </w:r>
    </w:p>
    <w:bookmarkEnd w:id="948"/>
    <w:p w14:paraId="046B5C7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（1）付款通知到达的日期在本保函的有效期内；</w:t>
      </w:r>
    </w:p>
    <w:p w14:paraId="2EBDF04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（2）载明要求支付的金额；</w:t>
      </w:r>
    </w:p>
    <w:p w14:paraId="3C51C0E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（3）载明申请人违反合同义务的条款和内容；</w:t>
      </w:r>
    </w:p>
    <w:p w14:paraId="6D656C4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（4）声明不存在合同文件约定或我国法律规定免除申请人或开立人支付责任的情形；</w:t>
      </w:r>
    </w:p>
    <w:p w14:paraId="39D683C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（5）付款通知应在本保函有效期内到达的地址是：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BD6955B">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bookmarkStart w:id="949" w:name="_Hlk40303486"/>
      <w:r>
        <w:rPr>
          <w:rFonts w:hint="eastAsia" w:ascii="宋体" w:hAnsi="宋体" w:cs="宋体"/>
          <w:color w:val="auto"/>
          <w:szCs w:val="21"/>
          <w:highlight w:val="none"/>
        </w:rPr>
        <w:t>受益人发出的书面付款通知应由其法定代表人（负责人）或授权代理人签字并加盖公章。</w:t>
      </w:r>
      <w:bookmarkEnd w:id="949"/>
    </w:p>
    <w:p w14:paraId="6388B95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五、本保函项下的权利不得转让，不得设定担保。受益人未经我方书面同意转 让本保函或其项下任何权利，对我方不发生法律效力。 </w:t>
      </w:r>
    </w:p>
    <w:p w14:paraId="76CD312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六、与本保函有关的基础合同不成立、不生效、无效、被撤销、被解除，不影响本保函的独立有效。 </w:t>
      </w:r>
    </w:p>
    <w:p w14:paraId="0053D08E">
      <w:pPr>
        <w:adjustRightInd w:val="0"/>
        <w:snapToGrid w:val="0"/>
        <w:spacing w:line="360" w:lineRule="auto"/>
        <w:ind w:firstLine="420" w:firstLineChars="200"/>
        <w:rPr>
          <w:rFonts w:hint="eastAsia" w:ascii="宋体" w:hAnsi="宋体" w:cs="宋体"/>
          <w:color w:val="auto"/>
          <w:szCs w:val="21"/>
          <w:highlight w:val="none"/>
        </w:rPr>
      </w:pPr>
      <w:bookmarkStart w:id="950" w:name="_Hlk40303383"/>
      <w:bookmarkStart w:id="951" w:name="_Hlk40354981"/>
      <w:r>
        <w:rPr>
          <w:rFonts w:hint="eastAsia" w:ascii="宋体" w:hAnsi="宋体" w:cs="宋体"/>
          <w:color w:val="auto"/>
          <w:szCs w:val="21"/>
          <w:highlight w:val="none"/>
        </w:rPr>
        <w:t xml:space="preserve">七、本保函项下的义务和责任均在保函有效期到期后自动消灭。 </w:t>
      </w:r>
    </w:p>
    <w:p w14:paraId="3F02953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八、本保函适用的法律为中华人民共和国法律，因本保函产生的纠纷案件，</w:t>
      </w:r>
      <w:bookmarkEnd w:id="950"/>
      <w:r>
        <w:rPr>
          <w:rFonts w:hint="eastAsia" w:ascii="宋体" w:hAnsi="宋体" w:cs="宋体"/>
          <w:color w:val="auto"/>
          <w:szCs w:val="21"/>
          <w:highlight w:val="none"/>
        </w:rPr>
        <w:t xml:space="preserve">由受益人所在地人民法院管辖。 </w:t>
      </w:r>
    </w:p>
    <w:bookmarkEnd w:id="951"/>
    <w:p w14:paraId="7A7DEB5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九、本保函自我方法定代表人或授权代表签字并加盖公章之日起生效。 </w:t>
      </w:r>
    </w:p>
    <w:p w14:paraId="2B7A0F5D">
      <w:pPr>
        <w:adjustRightInd w:val="0"/>
        <w:snapToGrid w:val="0"/>
        <w:spacing w:line="360" w:lineRule="auto"/>
        <w:ind w:firstLine="420" w:firstLineChars="200"/>
        <w:rPr>
          <w:rFonts w:hint="eastAsia" w:ascii="宋体" w:hAnsi="宋体" w:cs="宋体"/>
          <w:color w:val="auto"/>
          <w:szCs w:val="21"/>
          <w:highlight w:val="none"/>
        </w:rPr>
      </w:pPr>
    </w:p>
    <w:p w14:paraId="58FB3C66">
      <w:pPr>
        <w:adjustRightInd w:val="0"/>
        <w:snapToGrid w:val="0"/>
        <w:spacing w:line="360" w:lineRule="auto"/>
        <w:ind w:firstLine="420" w:firstLineChars="200"/>
        <w:rPr>
          <w:rFonts w:hint="eastAsia" w:ascii="宋体" w:hAnsi="宋体" w:cs="宋体"/>
          <w:color w:val="auto"/>
          <w:szCs w:val="21"/>
          <w:highlight w:val="none"/>
        </w:rPr>
      </w:pPr>
    </w:p>
    <w:p w14:paraId="4FA1832F">
      <w:pPr>
        <w:adjustRightInd w:val="0"/>
        <w:snapToGrid w:val="0"/>
        <w:spacing w:line="360" w:lineRule="auto"/>
        <w:ind w:firstLine="420" w:firstLineChars="200"/>
        <w:rPr>
          <w:rFonts w:hint="eastAsia" w:ascii="宋体" w:hAnsi="宋体" w:cs="宋体"/>
          <w:color w:val="auto"/>
          <w:szCs w:val="21"/>
          <w:highlight w:val="none"/>
        </w:rPr>
      </w:pPr>
    </w:p>
    <w:p w14:paraId="6B6D568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 立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（公章） </w:t>
      </w:r>
    </w:p>
    <w:p w14:paraId="17B941D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（签字） </w:t>
      </w:r>
    </w:p>
    <w:p w14:paraId="2A6FA8F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0AEF4E5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14:paraId="1BD6E24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14:paraId="425CF389">
      <w:pPr>
        <w:adjustRightInd w:val="0"/>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2DCC2162">
      <w:pPr>
        <w:adjustRightInd w:val="0"/>
        <w:snapToGrid w:val="0"/>
        <w:spacing w:line="360" w:lineRule="auto"/>
        <w:ind w:left="1323" w:leftChars="200" w:hanging="903" w:hangingChars="430"/>
        <w:rPr>
          <w:rFonts w:hint="eastAsia" w:ascii="宋体" w:hAnsi="宋体" w:cs="宋体"/>
          <w:color w:val="auto"/>
          <w:szCs w:val="21"/>
          <w:highlight w:val="none"/>
        </w:rPr>
      </w:pPr>
      <w:r>
        <w:rPr>
          <w:rFonts w:hint="eastAsia" w:ascii="宋体" w:hAnsi="宋体" w:cs="宋体"/>
          <w:color w:val="auto"/>
          <w:szCs w:val="21"/>
          <w:highlight w:val="none"/>
        </w:rPr>
        <w:t>开立时间：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4EF6527">
      <w:pPr>
        <w:spacing w:line="360" w:lineRule="auto"/>
        <w:ind w:left="1329" w:hanging="1329" w:hangingChars="633"/>
        <w:rPr>
          <w:rFonts w:hint="eastAsia" w:ascii="宋体" w:hAnsi="宋体" w:cs="宋体"/>
          <w:color w:val="auto"/>
          <w:szCs w:val="21"/>
          <w:highlight w:val="none"/>
        </w:rPr>
      </w:pPr>
    </w:p>
    <w:p w14:paraId="1C833B37">
      <w:pPr>
        <w:pStyle w:val="14"/>
        <w:rPr>
          <w:rFonts w:hint="eastAsia"/>
          <w:color w:val="auto"/>
          <w:highlight w:val="none"/>
        </w:rPr>
      </w:pPr>
    </w:p>
    <w:p w14:paraId="69C8F633">
      <w:pPr>
        <w:rPr>
          <w:rFonts w:hint="eastAsia"/>
          <w:color w:val="auto"/>
          <w:highlight w:val="none"/>
        </w:rPr>
      </w:pPr>
    </w:p>
    <w:p w14:paraId="76400CEE">
      <w:pPr>
        <w:pStyle w:val="14"/>
        <w:rPr>
          <w:rFonts w:hint="eastAsia"/>
          <w:color w:val="auto"/>
          <w:highlight w:val="none"/>
        </w:rPr>
      </w:pPr>
    </w:p>
    <w:p w14:paraId="76457BD2">
      <w:pPr>
        <w:rPr>
          <w:rFonts w:hint="eastAsia"/>
          <w:color w:val="auto"/>
          <w:highlight w:val="none"/>
        </w:rPr>
      </w:pPr>
    </w:p>
    <w:p w14:paraId="2C88A51B">
      <w:pPr>
        <w:pStyle w:val="14"/>
        <w:rPr>
          <w:rFonts w:hint="eastAsia"/>
          <w:color w:val="auto"/>
          <w:highlight w:val="none"/>
        </w:rPr>
      </w:pPr>
    </w:p>
    <w:p w14:paraId="3BCEEA04">
      <w:pPr>
        <w:rPr>
          <w:rFonts w:hint="eastAsia"/>
          <w:color w:val="auto"/>
          <w:highlight w:val="none"/>
        </w:rPr>
      </w:pPr>
    </w:p>
    <w:p w14:paraId="4C77474F">
      <w:pPr>
        <w:pStyle w:val="14"/>
        <w:rPr>
          <w:rFonts w:hint="eastAsia"/>
          <w:color w:val="auto"/>
          <w:highlight w:val="none"/>
        </w:rPr>
      </w:pPr>
    </w:p>
    <w:p w14:paraId="141AAD89">
      <w:pPr>
        <w:rPr>
          <w:rFonts w:hint="eastAsia"/>
          <w:color w:val="auto"/>
          <w:highlight w:val="none"/>
        </w:rPr>
      </w:pPr>
    </w:p>
    <w:p w14:paraId="27F03065">
      <w:pPr>
        <w:pStyle w:val="14"/>
        <w:rPr>
          <w:rFonts w:hint="eastAsia"/>
          <w:color w:val="auto"/>
          <w:highlight w:val="none"/>
        </w:rPr>
      </w:pPr>
    </w:p>
    <w:p w14:paraId="69D396E4">
      <w:pPr>
        <w:rPr>
          <w:rFonts w:hint="eastAsia"/>
          <w:color w:val="auto"/>
          <w:highlight w:val="none"/>
        </w:rPr>
      </w:pPr>
    </w:p>
    <w:p w14:paraId="39270C67">
      <w:pPr>
        <w:pStyle w:val="14"/>
        <w:rPr>
          <w:rFonts w:hint="eastAsia"/>
          <w:color w:val="auto"/>
          <w:highlight w:val="none"/>
        </w:rPr>
      </w:pPr>
    </w:p>
    <w:p w14:paraId="4EF26578">
      <w:pPr>
        <w:rPr>
          <w:rFonts w:hint="eastAsia"/>
          <w:color w:val="auto"/>
          <w:highlight w:val="none"/>
        </w:rPr>
      </w:pPr>
    </w:p>
    <w:p w14:paraId="34AF1D57">
      <w:pPr>
        <w:pStyle w:val="14"/>
        <w:rPr>
          <w:rFonts w:hint="eastAsia"/>
          <w:color w:val="auto"/>
          <w:highlight w:val="none"/>
        </w:rPr>
      </w:pPr>
    </w:p>
    <w:p w14:paraId="4E2EF806">
      <w:pPr>
        <w:rPr>
          <w:rFonts w:hint="eastAsia"/>
          <w:color w:val="auto"/>
          <w:highlight w:val="none"/>
        </w:rPr>
      </w:pPr>
    </w:p>
    <w:p w14:paraId="2795EB99">
      <w:pPr>
        <w:pStyle w:val="14"/>
        <w:rPr>
          <w:rFonts w:hint="eastAsia"/>
          <w:color w:val="auto"/>
          <w:highlight w:val="none"/>
        </w:rPr>
      </w:pPr>
    </w:p>
    <w:p w14:paraId="3AD96EBF">
      <w:pPr>
        <w:rPr>
          <w:rFonts w:hint="eastAsia"/>
          <w:color w:val="auto"/>
          <w:highlight w:val="none"/>
        </w:rPr>
      </w:pPr>
    </w:p>
    <w:p w14:paraId="306DB33B">
      <w:pPr>
        <w:pStyle w:val="14"/>
        <w:rPr>
          <w:rFonts w:hint="eastAsia"/>
          <w:color w:val="auto"/>
          <w:highlight w:val="none"/>
        </w:rPr>
      </w:pPr>
    </w:p>
    <w:p w14:paraId="7CA85646">
      <w:pPr>
        <w:rPr>
          <w:rFonts w:hint="eastAsia"/>
          <w:color w:val="auto"/>
          <w:highlight w:val="none"/>
        </w:rPr>
      </w:pPr>
    </w:p>
    <w:p w14:paraId="7761C5F1">
      <w:pPr>
        <w:pStyle w:val="14"/>
        <w:rPr>
          <w:rFonts w:hint="eastAsia"/>
          <w:color w:val="auto"/>
          <w:highlight w:val="none"/>
        </w:rPr>
      </w:pPr>
    </w:p>
    <w:p w14:paraId="3789AFD7">
      <w:pPr>
        <w:rPr>
          <w:rFonts w:hint="eastAsia"/>
          <w:color w:val="auto"/>
          <w:highlight w:val="none"/>
        </w:rPr>
      </w:pPr>
    </w:p>
    <w:p w14:paraId="7E98CAE6">
      <w:pPr>
        <w:pStyle w:val="14"/>
        <w:rPr>
          <w:rFonts w:hint="eastAsia"/>
          <w:color w:val="auto"/>
          <w:highlight w:val="none"/>
        </w:rPr>
      </w:pPr>
    </w:p>
    <w:p w14:paraId="493D1F8E">
      <w:pPr>
        <w:rPr>
          <w:rFonts w:hint="eastAsia"/>
          <w:color w:val="auto"/>
          <w:highlight w:val="none"/>
        </w:rPr>
      </w:pPr>
    </w:p>
    <w:p w14:paraId="74A9875F">
      <w:pPr>
        <w:pStyle w:val="14"/>
        <w:rPr>
          <w:rFonts w:hint="eastAsia"/>
          <w:color w:val="auto"/>
          <w:highlight w:val="none"/>
        </w:rPr>
      </w:pPr>
    </w:p>
    <w:p w14:paraId="729BAD1F">
      <w:pPr>
        <w:pStyle w:val="14"/>
        <w:ind w:left="0" w:leftChars="0" w:firstLine="0" w:firstLineChars="0"/>
        <w:rPr>
          <w:rFonts w:hint="eastAsia"/>
          <w:color w:val="auto"/>
          <w:highlight w:val="none"/>
        </w:rPr>
      </w:pPr>
    </w:p>
    <w:p w14:paraId="7DFF9969">
      <w:pPr>
        <w:pStyle w:val="14"/>
        <w:rPr>
          <w:rFonts w:hint="eastAsia"/>
          <w:color w:val="auto"/>
          <w:highlight w:val="none"/>
        </w:rPr>
      </w:pPr>
    </w:p>
    <w:p w14:paraId="010E5067">
      <w:pPr>
        <w:rPr>
          <w:rFonts w:hint="eastAsia"/>
          <w:color w:val="auto"/>
          <w:highlight w:val="none"/>
        </w:rPr>
      </w:pPr>
    </w:p>
    <w:p w14:paraId="1FB8C0CE">
      <w:pPr>
        <w:pStyle w:val="14"/>
        <w:rPr>
          <w:rFonts w:hint="eastAsia"/>
          <w:color w:val="auto"/>
          <w:highlight w:val="none"/>
        </w:rPr>
      </w:pPr>
    </w:p>
    <w:p w14:paraId="68ACD3C1">
      <w:pPr>
        <w:rPr>
          <w:rFonts w:hint="eastAsia"/>
          <w:color w:val="auto"/>
          <w:highlight w:val="none"/>
        </w:rPr>
      </w:pPr>
    </w:p>
    <w:p w14:paraId="67A75671">
      <w:pPr>
        <w:pStyle w:val="14"/>
        <w:rPr>
          <w:rFonts w:hint="eastAsia"/>
          <w:color w:val="auto"/>
          <w:highlight w:val="none"/>
        </w:rPr>
      </w:pPr>
    </w:p>
    <w:p w14:paraId="74BCE3F1">
      <w:pPr>
        <w:rPr>
          <w:rFonts w:hint="eastAsia"/>
          <w:color w:val="auto"/>
          <w:highlight w:val="none"/>
        </w:rPr>
      </w:pPr>
    </w:p>
    <w:p w14:paraId="4745516D">
      <w:pPr>
        <w:pStyle w:val="14"/>
        <w:rPr>
          <w:rFonts w:hint="eastAsia"/>
          <w:color w:val="auto"/>
          <w:highlight w:val="none"/>
        </w:rPr>
      </w:pPr>
    </w:p>
    <w:p w14:paraId="068DC3D3">
      <w:pPr>
        <w:rPr>
          <w:rFonts w:hint="eastAsia"/>
          <w:color w:val="auto"/>
          <w:highlight w:val="none"/>
        </w:rPr>
      </w:pPr>
    </w:p>
    <w:p w14:paraId="2F73473A">
      <w:pPr>
        <w:keepNext/>
        <w:keepLines/>
        <w:spacing w:before="120" w:after="120" w:line="360" w:lineRule="auto"/>
        <w:jc w:val="left"/>
        <w:outlineLvl w:val="2"/>
        <w:rPr>
          <w:rFonts w:ascii="宋体" w:hAnsi="宋体" w:cs="宋体"/>
          <w:bCs/>
          <w:color w:val="auto"/>
          <w:sz w:val="24"/>
          <w:highlight w:val="none"/>
        </w:rPr>
        <w:sectPr>
          <w:footnotePr>
            <w:numFmt w:val="decimalEnclosedCircleChinese"/>
            <w:numRestart w:val="eachPage"/>
          </w:footnotePr>
          <w:pgSz w:w="11907" w:h="16840"/>
          <w:pgMar w:top="1474" w:right="1474" w:bottom="1474" w:left="1474" w:header="799" w:footer="907" w:gutter="0"/>
          <w:cols w:space="720" w:num="1"/>
          <w:docGrid w:linePitch="271" w:charSpace="0"/>
        </w:sectPr>
      </w:pPr>
      <w:bookmarkStart w:id="952" w:name="_Toc95223508"/>
    </w:p>
    <w:p w14:paraId="0A61C7CA">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w:t>
      </w:r>
      <w:bookmarkStart w:id="953" w:name="_Toc296891061"/>
      <w:bookmarkStart w:id="954" w:name="_Toc296944572"/>
      <w:bookmarkStart w:id="955" w:name="_Toc296346734"/>
      <w:bookmarkStart w:id="956" w:name="_Toc296891273"/>
      <w:bookmarkStart w:id="957" w:name="_Toc296503233"/>
      <w:bookmarkStart w:id="958" w:name="_Toc296347232"/>
      <w:r>
        <w:rPr>
          <w:rFonts w:hint="eastAsia" w:ascii="宋体" w:hAnsi="宋体" w:cs="宋体"/>
          <w:bCs/>
          <w:color w:val="auto"/>
          <w:sz w:val="24"/>
          <w:highlight w:val="none"/>
        </w:rPr>
        <w:t>件10：支付担保</w:t>
      </w:r>
      <w:bookmarkEnd w:id="952"/>
      <w:bookmarkEnd w:id="953"/>
      <w:bookmarkEnd w:id="954"/>
      <w:bookmarkEnd w:id="955"/>
      <w:bookmarkEnd w:id="956"/>
      <w:bookmarkEnd w:id="957"/>
      <w:bookmarkEnd w:id="958"/>
    </w:p>
    <w:p w14:paraId="0656DB22">
      <w:pPr>
        <w:adjustRightInd w:val="0"/>
        <w:snapToGrid w:val="0"/>
        <w:spacing w:line="360" w:lineRule="auto"/>
        <w:jc w:val="center"/>
        <w:rPr>
          <w:rFonts w:hint="eastAsia" w:ascii="宋体" w:hAnsi="宋体" w:cs="宋体"/>
          <w:b/>
          <w:bCs/>
          <w:color w:val="auto"/>
          <w:sz w:val="32"/>
          <w:szCs w:val="32"/>
          <w:highlight w:val="none"/>
        </w:rPr>
      </w:pPr>
      <w:bookmarkStart w:id="959" w:name="_Toc3562"/>
      <w:bookmarkStart w:id="960" w:name="_Toc95223509"/>
      <w:bookmarkStart w:id="961" w:name="_Toc8319"/>
      <w:r>
        <w:rPr>
          <w:rFonts w:hint="eastAsia" w:ascii="宋体" w:hAnsi="宋体" w:cs="宋体"/>
          <w:b/>
          <w:bCs/>
          <w:color w:val="auto"/>
          <w:sz w:val="32"/>
          <w:szCs w:val="32"/>
          <w:highlight w:val="none"/>
        </w:rPr>
        <w:t>支付保函示范文本</w:t>
      </w:r>
      <w:bookmarkEnd w:id="959"/>
      <w:bookmarkEnd w:id="960"/>
      <w:bookmarkEnd w:id="961"/>
    </w:p>
    <w:p w14:paraId="5329F7DC">
      <w:pPr>
        <w:wordWrap w:val="0"/>
        <w:adjustRightInd w:val="0"/>
        <w:snapToGrid w:val="0"/>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rPr>
        <w:t xml:space="preserve">编号：           </w:t>
      </w:r>
    </w:p>
    <w:p w14:paraId="35123FB3">
      <w:pPr>
        <w:adjustRightInd w:val="0"/>
        <w:snapToGrid w:val="0"/>
        <w:spacing w:line="360" w:lineRule="auto"/>
        <w:rPr>
          <w:rFonts w:hint="eastAsia" w:ascii="宋体" w:hAnsi="宋体" w:cs="宋体"/>
          <w:color w:val="auto"/>
          <w:szCs w:val="21"/>
          <w:highlight w:val="none"/>
        </w:rPr>
      </w:pPr>
    </w:p>
    <w:p w14:paraId="53161247">
      <w:pPr>
        <w:adjustRightInd w:val="0"/>
        <w:snapToGrid w:val="0"/>
        <w:spacing w:line="360" w:lineRule="auto"/>
        <w:rPr>
          <w:rFonts w:hint="eastAsia" w:ascii="宋体" w:hAnsi="宋体" w:cs="宋体"/>
          <w:color w:val="auto"/>
          <w:szCs w:val="21"/>
          <w:highlight w:val="none"/>
        </w:rPr>
      </w:pPr>
      <w:bookmarkStart w:id="962" w:name="_Hlk40355074"/>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（受益人名称）： </w:t>
      </w:r>
    </w:p>
    <w:bookmarkEnd w:id="962"/>
    <w:p w14:paraId="6B7CC4B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（以下简称“受益人”）与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（以下简称“申请人”）于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日就</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（标段编号）的</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（标段名称）</w:t>
      </w:r>
      <w:r>
        <w:rPr>
          <w:rFonts w:hint="eastAsia" w:ascii="宋体" w:hAnsi="宋体" w:cs="宋体"/>
          <w:color w:val="auto"/>
          <w:szCs w:val="21"/>
          <w:highlight w:val="none"/>
        </w:rPr>
        <w:t>有关事项协商一致共同签订</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以下简称基础合同”），开立人根据基础合同了解到申请人为基础合同项下之发包人，受益人为基础合同项下之承包人，基于申请人的请求，开立人同意就申请人履行与受益人签订的基础合同项下的工程款（指基础合同约定的除工程质量保修金以外的工程款）付款义务，向受益人提供不可撤销、不可转让的见索即付独立保函（以下简称“本保函”）。 </w:t>
      </w:r>
    </w:p>
    <w:p w14:paraId="2F49B9D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一、本保函担保范围：申请人未履行基础合同约定的工程款支付义务，应当向受益人承担的违约责任和赔偿因此造成的损失、利息、律师费、诉讼费用等实现债权的费用。</w:t>
      </w:r>
    </w:p>
    <w:p w14:paraId="2CB8997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二、本保函担保金额最高不超过人民币（大写）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4EA777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三、本保函有效期自开立之日起至基础合同约定的除工程质量保修金以外的全部工程结算款项支付之日后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日止。 </w:t>
      </w:r>
    </w:p>
    <w:p w14:paraId="135F9CCA">
      <w:pPr>
        <w:adjustRightInd w:val="0"/>
        <w:snapToGrid w:val="0"/>
        <w:spacing w:line="360" w:lineRule="auto"/>
        <w:ind w:firstLine="480"/>
        <w:rPr>
          <w:rFonts w:hint="eastAsia" w:ascii="宋体" w:hAnsi="宋体" w:cs="宋体"/>
          <w:color w:val="auto"/>
          <w:szCs w:val="21"/>
          <w:highlight w:val="none"/>
        </w:rPr>
      </w:pPr>
      <w:r>
        <w:rPr>
          <w:rFonts w:hint="eastAsia" w:ascii="宋体" w:hAnsi="宋体" w:cs="宋体"/>
          <w:color w:val="auto"/>
          <w:szCs w:val="21"/>
          <w:highlight w:val="none"/>
        </w:rPr>
        <w:t>四、开立人承诺，在收到受益人发来的书面付款通知后的七日内无条件支付，前述书面付款通知即为付款要求之单据，且应满足以下要求：</w:t>
      </w:r>
    </w:p>
    <w:p w14:paraId="7DC9748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（1）付款通知到达的日期在本保函的有效期内；</w:t>
      </w:r>
    </w:p>
    <w:p w14:paraId="53B4D5C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（2）载明要求支付的金额；</w:t>
      </w:r>
    </w:p>
    <w:p w14:paraId="1704196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（3）载明申请人违反合同义务的条款和内容；</w:t>
      </w:r>
    </w:p>
    <w:p w14:paraId="0B399D4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（4）声明不存在合同文件约定或我国法律规定免除申请人或开立人支付责任的情形；</w:t>
      </w:r>
    </w:p>
    <w:p w14:paraId="6B1D549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（5）付款通知应在本保函有效期内到达的地址是：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3877287">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受益人发出的书面付款通知应由其法定代表人（负责人）或授权代理人签字并加盖公章。</w:t>
      </w:r>
    </w:p>
    <w:p w14:paraId="6DFC0EC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五、本保函项下的权利不得转让，不得设定担保。受益人未经开立人书面同意转让本保函或其项下任何权利，对开立人不发生法律效力。 </w:t>
      </w:r>
    </w:p>
    <w:p w14:paraId="0745272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六、本保函项下的基础交易不成立、不生效、无效、被撤销、被解除，不影响本保函的独立有效。</w:t>
      </w:r>
    </w:p>
    <w:p w14:paraId="547C452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七、本保函项下的义务和责任均在保函有效期到期后自动消灭。 </w:t>
      </w:r>
    </w:p>
    <w:p w14:paraId="1192801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八、本保函适用的法律为中华人民共和国法律，因本保函产生的纠纷案件，由申请人所在地人民法院管辖。 </w:t>
      </w:r>
    </w:p>
    <w:p w14:paraId="7F137F5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九、本保函自我方法定代表人或授权代表签字并加盖公章之日起生效。 </w:t>
      </w:r>
    </w:p>
    <w:p w14:paraId="65AFC0C0">
      <w:pPr>
        <w:adjustRightInd w:val="0"/>
        <w:snapToGrid w:val="0"/>
        <w:spacing w:line="360" w:lineRule="auto"/>
        <w:ind w:firstLine="420" w:firstLineChars="200"/>
        <w:rPr>
          <w:rFonts w:hint="eastAsia" w:ascii="宋体" w:hAnsi="宋体" w:cs="宋体"/>
          <w:color w:val="auto"/>
          <w:szCs w:val="21"/>
          <w:highlight w:val="none"/>
        </w:rPr>
      </w:pPr>
    </w:p>
    <w:p w14:paraId="0B766D9B">
      <w:pPr>
        <w:adjustRightInd w:val="0"/>
        <w:snapToGrid w:val="0"/>
        <w:spacing w:line="360" w:lineRule="auto"/>
        <w:ind w:firstLine="420" w:firstLineChars="200"/>
        <w:rPr>
          <w:rFonts w:hint="eastAsia" w:ascii="宋体" w:hAnsi="宋体" w:cs="宋体"/>
          <w:color w:val="auto"/>
          <w:szCs w:val="21"/>
          <w:highlight w:val="none"/>
        </w:rPr>
      </w:pPr>
    </w:p>
    <w:p w14:paraId="3CB074E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 立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（公章） </w:t>
      </w:r>
    </w:p>
    <w:p w14:paraId="0280D01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（签字） </w:t>
      </w:r>
    </w:p>
    <w:p w14:paraId="51E175D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3E98A47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14:paraId="5C0C9E6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14:paraId="2B58F205">
      <w:pPr>
        <w:adjustRightInd w:val="0"/>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28F623DE">
      <w:pPr>
        <w:adjustRightInd w:val="0"/>
        <w:snapToGrid w:val="0"/>
        <w:spacing w:line="360" w:lineRule="auto"/>
        <w:ind w:left="1323" w:leftChars="200" w:hanging="903" w:hangingChars="430"/>
        <w:rPr>
          <w:rFonts w:hint="eastAsia" w:ascii="宋体" w:hAnsi="宋体" w:cs="宋体"/>
          <w:color w:val="auto"/>
          <w:szCs w:val="21"/>
          <w:highlight w:val="none"/>
        </w:rPr>
      </w:pPr>
      <w:r>
        <w:rPr>
          <w:rFonts w:hint="eastAsia" w:ascii="宋体" w:hAnsi="宋体" w:cs="宋体"/>
          <w:color w:val="auto"/>
          <w:szCs w:val="21"/>
          <w:highlight w:val="none"/>
        </w:rPr>
        <w:t>开立时间：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D107849">
      <w:pPr>
        <w:adjustRightInd w:val="0"/>
        <w:snapToGrid w:val="0"/>
        <w:spacing w:line="360" w:lineRule="auto"/>
        <w:rPr>
          <w:rFonts w:hint="eastAsia" w:ascii="宋体" w:hAnsi="宋体" w:cs="宋体"/>
          <w:color w:val="auto"/>
          <w:szCs w:val="21"/>
          <w:highlight w:val="none"/>
        </w:rPr>
      </w:pPr>
    </w:p>
    <w:p w14:paraId="61F38DE4">
      <w:pPr>
        <w:adjustRightInd w:val="0"/>
        <w:snapToGrid w:val="0"/>
        <w:spacing w:line="360" w:lineRule="auto"/>
        <w:rPr>
          <w:rFonts w:hint="eastAsia" w:ascii="宋体" w:hAnsi="宋体" w:cs="宋体"/>
          <w:color w:val="auto"/>
          <w:szCs w:val="21"/>
          <w:highlight w:val="none"/>
        </w:rPr>
      </w:pPr>
    </w:p>
    <w:p w14:paraId="02F1FD1A">
      <w:pPr>
        <w:adjustRightInd w:val="0"/>
        <w:snapToGrid w:val="0"/>
        <w:spacing w:line="360" w:lineRule="auto"/>
        <w:rPr>
          <w:rFonts w:hint="eastAsia" w:ascii="宋体" w:hAnsi="宋体" w:cs="宋体"/>
          <w:color w:val="auto"/>
          <w:szCs w:val="21"/>
          <w:highlight w:val="none"/>
        </w:rPr>
      </w:pPr>
    </w:p>
    <w:p w14:paraId="75BE426D">
      <w:pPr>
        <w:keepNext/>
        <w:keepLines/>
        <w:adjustRightInd w:val="0"/>
        <w:snapToGrid w:val="0"/>
        <w:spacing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br w:type="page"/>
      </w:r>
      <w:bookmarkStart w:id="963" w:name="_Toc95223510"/>
      <w:r>
        <w:rPr>
          <w:rFonts w:hint="eastAsia" w:ascii="宋体" w:hAnsi="宋体" w:cs="宋体"/>
          <w:bCs/>
          <w:color w:val="auto"/>
          <w:sz w:val="24"/>
          <w:highlight w:val="none"/>
        </w:rPr>
        <w:t>附件11：暂估价一览表</w:t>
      </w:r>
      <w:bookmarkEnd w:id="963"/>
    </w:p>
    <w:p w14:paraId="49EE82A1">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12-1：材料暂估价表</w:t>
      </w:r>
    </w:p>
    <w:tbl>
      <w:tblPr>
        <w:tblStyle w:val="47"/>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6E0265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4D6AF0EF">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14:paraId="09299411">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14:paraId="3D720567">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14:paraId="16BB018D">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14:paraId="1D9834B5">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14:paraId="04DA02AB">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14:paraId="554A6ADF">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5E1540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6474CEAA">
            <w:pPr>
              <w:keepNext/>
              <w:spacing w:line="440" w:lineRule="exact"/>
              <w:rPr>
                <w:rFonts w:hint="eastAsia" w:ascii="宋体" w:hAnsi="宋体" w:cs="宋体"/>
                <w:color w:val="auto"/>
                <w:szCs w:val="21"/>
                <w:highlight w:val="none"/>
              </w:rPr>
            </w:pPr>
          </w:p>
        </w:tc>
        <w:tc>
          <w:tcPr>
            <w:tcW w:w="1984" w:type="dxa"/>
            <w:tcBorders>
              <w:top w:val="double" w:color="auto" w:sz="6" w:space="0"/>
            </w:tcBorders>
            <w:noWrap w:val="0"/>
            <w:vAlign w:val="top"/>
          </w:tcPr>
          <w:p w14:paraId="264AD185">
            <w:pPr>
              <w:keepNext/>
              <w:spacing w:line="440" w:lineRule="exact"/>
              <w:rPr>
                <w:rFonts w:hint="eastAsia" w:ascii="宋体" w:hAnsi="宋体" w:cs="宋体"/>
                <w:color w:val="auto"/>
                <w:szCs w:val="21"/>
                <w:highlight w:val="none"/>
              </w:rPr>
            </w:pPr>
          </w:p>
        </w:tc>
        <w:tc>
          <w:tcPr>
            <w:tcW w:w="851" w:type="dxa"/>
            <w:tcBorders>
              <w:top w:val="double" w:color="auto" w:sz="6" w:space="0"/>
            </w:tcBorders>
            <w:noWrap w:val="0"/>
            <w:vAlign w:val="top"/>
          </w:tcPr>
          <w:p w14:paraId="544669AE">
            <w:pPr>
              <w:keepNext/>
              <w:spacing w:line="440" w:lineRule="exact"/>
              <w:rPr>
                <w:rFonts w:hint="eastAsia" w:ascii="宋体" w:hAnsi="宋体" w:cs="宋体"/>
                <w:color w:val="auto"/>
                <w:szCs w:val="21"/>
                <w:highlight w:val="none"/>
              </w:rPr>
            </w:pPr>
          </w:p>
        </w:tc>
        <w:tc>
          <w:tcPr>
            <w:tcW w:w="774" w:type="dxa"/>
            <w:tcBorders>
              <w:top w:val="double" w:color="auto" w:sz="6" w:space="0"/>
            </w:tcBorders>
            <w:noWrap w:val="0"/>
            <w:vAlign w:val="top"/>
          </w:tcPr>
          <w:p w14:paraId="19E9DE36">
            <w:pPr>
              <w:keepNext/>
              <w:spacing w:line="440" w:lineRule="exact"/>
              <w:rPr>
                <w:rFonts w:hint="eastAsia" w:ascii="宋体" w:hAnsi="宋体" w:cs="宋体"/>
                <w:color w:val="auto"/>
                <w:szCs w:val="21"/>
                <w:highlight w:val="none"/>
              </w:rPr>
            </w:pPr>
          </w:p>
        </w:tc>
        <w:tc>
          <w:tcPr>
            <w:tcW w:w="1352" w:type="dxa"/>
            <w:tcBorders>
              <w:top w:val="double" w:color="auto" w:sz="6" w:space="0"/>
            </w:tcBorders>
            <w:noWrap w:val="0"/>
            <w:vAlign w:val="top"/>
          </w:tcPr>
          <w:p w14:paraId="3D3C18DF">
            <w:pPr>
              <w:keepNext/>
              <w:spacing w:line="440" w:lineRule="exact"/>
              <w:rPr>
                <w:rFonts w:hint="eastAsia" w:ascii="宋体" w:hAnsi="宋体" w:cs="宋体"/>
                <w:color w:val="auto"/>
                <w:szCs w:val="21"/>
                <w:highlight w:val="none"/>
              </w:rPr>
            </w:pPr>
          </w:p>
        </w:tc>
        <w:tc>
          <w:tcPr>
            <w:tcW w:w="1418" w:type="dxa"/>
            <w:tcBorders>
              <w:top w:val="double" w:color="auto" w:sz="6" w:space="0"/>
            </w:tcBorders>
            <w:noWrap w:val="0"/>
            <w:vAlign w:val="top"/>
          </w:tcPr>
          <w:p w14:paraId="7BF16C5C">
            <w:pPr>
              <w:keepNext/>
              <w:spacing w:line="440" w:lineRule="exact"/>
              <w:rPr>
                <w:rFonts w:hint="eastAsia" w:ascii="宋体" w:hAnsi="宋体" w:cs="宋体"/>
                <w:color w:val="auto"/>
                <w:szCs w:val="21"/>
                <w:highlight w:val="none"/>
              </w:rPr>
            </w:pPr>
          </w:p>
        </w:tc>
        <w:tc>
          <w:tcPr>
            <w:tcW w:w="1701" w:type="dxa"/>
            <w:tcBorders>
              <w:top w:val="double" w:color="auto" w:sz="6" w:space="0"/>
            </w:tcBorders>
            <w:noWrap w:val="0"/>
            <w:vAlign w:val="top"/>
          </w:tcPr>
          <w:p w14:paraId="2529EC6D">
            <w:pPr>
              <w:keepNext/>
              <w:spacing w:line="440" w:lineRule="exact"/>
              <w:rPr>
                <w:rFonts w:hint="eastAsia" w:ascii="宋体" w:hAnsi="宋体" w:cs="宋体"/>
                <w:color w:val="auto"/>
                <w:szCs w:val="21"/>
                <w:highlight w:val="none"/>
              </w:rPr>
            </w:pPr>
          </w:p>
        </w:tc>
      </w:tr>
      <w:tr w14:paraId="4989D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247A9BCB">
            <w:pPr>
              <w:keepNext/>
              <w:spacing w:line="440" w:lineRule="exact"/>
              <w:rPr>
                <w:rFonts w:hint="eastAsia" w:ascii="宋体" w:hAnsi="宋体" w:cs="宋体"/>
                <w:color w:val="auto"/>
                <w:szCs w:val="21"/>
                <w:highlight w:val="none"/>
              </w:rPr>
            </w:pPr>
          </w:p>
        </w:tc>
        <w:tc>
          <w:tcPr>
            <w:tcW w:w="1984" w:type="dxa"/>
            <w:tcBorders>
              <w:top w:val="nil"/>
            </w:tcBorders>
            <w:noWrap w:val="0"/>
            <w:vAlign w:val="top"/>
          </w:tcPr>
          <w:p w14:paraId="19624C60">
            <w:pPr>
              <w:keepNext/>
              <w:spacing w:line="440" w:lineRule="exact"/>
              <w:rPr>
                <w:rFonts w:hint="eastAsia" w:ascii="宋体" w:hAnsi="宋体" w:cs="宋体"/>
                <w:color w:val="auto"/>
                <w:szCs w:val="21"/>
                <w:highlight w:val="none"/>
              </w:rPr>
            </w:pPr>
          </w:p>
        </w:tc>
        <w:tc>
          <w:tcPr>
            <w:tcW w:w="851" w:type="dxa"/>
            <w:tcBorders>
              <w:top w:val="nil"/>
            </w:tcBorders>
            <w:noWrap w:val="0"/>
            <w:vAlign w:val="top"/>
          </w:tcPr>
          <w:p w14:paraId="2B40EDF4">
            <w:pPr>
              <w:keepNext/>
              <w:spacing w:line="440" w:lineRule="exact"/>
              <w:rPr>
                <w:rFonts w:hint="eastAsia" w:ascii="宋体" w:hAnsi="宋体" w:cs="宋体"/>
                <w:color w:val="auto"/>
                <w:szCs w:val="21"/>
                <w:highlight w:val="none"/>
              </w:rPr>
            </w:pPr>
          </w:p>
        </w:tc>
        <w:tc>
          <w:tcPr>
            <w:tcW w:w="774" w:type="dxa"/>
            <w:tcBorders>
              <w:top w:val="nil"/>
            </w:tcBorders>
            <w:noWrap w:val="0"/>
            <w:vAlign w:val="top"/>
          </w:tcPr>
          <w:p w14:paraId="54542D99">
            <w:pPr>
              <w:keepNext/>
              <w:spacing w:line="440" w:lineRule="exact"/>
              <w:rPr>
                <w:rFonts w:hint="eastAsia" w:ascii="宋体" w:hAnsi="宋体" w:cs="宋体"/>
                <w:color w:val="auto"/>
                <w:szCs w:val="21"/>
                <w:highlight w:val="none"/>
              </w:rPr>
            </w:pPr>
          </w:p>
        </w:tc>
        <w:tc>
          <w:tcPr>
            <w:tcW w:w="1352" w:type="dxa"/>
            <w:tcBorders>
              <w:top w:val="nil"/>
            </w:tcBorders>
            <w:noWrap w:val="0"/>
            <w:vAlign w:val="top"/>
          </w:tcPr>
          <w:p w14:paraId="540F960C">
            <w:pPr>
              <w:keepNext/>
              <w:spacing w:line="440" w:lineRule="exact"/>
              <w:rPr>
                <w:rFonts w:hint="eastAsia" w:ascii="宋体" w:hAnsi="宋体" w:cs="宋体"/>
                <w:color w:val="auto"/>
                <w:szCs w:val="21"/>
                <w:highlight w:val="none"/>
              </w:rPr>
            </w:pPr>
          </w:p>
        </w:tc>
        <w:tc>
          <w:tcPr>
            <w:tcW w:w="1418" w:type="dxa"/>
            <w:tcBorders>
              <w:top w:val="nil"/>
            </w:tcBorders>
            <w:noWrap w:val="0"/>
            <w:vAlign w:val="top"/>
          </w:tcPr>
          <w:p w14:paraId="671AF98E">
            <w:pPr>
              <w:keepNext/>
              <w:spacing w:line="440" w:lineRule="exact"/>
              <w:rPr>
                <w:rFonts w:hint="eastAsia" w:ascii="宋体" w:hAnsi="宋体" w:cs="宋体"/>
                <w:color w:val="auto"/>
                <w:szCs w:val="21"/>
                <w:highlight w:val="none"/>
              </w:rPr>
            </w:pPr>
          </w:p>
        </w:tc>
        <w:tc>
          <w:tcPr>
            <w:tcW w:w="1701" w:type="dxa"/>
            <w:tcBorders>
              <w:top w:val="nil"/>
            </w:tcBorders>
            <w:noWrap w:val="0"/>
            <w:vAlign w:val="top"/>
          </w:tcPr>
          <w:p w14:paraId="3F9F5CBE">
            <w:pPr>
              <w:keepNext/>
              <w:spacing w:line="440" w:lineRule="exact"/>
              <w:rPr>
                <w:rFonts w:hint="eastAsia" w:ascii="宋体" w:hAnsi="宋体" w:cs="宋体"/>
                <w:color w:val="auto"/>
                <w:szCs w:val="21"/>
                <w:highlight w:val="none"/>
              </w:rPr>
            </w:pPr>
          </w:p>
        </w:tc>
      </w:tr>
      <w:tr w14:paraId="11E5E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29B8922">
            <w:pPr>
              <w:keepNext/>
              <w:spacing w:line="440" w:lineRule="exact"/>
              <w:rPr>
                <w:rFonts w:hint="eastAsia" w:ascii="宋体" w:hAnsi="宋体" w:cs="宋体"/>
                <w:color w:val="auto"/>
                <w:szCs w:val="21"/>
                <w:highlight w:val="none"/>
              </w:rPr>
            </w:pPr>
          </w:p>
        </w:tc>
        <w:tc>
          <w:tcPr>
            <w:tcW w:w="1984" w:type="dxa"/>
            <w:noWrap w:val="0"/>
            <w:vAlign w:val="top"/>
          </w:tcPr>
          <w:p w14:paraId="730C9EF9">
            <w:pPr>
              <w:keepNext/>
              <w:spacing w:line="440" w:lineRule="exact"/>
              <w:rPr>
                <w:rFonts w:hint="eastAsia" w:ascii="宋体" w:hAnsi="宋体" w:cs="宋体"/>
                <w:color w:val="auto"/>
                <w:szCs w:val="21"/>
                <w:highlight w:val="none"/>
              </w:rPr>
            </w:pPr>
          </w:p>
        </w:tc>
        <w:tc>
          <w:tcPr>
            <w:tcW w:w="851" w:type="dxa"/>
            <w:noWrap w:val="0"/>
            <w:vAlign w:val="top"/>
          </w:tcPr>
          <w:p w14:paraId="76F9A0C3">
            <w:pPr>
              <w:keepNext/>
              <w:spacing w:line="440" w:lineRule="exact"/>
              <w:rPr>
                <w:rFonts w:hint="eastAsia" w:ascii="宋体" w:hAnsi="宋体" w:cs="宋体"/>
                <w:color w:val="auto"/>
                <w:szCs w:val="21"/>
                <w:highlight w:val="none"/>
              </w:rPr>
            </w:pPr>
          </w:p>
        </w:tc>
        <w:tc>
          <w:tcPr>
            <w:tcW w:w="774" w:type="dxa"/>
            <w:noWrap w:val="0"/>
            <w:vAlign w:val="top"/>
          </w:tcPr>
          <w:p w14:paraId="136C6564">
            <w:pPr>
              <w:keepNext/>
              <w:spacing w:line="440" w:lineRule="exact"/>
              <w:rPr>
                <w:rFonts w:hint="eastAsia" w:ascii="宋体" w:hAnsi="宋体" w:cs="宋体"/>
                <w:color w:val="auto"/>
                <w:szCs w:val="21"/>
                <w:highlight w:val="none"/>
              </w:rPr>
            </w:pPr>
          </w:p>
        </w:tc>
        <w:tc>
          <w:tcPr>
            <w:tcW w:w="1352" w:type="dxa"/>
            <w:noWrap w:val="0"/>
            <w:vAlign w:val="top"/>
          </w:tcPr>
          <w:p w14:paraId="6F672136">
            <w:pPr>
              <w:keepNext/>
              <w:spacing w:line="440" w:lineRule="exact"/>
              <w:rPr>
                <w:rFonts w:hint="eastAsia" w:ascii="宋体" w:hAnsi="宋体" w:cs="宋体"/>
                <w:color w:val="auto"/>
                <w:szCs w:val="21"/>
                <w:highlight w:val="none"/>
              </w:rPr>
            </w:pPr>
          </w:p>
        </w:tc>
        <w:tc>
          <w:tcPr>
            <w:tcW w:w="1418" w:type="dxa"/>
            <w:noWrap w:val="0"/>
            <w:vAlign w:val="top"/>
          </w:tcPr>
          <w:p w14:paraId="5A0F0A06">
            <w:pPr>
              <w:keepNext/>
              <w:spacing w:line="440" w:lineRule="exact"/>
              <w:rPr>
                <w:rFonts w:hint="eastAsia" w:ascii="宋体" w:hAnsi="宋体" w:cs="宋体"/>
                <w:color w:val="auto"/>
                <w:szCs w:val="21"/>
                <w:highlight w:val="none"/>
              </w:rPr>
            </w:pPr>
          </w:p>
        </w:tc>
        <w:tc>
          <w:tcPr>
            <w:tcW w:w="1701" w:type="dxa"/>
            <w:noWrap w:val="0"/>
            <w:vAlign w:val="top"/>
          </w:tcPr>
          <w:p w14:paraId="0C7584DF">
            <w:pPr>
              <w:keepNext/>
              <w:spacing w:line="440" w:lineRule="exact"/>
              <w:rPr>
                <w:rFonts w:hint="eastAsia" w:ascii="宋体" w:hAnsi="宋体" w:cs="宋体"/>
                <w:color w:val="auto"/>
                <w:szCs w:val="21"/>
                <w:highlight w:val="none"/>
              </w:rPr>
            </w:pPr>
          </w:p>
        </w:tc>
      </w:tr>
      <w:tr w14:paraId="4D64CE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8642EAE">
            <w:pPr>
              <w:keepNext/>
              <w:spacing w:line="440" w:lineRule="exact"/>
              <w:rPr>
                <w:rFonts w:hint="eastAsia" w:ascii="宋体" w:hAnsi="宋体" w:cs="宋体"/>
                <w:color w:val="auto"/>
                <w:szCs w:val="21"/>
                <w:highlight w:val="none"/>
              </w:rPr>
            </w:pPr>
          </w:p>
        </w:tc>
        <w:tc>
          <w:tcPr>
            <w:tcW w:w="1984" w:type="dxa"/>
            <w:noWrap w:val="0"/>
            <w:vAlign w:val="top"/>
          </w:tcPr>
          <w:p w14:paraId="5A615F81">
            <w:pPr>
              <w:keepNext/>
              <w:spacing w:line="440" w:lineRule="exact"/>
              <w:rPr>
                <w:rFonts w:hint="eastAsia" w:ascii="宋体" w:hAnsi="宋体" w:cs="宋体"/>
                <w:color w:val="auto"/>
                <w:szCs w:val="21"/>
                <w:highlight w:val="none"/>
              </w:rPr>
            </w:pPr>
          </w:p>
        </w:tc>
        <w:tc>
          <w:tcPr>
            <w:tcW w:w="851" w:type="dxa"/>
            <w:noWrap w:val="0"/>
            <w:vAlign w:val="top"/>
          </w:tcPr>
          <w:p w14:paraId="2D1DD7BB">
            <w:pPr>
              <w:keepNext/>
              <w:spacing w:line="440" w:lineRule="exact"/>
              <w:rPr>
                <w:rFonts w:hint="eastAsia" w:ascii="宋体" w:hAnsi="宋体" w:cs="宋体"/>
                <w:color w:val="auto"/>
                <w:szCs w:val="21"/>
                <w:highlight w:val="none"/>
              </w:rPr>
            </w:pPr>
          </w:p>
        </w:tc>
        <w:tc>
          <w:tcPr>
            <w:tcW w:w="774" w:type="dxa"/>
            <w:noWrap w:val="0"/>
            <w:vAlign w:val="top"/>
          </w:tcPr>
          <w:p w14:paraId="65AD4ED6">
            <w:pPr>
              <w:keepNext/>
              <w:spacing w:line="440" w:lineRule="exact"/>
              <w:rPr>
                <w:rFonts w:hint="eastAsia" w:ascii="宋体" w:hAnsi="宋体" w:cs="宋体"/>
                <w:color w:val="auto"/>
                <w:szCs w:val="21"/>
                <w:highlight w:val="none"/>
              </w:rPr>
            </w:pPr>
          </w:p>
        </w:tc>
        <w:tc>
          <w:tcPr>
            <w:tcW w:w="1352" w:type="dxa"/>
            <w:noWrap w:val="0"/>
            <w:vAlign w:val="top"/>
          </w:tcPr>
          <w:p w14:paraId="259DF23F">
            <w:pPr>
              <w:keepNext/>
              <w:spacing w:line="440" w:lineRule="exact"/>
              <w:rPr>
                <w:rFonts w:hint="eastAsia" w:ascii="宋体" w:hAnsi="宋体" w:cs="宋体"/>
                <w:color w:val="auto"/>
                <w:szCs w:val="21"/>
                <w:highlight w:val="none"/>
              </w:rPr>
            </w:pPr>
          </w:p>
        </w:tc>
        <w:tc>
          <w:tcPr>
            <w:tcW w:w="1418" w:type="dxa"/>
            <w:noWrap w:val="0"/>
            <w:vAlign w:val="top"/>
          </w:tcPr>
          <w:p w14:paraId="68F09C74">
            <w:pPr>
              <w:keepNext/>
              <w:spacing w:line="440" w:lineRule="exact"/>
              <w:rPr>
                <w:rFonts w:hint="eastAsia" w:ascii="宋体" w:hAnsi="宋体" w:cs="宋体"/>
                <w:color w:val="auto"/>
                <w:szCs w:val="21"/>
                <w:highlight w:val="none"/>
              </w:rPr>
            </w:pPr>
          </w:p>
        </w:tc>
        <w:tc>
          <w:tcPr>
            <w:tcW w:w="1701" w:type="dxa"/>
            <w:noWrap w:val="0"/>
            <w:vAlign w:val="top"/>
          </w:tcPr>
          <w:p w14:paraId="07DD68B6">
            <w:pPr>
              <w:keepNext/>
              <w:spacing w:line="440" w:lineRule="exact"/>
              <w:rPr>
                <w:rFonts w:hint="eastAsia" w:ascii="宋体" w:hAnsi="宋体" w:cs="宋体"/>
                <w:color w:val="auto"/>
                <w:szCs w:val="21"/>
                <w:highlight w:val="none"/>
              </w:rPr>
            </w:pPr>
          </w:p>
        </w:tc>
      </w:tr>
      <w:tr w14:paraId="1DB39E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36E60D99">
            <w:pPr>
              <w:keepNext/>
              <w:spacing w:line="440" w:lineRule="exact"/>
              <w:rPr>
                <w:rFonts w:hint="eastAsia" w:ascii="宋体" w:hAnsi="宋体" w:cs="宋体"/>
                <w:color w:val="auto"/>
                <w:szCs w:val="21"/>
                <w:highlight w:val="none"/>
              </w:rPr>
            </w:pPr>
          </w:p>
        </w:tc>
        <w:tc>
          <w:tcPr>
            <w:tcW w:w="1984" w:type="dxa"/>
            <w:tcBorders>
              <w:bottom w:val="single" w:color="auto" w:sz="12" w:space="0"/>
            </w:tcBorders>
            <w:noWrap w:val="0"/>
            <w:vAlign w:val="top"/>
          </w:tcPr>
          <w:p w14:paraId="41455CC6">
            <w:pPr>
              <w:keepNext/>
              <w:spacing w:line="440" w:lineRule="exact"/>
              <w:rPr>
                <w:rFonts w:hint="eastAsia" w:ascii="宋体" w:hAnsi="宋体" w:cs="宋体"/>
                <w:color w:val="auto"/>
                <w:szCs w:val="21"/>
                <w:highlight w:val="none"/>
              </w:rPr>
            </w:pPr>
          </w:p>
        </w:tc>
        <w:tc>
          <w:tcPr>
            <w:tcW w:w="851" w:type="dxa"/>
            <w:tcBorders>
              <w:bottom w:val="single" w:color="auto" w:sz="12" w:space="0"/>
            </w:tcBorders>
            <w:noWrap w:val="0"/>
            <w:vAlign w:val="top"/>
          </w:tcPr>
          <w:p w14:paraId="3602F048">
            <w:pPr>
              <w:keepNext/>
              <w:spacing w:line="440" w:lineRule="exact"/>
              <w:rPr>
                <w:rFonts w:hint="eastAsia" w:ascii="宋体" w:hAnsi="宋体" w:cs="宋体"/>
                <w:color w:val="auto"/>
                <w:szCs w:val="21"/>
                <w:highlight w:val="none"/>
              </w:rPr>
            </w:pPr>
          </w:p>
        </w:tc>
        <w:tc>
          <w:tcPr>
            <w:tcW w:w="774" w:type="dxa"/>
            <w:tcBorders>
              <w:bottom w:val="single" w:color="auto" w:sz="12" w:space="0"/>
            </w:tcBorders>
            <w:noWrap w:val="0"/>
            <w:vAlign w:val="top"/>
          </w:tcPr>
          <w:p w14:paraId="7F22E0CA">
            <w:pPr>
              <w:keepNext/>
              <w:spacing w:line="440" w:lineRule="exact"/>
              <w:rPr>
                <w:rFonts w:hint="eastAsia" w:ascii="宋体" w:hAnsi="宋体" w:cs="宋体"/>
                <w:color w:val="auto"/>
                <w:szCs w:val="21"/>
                <w:highlight w:val="none"/>
              </w:rPr>
            </w:pPr>
          </w:p>
        </w:tc>
        <w:tc>
          <w:tcPr>
            <w:tcW w:w="1352" w:type="dxa"/>
            <w:tcBorders>
              <w:bottom w:val="single" w:color="auto" w:sz="12" w:space="0"/>
            </w:tcBorders>
            <w:noWrap w:val="0"/>
            <w:vAlign w:val="top"/>
          </w:tcPr>
          <w:p w14:paraId="348361BA">
            <w:pPr>
              <w:keepNext/>
              <w:spacing w:line="440" w:lineRule="exact"/>
              <w:rPr>
                <w:rFonts w:hint="eastAsia" w:ascii="宋体" w:hAnsi="宋体" w:cs="宋体"/>
                <w:color w:val="auto"/>
                <w:szCs w:val="21"/>
                <w:highlight w:val="none"/>
              </w:rPr>
            </w:pPr>
          </w:p>
        </w:tc>
        <w:tc>
          <w:tcPr>
            <w:tcW w:w="1418" w:type="dxa"/>
            <w:tcBorders>
              <w:bottom w:val="single" w:color="auto" w:sz="12" w:space="0"/>
            </w:tcBorders>
            <w:noWrap w:val="0"/>
            <w:vAlign w:val="top"/>
          </w:tcPr>
          <w:p w14:paraId="3BA21419">
            <w:pPr>
              <w:keepNext/>
              <w:spacing w:line="440" w:lineRule="exact"/>
              <w:rPr>
                <w:rFonts w:hint="eastAsia" w:ascii="宋体" w:hAnsi="宋体" w:cs="宋体"/>
                <w:color w:val="auto"/>
                <w:szCs w:val="21"/>
                <w:highlight w:val="none"/>
              </w:rPr>
            </w:pPr>
          </w:p>
        </w:tc>
        <w:tc>
          <w:tcPr>
            <w:tcW w:w="1701" w:type="dxa"/>
            <w:tcBorders>
              <w:bottom w:val="single" w:color="auto" w:sz="12" w:space="0"/>
            </w:tcBorders>
            <w:noWrap w:val="0"/>
            <w:vAlign w:val="top"/>
          </w:tcPr>
          <w:p w14:paraId="4543D763">
            <w:pPr>
              <w:keepNext/>
              <w:spacing w:line="440" w:lineRule="exact"/>
              <w:rPr>
                <w:rFonts w:hint="eastAsia" w:ascii="宋体" w:hAnsi="宋体" w:cs="宋体"/>
                <w:color w:val="auto"/>
                <w:szCs w:val="21"/>
                <w:highlight w:val="none"/>
              </w:rPr>
            </w:pPr>
          </w:p>
        </w:tc>
      </w:tr>
    </w:tbl>
    <w:p w14:paraId="0B3765DC">
      <w:pPr>
        <w:spacing w:before="120" w:beforeLines="50" w:after="120" w:afterLines="50" w:line="440" w:lineRule="exact"/>
        <w:rPr>
          <w:rFonts w:hint="eastAsia" w:ascii="宋体" w:hAnsi="宋体" w:cs="宋体"/>
          <w:color w:val="auto"/>
          <w:szCs w:val="21"/>
          <w:highlight w:val="none"/>
        </w:rPr>
      </w:pPr>
    </w:p>
    <w:p w14:paraId="077D0B9E">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12-2：工程设备暂估价表</w:t>
      </w:r>
    </w:p>
    <w:tbl>
      <w:tblPr>
        <w:tblStyle w:val="47"/>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0DA0CC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458E9D2F">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14:paraId="60F004C1">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14:paraId="621643BA">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14:paraId="7CF29550">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14:paraId="60ACB362">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14:paraId="48F259FF">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14:paraId="284CFD90">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43BCBF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5085BA38">
            <w:pPr>
              <w:keepNext/>
              <w:spacing w:line="440" w:lineRule="exact"/>
              <w:rPr>
                <w:rFonts w:hint="eastAsia" w:ascii="宋体" w:hAnsi="宋体" w:cs="宋体"/>
                <w:color w:val="auto"/>
                <w:szCs w:val="21"/>
                <w:highlight w:val="none"/>
              </w:rPr>
            </w:pPr>
          </w:p>
        </w:tc>
        <w:tc>
          <w:tcPr>
            <w:tcW w:w="1984" w:type="dxa"/>
            <w:tcBorders>
              <w:top w:val="double" w:color="auto" w:sz="6" w:space="0"/>
            </w:tcBorders>
            <w:noWrap w:val="0"/>
            <w:vAlign w:val="top"/>
          </w:tcPr>
          <w:p w14:paraId="2660BF0B">
            <w:pPr>
              <w:keepNext/>
              <w:spacing w:line="440" w:lineRule="exact"/>
              <w:rPr>
                <w:rFonts w:hint="eastAsia" w:ascii="宋体" w:hAnsi="宋体" w:cs="宋体"/>
                <w:color w:val="auto"/>
                <w:szCs w:val="21"/>
                <w:highlight w:val="none"/>
              </w:rPr>
            </w:pPr>
          </w:p>
        </w:tc>
        <w:tc>
          <w:tcPr>
            <w:tcW w:w="851" w:type="dxa"/>
            <w:tcBorders>
              <w:top w:val="double" w:color="auto" w:sz="6" w:space="0"/>
            </w:tcBorders>
            <w:noWrap w:val="0"/>
            <w:vAlign w:val="top"/>
          </w:tcPr>
          <w:p w14:paraId="3F0C79E4">
            <w:pPr>
              <w:keepNext/>
              <w:spacing w:line="440" w:lineRule="exact"/>
              <w:rPr>
                <w:rFonts w:hint="eastAsia" w:ascii="宋体" w:hAnsi="宋体" w:cs="宋体"/>
                <w:color w:val="auto"/>
                <w:szCs w:val="21"/>
                <w:highlight w:val="none"/>
              </w:rPr>
            </w:pPr>
          </w:p>
        </w:tc>
        <w:tc>
          <w:tcPr>
            <w:tcW w:w="774" w:type="dxa"/>
            <w:tcBorders>
              <w:top w:val="double" w:color="auto" w:sz="6" w:space="0"/>
            </w:tcBorders>
            <w:noWrap w:val="0"/>
            <w:vAlign w:val="top"/>
          </w:tcPr>
          <w:p w14:paraId="69F10040">
            <w:pPr>
              <w:keepNext/>
              <w:spacing w:line="440" w:lineRule="exact"/>
              <w:rPr>
                <w:rFonts w:hint="eastAsia" w:ascii="宋体" w:hAnsi="宋体" w:cs="宋体"/>
                <w:color w:val="auto"/>
                <w:szCs w:val="21"/>
                <w:highlight w:val="none"/>
              </w:rPr>
            </w:pPr>
          </w:p>
        </w:tc>
        <w:tc>
          <w:tcPr>
            <w:tcW w:w="1352" w:type="dxa"/>
            <w:tcBorders>
              <w:top w:val="double" w:color="auto" w:sz="6" w:space="0"/>
            </w:tcBorders>
            <w:noWrap w:val="0"/>
            <w:vAlign w:val="top"/>
          </w:tcPr>
          <w:p w14:paraId="0298B7CC">
            <w:pPr>
              <w:keepNext/>
              <w:spacing w:line="440" w:lineRule="exact"/>
              <w:rPr>
                <w:rFonts w:hint="eastAsia" w:ascii="宋体" w:hAnsi="宋体" w:cs="宋体"/>
                <w:color w:val="auto"/>
                <w:szCs w:val="21"/>
                <w:highlight w:val="none"/>
              </w:rPr>
            </w:pPr>
          </w:p>
        </w:tc>
        <w:tc>
          <w:tcPr>
            <w:tcW w:w="1418" w:type="dxa"/>
            <w:tcBorders>
              <w:top w:val="double" w:color="auto" w:sz="6" w:space="0"/>
            </w:tcBorders>
            <w:noWrap w:val="0"/>
            <w:vAlign w:val="top"/>
          </w:tcPr>
          <w:p w14:paraId="7BE47594">
            <w:pPr>
              <w:keepNext/>
              <w:spacing w:line="440" w:lineRule="exact"/>
              <w:rPr>
                <w:rFonts w:hint="eastAsia" w:ascii="宋体" w:hAnsi="宋体" w:cs="宋体"/>
                <w:color w:val="auto"/>
                <w:szCs w:val="21"/>
                <w:highlight w:val="none"/>
              </w:rPr>
            </w:pPr>
          </w:p>
        </w:tc>
        <w:tc>
          <w:tcPr>
            <w:tcW w:w="1701" w:type="dxa"/>
            <w:tcBorders>
              <w:top w:val="double" w:color="auto" w:sz="6" w:space="0"/>
            </w:tcBorders>
            <w:noWrap w:val="0"/>
            <w:vAlign w:val="top"/>
          </w:tcPr>
          <w:p w14:paraId="5CD6945E">
            <w:pPr>
              <w:keepNext/>
              <w:spacing w:line="440" w:lineRule="exact"/>
              <w:rPr>
                <w:rFonts w:hint="eastAsia" w:ascii="宋体" w:hAnsi="宋体" w:cs="宋体"/>
                <w:color w:val="auto"/>
                <w:szCs w:val="21"/>
                <w:highlight w:val="none"/>
              </w:rPr>
            </w:pPr>
          </w:p>
        </w:tc>
      </w:tr>
      <w:tr w14:paraId="1D47FF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406BDE4F">
            <w:pPr>
              <w:keepNext/>
              <w:spacing w:line="440" w:lineRule="exact"/>
              <w:rPr>
                <w:rFonts w:hint="eastAsia" w:ascii="宋体" w:hAnsi="宋体" w:cs="宋体"/>
                <w:color w:val="auto"/>
                <w:szCs w:val="21"/>
                <w:highlight w:val="none"/>
              </w:rPr>
            </w:pPr>
          </w:p>
        </w:tc>
        <w:tc>
          <w:tcPr>
            <w:tcW w:w="1984" w:type="dxa"/>
            <w:tcBorders>
              <w:top w:val="nil"/>
            </w:tcBorders>
            <w:noWrap w:val="0"/>
            <w:vAlign w:val="top"/>
          </w:tcPr>
          <w:p w14:paraId="28F9C846">
            <w:pPr>
              <w:keepNext/>
              <w:spacing w:line="440" w:lineRule="exact"/>
              <w:rPr>
                <w:rFonts w:hint="eastAsia" w:ascii="宋体" w:hAnsi="宋体" w:cs="宋体"/>
                <w:color w:val="auto"/>
                <w:szCs w:val="21"/>
                <w:highlight w:val="none"/>
              </w:rPr>
            </w:pPr>
          </w:p>
        </w:tc>
        <w:tc>
          <w:tcPr>
            <w:tcW w:w="851" w:type="dxa"/>
            <w:tcBorders>
              <w:top w:val="nil"/>
            </w:tcBorders>
            <w:noWrap w:val="0"/>
            <w:vAlign w:val="top"/>
          </w:tcPr>
          <w:p w14:paraId="70CD45CE">
            <w:pPr>
              <w:keepNext/>
              <w:spacing w:line="440" w:lineRule="exact"/>
              <w:rPr>
                <w:rFonts w:hint="eastAsia" w:ascii="宋体" w:hAnsi="宋体" w:cs="宋体"/>
                <w:color w:val="auto"/>
                <w:szCs w:val="21"/>
                <w:highlight w:val="none"/>
              </w:rPr>
            </w:pPr>
          </w:p>
        </w:tc>
        <w:tc>
          <w:tcPr>
            <w:tcW w:w="774" w:type="dxa"/>
            <w:tcBorders>
              <w:top w:val="nil"/>
            </w:tcBorders>
            <w:noWrap w:val="0"/>
            <w:vAlign w:val="top"/>
          </w:tcPr>
          <w:p w14:paraId="092DC39C">
            <w:pPr>
              <w:keepNext/>
              <w:spacing w:line="440" w:lineRule="exact"/>
              <w:rPr>
                <w:rFonts w:hint="eastAsia" w:ascii="宋体" w:hAnsi="宋体" w:cs="宋体"/>
                <w:color w:val="auto"/>
                <w:szCs w:val="21"/>
                <w:highlight w:val="none"/>
              </w:rPr>
            </w:pPr>
          </w:p>
        </w:tc>
        <w:tc>
          <w:tcPr>
            <w:tcW w:w="1352" w:type="dxa"/>
            <w:tcBorders>
              <w:top w:val="nil"/>
            </w:tcBorders>
            <w:noWrap w:val="0"/>
            <w:vAlign w:val="top"/>
          </w:tcPr>
          <w:p w14:paraId="14EC4EB7">
            <w:pPr>
              <w:keepNext/>
              <w:spacing w:line="440" w:lineRule="exact"/>
              <w:rPr>
                <w:rFonts w:hint="eastAsia" w:ascii="宋体" w:hAnsi="宋体" w:cs="宋体"/>
                <w:color w:val="auto"/>
                <w:szCs w:val="21"/>
                <w:highlight w:val="none"/>
              </w:rPr>
            </w:pPr>
          </w:p>
        </w:tc>
        <w:tc>
          <w:tcPr>
            <w:tcW w:w="1418" w:type="dxa"/>
            <w:tcBorders>
              <w:top w:val="nil"/>
            </w:tcBorders>
            <w:noWrap w:val="0"/>
            <w:vAlign w:val="top"/>
          </w:tcPr>
          <w:p w14:paraId="308DC894">
            <w:pPr>
              <w:keepNext/>
              <w:spacing w:line="440" w:lineRule="exact"/>
              <w:rPr>
                <w:rFonts w:hint="eastAsia" w:ascii="宋体" w:hAnsi="宋体" w:cs="宋体"/>
                <w:color w:val="auto"/>
                <w:szCs w:val="21"/>
                <w:highlight w:val="none"/>
              </w:rPr>
            </w:pPr>
          </w:p>
        </w:tc>
        <w:tc>
          <w:tcPr>
            <w:tcW w:w="1701" w:type="dxa"/>
            <w:tcBorders>
              <w:top w:val="nil"/>
            </w:tcBorders>
            <w:noWrap w:val="0"/>
            <w:vAlign w:val="top"/>
          </w:tcPr>
          <w:p w14:paraId="11DBCDC1">
            <w:pPr>
              <w:keepNext/>
              <w:spacing w:line="440" w:lineRule="exact"/>
              <w:rPr>
                <w:rFonts w:hint="eastAsia" w:ascii="宋体" w:hAnsi="宋体" w:cs="宋体"/>
                <w:color w:val="auto"/>
                <w:szCs w:val="21"/>
                <w:highlight w:val="none"/>
              </w:rPr>
            </w:pPr>
          </w:p>
        </w:tc>
      </w:tr>
      <w:tr w14:paraId="410144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6094654">
            <w:pPr>
              <w:keepNext/>
              <w:spacing w:line="440" w:lineRule="exact"/>
              <w:rPr>
                <w:rFonts w:hint="eastAsia" w:ascii="宋体" w:hAnsi="宋体" w:cs="宋体"/>
                <w:color w:val="auto"/>
                <w:szCs w:val="21"/>
                <w:highlight w:val="none"/>
              </w:rPr>
            </w:pPr>
          </w:p>
        </w:tc>
        <w:tc>
          <w:tcPr>
            <w:tcW w:w="1984" w:type="dxa"/>
            <w:noWrap w:val="0"/>
            <w:vAlign w:val="top"/>
          </w:tcPr>
          <w:p w14:paraId="38EBDC48">
            <w:pPr>
              <w:keepNext/>
              <w:spacing w:line="440" w:lineRule="exact"/>
              <w:rPr>
                <w:rFonts w:hint="eastAsia" w:ascii="宋体" w:hAnsi="宋体" w:cs="宋体"/>
                <w:color w:val="auto"/>
                <w:szCs w:val="21"/>
                <w:highlight w:val="none"/>
              </w:rPr>
            </w:pPr>
          </w:p>
        </w:tc>
        <w:tc>
          <w:tcPr>
            <w:tcW w:w="851" w:type="dxa"/>
            <w:noWrap w:val="0"/>
            <w:vAlign w:val="top"/>
          </w:tcPr>
          <w:p w14:paraId="5FCD2AAF">
            <w:pPr>
              <w:keepNext/>
              <w:spacing w:line="440" w:lineRule="exact"/>
              <w:rPr>
                <w:rFonts w:hint="eastAsia" w:ascii="宋体" w:hAnsi="宋体" w:cs="宋体"/>
                <w:color w:val="auto"/>
                <w:szCs w:val="21"/>
                <w:highlight w:val="none"/>
              </w:rPr>
            </w:pPr>
          </w:p>
        </w:tc>
        <w:tc>
          <w:tcPr>
            <w:tcW w:w="774" w:type="dxa"/>
            <w:noWrap w:val="0"/>
            <w:vAlign w:val="top"/>
          </w:tcPr>
          <w:p w14:paraId="0F534762">
            <w:pPr>
              <w:keepNext/>
              <w:spacing w:line="440" w:lineRule="exact"/>
              <w:rPr>
                <w:rFonts w:hint="eastAsia" w:ascii="宋体" w:hAnsi="宋体" w:cs="宋体"/>
                <w:color w:val="auto"/>
                <w:szCs w:val="21"/>
                <w:highlight w:val="none"/>
              </w:rPr>
            </w:pPr>
          </w:p>
        </w:tc>
        <w:tc>
          <w:tcPr>
            <w:tcW w:w="1352" w:type="dxa"/>
            <w:noWrap w:val="0"/>
            <w:vAlign w:val="top"/>
          </w:tcPr>
          <w:p w14:paraId="01099584">
            <w:pPr>
              <w:keepNext/>
              <w:spacing w:line="440" w:lineRule="exact"/>
              <w:rPr>
                <w:rFonts w:hint="eastAsia" w:ascii="宋体" w:hAnsi="宋体" w:cs="宋体"/>
                <w:color w:val="auto"/>
                <w:szCs w:val="21"/>
                <w:highlight w:val="none"/>
              </w:rPr>
            </w:pPr>
          </w:p>
        </w:tc>
        <w:tc>
          <w:tcPr>
            <w:tcW w:w="1418" w:type="dxa"/>
            <w:noWrap w:val="0"/>
            <w:vAlign w:val="top"/>
          </w:tcPr>
          <w:p w14:paraId="37F04168">
            <w:pPr>
              <w:keepNext/>
              <w:spacing w:line="440" w:lineRule="exact"/>
              <w:rPr>
                <w:rFonts w:hint="eastAsia" w:ascii="宋体" w:hAnsi="宋体" w:cs="宋体"/>
                <w:color w:val="auto"/>
                <w:szCs w:val="21"/>
                <w:highlight w:val="none"/>
              </w:rPr>
            </w:pPr>
          </w:p>
        </w:tc>
        <w:tc>
          <w:tcPr>
            <w:tcW w:w="1701" w:type="dxa"/>
            <w:noWrap w:val="0"/>
            <w:vAlign w:val="top"/>
          </w:tcPr>
          <w:p w14:paraId="5CD1B971">
            <w:pPr>
              <w:keepNext/>
              <w:spacing w:line="440" w:lineRule="exact"/>
              <w:rPr>
                <w:rFonts w:hint="eastAsia" w:ascii="宋体" w:hAnsi="宋体" w:cs="宋体"/>
                <w:color w:val="auto"/>
                <w:szCs w:val="21"/>
                <w:highlight w:val="none"/>
              </w:rPr>
            </w:pPr>
          </w:p>
        </w:tc>
      </w:tr>
      <w:tr w14:paraId="0D120F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3DCF8E6F">
            <w:pPr>
              <w:keepNext/>
              <w:spacing w:line="440" w:lineRule="exact"/>
              <w:rPr>
                <w:rFonts w:hint="eastAsia" w:ascii="宋体" w:hAnsi="宋体" w:cs="宋体"/>
                <w:color w:val="auto"/>
                <w:szCs w:val="21"/>
                <w:highlight w:val="none"/>
              </w:rPr>
            </w:pPr>
          </w:p>
        </w:tc>
        <w:tc>
          <w:tcPr>
            <w:tcW w:w="1984" w:type="dxa"/>
            <w:tcBorders>
              <w:bottom w:val="single" w:color="auto" w:sz="12" w:space="0"/>
            </w:tcBorders>
            <w:noWrap w:val="0"/>
            <w:vAlign w:val="top"/>
          </w:tcPr>
          <w:p w14:paraId="07603770">
            <w:pPr>
              <w:keepNext/>
              <w:spacing w:line="440" w:lineRule="exact"/>
              <w:rPr>
                <w:rFonts w:hint="eastAsia" w:ascii="宋体" w:hAnsi="宋体" w:cs="宋体"/>
                <w:color w:val="auto"/>
                <w:szCs w:val="21"/>
                <w:highlight w:val="none"/>
              </w:rPr>
            </w:pPr>
          </w:p>
        </w:tc>
        <w:tc>
          <w:tcPr>
            <w:tcW w:w="851" w:type="dxa"/>
            <w:tcBorders>
              <w:bottom w:val="single" w:color="auto" w:sz="12" w:space="0"/>
            </w:tcBorders>
            <w:noWrap w:val="0"/>
            <w:vAlign w:val="top"/>
          </w:tcPr>
          <w:p w14:paraId="24D9DC41">
            <w:pPr>
              <w:keepNext/>
              <w:spacing w:line="440" w:lineRule="exact"/>
              <w:rPr>
                <w:rFonts w:hint="eastAsia" w:ascii="宋体" w:hAnsi="宋体" w:cs="宋体"/>
                <w:color w:val="auto"/>
                <w:szCs w:val="21"/>
                <w:highlight w:val="none"/>
              </w:rPr>
            </w:pPr>
          </w:p>
        </w:tc>
        <w:tc>
          <w:tcPr>
            <w:tcW w:w="774" w:type="dxa"/>
            <w:tcBorders>
              <w:bottom w:val="single" w:color="auto" w:sz="12" w:space="0"/>
            </w:tcBorders>
            <w:noWrap w:val="0"/>
            <w:vAlign w:val="top"/>
          </w:tcPr>
          <w:p w14:paraId="6761E755">
            <w:pPr>
              <w:keepNext/>
              <w:spacing w:line="440" w:lineRule="exact"/>
              <w:rPr>
                <w:rFonts w:hint="eastAsia" w:ascii="宋体" w:hAnsi="宋体" w:cs="宋体"/>
                <w:color w:val="auto"/>
                <w:szCs w:val="21"/>
                <w:highlight w:val="none"/>
              </w:rPr>
            </w:pPr>
          </w:p>
        </w:tc>
        <w:tc>
          <w:tcPr>
            <w:tcW w:w="1352" w:type="dxa"/>
            <w:tcBorders>
              <w:bottom w:val="single" w:color="auto" w:sz="12" w:space="0"/>
            </w:tcBorders>
            <w:noWrap w:val="0"/>
            <w:vAlign w:val="top"/>
          </w:tcPr>
          <w:p w14:paraId="79B0D5F9">
            <w:pPr>
              <w:keepNext/>
              <w:spacing w:line="440" w:lineRule="exact"/>
              <w:rPr>
                <w:rFonts w:hint="eastAsia" w:ascii="宋体" w:hAnsi="宋体" w:cs="宋体"/>
                <w:color w:val="auto"/>
                <w:szCs w:val="21"/>
                <w:highlight w:val="none"/>
              </w:rPr>
            </w:pPr>
          </w:p>
        </w:tc>
        <w:tc>
          <w:tcPr>
            <w:tcW w:w="1418" w:type="dxa"/>
            <w:tcBorders>
              <w:bottom w:val="single" w:color="auto" w:sz="12" w:space="0"/>
            </w:tcBorders>
            <w:noWrap w:val="0"/>
            <w:vAlign w:val="top"/>
          </w:tcPr>
          <w:p w14:paraId="417C019A">
            <w:pPr>
              <w:keepNext/>
              <w:spacing w:line="440" w:lineRule="exact"/>
              <w:rPr>
                <w:rFonts w:hint="eastAsia" w:ascii="宋体" w:hAnsi="宋体" w:cs="宋体"/>
                <w:color w:val="auto"/>
                <w:szCs w:val="21"/>
                <w:highlight w:val="none"/>
              </w:rPr>
            </w:pPr>
          </w:p>
        </w:tc>
        <w:tc>
          <w:tcPr>
            <w:tcW w:w="1701" w:type="dxa"/>
            <w:tcBorders>
              <w:bottom w:val="single" w:color="auto" w:sz="12" w:space="0"/>
            </w:tcBorders>
            <w:noWrap w:val="0"/>
            <w:vAlign w:val="top"/>
          </w:tcPr>
          <w:p w14:paraId="0FDECAD0">
            <w:pPr>
              <w:keepNext/>
              <w:spacing w:line="440" w:lineRule="exact"/>
              <w:rPr>
                <w:rFonts w:hint="eastAsia" w:ascii="宋体" w:hAnsi="宋体" w:cs="宋体"/>
                <w:color w:val="auto"/>
                <w:szCs w:val="21"/>
                <w:highlight w:val="none"/>
              </w:rPr>
            </w:pPr>
          </w:p>
        </w:tc>
      </w:tr>
    </w:tbl>
    <w:p w14:paraId="7EC6A5FE">
      <w:pPr>
        <w:spacing w:line="440" w:lineRule="exact"/>
        <w:rPr>
          <w:rFonts w:hint="eastAsia" w:ascii="宋体" w:hAnsi="宋体" w:cs="宋体"/>
          <w:color w:val="auto"/>
          <w:szCs w:val="21"/>
          <w:highlight w:val="none"/>
        </w:rPr>
      </w:pPr>
    </w:p>
    <w:p w14:paraId="3C52E1D0">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12-3：专业工程暂估价表</w:t>
      </w:r>
    </w:p>
    <w:tbl>
      <w:tblPr>
        <w:tblStyle w:val="47"/>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676772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3E3C1B68">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14:paraId="724423E4">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14:paraId="2C8673CC">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14:paraId="0212C8F5">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14:paraId="22874D65">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14:paraId="071E7B62">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14:paraId="7173EFF0">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35300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439C5BFB">
            <w:pPr>
              <w:keepNext/>
              <w:spacing w:line="440" w:lineRule="exact"/>
              <w:rPr>
                <w:rFonts w:hint="eastAsia" w:ascii="宋体" w:hAnsi="宋体" w:cs="宋体"/>
                <w:color w:val="auto"/>
                <w:szCs w:val="21"/>
                <w:highlight w:val="none"/>
              </w:rPr>
            </w:pPr>
          </w:p>
        </w:tc>
        <w:tc>
          <w:tcPr>
            <w:tcW w:w="1984" w:type="dxa"/>
            <w:tcBorders>
              <w:top w:val="double" w:color="auto" w:sz="6" w:space="0"/>
            </w:tcBorders>
            <w:noWrap w:val="0"/>
            <w:vAlign w:val="top"/>
          </w:tcPr>
          <w:p w14:paraId="0264A07D">
            <w:pPr>
              <w:keepNext/>
              <w:spacing w:line="440" w:lineRule="exact"/>
              <w:rPr>
                <w:rFonts w:hint="eastAsia" w:ascii="宋体" w:hAnsi="宋体" w:cs="宋体"/>
                <w:color w:val="auto"/>
                <w:szCs w:val="21"/>
                <w:highlight w:val="none"/>
              </w:rPr>
            </w:pPr>
          </w:p>
        </w:tc>
        <w:tc>
          <w:tcPr>
            <w:tcW w:w="851" w:type="dxa"/>
            <w:tcBorders>
              <w:top w:val="double" w:color="auto" w:sz="6" w:space="0"/>
            </w:tcBorders>
            <w:noWrap w:val="0"/>
            <w:vAlign w:val="top"/>
          </w:tcPr>
          <w:p w14:paraId="5E5AF91C">
            <w:pPr>
              <w:keepNext/>
              <w:spacing w:line="440" w:lineRule="exact"/>
              <w:rPr>
                <w:rFonts w:hint="eastAsia" w:ascii="宋体" w:hAnsi="宋体" w:cs="宋体"/>
                <w:color w:val="auto"/>
                <w:szCs w:val="21"/>
                <w:highlight w:val="none"/>
              </w:rPr>
            </w:pPr>
          </w:p>
        </w:tc>
        <w:tc>
          <w:tcPr>
            <w:tcW w:w="774" w:type="dxa"/>
            <w:tcBorders>
              <w:top w:val="double" w:color="auto" w:sz="6" w:space="0"/>
            </w:tcBorders>
            <w:noWrap w:val="0"/>
            <w:vAlign w:val="top"/>
          </w:tcPr>
          <w:p w14:paraId="3D3029BC">
            <w:pPr>
              <w:keepNext/>
              <w:spacing w:line="440" w:lineRule="exact"/>
              <w:rPr>
                <w:rFonts w:hint="eastAsia" w:ascii="宋体" w:hAnsi="宋体" w:cs="宋体"/>
                <w:color w:val="auto"/>
                <w:szCs w:val="21"/>
                <w:highlight w:val="none"/>
              </w:rPr>
            </w:pPr>
          </w:p>
        </w:tc>
        <w:tc>
          <w:tcPr>
            <w:tcW w:w="1352" w:type="dxa"/>
            <w:tcBorders>
              <w:top w:val="double" w:color="auto" w:sz="6" w:space="0"/>
            </w:tcBorders>
            <w:noWrap w:val="0"/>
            <w:vAlign w:val="top"/>
          </w:tcPr>
          <w:p w14:paraId="59FFBC7A">
            <w:pPr>
              <w:keepNext/>
              <w:spacing w:line="440" w:lineRule="exact"/>
              <w:rPr>
                <w:rFonts w:hint="eastAsia" w:ascii="宋体" w:hAnsi="宋体" w:cs="宋体"/>
                <w:color w:val="auto"/>
                <w:szCs w:val="21"/>
                <w:highlight w:val="none"/>
              </w:rPr>
            </w:pPr>
          </w:p>
        </w:tc>
        <w:tc>
          <w:tcPr>
            <w:tcW w:w="1418" w:type="dxa"/>
            <w:tcBorders>
              <w:top w:val="double" w:color="auto" w:sz="6" w:space="0"/>
            </w:tcBorders>
            <w:noWrap w:val="0"/>
            <w:vAlign w:val="top"/>
          </w:tcPr>
          <w:p w14:paraId="0EC12B2B">
            <w:pPr>
              <w:keepNext/>
              <w:spacing w:line="440" w:lineRule="exact"/>
              <w:rPr>
                <w:rFonts w:hint="eastAsia" w:ascii="宋体" w:hAnsi="宋体" w:cs="宋体"/>
                <w:color w:val="auto"/>
                <w:szCs w:val="21"/>
                <w:highlight w:val="none"/>
              </w:rPr>
            </w:pPr>
          </w:p>
        </w:tc>
        <w:tc>
          <w:tcPr>
            <w:tcW w:w="1701" w:type="dxa"/>
            <w:tcBorders>
              <w:top w:val="double" w:color="auto" w:sz="6" w:space="0"/>
            </w:tcBorders>
            <w:noWrap w:val="0"/>
            <w:vAlign w:val="top"/>
          </w:tcPr>
          <w:p w14:paraId="5608B9DE">
            <w:pPr>
              <w:keepNext/>
              <w:spacing w:line="440" w:lineRule="exact"/>
              <w:rPr>
                <w:rFonts w:hint="eastAsia" w:ascii="宋体" w:hAnsi="宋体" w:cs="宋体"/>
                <w:color w:val="auto"/>
                <w:szCs w:val="21"/>
                <w:highlight w:val="none"/>
              </w:rPr>
            </w:pPr>
          </w:p>
        </w:tc>
      </w:tr>
      <w:tr w14:paraId="6D743D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6E6E82D0">
            <w:pPr>
              <w:keepNext/>
              <w:spacing w:line="440" w:lineRule="exact"/>
              <w:rPr>
                <w:rFonts w:hint="eastAsia" w:ascii="宋体" w:hAnsi="宋体" w:cs="宋体"/>
                <w:color w:val="auto"/>
                <w:szCs w:val="21"/>
                <w:highlight w:val="none"/>
              </w:rPr>
            </w:pPr>
          </w:p>
        </w:tc>
        <w:tc>
          <w:tcPr>
            <w:tcW w:w="1984" w:type="dxa"/>
            <w:tcBorders>
              <w:top w:val="nil"/>
            </w:tcBorders>
            <w:noWrap w:val="0"/>
            <w:vAlign w:val="top"/>
          </w:tcPr>
          <w:p w14:paraId="12284527">
            <w:pPr>
              <w:keepNext/>
              <w:spacing w:line="440" w:lineRule="exact"/>
              <w:rPr>
                <w:rFonts w:hint="eastAsia" w:ascii="宋体" w:hAnsi="宋体" w:cs="宋体"/>
                <w:color w:val="auto"/>
                <w:szCs w:val="21"/>
                <w:highlight w:val="none"/>
              </w:rPr>
            </w:pPr>
          </w:p>
        </w:tc>
        <w:tc>
          <w:tcPr>
            <w:tcW w:w="851" w:type="dxa"/>
            <w:tcBorders>
              <w:top w:val="nil"/>
            </w:tcBorders>
            <w:noWrap w:val="0"/>
            <w:vAlign w:val="top"/>
          </w:tcPr>
          <w:p w14:paraId="70E69608">
            <w:pPr>
              <w:keepNext/>
              <w:spacing w:line="440" w:lineRule="exact"/>
              <w:rPr>
                <w:rFonts w:hint="eastAsia" w:ascii="宋体" w:hAnsi="宋体" w:cs="宋体"/>
                <w:color w:val="auto"/>
                <w:szCs w:val="21"/>
                <w:highlight w:val="none"/>
              </w:rPr>
            </w:pPr>
          </w:p>
        </w:tc>
        <w:tc>
          <w:tcPr>
            <w:tcW w:w="774" w:type="dxa"/>
            <w:tcBorders>
              <w:top w:val="nil"/>
            </w:tcBorders>
            <w:noWrap w:val="0"/>
            <w:vAlign w:val="top"/>
          </w:tcPr>
          <w:p w14:paraId="0DD0295D">
            <w:pPr>
              <w:keepNext/>
              <w:spacing w:line="440" w:lineRule="exact"/>
              <w:rPr>
                <w:rFonts w:hint="eastAsia" w:ascii="宋体" w:hAnsi="宋体" w:cs="宋体"/>
                <w:color w:val="auto"/>
                <w:szCs w:val="21"/>
                <w:highlight w:val="none"/>
              </w:rPr>
            </w:pPr>
          </w:p>
        </w:tc>
        <w:tc>
          <w:tcPr>
            <w:tcW w:w="1352" w:type="dxa"/>
            <w:tcBorders>
              <w:top w:val="nil"/>
            </w:tcBorders>
            <w:noWrap w:val="0"/>
            <w:vAlign w:val="top"/>
          </w:tcPr>
          <w:p w14:paraId="2C1DCAC3">
            <w:pPr>
              <w:keepNext/>
              <w:spacing w:line="440" w:lineRule="exact"/>
              <w:rPr>
                <w:rFonts w:hint="eastAsia" w:ascii="宋体" w:hAnsi="宋体" w:cs="宋体"/>
                <w:color w:val="auto"/>
                <w:szCs w:val="21"/>
                <w:highlight w:val="none"/>
              </w:rPr>
            </w:pPr>
          </w:p>
        </w:tc>
        <w:tc>
          <w:tcPr>
            <w:tcW w:w="1418" w:type="dxa"/>
            <w:tcBorders>
              <w:top w:val="nil"/>
            </w:tcBorders>
            <w:noWrap w:val="0"/>
            <w:vAlign w:val="top"/>
          </w:tcPr>
          <w:p w14:paraId="24B5B493">
            <w:pPr>
              <w:keepNext/>
              <w:spacing w:line="440" w:lineRule="exact"/>
              <w:rPr>
                <w:rFonts w:hint="eastAsia" w:ascii="宋体" w:hAnsi="宋体" w:cs="宋体"/>
                <w:color w:val="auto"/>
                <w:szCs w:val="21"/>
                <w:highlight w:val="none"/>
              </w:rPr>
            </w:pPr>
          </w:p>
        </w:tc>
        <w:tc>
          <w:tcPr>
            <w:tcW w:w="1701" w:type="dxa"/>
            <w:tcBorders>
              <w:top w:val="nil"/>
            </w:tcBorders>
            <w:noWrap w:val="0"/>
            <w:vAlign w:val="top"/>
          </w:tcPr>
          <w:p w14:paraId="145F922C">
            <w:pPr>
              <w:keepNext/>
              <w:spacing w:line="440" w:lineRule="exact"/>
              <w:rPr>
                <w:rFonts w:hint="eastAsia" w:ascii="宋体" w:hAnsi="宋体" w:cs="宋体"/>
                <w:color w:val="auto"/>
                <w:szCs w:val="21"/>
                <w:highlight w:val="none"/>
              </w:rPr>
            </w:pPr>
          </w:p>
        </w:tc>
      </w:tr>
      <w:tr w14:paraId="7C17F4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B6FE335">
            <w:pPr>
              <w:keepNext/>
              <w:spacing w:line="440" w:lineRule="exact"/>
              <w:rPr>
                <w:rFonts w:hint="eastAsia" w:ascii="宋体" w:hAnsi="宋体" w:cs="宋体"/>
                <w:color w:val="auto"/>
                <w:szCs w:val="21"/>
                <w:highlight w:val="none"/>
              </w:rPr>
            </w:pPr>
          </w:p>
        </w:tc>
        <w:tc>
          <w:tcPr>
            <w:tcW w:w="1984" w:type="dxa"/>
            <w:noWrap w:val="0"/>
            <w:vAlign w:val="top"/>
          </w:tcPr>
          <w:p w14:paraId="45C64E04">
            <w:pPr>
              <w:keepNext/>
              <w:spacing w:line="440" w:lineRule="exact"/>
              <w:rPr>
                <w:rFonts w:hint="eastAsia" w:ascii="宋体" w:hAnsi="宋体" w:cs="宋体"/>
                <w:color w:val="auto"/>
                <w:szCs w:val="21"/>
                <w:highlight w:val="none"/>
              </w:rPr>
            </w:pPr>
          </w:p>
        </w:tc>
        <w:tc>
          <w:tcPr>
            <w:tcW w:w="851" w:type="dxa"/>
            <w:noWrap w:val="0"/>
            <w:vAlign w:val="top"/>
          </w:tcPr>
          <w:p w14:paraId="357A14D0">
            <w:pPr>
              <w:keepNext/>
              <w:spacing w:line="440" w:lineRule="exact"/>
              <w:rPr>
                <w:rFonts w:hint="eastAsia" w:ascii="宋体" w:hAnsi="宋体" w:cs="宋体"/>
                <w:color w:val="auto"/>
                <w:szCs w:val="21"/>
                <w:highlight w:val="none"/>
              </w:rPr>
            </w:pPr>
          </w:p>
        </w:tc>
        <w:tc>
          <w:tcPr>
            <w:tcW w:w="774" w:type="dxa"/>
            <w:noWrap w:val="0"/>
            <w:vAlign w:val="top"/>
          </w:tcPr>
          <w:p w14:paraId="74BFE32C">
            <w:pPr>
              <w:keepNext/>
              <w:spacing w:line="440" w:lineRule="exact"/>
              <w:rPr>
                <w:rFonts w:hint="eastAsia" w:ascii="宋体" w:hAnsi="宋体" w:cs="宋体"/>
                <w:color w:val="auto"/>
                <w:szCs w:val="21"/>
                <w:highlight w:val="none"/>
              </w:rPr>
            </w:pPr>
          </w:p>
        </w:tc>
        <w:tc>
          <w:tcPr>
            <w:tcW w:w="1352" w:type="dxa"/>
            <w:noWrap w:val="0"/>
            <w:vAlign w:val="top"/>
          </w:tcPr>
          <w:p w14:paraId="4BB5C7A5">
            <w:pPr>
              <w:keepNext/>
              <w:spacing w:line="440" w:lineRule="exact"/>
              <w:rPr>
                <w:rFonts w:hint="eastAsia" w:ascii="宋体" w:hAnsi="宋体" w:cs="宋体"/>
                <w:color w:val="auto"/>
                <w:szCs w:val="21"/>
                <w:highlight w:val="none"/>
              </w:rPr>
            </w:pPr>
          </w:p>
        </w:tc>
        <w:tc>
          <w:tcPr>
            <w:tcW w:w="1418" w:type="dxa"/>
            <w:noWrap w:val="0"/>
            <w:vAlign w:val="top"/>
          </w:tcPr>
          <w:p w14:paraId="0118D557">
            <w:pPr>
              <w:keepNext/>
              <w:spacing w:line="440" w:lineRule="exact"/>
              <w:rPr>
                <w:rFonts w:hint="eastAsia" w:ascii="宋体" w:hAnsi="宋体" w:cs="宋体"/>
                <w:color w:val="auto"/>
                <w:szCs w:val="21"/>
                <w:highlight w:val="none"/>
              </w:rPr>
            </w:pPr>
          </w:p>
        </w:tc>
        <w:tc>
          <w:tcPr>
            <w:tcW w:w="1701" w:type="dxa"/>
            <w:noWrap w:val="0"/>
            <w:vAlign w:val="top"/>
          </w:tcPr>
          <w:p w14:paraId="72920754">
            <w:pPr>
              <w:keepNext/>
              <w:spacing w:line="440" w:lineRule="exact"/>
              <w:rPr>
                <w:rFonts w:hint="eastAsia" w:ascii="宋体" w:hAnsi="宋体" w:cs="宋体"/>
                <w:color w:val="auto"/>
                <w:szCs w:val="21"/>
                <w:highlight w:val="none"/>
              </w:rPr>
            </w:pPr>
          </w:p>
        </w:tc>
      </w:tr>
      <w:tr w14:paraId="4E179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25107FFF">
            <w:pPr>
              <w:keepNext/>
              <w:spacing w:line="440" w:lineRule="exact"/>
              <w:rPr>
                <w:rFonts w:hint="eastAsia" w:ascii="宋体" w:hAnsi="宋体" w:cs="宋体"/>
                <w:color w:val="auto"/>
                <w:szCs w:val="21"/>
                <w:highlight w:val="none"/>
              </w:rPr>
            </w:pPr>
          </w:p>
        </w:tc>
        <w:tc>
          <w:tcPr>
            <w:tcW w:w="1984" w:type="dxa"/>
            <w:tcBorders>
              <w:bottom w:val="single" w:color="auto" w:sz="12" w:space="0"/>
            </w:tcBorders>
            <w:noWrap w:val="0"/>
            <w:vAlign w:val="top"/>
          </w:tcPr>
          <w:p w14:paraId="768B1051">
            <w:pPr>
              <w:keepNext/>
              <w:spacing w:line="440" w:lineRule="exact"/>
              <w:rPr>
                <w:rFonts w:hint="eastAsia" w:ascii="宋体" w:hAnsi="宋体" w:cs="宋体"/>
                <w:color w:val="auto"/>
                <w:szCs w:val="21"/>
                <w:highlight w:val="none"/>
              </w:rPr>
            </w:pPr>
          </w:p>
        </w:tc>
        <w:tc>
          <w:tcPr>
            <w:tcW w:w="851" w:type="dxa"/>
            <w:tcBorders>
              <w:bottom w:val="single" w:color="auto" w:sz="12" w:space="0"/>
            </w:tcBorders>
            <w:noWrap w:val="0"/>
            <w:vAlign w:val="top"/>
          </w:tcPr>
          <w:p w14:paraId="39BBEDE4">
            <w:pPr>
              <w:keepNext/>
              <w:spacing w:line="440" w:lineRule="exact"/>
              <w:rPr>
                <w:rFonts w:hint="eastAsia" w:ascii="宋体" w:hAnsi="宋体" w:cs="宋体"/>
                <w:color w:val="auto"/>
                <w:szCs w:val="21"/>
                <w:highlight w:val="none"/>
              </w:rPr>
            </w:pPr>
          </w:p>
        </w:tc>
        <w:tc>
          <w:tcPr>
            <w:tcW w:w="774" w:type="dxa"/>
            <w:tcBorders>
              <w:bottom w:val="single" w:color="auto" w:sz="12" w:space="0"/>
            </w:tcBorders>
            <w:noWrap w:val="0"/>
            <w:vAlign w:val="top"/>
          </w:tcPr>
          <w:p w14:paraId="566F379B">
            <w:pPr>
              <w:keepNext/>
              <w:spacing w:line="440" w:lineRule="exact"/>
              <w:rPr>
                <w:rFonts w:hint="eastAsia" w:ascii="宋体" w:hAnsi="宋体" w:cs="宋体"/>
                <w:color w:val="auto"/>
                <w:szCs w:val="21"/>
                <w:highlight w:val="none"/>
              </w:rPr>
            </w:pPr>
          </w:p>
        </w:tc>
        <w:tc>
          <w:tcPr>
            <w:tcW w:w="1352" w:type="dxa"/>
            <w:tcBorders>
              <w:bottom w:val="single" w:color="auto" w:sz="12" w:space="0"/>
            </w:tcBorders>
            <w:noWrap w:val="0"/>
            <w:vAlign w:val="top"/>
          </w:tcPr>
          <w:p w14:paraId="05B28DCA">
            <w:pPr>
              <w:keepNext/>
              <w:spacing w:line="440" w:lineRule="exact"/>
              <w:rPr>
                <w:rFonts w:hint="eastAsia" w:ascii="宋体" w:hAnsi="宋体" w:cs="宋体"/>
                <w:color w:val="auto"/>
                <w:szCs w:val="21"/>
                <w:highlight w:val="none"/>
              </w:rPr>
            </w:pPr>
          </w:p>
        </w:tc>
        <w:tc>
          <w:tcPr>
            <w:tcW w:w="1418" w:type="dxa"/>
            <w:tcBorders>
              <w:bottom w:val="single" w:color="auto" w:sz="12" w:space="0"/>
            </w:tcBorders>
            <w:noWrap w:val="0"/>
            <w:vAlign w:val="top"/>
          </w:tcPr>
          <w:p w14:paraId="6E2C0550">
            <w:pPr>
              <w:keepNext/>
              <w:spacing w:line="440" w:lineRule="exact"/>
              <w:rPr>
                <w:rFonts w:hint="eastAsia" w:ascii="宋体" w:hAnsi="宋体" w:cs="宋体"/>
                <w:color w:val="auto"/>
                <w:szCs w:val="21"/>
                <w:highlight w:val="none"/>
              </w:rPr>
            </w:pPr>
          </w:p>
        </w:tc>
        <w:tc>
          <w:tcPr>
            <w:tcW w:w="1701" w:type="dxa"/>
            <w:tcBorders>
              <w:bottom w:val="single" w:color="auto" w:sz="12" w:space="0"/>
            </w:tcBorders>
            <w:noWrap w:val="0"/>
            <w:vAlign w:val="top"/>
          </w:tcPr>
          <w:p w14:paraId="18C61A61">
            <w:pPr>
              <w:keepNext/>
              <w:spacing w:line="440" w:lineRule="exact"/>
              <w:rPr>
                <w:rFonts w:hint="eastAsia" w:ascii="宋体" w:hAnsi="宋体" w:cs="宋体"/>
                <w:color w:val="auto"/>
                <w:szCs w:val="21"/>
                <w:highlight w:val="none"/>
              </w:rPr>
            </w:pPr>
          </w:p>
        </w:tc>
      </w:tr>
    </w:tbl>
    <w:p w14:paraId="69A4248F">
      <w:pPr>
        <w:rPr>
          <w:rFonts w:hint="eastAsia" w:ascii="宋体" w:hAnsi="宋体" w:cs="宋体"/>
          <w:color w:val="auto"/>
          <w:szCs w:val="21"/>
          <w:highlight w:val="none"/>
        </w:rPr>
      </w:pPr>
    </w:p>
    <w:p w14:paraId="27D60EF3">
      <w:pPr>
        <w:rPr>
          <w:rFonts w:hint="eastAsia" w:ascii="宋体" w:hAnsi="宋体" w:cs="宋体"/>
          <w:color w:val="auto"/>
          <w:szCs w:val="22"/>
          <w:highlight w:val="none"/>
        </w:rPr>
      </w:pPr>
    </w:p>
    <w:p w14:paraId="21E00BB7">
      <w:pPr>
        <w:rPr>
          <w:rFonts w:hint="eastAsia" w:ascii="宋体" w:hAnsi="宋体" w:cs="宋体"/>
          <w:color w:val="auto"/>
          <w:szCs w:val="22"/>
          <w:highlight w:val="none"/>
        </w:rPr>
      </w:pPr>
    </w:p>
    <w:p w14:paraId="76251519">
      <w:pPr>
        <w:keepNext/>
        <w:keepLines/>
        <w:spacing w:before="120" w:after="120" w:line="360" w:lineRule="auto"/>
        <w:jc w:val="left"/>
        <w:outlineLvl w:val="2"/>
        <w:rPr>
          <w:rFonts w:hint="eastAsia" w:ascii="宋体" w:hAnsi="宋体" w:cs="宋体"/>
          <w:color w:val="auto"/>
          <w:highlight w:val="none"/>
        </w:rPr>
        <w:sectPr>
          <w:footnotePr>
            <w:numFmt w:val="decimalEnclosedCircleChinese"/>
            <w:numRestart w:val="eachPage"/>
          </w:footnotePr>
          <w:pgSz w:w="11907" w:h="16840"/>
          <w:pgMar w:top="1474" w:right="1474" w:bottom="1474" w:left="1474" w:header="799" w:footer="907" w:gutter="0"/>
          <w:cols w:space="720" w:num="1"/>
          <w:docGrid w:linePitch="271" w:charSpace="0"/>
        </w:sectPr>
      </w:pPr>
    </w:p>
    <w:p w14:paraId="0E815E15">
      <w:pPr>
        <w:keepNext/>
        <w:keepLines/>
        <w:spacing w:before="120" w:after="120" w:line="360" w:lineRule="auto"/>
        <w:jc w:val="left"/>
        <w:outlineLvl w:val="2"/>
        <w:rPr>
          <w:rFonts w:hint="eastAsia" w:ascii="宋体" w:hAnsi="宋体" w:cs="宋体"/>
          <w:bCs/>
          <w:color w:val="auto"/>
          <w:sz w:val="24"/>
          <w:highlight w:val="none"/>
        </w:rPr>
      </w:pPr>
      <w:bookmarkStart w:id="964" w:name="_Toc95223511"/>
      <w:r>
        <w:rPr>
          <w:rFonts w:hint="eastAsia" w:ascii="宋体" w:hAnsi="宋体" w:cs="宋体"/>
          <w:bCs/>
          <w:color w:val="auto"/>
          <w:sz w:val="24"/>
          <w:highlight w:val="none"/>
        </w:rPr>
        <w:t>附件12：安全生产合同</w:t>
      </w:r>
      <w:bookmarkEnd w:id="964"/>
    </w:p>
    <w:p w14:paraId="16311529">
      <w:pPr>
        <w:adjustRightInd w:val="0"/>
        <w:snapToGrid w:val="0"/>
        <w:spacing w:line="360" w:lineRule="auto"/>
        <w:jc w:val="center"/>
        <w:rPr>
          <w:rFonts w:hint="eastAsia" w:ascii="宋体" w:hAnsi="宋体" w:cs="宋体"/>
          <w:b/>
          <w:color w:val="auto"/>
          <w:sz w:val="32"/>
          <w:szCs w:val="32"/>
          <w:highlight w:val="none"/>
        </w:rPr>
      </w:pPr>
      <w:bookmarkStart w:id="965" w:name="_Toc32439"/>
      <w:bookmarkStart w:id="966" w:name="_Toc95223512"/>
      <w:bookmarkStart w:id="967" w:name="_Toc16956"/>
      <w:r>
        <w:rPr>
          <w:rFonts w:hint="eastAsia" w:ascii="宋体" w:hAnsi="宋体" w:cs="宋体"/>
          <w:b/>
          <w:color w:val="auto"/>
          <w:sz w:val="32"/>
          <w:szCs w:val="32"/>
          <w:highlight w:val="none"/>
        </w:rPr>
        <w:t>安全生产合同</w:t>
      </w:r>
      <w:bookmarkEnd w:id="965"/>
      <w:bookmarkEnd w:id="966"/>
      <w:bookmarkEnd w:id="967"/>
    </w:p>
    <w:p w14:paraId="2BF6B12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（标段）施工合同的实施过程中创造安全、高效的施工环境，切实搞好本项目的安全管理工作，本项目发包人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（发包人名称，以下简称“发包人”）与承包人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（承包人名称，以下简称“承包人”）特此签订安全生产合同：</w:t>
      </w:r>
    </w:p>
    <w:p w14:paraId="5E2ABC1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1.发包人职责</w:t>
      </w:r>
    </w:p>
    <w:p w14:paraId="3B51A49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（1）严格遵守国家有关安全生产的法律法规，认真执行工程承包合同中的有关安全要求。</w:t>
      </w:r>
    </w:p>
    <w:p w14:paraId="01345DF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（2）按照“安全第一、预防为主”和坚持“管生产必须管安全”的原则进行安全生产管理，做到生产与安全工作同时计划、布置、检查、总结和评比。</w:t>
      </w:r>
    </w:p>
    <w:p w14:paraId="374DF67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（3）重要的安全设施必须坚持与主体工程“三同时”的原则，即：同时设计、审批，同时施工，同时验收，投入使用。</w:t>
      </w:r>
    </w:p>
    <w:p w14:paraId="12F3CE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（4）定期召开安全生产调度会，及时传达中央及地方有关安全生产的精神。</w:t>
      </w:r>
    </w:p>
    <w:p w14:paraId="2142C9E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（5）组织对承包人施工现场安全生产检查，监督承包人及时处理发现的各种安全隐患。</w:t>
      </w:r>
    </w:p>
    <w:p w14:paraId="27CAA76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2.承包人职责</w:t>
      </w:r>
    </w:p>
    <w:p w14:paraId="197870B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240F67A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7E19E5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7025E9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（4）承包人在任何时候都应采取各种合理的预防措施，防止其员工发生任何违法、违禁、暴力或妨碍治安的行为。</w:t>
      </w:r>
    </w:p>
    <w:p w14:paraId="7C4626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2F1B2B2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4F4117B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（7）操作人员上岗，必须按规定穿戴防护用品。施工负责人和安全检查员应随时检查劳动防护用品的穿戴情况，不按规定穿戴防护用品的人员不得上岗。</w:t>
      </w:r>
    </w:p>
    <w:p w14:paraId="1E28017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（8）所有施工机具设备和高空作业的设备均应定期检查，并有安全员的签字记录，保证其经常处于完好状态；不合格的机具、设备和劳动保护用品严禁使用：</w:t>
      </w:r>
    </w:p>
    <w:p w14:paraId="1C0E49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（9）施工中采用新技术、新工艺、新设备、新材料时，必须制定相应的安全技术措施，施工现场必须具有相关的安全标志牌。</w:t>
      </w:r>
    </w:p>
    <w:p w14:paraId="18C3E45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17074C8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（11）安全生产费用按照《建设工程安全生产管理条例》的相关规定使用和管理。</w:t>
      </w:r>
    </w:p>
    <w:p w14:paraId="7C9159B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3.违约责任</w:t>
      </w:r>
    </w:p>
    <w:p w14:paraId="1B4202E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如因发包人或承包人违约造成安全事故，将依法追究责任。</w:t>
      </w:r>
    </w:p>
    <w:p w14:paraId="5854305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4.本合同由双方法定代表人或其授权的代理人签署并加盖单位章后生效，全部工程竣工验收后失效。</w:t>
      </w:r>
    </w:p>
    <w:p w14:paraId="4BA2A91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5.本合同正本—式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份，合同双方各执正本—份，副本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份，当正本与副本的内容不一致时，以正本为准。</w:t>
      </w:r>
    </w:p>
    <w:p w14:paraId="1B334BA6">
      <w:pPr>
        <w:spacing w:line="360" w:lineRule="auto"/>
        <w:rPr>
          <w:rFonts w:hint="eastAsia" w:ascii="宋体" w:hAnsi="宋体" w:cs="宋体"/>
          <w:color w:val="auto"/>
          <w:szCs w:val="21"/>
          <w:highlight w:val="none"/>
        </w:rPr>
      </w:pPr>
    </w:p>
    <w:p w14:paraId="0DC4D82C">
      <w:pPr>
        <w:spacing w:line="360" w:lineRule="auto"/>
        <w:rPr>
          <w:rFonts w:hint="eastAsia" w:ascii="宋体" w:hAnsi="宋体" w:cs="宋体"/>
          <w:color w:val="auto"/>
          <w:szCs w:val="21"/>
          <w:highlight w:val="none"/>
        </w:rPr>
      </w:pPr>
    </w:p>
    <w:p w14:paraId="386A061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           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60726E5B">
      <w:pPr>
        <w:spacing w:line="360" w:lineRule="auto"/>
        <w:rPr>
          <w:rFonts w:hint="eastAsia" w:ascii="宋体" w:hAnsi="宋体" w:cs="宋体"/>
          <w:color w:val="auto"/>
          <w:szCs w:val="21"/>
          <w:highlight w:val="none"/>
        </w:rPr>
      </w:pPr>
    </w:p>
    <w:p w14:paraId="7DB6572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67196D8A">
      <w:pPr>
        <w:spacing w:line="360" w:lineRule="auto"/>
        <w:rPr>
          <w:rFonts w:hint="eastAsia" w:ascii="宋体" w:hAnsi="宋体" w:cs="宋体"/>
          <w:color w:val="auto"/>
          <w:szCs w:val="21"/>
          <w:highlight w:val="none"/>
        </w:rPr>
      </w:pPr>
    </w:p>
    <w:p w14:paraId="2F670A70">
      <w:pPr>
        <w:spacing w:line="360" w:lineRule="auto"/>
        <w:ind w:firstLine="840"/>
        <w:rPr>
          <w:rFonts w:ascii="宋体" w:hAnsi="宋体" w:cs="宋体"/>
          <w:bCs/>
          <w:color w:val="auto"/>
          <w:kern w:val="44"/>
          <w:sz w:val="32"/>
          <w:szCs w:val="44"/>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6E0E33CA">
      <w:pPr>
        <w:rPr>
          <w:rFonts w:ascii="宋体" w:hAnsi="宋体" w:cs="宋体"/>
          <w:color w:val="auto"/>
          <w:sz w:val="32"/>
          <w:szCs w:val="44"/>
          <w:highlight w:val="none"/>
        </w:rPr>
      </w:pPr>
    </w:p>
    <w:p w14:paraId="2BD0D5E9">
      <w:pPr>
        <w:rPr>
          <w:rFonts w:ascii="宋体" w:hAnsi="宋体" w:cs="宋体"/>
          <w:color w:val="auto"/>
          <w:sz w:val="32"/>
          <w:szCs w:val="44"/>
          <w:highlight w:val="none"/>
        </w:rPr>
      </w:pPr>
    </w:p>
    <w:p w14:paraId="05A97EBE">
      <w:pPr>
        <w:tabs>
          <w:tab w:val="left" w:pos="2820"/>
        </w:tabs>
        <w:outlineLvl w:val="2"/>
        <w:rPr>
          <w:rFonts w:hint="eastAsia" w:ascii="宋体" w:hAnsi="宋体" w:cs="宋体"/>
          <w:color w:val="auto"/>
          <w:sz w:val="32"/>
          <w:szCs w:val="44"/>
          <w:highlight w:val="none"/>
        </w:rPr>
      </w:pPr>
      <w:r>
        <w:rPr>
          <w:rFonts w:hint="eastAsia" w:ascii="宋体" w:hAnsi="宋体" w:cs="宋体"/>
          <w:color w:val="auto"/>
          <w:sz w:val="32"/>
          <w:szCs w:val="44"/>
          <w:highlight w:val="none"/>
        </w:rPr>
        <w:br w:type="page"/>
      </w:r>
      <w:bookmarkStart w:id="968" w:name="_Toc95223513"/>
      <w:r>
        <w:rPr>
          <w:rFonts w:hint="eastAsia" w:ascii="宋体" w:hAnsi="宋体" w:cs="宋体"/>
          <w:bCs/>
          <w:color w:val="auto"/>
          <w:sz w:val="24"/>
          <w:highlight w:val="none"/>
        </w:rPr>
        <w:t>附件1</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w:t>
      </w:r>
      <w:bookmarkEnd w:id="968"/>
    </w:p>
    <w:p w14:paraId="03D018A6">
      <w:pPr>
        <w:adjustRightInd w:val="0"/>
        <w:snapToGrid w:val="0"/>
        <w:spacing w:line="360" w:lineRule="auto"/>
        <w:jc w:val="center"/>
        <w:rPr>
          <w:rFonts w:hint="eastAsia" w:ascii="宋体" w:hAnsi="宋体" w:cs="宋体"/>
          <w:b/>
          <w:color w:val="auto"/>
          <w:sz w:val="32"/>
          <w:szCs w:val="32"/>
          <w:highlight w:val="none"/>
        </w:rPr>
      </w:pPr>
      <w:bookmarkStart w:id="969" w:name="_Toc20282"/>
      <w:bookmarkStart w:id="970" w:name="_Toc95223514"/>
      <w:bookmarkStart w:id="971" w:name="_Toc19059"/>
      <w:r>
        <w:rPr>
          <w:rFonts w:hint="eastAsia" w:ascii="宋体" w:hAnsi="宋体" w:cs="宋体"/>
          <w:b/>
          <w:color w:val="auto"/>
          <w:sz w:val="32"/>
          <w:szCs w:val="32"/>
          <w:highlight w:val="none"/>
        </w:rPr>
        <w:t>项目经理质量终身责任制承诺</w:t>
      </w:r>
      <w:bookmarkEnd w:id="969"/>
      <w:bookmarkEnd w:id="970"/>
      <w:bookmarkEnd w:id="971"/>
    </w:p>
    <w:p w14:paraId="56731305">
      <w:pPr>
        <w:adjustRightInd w:val="0"/>
        <w:snapToGrid w:val="0"/>
        <w:spacing w:line="360" w:lineRule="auto"/>
        <w:rPr>
          <w:rFonts w:hint="eastAsia" w:ascii="宋体" w:hAnsi="宋体" w:cs="宋体"/>
          <w:bCs/>
          <w:color w:val="auto"/>
          <w:sz w:val="24"/>
          <w:szCs w:val="21"/>
          <w:highlight w:val="none"/>
        </w:rPr>
      </w:pPr>
      <w:r>
        <w:rPr>
          <w:rFonts w:hint="eastAsia" w:ascii="宋体" w:hAnsi="宋体" w:cs="宋体"/>
          <w:bCs/>
          <w:color w:val="auto"/>
          <w:sz w:val="24"/>
          <w:szCs w:val="21"/>
          <w:highlight w:val="none"/>
        </w:rPr>
        <w:t>致：______________(招标人名称)</w:t>
      </w:r>
    </w:p>
    <w:p w14:paraId="277186F9">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本人作为拟委任的施工项目经理，承担相关质量终身责任，现郑重承诺如下：</w:t>
      </w:r>
    </w:p>
    <w:p w14:paraId="7189D1B4">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一、在取得施工许可证后进行施工。</w:t>
      </w:r>
    </w:p>
    <w:p w14:paraId="3C1D143B">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二、严格执行施工规范及标准。</w:t>
      </w:r>
    </w:p>
    <w:p w14:paraId="5F9963B1">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三、严格按规定配备施工项目部关键岗位人员，并确保所有人员到岗履职。</w:t>
      </w:r>
    </w:p>
    <w:p w14:paraId="524417EA">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四、严格按照经施工图审查机构审查合格的工程设计文件及合同约定的质量标准精心组织施工。</w:t>
      </w:r>
    </w:p>
    <w:p w14:paraId="7859F936">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五、施工中采用合格的建筑材料、建筑构配件和设备等，并严格按规定执行见证取样制度。</w:t>
      </w:r>
    </w:p>
    <w:p w14:paraId="4FFF62D5">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六、建立、健全质量检查、验收制度，严格工序管理，做好隐蔽工程质量的检查和记录。</w:t>
      </w:r>
    </w:p>
    <w:p w14:paraId="6BCB028E">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七、对施工中出现的质量问题，及时进行整改。严格依法依规履行义务。</w:t>
      </w:r>
    </w:p>
    <w:p w14:paraId="1385A6C9">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八、履行相关工程质量检查、验收及事故处理等职责。</w:t>
      </w:r>
    </w:p>
    <w:p w14:paraId="763143A0">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九、履行其他法律法规规定的职责。</w:t>
      </w:r>
    </w:p>
    <w:p w14:paraId="6C9BBE34">
      <w:pPr>
        <w:spacing w:line="360" w:lineRule="auto"/>
        <w:ind w:left="359" w:leftChars="171" w:firstLine="720" w:firstLineChars="300"/>
        <w:rPr>
          <w:rFonts w:hint="eastAsia" w:ascii="宋体" w:hAnsi="宋体" w:cs="宋体"/>
          <w:bCs/>
          <w:color w:val="auto"/>
          <w:sz w:val="24"/>
          <w:szCs w:val="21"/>
          <w:highlight w:val="none"/>
        </w:rPr>
      </w:pPr>
    </w:p>
    <w:p w14:paraId="6C926A78">
      <w:pPr>
        <w:spacing w:line="360" w:lineRule="auto"/>
        <w:ind w:left="359" w:leftChars="171" w:firstLine="720" w:firstLineChars="300"/>
        <w:rPr>
          <w:rFonts w:hint="eastAsia" w:ascii="宋体" w:hAnsi="宋体" w:cs="宋体"/>
          <w:bCs/>
          <w:color w:val="auto"/>
          <w:sz w:val="24"/>
          <w:szCs w:val="21"/>
          <w:highlight w:val="none"/>
        </w:rPr>
      </w:pPr>
    </w:p>
    <w:p w14:paraId="0E156356">
      <w:pPr>
        <w:spacing w:line="360" w:lineRule="auto"/>
        <w:ind w:left="359"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项目经理：</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（签字）</w:t>
      </w:r>
    </w:p>
    <w:p w14:paraId="6C56527F">
      <w:pPr>
        <w:spacing w:line="360" w:lineRule="auto"/>
        <w:ind w:left="359"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日期：_____年____月____日</w:t>
      </w:r>
    </w:p>
    <w:p w14:paraId="11057693">
      <w:pPr>
        <w:rPr>
          <w:rFonts w:hint="eastAsia"/>
          <w:color w:val="auto"/>
          <w:highlight w:val="none"/>
        </w:rPr>
      </w:pPr>
    </w:p>
    <w:p w14:paraId="4C2A5DB5">
      <w:pPr>
        <w:rPr>
          <w:rFonts w:hint="eastAsia"/>
          <w:color w:val="auto"/>
          <w:highlight w:val="none"/>
        </w:rPr>
      </w:pPr>
      <w:r>
        <w:rPr>
          <w:rFonts w:hint="eastAsia"/>
          <w:color w:val="auto"/>
          <w:highlight w:val="none"/>
        </w:rPr>
        <w:br w:type="page"/>
      </w:r>
    </w:p>
    <w:p w14:paraId="6658E593">
      <w:pPr>
        <w:rPr>
          <w:rFonts w:hint="eastAsia"/>
          <w:color w:val="auto"/>
          <w:highlight w:val="none"/>
        </w:rPr>
      </w:pPr>
    </w:p>
    <w:bookmarkEnd w:id="862"/>
    <w:bookmarkEnd w:id="863"/>
    <w:bookmarkEnd w:id="864"/>
    <w:bookmarkEnd w:id="865"/>
    <w:p w14:paraId="1A8499CE">
      <w:pPr>
        <w:pStyle w:val="14"/>
        <w:ind w:left="0" w:leftChars="0" w:firstLine="0" w:firstLineChars="0"/>
        <w:jc w:val="center"/>
        <w:outlineLvl w:val="0"/>
        <w:rPr>
          <w:rFonts w:hint="eastAsia"/>
          <w:color w:val="auto"/>
          <w:highlight w:val="none"/>
        </w:rPr>
      </w:pPr>
      <w:bookmarkStart w:id="972" w:name="_Toc95223515"/>
      <w:bookmarkStart w:id="973" w:name="_Toc4767"/>
      <w:bookmarkStart w:id="974" w:name="_Toc506107340"/>
      <w:bookmarkStart w:id="975" w:name="_Toc179632806"/>
      <w:bookmarkStart w:id="976" w:name="_Toc152045786"/>
      <w:bookmarkStart w:id="977" w:name="_Toc35425136"/>
      <w:bookmarkStart w:id="978" w:name="_Toc78803398"/>
      <w:bookmarkStart w:id="979" w:name="_Toc144974855"/>
      <w:bookmarkStart w:id="980" w:name="_Toc246996354"/>
      <w:bookmarkStart w:id="981" w:name="_Toc246997097"/>
      <w:bookmarkStart w:id="982" w:name="_Toc247085872"/>
      <w:bookmarkStart w:id="983" w:name="_Toc35424970"/>
      <w:bookmarkStart w:id="984" w:name="_Toc324404888"/>
      <w:bookmarkStart w:id="985" w:name="_Toc15058934"/>
      <w:bookmarkStart w:id="986" w:name="_Toc152042575"/>
      <w:r>
        <w:rPr>
          <w:rFonts w:hint="eastAsia" w:ascii="宋体" w:hAnsi="宋体" w:cs="宋体"/>
          <w:bCs/>
          <w:color w:val="auto"/>
          <w:kern w:val="44"/>
          <w:sz w:val="36"/>
          <w:szCs w:val="36"/>
          <w:highlight w:val="none"/>
        </w:rPr>
        <w:t>第六章  工程量清单</w:t>
      </w:r>
      <w:bookmarkEnd w:id="972"/>
      <w:bookmarkEnd w:id="973"/>
    </w:p>
    <w:p w14:paraId="2A8C1C8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bCs/>
          <w:color w:val="auto"/>
          <w:kern w:val="44"/>
          <w:sz w:val="32"/>
          <w:szCs w:val="44"/>
          <w:highlight w:val="none"/>
        </w:rPr>
      </w:pPr>
      <w:r>
        <w:rPr>
          <w:rFonts w:hint="eastAsia" w:ascii="宋体" w:hAnsi="宋体" w:cs="宋体"/>
          <w:color w:val="auto"/>
          <w:szCs w:val="21"/>
          <w:highlight w:val="none"/>
        </w:rPr>
        <w:t>另册。</w:t>
      </w:r>
    </w:p>
    <w:p w14:paraId="0C2CCCBA">
      <w:pPr>
        <w:rPr>
          <w:rFonts w:hint="eastAsia" w:ascii="宋体" w:hAnsi="宋体" w:cs="宋体"/>
          <w:b/>
          <w:color w:val="auto"/>
          <w:highlight w:val="none"/>
        </w:rPr>
      </w:pPr>
    </w:p>
    <w:p w14:paraId="087D1176">
      <w:pPr>
        <w:keepNext/>
        <w:keepLines/>
        <w:spacing w:line="360" w:lineRule="auto"/>
        <w:jc w:val="center"/>
        <w:outlineLvl w:val="0"/>
        <w:rPr>
          <w:rFonts w:hint="eastAsia" w:ascii="宋体" w:hAnsi="宋体" w:cs="宋体"/>
          <w:b/>
          <w:bCs/>
          <w:color w:val="auto"/>
          <w:kern w:val="44"/>
          <w:sz w:val="32"/>
          <w:szCs w:val="44"/>
          <w:highlight w:val="none"/>
        </w:rPr>
      </w:pPr>
      <w:bookmarkStart w:id="987" w:name="_Toc95223522"/>
      <w:r>
        <w:rPr>
          <w:rFonts w:hint="eastAsia" w:ascii="宋体" w:hAnsi="宋体" w:cs="宋体"/>
          <w:b/>
          <w:bCs/>
          <w:color w:val="auto"/>
          <w:kern w:val="44"/>
          <w:sz w:val="32"/>
          <w:szCs w:val="44"/>
          <w:highlight w:val="none"/>
        </w:rPr>
        <w:t xml:space="preserve">第七章 </w:t>
      </w:r>
      <w:bookmarkStart w:id="988" w:name="_Toc10656"/>
      <w:r>
        <w:rPr>
          <w:rFonts w:hint="eastAsia" w:ascii="宋体" w:hAnsi="宋体" w:cs="宋体"/>
          <w:b/>
          <w:bCs/>
          <w:color w:val="auto"/>
          <w:kern w:val="44"/>
          <w:sz w:val="32"/>
          <w:szCs w:val="44"/>
          <w:highlight w:val="none"/>
        </w:rPr>
        <w:t>图  纸</w:t>
      </w:r>
      <w:bookmarkEnd w:id="987"/>
      <w:bookmarkEnd w:id="988"/>
    </w:p>
    <w:p w14:paraId="0C219A0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bCs/>
          <w:color w:val="auto"/>
          <w:kern w:val="44"/>
          <w:sz w:val="32"/>
          <w:szCs w:val="44"/>
          <w:highlight w:val="none"/>
        </w:rPr>
      </w:pPr>
      <w:r>
        <w:rPr>
          <w:rFonts w:hint="eastAsia" w:ascii="宋体" w:hAnsi="宋体" w:cs="宋体"/>
          <w:color w:val="auto"/>
          <w:szCs w:val="21"/>
          <w:highlight w:val="none"/>
          <w:lang w:val="en-US" w:eastAsia="zh-CN"/>
        </w:rPr>
        <w:t>无</w:t>
      </w:r>
      <w:r>
        <w:rPr>
          <w:rFonts w:hint="eastAsia" w:ascii="宋体" w:hAnsi="宋体" w:cs="宋体"/>
          <w:color w:val="auto"/>
          <w:szCs w:val="21"/>
          <w:highlight w:val="none"/>
        </w:rPr>
        <w:t>。</w:t>
      </w:r>
    </w:p>
    <w:p w14:paraId="111AFB31">
      <w:pPr>
        <w:outlineLvl w:val="1"/>
        <w:rPr>
          <w:rFonts w:hint="eastAsia" w:ascii="宋体" w:hAnsi="宋体" w:cs="宋体"/>
          <w:color w:val="auto"/>
          <w:highlight w:val="none"/>
        </w:rPr>
      </w:pPr>
    </w:p>
    <w:p w14:paraId="48B5E51C">
      <w:pPr>
        <w:rPr>
          <w:rFonts w:hint="eastAsia" w:ascii="宋体" w:hAnsi="宋体" w:cs="宋体"/>
          <w:color w:val="auto"/>
          <w:highlight w:val="none"/>
        </w:rPr>
      </w:pPr>
    </w:p>
    <w:p w14:paraId="09483549">
      <w:pPr>
        <w:pStyle w:val="2"/>
        <w:adjustRightInd w:val="0"/>
        <w:snapToGrid w:val="0"/>
        <w:spacing w:before="0" w:after="0" w:line="560" w:lineRule="exact"/>
        <w:jc w:val="center"/>
        <w:rPr>
          <w:rFonts w:hint="eastAsia" w:ascii="宋体" w:hAnsi="宋体" w:cs="宋体"/>
          <w:bCs w:val="0"/>
          <w:color w:val="auto"/>
          <w:sz w:val="32"/>
          <w:highlight w:val="none"/>
        </w:rPr>
      </w:pPr>
      <w:r>
        <w:rPr>
          <w:rFonts w:hint="eastAsia" w:ascii="宋体" w:hAnsi="宋体" w:cs="宋体"/>
          <w:b w:val="0"/>
          <w:bCs w:val="0"/>
          <w:color w:val="auto"/>
          <w:sz w:val="32"/>
          <w:highlight w:val="none"/>
        </w:rPr>
        <w:br w:type="page"/>
      </w:r>
      <w:bookmarkStart w:id="989" w:name="_Toc4608"/>
      <w:bookmarkStart w:id="990" w:name="_Toc95223525"/>
      <w:r>
        <w:rPr>
          <w:rFonts w:hint="eastAsia"/>
          <w:color w:val="auto"/>
          <w:highlight w:val="none"/>
        </w:rPr>
        <w:t>第八章  技术标准和要求</w:t>
      </w:r>
      <w:bookmarkEnd w:id="989"/>
      <w:bookmarkEnd w:id="990"/>
    </w:p>
    <w:p w14:paraId="691196AD">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cs="宋体"/>
          <w:color w:val="auto"/>
          <w:highlight w:val="none"/>
        </w:rPr>
      </w:pPr>
      <w:bookmarkStart w:id="991" w:name="_Toc32647"/>
      <w:bookmarkStart w:id="992" w:name="_Toc95223526"/>
      <w:r>
        <w:rPr>
          <w:rFonts w:hint="eastAsia" w:ascii="宋体" w:hAnsi="宋体" w:cs="宋体"/>
          <w:color w:val="auto"/>
          <w:highlight w:val="none"/>
        </w:rPr>
        <w:t>1. 一般要求</w:t>
      </w:r>
      <w:bookmarkEnd w:id="991"/>
      <w:bookmarkEnd w:id="992"/>
    </w:p>
    <w:p w14:paraId="488746F2">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color w:val="auto"/>
          <w:highlight w:val="none"/>
          <w:lang w:val="en-US" w:eastAsia="zh-CN"/>
        </w:rPr>
      </w:pPr>
      <w:r>
        <w:rPr>
          <w:rFonts w:hint="eastAsia" w:ascii="宋体" w:hAnsi="宋体" w:cs="宋体"/>
          <w:color w:val="auto"/>
          <w:highlight w:val="none"/>
        </w:rPr>
        <w:t xml:space="preserve">  </w:t>
      </w:r>
      <w:r>
        <w:rPr>
          <w:rFonts w:hint="eastAsia" w:ascii="宋体" w:hAnsi="宋体" w:cs="宋体"/>
          <w:color w:val="auto"/>
          <w:highlight w:val="none"/>
          <w:lang w:val="en-US" w:eastAsia="zh-CN"/>
        </w:rPr>
        <w:t>无</w:t>
      </w:r>
    </w:p>
    <w:p w14:paraId="215AD899">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cs="宋体"/>
          <w:color w:val="auto"/>
          <w:highlight w:val="none"/>
        </w:rPr>
      </w:pPr>
      <w:bookmarkStart w:id="993" w:name="_Toc95223527"/>
      <w:bookmarkStart w:id="994" w:name="_Toc26107"/>
      <w:r>
        <w:rPr>
          <w:rFonts w:hint="eastAsia" w:ascii="宋体" w:hAnsi="宋体" w:cs="宋体"/>
          <w:color w:val="auto"/>
          <w:highlight w:val="none"/>
        </w:rPr>
        <w:t>2. 特殊技术标准和要求</w:t>
      </w:r>
      <w:bookmarkEnd w:id="993"/>
      <w:bookmarkEnd w:id="994"/>
    </w:p>
    <w:p w14:paraId="097B6B93">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color w:val="auto"/>
          <w:highlight w:val="none"/>
          <w:lang w:val="en-US" w:eastAsia="zh-CN"/>
        </w:rPr>
      </w:pPr>
      <w:r>
        <w:rPr>
          <w:rFonts w:hint="eastAsia" w:ascii="宋体" w:hAnsi="宋体" w:cs="宋体"/>
          <w:color w:val="auto"/>
          <w:highlight w:val="none"/>
        </w:rPr>
        <w:t xml:space="preserve">  </w:t>
      </w:r>
      <w:r>
        <w:rPr>
          <w:rFonts w:hint="eastAsia" w:ascii="宋体" w:hAnsi="宋体" w:cs="宋体"/>
          <w:color w:val="auto"/>
          <w:highlight w:val="none"/>
          <w:lang w:val="en-US" w:eastAsia="zh-CN"/>
        </w:rPr>
        <w:t>无</w:t>
      </w:r>
    </w:p>
    <w:p w14:paraId="7ECBB3F6">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cs="宋体"/>
          <w:color w:val="auto"/>
          <w:highlight w:val="none"/>
        </w:rPr>
      </w:pPr>
      <w:bookmarkStart w:id="995" w:name="_Toc30517"/>
      <w:bookmarkStart w:id="996" w:name="_Toc95223528"/>
      <w:r>
        <w:rPr>
          <w:rFonts w:hint="eastAsia" w:ascii="宋体" w:hAnsi="宋体" w:cs="宋体"/>
          <w:color w:val="auto"/>
          <w:highlight w:val="none"/>
        </w:rPr>
        <w:t>3. 适用的国家、行业以及地方标准、规范和规程</w:t>
      </w:r>
      <w:bookmarkEnd w:id="995"/>
      <w:bookmarkEnd w:id="996"/>
    </w:p>
    <w:p w14:paraId="6DA9761E">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cs="宋体"/>
          <w:color w:val="auto"/>
          <w:highlight w:val="none"/>
          <w:lang w:val="en-US" w:eastAsia="zh-CN"/>
        </w:rPr>
      </w:pPr>
      <w:r>
        <w:rPr>
          <w:rFonts w:hint="eastAsia" w:ascii="宋体" w:hAnsi="宋体" w:cs="宋体"/>
          <w:color w:val="auto"/>
          <w:highlight w:val="none"/>
          <w:lang w:val="en-US" w:eastAsia="zh-CN"/>
        </w:rPr>
        <w:t>本招标项目施工、验收须达到设计文件的要求和国家及有关部委、安徽省、项目所在市现行的工程建设标准、规范、规定的要求（文件标准之间相互冲突的，以标准较高者为准）。</w:t>
      </w:r>
    </w:p>
    <w:p w14:paraId="41E8890F">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cs="宋体"/>
          <w:color w:val="auto"/>
          <w:highlight w:val="none"/>
        </w:rPr>
      </w:pPr>
    </w:p>
    <w:p w14:paraId="29B1C382">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cs="宋体"/>
          <w:color w:val="auto"/>
          <w:highlight w:val="none"/>
        </w:rPr>
      </w:pPr>
      <w:bookmarkStart w:id="997" w:name="_Toc95223529"/>
      <w:bookmarkStart w:id="998" w:name="_Toc16564"/>
      <w:r>
        <w:rPr>
          <w:rFonts w:hint="eastAsia" w:ascii="宋体" w:hAnsi="宋体" w:cs="宋体"/>
          <w:color w:val="auto"/>
          <w:highlight w:val="none"/>
        </w:rPr>
        <w:t>4. 招标人推荐品牌</w:t>
      </w:r>
      <w:bookmarkEnd w:id="997"/>
      <w:bookmarkEnd w:id="998"/>
    </w:p>
    <w:p w14:paraId="6811178E">
      <w:pPr>
        <w:spacing w:before="20" w:after="20" w:line="540" w:lineRule="exact"/>
        <w:jc w:val="center"/>
        <w:rPr>
          <w:rFonts w:hint="eastAsia" w:ascii="宋体" w:hAnsi="宋体" w:cs="宋体"/>
          <w:color w:val="auto"/>
          <w:sz w:val="24"/>
          <w:szCs w:val="22"/>
          <w:highlight w:val="none"/>
        </w:rPr>
      </w:pPr>
      <w:bookmarkStart w:id="999" w:name="_Toc95223530"/>
      <w:bookmarkStart w:id="1000" w:name="_Toc929"/>
      <w:bookmarkStart w:id="1001" w:name="_Toc19422"/>
      <w:r>
        <w:rPr>
          <w:rFonts w:hint="eastAsia" w:ascii="宋体" w:hAnsi="宋体" w:cs="宋体"/>
          <w:b/>
          <w:color w:val="auto"/>
          <w:szCs w:val="21"/>
          <w:highlight w:val="none"/>
        </w:rPr>
        <w:t>品牌推荐表</w:t>
      </w:r>
      <w:bookmarkEnd w:id="999"/>
      <w:bookmarkEnd w:id="1000"/>
      <w:bookmarkEnd w:id="1001"/>
    </w:p>
    <w:tbl>
      <w:tblPr>
        <w:tblStyle w:val="47"/>
        <w:tblW w:w="9782" w:type="dxa"/>
        <w:tblInd w:w="-210" w:type="dxa"/>
        <w:tblLayout w:type="fixed"/>
        <w:tblCellMar>
          <w:top w:w="0" w:type="dxa"/>
          <w:left w:w="0" w:type="dxa"/>
          <w:bottom w:w="0" w:type="dxa"/>
          <w:right w:w="0" w:type="dxa"/>
        </w:tblCellMar>
      </w:tblPr>
      <w:tblGrid>
        <w:gridCol w:w="710"/>
        <w:gridCol w:w="3947"/>
        <w:gridCol w:w="4274"/>
        <w:gridCol w:w="851"/>
      </w:tblGrid>
      <w:tr w14:paraId="41A201D5">
        <w:tblPrEx>
          <w:tblCellMar>
            <w:top w:w="0" w:type="dxa"/>
            <w:left w:w="0" w:type="dxa"/>
            <w:bottom w:w="0" w:type="dxa"/>
            <w:right w:w="0" w:type="dxa"/>
          </w:tblCellMar>
        </w:tblPrEx>
        <w:trPr>
          <w:trHeight w:val="417" w:hRule="atLeast"/>
        </w:trPr>
        <w:tc>
          <w:tcPr>
            <w:tcW w:w="710" w:type="dxa"/>
            <w:tcBorders>
              <w:top w:val="single" w:color="000000" w:sz="6" w:space="0"/>
              <w:left w:val="single" w:color="000000" w:sz="6" w:space="0"/>
              <w:bottom w:val="single" w:color="000000" w:sz="6" w:space="0"/>
              <w:right w:val="single" w:color="000000" w:sz="6" w:space="0"/>
            </w:tcBorders>
            <w:vAlign w:val="center"/>
          </w:tcPr>
          <w:p w14:paraId="7677DF38">
            <w:pPr>
              <w:widowControl w:val="0"/>
              <w:autoSpaceDE w:val="0"/>
              <w:autoSpaceDN w:val="0"/>
              <w:spacing w:before="20"/>
              <w:ind w:firstLine="0" w:firstLineChars="0"/>
              <w:jc w:val="center"/>
              <w:rPr>
                <w:rFonts w:ascii="Times New Roman" w:hAnsi="Times New Roman" w:eastAsia="宋体" w:cs="Times New Roman"/>
                <w:color w:val="auto"/>
                <w:kern w:val="0"/>
                <w:sz w:val="21"/>
                <w:szCs w:val="21"/>
                <w:highlight w:val="none"/>
                <w:lang w:val="en-US" w:eastAsia="en-US" w:bidi="ar-SA"/>
              </w:rPr>
            </w:pPr>
            <w:r>
              <w:rPr>
                <w:rFonts w:ascii="宋体" w:hAnsi="宋体" w:eastAsia="宋体" w:cs="Times New Roman"/>
                <w:color w:val="auto"/>
                <w:spacing w:val="15"/>
                <w:kern w:val="0"/>
                <w:sz w:val="21"/>
                <w:szCs w:val="21"/>
                <w:highlight w:val="none"/>
                <w:lang w:val="en-US" w:eastAsia="en-US" w:bidi="ar-SA"/>
              </w:rPr>
              <w:t>序号</w:t>
            </w:r>
          </w:p>
        </w:tc>
        <w:tc>
          <w:tcPr>
            <w:tcW w:w="3947" w:type="dxa"/>
            <w:tcBorders>
              <w:top w:val="single" w:color="000000" w:sz="6" w:space="0"/>
              <w:left w:val="nil"/>
              <w:bottom w:val="single" w:color="000000" w:sz="6" w:space="0"/>
              <w:right w:val="single" w:color="000000" w:sz="6" w:space="0"/>
            </w:tcBorders>
            <w:vAlign w:val="center"/>
          </w:tcPr>
          <w:p w14:paraId="4489BF31">
            <w:pPr>
              <w:widowControl w:val="0"/>
              <w:autoSpaceDE w:val="0"/>
              <w:autoSpaceDN w:val="0"/>
              <w:spacing w:before="20"/>
              <w:ind w:firstLine="0" w:firstLineChars="0"/>
              <w:jc w:val="center"/>
              <w:rPr>
                <w:rFonts w:ascii="Times New Roman" w:hAnsi="Times New Roman" w:eastAsia="宋体" w:cs="Times New Roman"/>
                <w:color w:val="auto"/>
                <w:kern w:val="0"/>
                <w:sz w:val="21"/>
                <w:szCs w:val="21"/>
                <w:highlight w:val="none"/>
                <w:lang w:val="en-US" w:eastAsia="en-US" w:bidi="ar-SA"/>
              </w:rPr>
            </w:pPr>
            <w:r>
              <w:rPr>
                <w:rFonts w:ascii="宋体" w:hAnsi="宋体" w:eastAsia="宋体" w:cs="Times New Roman"/>
                <w:color w:val="auto"/>
                <w:spacing w:val="14"/>
                <w:kern w:val="0"/>
                <w:sz w:val="21"/>
                <w:szCs w:val="21"/>
                <w:highlight w:val="none"/>
                <w:lang w:val="en-US" w:eastAsia="en-US" w:bidi="ar-SA"/>
              </w:rPr>
              <w:t>材料种类</w:t>
            </w:r>
          </w:p>
        </w:tc>
        <w:tc>
          <w:tcPr>
            <w:tcW w:w="4274" w:type="dxa"/>
            <w:tcBorders>
              <w:top w:val="single" w:color="000000" w:sz="6" w:space="0"/>
              <w:left w:val="nil"/>
              <w:bottom w:val="single" w:color="000000" w:sz="6" w:space="0"/>
              <w:right w:val="single" w:color="000000" w:sz="6" w:space="0"/>
            </w:tcBorders>
            <w:vAlign w:val="center"/>
          </w:tcPr>
          <w:p w14:paraId="551EDA3E">
            <w:pPr>
              <w:widowControl w:val="0"/>
              <w:autoSpaceDE w:val="0"/>
              <w:autoSpaceDN w:val="0"/>
              <w:spacing w:before="20"/>
              <w:ind w:firstLine="0" w:firstLineChars="0"/>
              <w:jc w:val="center"/>
              <w:rPr>
                <w:rFonts w:ascii="Times New Roman" w:hAnsi="Times New Roman" w:eastAsia="宋体" w:cs="Times New Roman"/>
                <w:color w:val="auto"/>
                <w:kern w:val="0"/>
                <w:sz w:val="21"/>
                <w:szCs w:val="21"/>
                <w:highlight w:val="none"/>
                <w:lang w:val="en-US" w:eastAsia="en-US" w:bidi="ar-SA"/>
              </w:rPr>
            </w:pPr>
            <w:r>
              <w:rPr>
                <w:rFonts w:ascii="宋体" w:hAnsi="宋体" w:eastAsia="宋体" w:cs="Times New Roman"/>
                <w:color w:val="auto"/>
                <w:spacing w:val="14"/>
                <w:kern w:val="0"/>
                <w:sz w:val="21"/>
                <w:szCs w:val="21"/>
                <w:highlight w:val="none"/>
                <w:lang w:val="en-US" w:eastAsia="en-US" w:bidi="ar-SA"/>
              </w:rPr>
              <w:t>品牌名称</w:t>
            </w:r>
          </w:p>
        </w:tc>
        <w:tc>
          <w:tcPr>
            <w:tcW w:w="851" w:type="dxa"/>
            <w:tcBorders>
              <w:top w:val="single" w:color="000000" w:sz="6" w:space="0"/>
              <w:left w:val="nil"/>
              <w:bottom w:val="single" w:color="000000" w:sz="6" w:space="0"/>
              <w:right w:val="single" w:color="000000" w:sz="6" w:space="0"/>
            </w:tcBorders>
            <w:vAlign w:val="center"/>
          </w:tcPr>
          <w:p w14:paraId="40F43461">
            <w:pPr>
              <w:widowControl w:val="0"/>
              <w:autoSpaceDE w:val="0"/>
              <w:autoSpaceDN w:val="0"/>
              <w:ind w:firstLine="0" w:firstLineChars="0"/>
              <w:jc w:val="center"/>
              <w:rPr>
                <w:rFonts w:ascii="Times New Roman" w:hAnsi="Times New Roman" w:eastAsia="宋体" w:cs="Times New Roman"/>
                <w:color w:val="auto"/>
                <w:kern w:val="0"/>
                <w:sz w:val="21"/>
                <w:szCs w:val="21"/>
                <w:highlight w:val="none"/>
                <w:lang w:val="en-US" w:eastAsia="en-US" w:bidi="ar-SA"/>
              </w:rPr>
            </w:pPr>
            <w:r>
              <w:rPr>
                <w:rFonts w:ascii="宋体" w:hAnsi="宋体" w:eastAsia="宋体" w:cs="Times New Roman"/>
                <w:color w:val="auto"/>
                <w:kern w:val="0"/>
                <w:sz w:val="21"/>
                <w:szCs w:val="21"/>
                <w:highlight w:val="none"/>
                <w:lang w:val="en-US" w:eastAsia="en-US" w:bidi="ar-SA"/>
              </w:rPr>
              <w:t>备注</w:t>
            </w:r>
          </w:p>
        </w:tc>
      </w:tr>
      <w:tr w14:paraId="4CB197A5">
        <w:tblPrEx>
          <w:tblCellMar>
            <w:top w:w="0" w:type="dxa"/>
            <w:left w:w="0" w:type="dxa"/>
            <w:bottom w:w="0" w:type="dxa"/>
            <w:right w:w="0" w:type="dxa"/>
          </w:tblCellMar>
        </w:tblPrEx>
        <w:trPr>
          <w:trHeight w:val="423" w:hRule="atLeast"/>
        </w:trPr>
        <w:tc>
          <w:tcPr>
            <w:tcW w:w="710" w:type="dxa"/>
            <w:tcBorders>
              <w:top w:val="single" w:color="000000" w:sz="6" w:space="0"/>
              <w:left w:val="single" w:color="000000" w:sz="6" w:space="0"/>
              <w:bottom w:val="single" w:color="000000" w:sz="6" w:space="0"/>
              <w:right w:val="single" w:color="000000" w:sz="6" w:space="0"/>
            </w:tcBorders>
            <w:vAlign w:val="center"/>
          </w:tcPr>
          <w:p w14:paraId="1267D70F">
            <w:pPr>
              <w:widowControl w:val="0"/>
              <w:autoSpaceDE w:val="0"/>
              <w:autoSpaceDN w:val="0"/>
              <w:spacing w:before="198"/>
              <w:ind w:firstLine="0" w:firstLineChars="0"/>
              <w:jc w:val="center"/>
              <w:rPr>
                <w:rFonts w:ascii="Times New Roman" w:hAnsi="Times New Roman" w:eastAsia="宋体" w:cs="Times New Roman"/>
                <w:color w:val="auto"/>
                <w:kern w:val="0"/>
                <w:sz w:val="21"/>
                <w:szCs w:val="21"/>
                <w:highlight w:val="none"/>
                <w:lang w:val="en-US" w:eastAsia="en-US" w:bidi="ar-SA"/>
              </w:rPr>
            </w:pPr>
          </w:p>
        </w:tc>
        <w:tc>
          <w:tcPr>
            <w:tcW w:w="3947" w:type="dxa"/>
            <w:tcBorders>
              <w:top w:val="single" w:color="000000" w:sz="6" w:space="0"/>
              <w:left w:val="nil"/>
              <w:bottom w:val="single" w:color="000000" w:sz="6" w:space="0"/>
              <w:right w:val="single" w:color="000000" w:sz="6" w:space="0"/>
            </w:tcBorders>
            <w:vAlign w:val="center"/>
          </w:tcPr>
          <w:p w14:paraId="4FD789A7">
            <w:pPr>
              <w:widowControl w:val="0"/>
              <w:autoSpaceDE w:val="0"/>
              <w:autoSpaceDN w:val="0"/>
              <w:ind w:firstLine="0" w:firstLineChars="0"/>
              <w:jc w:val="center"/>
              <w:rPr>
                <w:rFonts w:ascii="Times New Roman" w:hAnsi="Times New Roman" w:eastAsia="宋体" w:cs="Times New Roman"/>
                <w:color w:val="auto"/>
                <w:kern w:val="0"/>
                <w:sz w:val="21"/>
                <w:szCs w:val="21"/>
                <w:highlight w:val="none"/>
                <w:lang w:val="en-US" w:eastAsia="en-US" w:bidi="ar-SA"/>
              </w:rPr>
            </w:pPr>
          </w:p>
        </w:tc>
        <w:tc>
          <w:tcPr>
            <w:tcW w:w="4274" w:type="dxa"/>
            <w:tcBorders>
              <w:top w:val="single" w:color="000000" w:sz="6" w:space="0"/>
              <w:left w:val="nil"/>
              <w:bottom w:val="single" w:color="000000" w:sz="6" w:space="0"/>
              <w:right w:val="single" w:color="000000" w:sz="6" w:space="0"/>
            </w:tcBorders>
            <w:vAlign w:val="center"/>
          </w:tcPr>
          <w:p w14:paraId="11BA8345">
            <w:pPr>
              <w:widowControl w:val="0"/>
              <w:autoSpaceDE w:val="0"/>
              <w:autoSpaceDN w:val="0"/>
              <w:spacing w:before="33"/>
              <w:ind w:firstLine="0" w:firstLineChars="0"/>
              <w:jc w:val="center"/>
              <w:rPr>
                <w:rFonts w:ascii="Times New Roman" w:hAnsi="Times New Roman" w:eastAsia="宋体" w:cs="Times New Roman"/>
                <w:color w:val="auto"/>
                <w:kern w:val="0"/>
                <w:sz w:val="21"/>
                <w:szCs w:val="21"/>
                <w:highlight w:val="none"/>
                <w:lang w:val="en-US" w:eastAsia="zh-CN" w:bidi="ar-SA"/>
              </w:rPr>
            </w:pPr>
          </w:p>
        </w:tc>
        <w:tc>
          <w:tcPr>
            <w:tcW w:w="851" w:type="dxa"/>
            <w:tcBorders>
              <w:top w:val="single" w:color="000000" w:sz="6" w:space="0"/>
              <w:left w:val="nil"/>
              <w:bottom w:val="single" w:color="000000" w:sz="6" w:space="0"/>
              <w:right w:val="single" w:color="000000" w:sz="6" w:space="0"/>
            </w:tcBorders>
            <w:vAlign w:val="center"/>
          </w:tcPr>
          <w:p w14:paraId="01222364">
            <w:pPr>
              <w:widowControl w:val="0"/>
              <w:autoSpaceDE w:val="0"/>
              <w:autoSpaceDN w:val="0"/>
              <w:spacing w:before="155"/>
              <w:ind w:firstLine="0" w:firstLineChars="0"/>
              <w:jc w:val="center"/>
              <w:rPr>
                <w:rFonts w:ascii="Times New Roman" w:hAnsi="Times New Roman" w:eastAsia="宋体" w:cs="Times New Roman"/>
                <w:color w:val="auto"/>
                <w:kern w:val="0"/>
                <w:sz w:val="21"/>
                <w:szCs w:val="21"/>
                <w:highlight w:val="none"/>
                <w:lang w:val="en-US" w:eastAsia="zh-CN" w:bidi="ar-SA"/>
              </w:rPr>
            </w:pPr>
          </w:p>
        </w:tc>
      </w:tr>
      <w:tr w14:paraId="3ABCFF1E">
        <w:tblPrEx>
          <w:tblCellMar>
            <w:top w:w="0" w:type="dxa"/>
            <w:left w:w="0" w:type="dxa"/>
            <w:bottom w:w="0" w:type="dxa"/>
            <w:right w:w="0" w:type="dxa"/>
          </w:tblCellMar>
        </w:tblPrEx>
        <w:trPr>
          <w:trHeight w:val="417" w:hRule="atLeast"/>
        </w:trPr>
        <w:tc>
          <w:tcPr>
            <w:tcW w:w="710" w:type="dxa"/>
            <w:tcBorders>
              <w:top w:val="single" w:color="000000" w:sz="6" w:space="0"/>
              <w:left w:val="single" w:color="000000" w:sz="6" w:space="0"/>
              <w:bottom w:val="single" w:color="000000" w:sz="6" w:space="0"/>
              <w:right w:val="single" w:color="000000" w:sz="6" w:space="0"/>
            </w:tcBorders>
            <w:vAlign w:val="center"/>
          </w:tcPr>
          <w:p w14:paraId="7A08612D">
            <w:pPr>
              <w:widowControl w:val="0"/>
              <w:autoSpaceDE w:val="0"/>
              <w:autoSpaceDN w:val="0"/>
              <w:spacing w:before="48"/>
              <w:ind w:firstLine="0" w:firstLineChars="0"/>
              <w:jc w:val="center"/>
              <w:rPr>
                <w:rFonts w:ascii="Times New Roman" w:hAnsi="Times New Roman" w:eastAsia="宋体" w:cs="Times New Roman"/>
                <w:color w:val="auto"/>
                <w:kern w:val="0"/>
                <w:sz w:val="21"/>
                <w:szCs w:val="21"/>
                <w:highlight w:val="none"/>
                <w:lang w:val="en-US" w:eastAsia="en-US" w:bidi="ar-SA"/>
              </w:rPr>
            </w:pPr>
          </w:p>
        </w:tc>
        <w:tc>
          <w:tcPr>
            <w:tcW w:w="3947" w:type="dxa"/>
            <w:tcBorders>
              <w:top w:val="single" w:color="000000" w:sz="6" w:space="0"/>
              <w:left w:val="nil"/>
              <w:bottom w:val="single" w:color="000000" w:sz="6" w:space="0"/>
              <w:right w:val="single" w:color="000000" w:sz="6" w:space="0"/>
            </w:tcBorders>
            <w:vAlign w:val="center"/>
          </w:tcPr>
          <w:p w14:paraId="6BE2A2BA">
            <w:pPr>
              <w:widowControl w:val="0"/>
              <w:autoSpaceDE w:val="0"/>
              <w:autoSpaceDN w:val="0"/>
              <w:spacing w:before="48"/>
              <w:ind w:firstLine="0" w:firstLineChars="0"/>
              <w:jc w:val="center"/>
              <w:rPr>
                <w:rFonts w:ascii="Times New Roman" w:hAnsi="Times New Roman" w:eastAsia="宋体" w:cs="Times New Roman"/>
                <w:color w:val="auto"/>
                <w:kern w:val="0"/>
                <w:sz w:val="21"/>
                <w:szCs w:val="21"/>
                <w:highlight w:val="none"/>
                <w:lang w:val="en-US" w:eastAsia="zh-CN" w:bidi="ar-SA"/>
              </w:rPr>
            </w:pPr>
          </w:p>
        </w:tc>
        <w:tc>
          <w:tcPr>
            <w:tcW w:w="4274" w:type="dxa"/>
            <w:tcBorders>
              <w:top w:val="single" w:color="000000" w:sz="6" w:space="0"/>
              <w:left w:val="nil"/>
              <w:bottom w:val="single" w:color="000000" w:sz="6" w:space="0"/>
              <w:right w:val="single" w:color="000000" w:sz="6" w:space="0"/>
            </w:tcBorders>
            <w:vAlign w:val="center"/>
          </w:tcPr>
          <w:p w14:paraId="18AED5B3">
            <w:pPr>
              <w:widowControl w:val="0"/>
              <w:autoSpaceDE w:val="0"/>
              <w:autoSpaceDN w:val="0"/>
              <w:spacing w:before="48"/>
              <w:ind w:firstLine="0" w:firstLineChars="0"/>
              <w:jc w:val="center"/>
              <w:rPr>
                <w:rFonts w:ascii="Times New Roman" w:hAnsi="Times New Roman" w:eastAsia="宋体" w:cs="Times New Roman"/>
                <w:color w:val="auto"/>
                <w:kern w:val="0"/>
                <w:sz w:val="21"/>
                <w:szCs w:val="21"/>
                <w:highlight w:val="none"/>
                <w:lang w:val="en-US" w:eastAsia="zh-CN" w:bidi="ar-SA"/>
              </w:rPr>
            </w:pPr>
          </w:p>
        </w:tc>
        <w:tc>
          <w:tcPr>
            <w:tcW w:w="851" w:type="dxa"/>
            <w:tcBorders>
              <w:top w:val="single" w:color="000000" w:sz="6" w:space="0"/>
              <w:left w:val="nil"/>
              <w:bottom w:val="single" w:color="000000" w:sz="6" w:space="0"/>
              <w:right w:val="single" w:color="000000" w:sz="6" w:space="0"/>
            </w:tcBorders>
            <w:vAlign w:val="center"/>
          </w:tcPr>
          <w:p w14:paraId="6877D92E">
            <w:pPr>
              <w:widowControl w:val="0"/>
              <w:autoSpaceDE w:val="0"/>
              <w:autoSpaceDN w:val="0"/>
              <w:spacing w:before="20"/>
              <w:ind w:firstLine="0" w:firstLineChars="0"/>
              <w:jc w:val="center"/>
              <w:rPr>
                <w:rFonts w:ascii="Times New Roman" w:hAnsi="Times New Roman" w:eastAsia="宋体" w:cs="Times New Roman"/>
                <w:color w:val="auto"/>
                <w:kern w:val="0"/>
                <w:sz w:val="21"/>
                <w:szCs w:val="21"/>
                <w:highlight w:val="none"/>
                <w:lang w:val="en-US" w:eastAsia="zh-CN" w:bidi="ar-SA"/>
              </w:rPr>
            </w:pPr>
          </w:p>
        </w:tc>
      </w:tr>
      <w:tr w14:paraId="6A5EFF08">
        <w:tblPrEx>
          <w:tblCellMar>
            <w:top w:w="0" w:type="dxa"/>
            <w:left w:w="0" w:type="dxa"/>
            <w:bottom w:w="0" w:type="dxa"/>
            <w:right w:w="0" w:type="dxa"/>
          </w:tblCellMar>
        </w:tblPrEx>
        <w:trPr>
          <w:trHeight w:val="373" w:hRule="atLeast"/>
        </w:trPr>
        <w:tc>
          <w:tcPr>
            <w:tcW w:w="710" w:type="dxa"/>
            <w:tcBorders>
              <w:top w:val="single" w:color="000000" w:sz="6" w:space="0"/>
              <w:left w:val="single" w:color="000000" w:sz="6" w:space="0"/>
              <w:bottom w:val="single" w:color="000000" w:sz="6" w:space="0"/>
              <w:right w:val="single" w:color="000000" w:sz="6" w:space="0"/>
            </w:tcBorders>
            <w:vAlign w:val="center"/>
          </w:tcPr>
          <w:p w14:paraId="60A2DC66">
            <w:pPr>
              <w:widowControl w:val="0"/>
              <w:autoSpaceDE w:val="0"/>
              <w:autoSpaceDN w:val="0"/>
              <w:spacing w:before="33"/>
              <w:ind w:firstLine="0" w:firstLineChars="0"/>
              <w:jc w:val="center"/>
              <w:rPr>
                <w:rFonts w:ascii="Times New Roman" w:hAnsi="Times New Roman" w:eastAsia="宋体" w:cs="Times New Roman"/>
                <w:color w:val="auto"/>
                <w:kern w:val="0"/>
                <w:sz w:val="21"/>
                <w:szCs w:val="21"/>
                <w:highlight w:val="none"/>
                <w:lang w:val="en-US" w:eastAsia="en-US" w:bidi="ar-SA"/>
              </w:rPr>
            </w:pPr>
          </w:p>
        </w:tc>
        <w:tc>
          <w:tcPr>
            <w:tcW w:w="3947" w:type="dxa"/>
            <w:tcBorders>
              <w:top w:val="single" w:color="000000" w:sz="6" w:space="0"/>
              <w:left w:val="nil"/>
              <w:bottom w:val="single" w:color="000000" w:sz="6" w:space="0"/>
              <w:right w:val="single" w:color="000000" w:sz="6" w:space="0"/>
            </w:tcBorders>
            <w:vAlign w:val="center"/>
          </w:tcPr>
          <w:p w14:paraId="4C82DD13">
            <w:pPr>
              <w:widowControl w:val="0"/>
              <w:autoSpaceDE w:val="0"/>
              <w:autoSpaceDN w:val="0"/>
              <w:spacing w:before="33"/>
              <w:ind w:firstLine="0" w:firstLineChars="0"/>
              <w:jc w:val="center"/>
              <w:rPr>
                <w:rFonts w:ascii="Times New Roman" w:hAnsi="Times New Roman" w:eastAsia="宋体" w:cs="Times New Roman"/>
                <w:color w:val="auto"/>
                <w:kern w:val="0"/>
                <w:sz w:val="21"/>
                <w:szCs w:val="21"/>
                <w:highlight w:val="none"/>
                <w:lang w:val="en-US" w:eastAsia="zh-CN" w:bidi="ar-SA"/>
              </w:rPr>
            </w:pPr>
          </w:p>
        </w:tc>
        <w:tc>
          <w:tcPr>
            <w:tcW w:w="4274" w:type="dxa"/>
            <w:tcBorders>
              <w:top w:val="single" w:color="000000" w:sz="6" w:space="0"/>
              <w:left w:val="nil"/>
              <w:bottom w:val="single" w:color="000000" w:sz="6" w:space="0"/>
              <w:right w:val="single" w:color="000000" w:sz="6" w:space="0"/>
            </w:tcBorders>
            <w:vAlign w:val="center"/>
          </w:tcPr>
          <w:p w14:paraId="472DF914">
            <w:pPr>
              <w:widowControl w:val="0"/>
              <w:autoSpaceDE w:val="0"/>
              <w:autoSpaceDN w:val="0"/>
              <w:spacing w:before="33"/>
              <w:ind w:firstLine="0" w:firstLineChars="0"/>
              <w:jc w:val="center"/>
              <w:rPr>
                <w:rFonts w:ascii="Times New Roman" w:hAnsi="Times New Roman" w:eastAsia="宋体" w:cs="Times New Roman"/>
                <w:color w:val="auto"/>
                <w:kern w:val="0"/>
                <w:sz w:val="21"/>
                <w:szCs w:val="21"/>
                <w:highlight w:val="none"/>
                <w:lang w:val="en-US" w:eastAsia="zh-CN" w:bidi="ar-SA"/>
              </w:rPr>
            </w:pPr>
          </w:p>
        </w:tc>
        <w:tc>
          <w:tcPr>
            <w:tcW w:w="851" w:type="dxa"/>
            <w:tcBorders>
              <w:top w:val="single" w:color="000000" w:sz="6" w:space="0"/>
              <w:left w:val="nil"/>
              <w:bottom w:val="single" w:color="000000" w:sz="6" w:space="0"/>
              <w:right w:val="single" w:color="000000" w:sz="6" w:space="0"/>
            </w:tcBorders>
            <w:vAlign w:val="center"/>
          </w:tcPr>
          <w:p w14:paraId="6E941FFD">
            <w:pPr>
              <w:widowControl w:val="0"/>
              <w:autoSpaceDE w:val="0"/>
              <w:autoSpaceDN w:val="0"/>
              <w:ind w:firstLine="0" w:firstLineChars="0"/>
              <w:jc w:val="center"/>
              <w:rPr>
                <w:rFonts w:ascii="Times New Roman" w:hAnsi="Times New Roman" w:eastAsia="宋体" w:cs="Times New Roman"/>
                <w:color w:val="auto"/>
                <w:kern w:val="0"/>
                <w:sz w:val="21"/>
                <w:szCs w:val="21"/>
                <w:highlight w:val="none"/>
                <w:lang w:val="en-US" w:eastAsia="zh-CN" w:bidi="ar-SA"/>
              </w:rPr>
            </w:pPr>
          </w:p>
        </w:tc>
      </w:tr>
      <w:tr w14:paraId="09E63DB3">
        <w:tblPrEx>
          <w:tblCellMar>
            <w:top w:w="0" w:type="dxa"/>
            <w:left w:w="0" w:type="dxa"/>
            <w:bottom w:w="0" w:type="dxa"/>
            <w:right w:w="0" w:type="dxa"/>
          </w:tblCellMar>
        </w:tblPrEx>
        <w:trPr>
          <w:trHeight w:val="417" w:hRule="atLeast"/>
        </w:trPr>
        <w:tc>
          <w:tcPr>
            <w:tcW w:w="710" w:type="dxa"/>
            <w:tcBorders>
              <w:top w:val="single" w:color="000000" w:sz="6" w:space="0"/>
              <w:left w:val="single" w:color="000000" w:sz="6" w:space="0"/>
              <w:bottom w:val="single" w:color="000000" w:sz="6" w:space="0"/>
              <w:right w:val="single" w:color="000000" w:sz="6" w:space="0"/>
            </w:tcBorders>
            <w:vAlign w:val="center"/>
          </w:tcPr>
          <w:p w14:paraId="05479FB8">
            <w:pPr>
              <w:widowControl w:val="0"/>
              <w:autoSpaceDE w:val="0"/>
              <w:autoSpaceDN w:val="0"/>
              <w:spacing w:before="63"/>
              <w:ind w:firstLine="0" w:firstLineChars="0"/>
              <w:jc w:val="center"/>
              <w:rPr>
                <w:rFonts w:hint="eastAsia" w:ascii="Times New Roman" w:hAnsi="Times New Roman" w:eastAsia="宋体" w:cs="Times New Roman"/>
                <w:color w:val="auto"/>
                <w:kern w:val="0"/>
                <w:sz w:val="21"/>
                <w:szCs w:val="21"/>
                <w:highlight w:val="none"/>
                <w:lang w:val="en-US" w:eastAsia="zh-CN" w:bidi="ar-SA"/>
              </w:rPr>
            </w:pPr>
          </w:p>
        </w:tc>
        <w:tc>
          <w:tcPr>
            <w:tcW w:w="3947" w:type="dxa"/>
            <w:tcBorders>
              <w:top w:val="single" w:color="000000" w:sz="6" w:space="0"/>
              <w:left w:val="nil"/>
              <w:bottom w:val="single" w:color="000000" w:sz="6" w:space="0"/>
              <w:right w:val="single" w:color="000000" w:sz="6" w:space="0"/>
            </w:tcBorders>
            <w:vAlign w:val="center"/>
          </w:tcPr>
          <w:p w14:paraId="6BF5F329">
            <w:pPr>
              <w:widowControl w:val="0"/>
              <w:autoSpaceDE w:val="0"/>
              <w:autoSpaceDN w:val="0"/>
              <w:spacing w:before="63"/>
              <w:ind w:firstLine="0" w:firstLineChars="0"/>
              <w:jc w:val="center"/>
              <w:rPr>
                <w:rFonts w:ascii="Times New Roman" w:hAnsi="Times New Roman" w:eastAsia="宋体" w:cs="Times New Roman"/>
                <w:color w:val="auto"/>
                <w:kern w:val="0"/>
                <w:sz w:val="21"/>
                <w:szCs w:val="21"/>
                <w:highlight w:val="none"/>
                <w:lang w:val="en-US" w:eastAsia="en-US" w:bidi="ar-SA"/>
              </w:rPr>
            </w:pPr>
          </w:p>
        </w:tc>
        <w:tc>
          <w:tcPr>
            <w:tcW w:w="4274" w:type="dxa"/>
            <w:tcBorders>
              <w:top w:val="single" w:color="000000" w:sz="6" w:space="0"/>
              <w:left w:val="nil"/>
              <w:bottom w:val="single" w:color="000000" w:sz="6" w:space="0"/>
              <w:right w:val="single" w:color="000000" w:sz="6" w:space="0"/>
            </w:tcBorders>
            <w:vAlign w:val="center"/>
          </w:tcPr>
          <w:p w14:paraId="1759DA10">
            <w:pPr>
              <w:widowControl w:val="0"/>
              <w:autoSpaceDE w:val="0"/>
              <w:autoSpaceDN w:val="0"/>
              <w:spacing w:before="63"/>
              <w:ind w:firstLine="0" w:firstLineChars="0"/>
              <w:jc w:val="center"/>
              <w:rPr>
                <w:rFonts w:ascii="Times New Roman" w:hAnsi="Times New Roman" w:eastAsia="宋体" w:cs="Times New Roman"/>
                <w:color w:val="auto"/>
                <w:kern w:val="0"/>
                <w:sz w:val="21"/>
                <w:szCs w:val="21"/>
                <w:highlight w:val="none"/>
                <w:lang w:val="en-US" w:eastAsia="zh-CN" w:bidi="ar-SA"/>
              </w:rPr>
            </w:pPr>
          </w:p>
        </w:tc>
        <w:tc>
          <w:tcPr>
            <w:tcW w:w="851" w:type="dxa"/>
            <w:tcBorders>
              <w:top w:val="single" w:color="000000" w:sz="6" w:space="0"/>
              <w:left w:val="nil"/>
              <w:bottom w:val="single" w:color="000000" w:sz="6" w:space="0"/>
              <w:right w:val="single" w:color="000000" w:sz="6" w:space="0"/>
            </w:tcBorders>
            <w:vAlign w:val="center"/>
          </w:tcPr>
          <w:p w14:paraId="51EC4EA2">
            <w:pPr>
              <w:widowControl w:val="0"/>
              <w:autoSpaceDE w:val="0"/>
              <w:autoSpaceDN w:val="0"/>
              <w:spacing w:before="19"/>
              <w:ind w:firstLine="0" w:firstLineChars="0"/>
              <w:jc w:val="center"/>
              <w:rPr>
                <w:rFonts w:ascii="Times New Roman" w:hAnsi="Times New Roman" w:eastAsia="宋体" w:cs="Times New Roman"/>
                <w:color w:val="auto"/>
                <w:kern w:val="0"/>
                <w:sz w:val="21"/>
                <w:szCs w:val="21"/>
                <w:highlight w:val="none"/>
                <w:lang w:val="en-US" w:eastAsia="zh-CN" w:bidi="ar-SA"/>
              </w:rPr>
            </w:pPr>
          </w:p>
        </w:tc>
      </w:tr>
      <w:tr w14:paraId="35AA219B">
        <w:tblPrEx>
          <w:tblCellMar>
            <w:top w:w="0" w:type="dxa"/>
            <w:left w:w="0" w:type="dxa"/>
            <w:bottom w:w="0" w:type="dxa"/>
            <w:right w:w="0" w:type="dxa"/>
          </w:tblCellMar>
        </w:tblPrEx>
        <w:trPr>
          <w:trHeight w:val="417" w:hRule="atLeast"/>
        </w:trPr>
        <w:tc>
          <w:tcPr>
            <w:tcW w:w="7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3C598D">
            <w:pPr>
              <w:widowControl w:val="0"/>
              <w:autoSpaceDE w:val="0"/>
              <w:autoSpaceDN w:val="0"/>
              <w:spacing w:before="63"/>
              <w:ind w:firstLine="0" w:firstLineChars="0"/>
              <w:jc w:val="center"/>
              <w:rPr>
                <w:rFonts w:ascii="Times New Roman" w:hAnsi="Times New Roman" w:eastAsia="宋体" w:cs="Times New Roman"/>
                <w:color w:val="auto"/>
                <w:kern w:val="0"/>
                <w:sz w:val="21"/>
                <w:szCs w:val="21"/>
                <w:highlight w:val="none"/>
                <w:lang w:val="en-US" w:eastAsia="en-US" w:bidi="ar-SA"/>
              </w:rPr>
            </w:pPr>
          </w:p>
        </w:tc>
        <w:tc>
          <w:tcPr>
            <w:tcW w:w="3947" w:type="dxa"/>
            <w:tcBorders>
              <w:top w:val="single" w:color="000000" w:sz="6" w:space="0"/>
              <w:left w:val="nil"/>
              <w:bottom w:val="single" w:color="000000" w:sz="6" w:space="0"/>
              <w:right w:val="single" w:color="000000" w:sz="6" w:space="0"/>
            </w:tcBorders>
            <w:vAlign w:val="center"/>
          </w:tcPr>
          <w:p w14:paraId="71068CAD">
            <w:pPr>
              <w:widowControl w:val="0"/>
              <w:autoSpaceDE w:val="0"/>
              <w:autoSpaceDN w:val="0"/>
              <w:spacing w:before="63"/>
              <w:ind w:firstLine="0" w:firstLineChars="0"/>
              <w:jc w:val="center"/>
              <w:rPr>
                <w:rFonts w:ascii="Times New Roman" w:hAnsi="Times New Roman" w:eastAsia="宋体" w:cs="Times New Roman"/>
                <w:color w:val="auto"/>
                <w:kern w:val="0"/>
                <w:sz w:val="21"/>
                <w:szCs w:val="21"/>
                <w:highlight w:val="none"/>
                <w:lang w:val="en-US" w:eastAsia="en-US" w:bidi="ar-SA"/>
              </w:rPr>
            </w:pPr>
          </w:p>
        </w:tc>
        <w:tc>
          <w:tcPr>
            <w:tcW w:w="4274" w:type="dxa"/>
            <w:tcBorders>
              <w:top w:val="single" w:color="000000" w:sz="6" w:space="0"/>
              <w:left w:val="nil"/>
              <w:bottom w:val="single" w:color="000000" w:sz="6" w:space="0"/>
              <w:right w:val="single" w:color="000000" w:sz="6" w:space="0"/>
            </w:tcBorders>
            <w:vAlign w:val="center"/>
          </w:tcPr>
          <w:p w14:paraId="4101E93A">
            <w:pPr>
              <w:widowControl w:val="0"/>
              <w:autoSpaceDE w:val="0"/>
              <w:autoSpaceDN w:val="0"/>
              <w:spacing w:before="63"/>
              <w:ind w:firstLine="0" w:firstLineChars="0"/>
              <w:jc w:val="center"/>
              <w:rPr>
                <w:rFonts w:ascii="Times New Roman" w:hAnsi="Times New Roman" w:eastAsia="宋体" w:cs="Times New Roman"/>
                <w:color w:val="auto"/>
                <w:kern w:val="0"/>
                <w:sz w:val="21"/>
                <w:szCs w:val="21"/>
                <w:highlight w:val="none"/>
                <w:lang w:val="en-US" w:eastAsia="zh-CN" w:bidi="ar-SA"/>
              </w:rPr>
            </w:pPr>
          </w:p>
        </w:tc>
        <w:tc>
          <w:tcPr>
            <w:tcW w:w="851" w:type="dxa"/>
            <w:tcBorders>
              <w:top w:val="single" w:color="000000" w:sz="6" w:space="0"/>
              <w:left w:val="nil"/>
              <w:bottom w:val="single" w:color="000000" w:sz="6" w:space="0"/>
              <w:right w:val="single" w:color="000000" w:sz="6" w:space="0"/>
            </w:tcBorders>
            <w:vAlign w:val="center"/>
          </w:tcPr>
          <w:p w14:paraId="540A1CDB">
            <w:pPr>
              <w:widowControl w:val="0"/>
              <w:autoSpaceDE w:val="0"/>
              <w:autoSpaceDN w:val="0"/>
              <w:spacing w:before="19"/>
              <w:ind w:firstLine="0" w:firstLineChars="0"/>
              <w:jc w:val="center"/>
              <w:rPr>
                <w:rFonts w:ascii="Times New Roman" w:hAnsi="Times New Roman" w:eastAsia="宋体" w:cs="Times New Roman"/>
                <w:color w:val="auto"/>
                <w:kern w:val="0"/>
                <w:sz w:val="21"/>
                <w:szCs w:val="21"/>
                <w:highlight w:val="none"/>
                <w:lang w:val="en-US" w:eastAsia="zh-CN" w:bidi="ar-SA"/>
              </w:rPr>
            </w:pPr>
          </w:p>
        </w:tc>
      </w:tr>
      <w:tr w14:paraId="63BB1E86">
        <w:tblPrEx>
          <w:tblCellMar>
            <w:top w:w="0" w:type="dxa"/>
            <w:left w:w="0" w:type="dxa"/>
            <w:bottom w:w="0" w:type="dxa"/>
            <w:right w:w="0" w:type="dxa"/>
          </w:tblCellMar>
        </w:tblPrEx>
        <w:trPr>
          <w:trHeight w:val="417" w:hRule="atLeast"/>
        </w:trPr>
        <w:tc>
          <w:tcPr>
            <w:tcW w:w="71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04B441">
            <w:pPr>
              <w:widowControl w:val="0"/>
              <w:autoSpaceDE w:val="0"/>
              <w:autoSpaceDN w:val="0"/>
              <w:spacing w:before="63"/>
              <w:ind w:firstLine="0" w:firstLineChars="0"/>
              <w:jc w:val="center"/>
              <w:rPr>
                <w:rFonts w:ascii="Times New Roman" w:hAnsi="Times New Roman" w:eastAsia="宋体" w:cs="Times New Roman"/>
                <w:color w:val="auto"/>
                <w:kern w:val="0"/>
                <w:sz w:val="21"/>
                <w:szCs w:val="21"/>
                <w:highlight w:val="none"/>
                <w:lang w:val="en-US" w:eastAsia="en-US" w:bidi="ar-SA"/>
              </w:rPr>
            </w:pPr>
          </w:p>
        </w:tc>
        <w:tc>
          <w:tcPr>
            <w:tcW w:w="3947" w:type="dxa"/>
            <w:tcBorders>
              <w:top w:val="single" w:color="000000" w:sz="6" w:space="0"/>
              <w:left w:val="nil"/>
              <w:bottom w:val="single" w:color="000000" w:sz="6" w:space="0"/>
              <w:right w:val="single" w:color="000000" w:sz="6" w:space="0"/>
            </w:tcBorders>
            <w:vAlign w:val="center"/>
          </w:tcPr>
          <w:p w14:paraId="06BBDBCF">
            <w:pPr>
              <w:widowControl w:val="0"/>
              <w:autoSpaceDE w:val="0"/>
              <w:autoSpaceDN w:val="0"/>
              <w:spacing w:before="63"/>
              <w:ind w:firstLine="0" w:firstLineChars="0"/>
              <w:jc w:val="center"/>
              <w:rPr>
                <w:rFonts w:ascii="Times New Roman" w:hAnsi="Times New Roman" w:eastAsia="宋体" w:cs="Times New Roman"/>
                <w:color w:val="auto"/>
                <w:kern w:val="0"/>
                <w:sz w:val="21"/>
                <w:szCs w:val="21"/>
                <w:highlight w:val="none"/>
                <w:lang w:val="en-US" w:eastAsia="en-US" w:bidi="ar-SA"/>
              </w:rPr>
            </w:pPr>
          </w:p>
        </w:tc>
        <w:tc>
          <w:tcPr>
            <w:tcW w:w="4274" w:type="dxa"/>
            <w:tcBorders>
              <w:top w:val="single" w:color="000000" w:sz="6" w:space="0"/>
              <w:left w:val="nil"/>
              <w:bottom w:val="single" w:color="000000" w:sz="6" w:space="0"/>
              <w:right w:val="single" w:color="000000" w:sz="6" w:space="0"/>
            </w:tcBorders>
            <w:vAlign w:val="center"/>
          </w:tcPr>
          <w:p w14:paraId="63D0AE6F">
            <w:pPr>
              <w:widowControl w:val="0"/>
              <w:autoSpaceDE w:val="0"/>
              <w:autoSpaceDN w:val="0"/>
              <w:spacing w:before="63"/>
              <w:ind w:firstLine="0" w:firstLineChars="0"/>
              <w:jc w:val="center"/>
              <w:rPr>
                <w:rFonts w:ascii="Times New Roman" w:hAnsi="Times New Roman" w:eastAsia="宋体" w:cs="Times New Roman"/>
                <w:color w:val="auto"/>
                <w:kern w:val="0"/>
                <w:sz w:val="21"/>
                <w:szCs w:val="21"/>
                <w:highlight w:val="none"/>
                <w:lang w:val="en-US" w:eastAsia="zh-CN" w:bidi="ar-SA"/>
              </w:rPr>
            </w:pPr>
          </w:p>
        </w:tc>
        <w:tc>
          <w:tcPr>
            <w:tcW w:w="851" w:type="dxa"/>
            <w:tcBorders>
              <w:top w:val="single" w:color="000000" w:sz="6" w:space="0"/>
              <w:left w:val="nil"/>
              <w:bottom w:val="single" w:color="000000" w:sz="6" w:space="0"/>
              <w:right w:val="single" w:color="000000" w:sz="6" w:space="0"/>
            </w:tcBorders>
            <w:vAlign w:val="center"/>
          </w:tcPr>
          <w:p w14:paraId="0C5144DF">
            <w:pPr>
              <w:widowControl w:val="0"/>
              <w:autoSpaceDE w:val="0"/>
              <w:autoSpaceDN w:val="0"/>
              <w:spacing w:before="19"/>
              <w:ind w:firstLine="0" w:firstLineChars="0"/>
              <w:jc w:val="center"/>
              <w:rPr>
                <w:rFonts w:ascii="Times New Roman" w:hAnsi="Times New Roman" w:eastAsia="宋体" w:cs="Times New Roman"/>
                <w:color w:val="auto"/>
                <w:kern w:val="0"/>
                <w:sz w:val="21"/>
                <w:szCs w:val="21"/>
                <w:highlight w:val="none"/>
                <w:lang w:val="en-US" w:eastAsia="zh-CN" w:bidi="ar-SA"/>
              </w:rPr>
            </w:pPr>
          </w:p>
        </w:tc>
      </w:tr>
      <w:tr w14:paraId="1C0B8FA7">
        <w:tblPrEx>
          <w:tblCellMar>
            <w:top w:w="0" w:type="dxa"/>
            <w:left w:w="0" w:type="dxa"/>
            <w:bottom w:w="0" w:type="dxa"/>
            <w:right w:w="0" w:type="dxa"/>
          </w:tblCellMar>
        </w:tblPrEx>
        <w:trPr>
          <w:trHeight w:val="417" w:hRule="atLeast"/>
        </w:trPr>
        <w:tc>
          <w:tcPr>
            <w:tcW w:w="710" w:type="dxa"/>
            <w:tcBorders>
              <w:top w:val="single" w:color="000000" w:sz="6" w:space="0"/>
              <w:left w:val="single" w:color="000000" w:sz="6" w:space="0"/>
              <w:bottom w:val="single" w:color="000000" w:sz="6" w:space="0"/>
              <w:right w:val="single" w:color="000000" w:sz="6" w:space="0"/>
            </w:tcBorders>
            <w:vAlign w:val="center"/>
          </w:tcPr>
          <w:p w14:paraId="74E5F6C3">
            <w:pPr>
              <w:widowControl w:val="0"/>
              <w:autoSpaceDE w:val="0"/>
              <w:autoSpaceDN w:val="0"/>
              <w:spacing w:before="63"/>
              <w:ind w:firstLine="0" w:firstLineChars="0"/>
              <w:jc w:val="center"/>
              <w:rPr>
                <w:rFonts w:hint="eastAsia" w:ascii="Times New Roman" w:hAnsi="Times New Roman" w:eastAsia="宋体" w:cs="Times New Roman"/>
                <w:color w:val="auto"/>
                <w:kern w:val="0"/>
                <w:sz w:val="21"/>
                <w:szCs w:val="21"/>
                <w:highlight w:val="none"/>
                <w:lang w:val="en-US" w:eastAsia="zh-CN" w:bidi="ar-SA"/>
              </w:rPr>
            </w:pPr>
          </w:p>
        </w:tc>
        <w:tc>
          <w:tcPr>
            <w:tcW w:w="3947" w:type="dxa"/>
            <w:tcBorders>
              <w:top w:val="single" w:color="000000" w:sz="6" w:space="0"/>
              <w:left w:val="nil"/>
              <w:bottom w:val="single" w:color="000000" w:sz="6" w:space="0"/>
              <w:right w:val="single" w:color="000000" w:sz="6" w:space="0"/>
            </w:tcBorders>
            <w:vAlign w:val="center"/>
          </w:tcPr>
          <w:p w14:paraId="3C9DD017">
            <w:pPr>
              <w:widowControl w:val="0"/>
              <w:autoSpaceDE w:val="0"/>
              <w:autoSpaceDN w:val="0"/>
              <w:spacing w:before="63"/>
              <w:ind w:firstLine="0" w:firstLineChars="0"/>
              <w:jc w:val="center"/>
              <w:rPr>
                <w:rFonts w:ascii="Times New Roman" w:hAnsi="Times New Roman" w:eastAsia="宋体" w:cs="Times New Roman"/>
                <w:color w:val="auto"/>
                <w:kern w:val="0"/>
                <w:sz w:val="21"/>
                <w:szCs w:val="21"/>
                <w:highlight w:val="none"/>
                <w:lang w:val="en-US" w:eastAsia="en-US" w:bidi="ar-SA"/>
              </w:rPr>
            </w:pPr>
          </w:p>
        </w:tc>
        <w:tc>
          <w:tcPr>
            <w:tcW w:w="4274" w:type="dxa"/>
            <w:tcBorders>
              <w:top w:val="single" w:color="000000" w:sz="6" w:space="0"/>
              <w:left w:val="nil"/>
              <w:bottom w:val="single" w:color="000000" w:sz="6" w:space="0"/>
              <w:right w:val="single" w:color="000000" w:sz="6" w:space="0"/>
            </w:tcBorders>
            <w:vAlign w:val="center"/>
          </w:tcPr>
          <w:p w14:paraId="01BA203D">
            <w:pPr>
              <w:widowControl w:val="0"/>
              <w:autoSpaceDE w:val="0"/>
              <w:autoSpaceDN w:val="0"/>
              <w:spacing w:before="63"/>
              <w:ind w:firstLine="0" w:firstLineChars="0"/>
              <w:jc w:val="center"/>
              <w:rPr>
                <w:rFonts w:ascii="Times New Roman" w:hAnsi="Times New Roman" w:eastAsia="宋体" w:cs="Times New Roman"/>
                <w:color w:val="auto"/>
                <w:kern w:val="0"/>
                <w:sz w:val="21"/>
                <w:szCs w:val="21"/>
                <w:highlight w:val="none"/>
                <w:lang w:val="en-US" w:eastAsia="zh-CN" w:bidi="ar-SA"/>
              </w:rPr>
            </w:pPr>
          </w:p>
        </w:tc>
        <w:tc>
          <w:tcPr>
            <w:tcW w:w="851" w:type="dxa"/>
            <w:tcBorders>
              <w:top w:val="single" w:color="000000" w:sz="6" w:space="0"/>
              <w:left w:val="nil"/>
              <w:bottom w:val="single" w:color="000000" w:sz="6" w:space="0"/>
              <w:right w:val="single" w:color="000000" w:sz="6" w:space="0"/>
            </w:tcBorders>
            <w:vAlign w:val="center"/>
          </w:tcPr>
          <w:p w14:paraId="5ACA6DCF">
            <w:pPr>
              <w:widowControl w:val="0"/>
              <w:autoSpaceDE w:val="0"/>
              <w:autoSpaceDN w:val="0"/>
              <w:spacing w:before="19"/>
              <w:ind w:firstLine="0" w:firstLineChars="0"/>
              <w:jc w:val="center"/>
              <w:rPr>
                <w:rFonts w:ascii="Times New Roman" w:hAnsi="Times New Roman" w:eastAsia="宋体" w:cs="Times New Roman"/>
                <w:color w:val="auto"/>
                <w:kern w:val="0"/>
                <w:sz w:val="21"/>
                <w:szCs w:val="21"/>
                <w:highlight w:val="none"/>
                <w:lang w:val="en-US" w:eastAsia="zh-CN" w:bidi="ar-SA"/>
              </w:rPr>
            </w:pPr>
          </w:p>
        </w:tc>
      </w:tr>
      <w:tr w14:paraId="34FAE0C1">
        <w:tblPrEx>
          <w:tblCellMar>
            <w:top w:w="0" w:type="dxa"/>
            <w:left w:w="0" w:type="dxa"/>
            <w:bottom w:w="0" w:type="dxa"/>
            <w:right w:w="0" w:type="dxa"/>
          </w:tblCellMar>
        </w:tblPrEx>
        <w:trPr>
          <w:trHeight w:val="417" w:hRule="atLeast"/>
        </w:trPr>
        <w:tc>
          <w:tcPr>
            <w:tcW w:w="710" w:type="dxa"/>
            <w:tcBorders>
              <w:top w:val="single" w:color="000000" w:sz="6" w:space="0"/>
              <w:left w:val="single" w:color="000000" w:sz="6" w:space="0"/>
              <w:bottom w:val="single" w:color="000000" w:sz="6" w:space="0"/>
              <w:right w:val="single" w:color="000000" w:sz="6" w:space="0"/>
            </w:tcBorders>
            <w:vAlign w:val="center"/>
          </w:tcPr>
          <w:p w14:paraId="0A1F16C0">
            <w:pPr>
              <w:widowControl w:val="0"/>
              <w:autoSpaceDE w:val="0"/>
              <w:autoSpaceDN w:val="0"/>
              <w:spacing w:before="63"/>
              <w:ind w:firstLine="0" w:firstLineChars="0"/>
              <w:jc w:val="center"/>
              <w:rPr>
                <w:rFonts w:hint="eastAsia" w:ascii="Times New Roman" w:hAnsi="Times New Roman" w:eastAsia="宋体" w:cs="Times New Roman"/>
                <w:color w:val="auto"/>
                <w:kern w:val="0"/>
                <w:sz w:val="21"/>
                <w:szCs w:val="21"/>
                <w:highlight w:val="none"/>
                <w:lang w:val="en-US" w:eastAsia="zh-CN" w:bidi="ar-SA"/>
              </w:rPr>
            </w:pPr>
          </w:p>
        </w:tc>
        <w:tc>
          <w:tcPr>
            <w:tcW w:w="3947" w:type="dxa"/>
            <w:tcBorders>
              <w:top w:val="single" w:color="000000" w:sz="6" w:space="0"/>
              <w:left w:val="nil"/>
              <w:bottom w:val="single" w:color="000000" w:sz="6" w:space="0"/>
              <w:right w:val="single" w:color="000000" w:sz="6" w:space="0"/>
            </w:tcBorders>
            <w:vAlign w:val="center"/>
          </w:tcPr>
          <w:p w14:paraId="1929518D">
            <w:pPr>
              <w:widowControl w:val="0"/>
              <w:autoSpaceDE w:val="0"/>
              <w:autoSpaceDN w:val="0"/>
              <w:spacing w:before="63"/>
              <w:ind w:firstLine="0" w:firstLineChars="0"/>
              <w:jc w:val="center"/>
              <w:rPr>
                <w:rFonts w:ascii="Times New Roman" w:hAnsi="Times New Roman" w:eastAsia="宋体" w:cs="Times New Roman"/>
                <w:color w:val="auto"/>
                <w:kern w:val="0"/>
                <w:sz w:val="21"/>
                <w:szCs w:val="21"/>
                <w:highlight w:val="none"/>
                <w:lang w:val="en-US" w:eastAsia="zh-CN" w:bidi="ar-SA"/>
              </w:rPr>
            </w:pPr>
          </w:p>
        </w:tc>
        <w:tc>
          <w:tcPr>
            <w:tcW w:w="4274" w:type="dxa"/>
            <w:tcBorders>
              <w:top w:val="single" w:color="000000" w:sz="6" w:space="0"/>
              <w:left w:val="nil"/>
              <w:bottom w:val="single" w:color="000000" w:sz="6" w:space="0"/>
              <w:right w:val="single" w:color="000000" w:sz="6" w:space="0"/>
            </w:tcBorders>
            <w:vAlign w:val="center"/>
          </w:tcPr>
          <w:p w14:paraId="6FA80A4B">
            <w:pPr>
              <w:widowControl w:val="0"/>
              <w:autoSpaceDE w:val="0"/>
              <w:autoSpaceDN w:val="0"/>
              <w:spacing w:before="63"/>
              <w:ind w:firstLine="0" w:firstLineChars="0"/>
              <w:jc w:val="center"/>
              <w:rPr>
                <w:rFonts w:ascii="Times New Roman" w:hAnsi="Times New Roman" w:eastAsia="宋体" w:cs="Times New Roman"/>
                <w:color w:val="auto"/>
                <w:kern w:val="0"/>
                <w:sz w:val="21"/>
                <w:szCs w:val="21"/>
                <w:highlight w:val="none"/>
                <w:lang w:val="en-US" w:eastAsia="zh-CN" w:bidi="ar-SA"/>
              </w:rPr>
            </w:pPr>
          </w:p>
        </w:tc>
        <w:tc>
          <w:tcPr>
            <w:tcW w:w="851" w:type="dxa"/>
            <w:tcBorders>
              <w:top w:val="single" w:color="000000" w:sz="6" w:space="0"/>
              <w:left w:val="nil"/>
              <w:bottom w:val="single" w:color="000000" w:sz="6" w:space="0"/>
              <w:right w:val="single" w:color="000000" w:sz="6" w:space="0"/>
            </w:tcBorders>
            <w:vAlign w:val="center"/>
          </w:tcPr>
          <w:p w14:paraId="074B6B2B">
            <w:pPr>
              <w:widowControl w:val="0"/>
              <w:autoSpaceDE w:val="0"/>
              <w:autoSpaceDN w:val="0"/>
              <w:spacing w:before="19"/>
              <w:ind w:firstLine="0" w:firstLineChars="0"/>
              <w:jc w:val="center"/>
              <w:rPr>
                <w:rFonts w:ascii="Times New Roman" w:hAnsi="Times New Roman" w:eastAsia="宋体" w:cs="Times New Roman"/>
                <w:color w:val="auto"/>
                <w:kern w:val="0"/>
                <w:sz w:val="21"/>
                <w:szCs w:val="21"/>
                <w:highlight w:val="none"/>
                <w:lang w:val="en-US" w:eastAsia="zh-CN" w:bidi="ar-SA"/>
              </w:rPr>
            </w:pPr>
          </w:p>
        </w:tc>
      </w:tr>
      <w:tr w14:paraId="7EC854DA">
        <w:tblPrEx>
          <w:tblCellMar>
            <w:top w:w="0" w:type="dxa"/>
            <w:left w:w="0" w:type="dxa"/>
            <w:bottom w:w="0" w:type="dxa"/>
            <w:right w:w="0" w:type="dxa"/>
          </w:tblCellMar>
        </w:tblPrEx>
        <w:trPr>
          <w:trHeight w:val="417" w:hRule="atLeast"/>
        </w:trPr>
        <w:tc>
          <w:tcPr>
            <w:tcW w:w="710" w:type="dxa"/>
            <w:tcBorders>
              <w:top w:val="single" w:color="000000" w:sz="6" w:space="0"/>
              <w:left w:val="single" w:color="000000" w:sz="6" w:space="0"/>
              <w:bottom w:val="single" w:color="000000" w:sz="6" w:space="0"/>
              <w:right w:val="single" w:color="000000" w:sz="6" w:space="0"/>
            </w:tcBorders>
            <w:vAlign w:val="center"/>
          </w:tcPr>
          <w:p w14:paraId="174CD614">
            <w:pPr>
              <w:widowControl w:val="0"/>
              <w:autoSpaceDE w:val="0"/>
              <w:autoSpaceDN w:val="0"/>
              <w:spacing w:before="63"/>
              <w:ind w:firstLine="0" w:firstLineChars="0"/>
              <w:jc w:val="center"/>
              <w:rPr>
                <w:rFonts w:hint="eastAsia" w:ascii="Times New Roman" w:hAnsi="Times New Roman" w:eastAsia="宋体" w:cs="Times New Roman"/>
                <w:color w:val="auto"/>
                <w:kern w:val="0"/>
                <w:sz w:val="21"/>
                <w:szCs w:val="21"/>
                <w:highlight w:val="none"/>
                <w:lang w:val="en-US" w:eastAsia="zh-CN" w:bidi="ar-SA"/>
              </w:rPr>
            </w:pPr>
          </w:p>
        </w:tc>
        <w:tc>
          <w:tcPr>
            <w:tcW w:w="3947" w:type="dxa"/>
            <w:tcBorders>
              <w:top w:val="single" w:color="000000" w:sz="6" w:space="0"/>
              <w:left w:val="nil"/>
              <w:bottom w:val="single" w:color="000000" w:sz="6" w:space="0"/>
              <w:right w:val="single" w:color="000000" w:sz="6" w:space="0"/>
            </w:tcBorders>
            <w:vAlign w:val="center"/>
          </w:tcPr>
          <w:p w14:paraId="1F8CE6BE">
            <w:pPr>
              <w:widowControl w:val="0"/>
              <w:autoSpaceDE w:val="0"/>
              <w:autoSpaceDN w:val="0"/>
              <w:spacing w:before="63"/>
              <w:ind w:firstLine="0" w:firstLineChars="0"/>
              <w:jc w:val="center"/>
              <w:rPr>
                <w:rFonts w:ascii="Times New Roman" w:hAnsi="Times New Roman" w:eastAsia="宋体" w:cs="Times New Roman"/>
                <w:color w:val="auto"/>
                <w:kern w:val="0"/>
                <w:sz w:val="21"/>
                <w:szCs w:val="21"/>
                <w:highlight w:val="none"/>
                <w:lang w:val="en-US" w:eastAsia="en-US" w:bidi="ar-SA"/>
              </w:rPr>
            </w:pPr>
          </w:p>
        </w:tc>
        <w:tc>
          <w:tcPr>
            <w:tcW w:w="4274" w:type="dxa"/>
            <w:tcBorders>
              <w:top w:val="single" w:color="000000" w:sz="6" w:space="0"/>
              <w:left w:val="nil"/>
              <w:bottom w:val="single" w:color="000000" w:sz="6" w:space="0"/>
              <w:right w:val="single" w:color="000000" w:sz="6" w:space="0"/>
            </w:tcBorders>
            <w:vAlign w:val="center"/>
          </w:tcPr>
          <w:p w14:paraId="7EC91460">
            <w:pPr>
              <w:widowControl w:val="0"/>
              <w:autoSpaceDE w:val="0"/>
              <w:autoSpaceDN w:val="0"/>
              <w:spacing w:before="63"/>
              <w:ind w:firstLine="0" w:firstLineChars="0"/>
              <w:jc w:val="center"/>
              <w:rPr>
                <w:rFonts w:ascii="Times New Roman" w:hAnsi="Times New Roman" w:eastAsia="宋体" w:cs="Times New Roman"/>
                <w:color w:val="auto"/>
                <w:kern w:val="0"/>
                <w:sz w:val="21"/>
                <w:szCs w:val="21"/>
                <w:highlight w:val="none"/>
                <w:lang w:val="en-US" w:eastAsia="zh-CN" w:bidi="ar-SA"/>
              </w:rPr>
            </w:pPr>
          </w:p>
        </w:tc>
        <w:tc>
          <w:tcPr>
            <w:tcW w:w="851" w:type="dxa"/>
            <w:tcBorders>
              <w:top w:val="single" w:color="000000" w:sz="6" w:space="0"/>
              <w:left w:val="nil"/>
              <w:bottom w:val="single" w:color="000000" w:sz="6" w:space="0"/>
              <w:right w:val="single" w:color="000000" w:sz="6" w:space="0"/>
            </w:tcBorders>
            <w:vAlign w:val="center"/>
          </w:tcPr>
          <w:p w14:paraId="2B6D5D79">
            <w:pPr>
              <w:widowControl w:val="0"/>
              <w:autoSpaceDE w:val="0"/>
              <w:autoSpaceDN w:val="0"/>
              <w:spacing w:before="19"/>
              <w:ind w:firstLine="0" w:firstLineChars="0"/>
              <w:jc w:val="center"/>
              <w:rPr>
                <w:rFonts w:ascii="Times New Roman" w:hAnsi="Times New Roman" w:eastAsia="宋体" w:cs="Times New Roman"/>
                <w:color w:val="auto"/>
                <w:kern w:val="0"/>
                <w:sz w:val="21"/>
                <w:szCs w:val="21"/>
                <w:highlight w:val="none"/>
                <w:lang w:val="en-US" w:eastAsia="zh-CN" w:bidi="ar-SA"/>
              </w:rPr>
            </w:pPr>
          </w:p>
        </w:tc>
      </w:tr>
    </w:tbl>
    <w:p w14:paraId="370E3985">
      <w:pPr>
        <w:adjustRightInd w:val="0"/>
        <w:snapToGrid w:val="0"/>
        <w:spacing w:line="520" w:lineRule="exact"/>
        <w:rPr>
          <w:rFonts w:hint="eastAsia"/>
          <w:color w:val="auto"/>
          <w:highlight w:val="none"/>
        </w:rPr>
      </w:pPr>
      <w:r>
        <w:rPr>
          <w:rFonts w:hint="eastAsia" w:ascii="宋体" w:hAnsi="宋体" w:cs="宋体"/>
          <w:color w:val="auto"/>
          <w:kern w:val="0"/>
          <w:szCs w:val="21"/>
          <w:highlight w:val="none"/>
        </w:rPr>
        <w:t xml:space="preserve">  </w:t>
      </w:r>
      <w:bookmarkStart w:id="1002" w:name="_Toc4784276"/>
      <w:bookmarkEnd w:id="1002"/>
      <w:bookmarkStart w:id="1003" w:name="_Toc4784277"/>
      <w:bookmarkEnd w:id="1003"/>
      <w:bookmarkStart w:id="1004" w:name="_Toc4784272"/>
      <w:bookmarkEnd w:id="1004"/>
      <w:bookmarkStart w:id="1005" w:name="_Toc4784273"/>
      <w:bookmarkEnd w:id="1005"/>
      <w:r>
        <w:rPr>
          <w:rFonts w:hint="eastAsia"/>
          <w:color w:val="auto"/>
          <w:highlight w:val="none"/>
        </w:rPr>
        <w:t>注： 1、对于招标人推荐品牌的材料、设备，投标人可选用推荐品牌或不低于推荐品牌技术性能指标的其他品牌。未在招标人推荐的材料品牌响应表中注明或未提供相关技术参数、业绩，或经评标委员会评审未通过的，中标后只能从招标人推荐品牌中进行选择，价格不予调整。</w:t>
      </w:r>
    </w:p>
    <w:p w14:paraId="307A9B0F">
      <w:pPr>
        <w:adjustRightInd w:val="0"/>
        <w:snapToGrid w:val="0"/>
        <w:spacing w:line="560" w:lineRule="exact"/>
        <w:ind w:firstLine="420" w:firstLineChars="200"/>
        <w:rPr>
          <w:rFonts w:hint="eastAsia"/>
          <w:color w:val="auto"/>
          <w:highlight w:val="none"/>
        </w:rPr>
      </w:pPr>
      <w:r>
        <w:rPr>
          <w:rFonts w:hint="eastAsia"/>
          <w:color w:val="auto"/>
          <w:highlight w:val="none"/>
        </w:rPr>
        <w:t>2、如本项目招标文件中出现特定性、唯一性品牌的表述，该品牌仅作为参考，施工过程中不具有限定性。对于招标人推荐品牌的材料、设备等，投标人如认 为招标人推荐的品牌有限定性、唯一性、明显不在同一档次等级的或者其他疑问的，应在本项目异议提出的截止时间前通过电子交易系统向招标人提出。</w:t>
      </w:r>
    </w:p>
    <w:p w14:paraId="3A3DFD1F">
      <w:pPr>
        <w:pStyle w:val="44"/>
        <w:spacing w:beforeLines="50" w:afterLines="50" w:line="440" w:lineRule="exact"/>
        <w:jc w:val="center"/>
        <w:rPr>
          <w:bCs/>
          <w:color w:val="auto"/>
          <w:szCs w:val="32"/>
          <w:highlight w:val="none"/>
        </w:rPr>
      </w:pPr>
      <w:r>
        <w:rPr>
          <w:rFonts w:hint="eastAsia"/>
          <w:bCs/>
          <w:color w:val="auto"/>
          <w:szCs w:val="32"/>
          <w:highlight w:val="none"/>
        </w:rPr>
        <w:br w:type="page"/>
      </w:r>
      <w:r>
        <w:rPr>
          <w:rFonts w:hint="eastAsia"/>
          <w:bCs/>
          <w:color w:val="auto"/>
          <w:szCs w:val="32"/>
          <w:highlight w:val="none"/>
        </w:rPr>
        <w:t>第</w:t>
      </w:r>
      <w:r>
        <w:rPr>
          <w:rFonts w:hint="eastAsia"/>
          <w:bCs/>
          <w:color w:val="auto"/>
          <w:szCs w:val="32"/>
          <w:highlight w:val="none"/>
          <w:lang w:val="en-US" w:eastAsia="zh-CN"/>
        </w:rPr>
        <w:t>九</w:t>
      </w:r>
      <w:r>
        <w:rPr>
          <w:rFonts w:hint="eastAsia"/>
          <w:bCs/>
          <w:color w:val="auto"/>
          <w:szCs w:val="32"/>
          <w:highlight w:val="none"/>
        </w:rPr>
        <w:t>章  投标文件格式</w:t>
      </w:r>
      <w:bookmarkEnd w:id="974"/>
      <w:bookmarkEnd w:id="975"/>
      <w:bookmarkEnd w:id="976"/>
      <w:bookmarkEnd w:id="977"/>
      <w:bookmarkEnd w:id="978"/>
      <w:bookmarkEnd w:id="979"/>
      <w:bookmarkEnd w:id="980"/>
      <w:bookmarkEnd w:id="981"/>
      <w:bookmarkEnd w:id="982"/>
      <w:bookmarkEnd w:id="983"/>
      <w:bookmarkEnd w:id="984"/>
      <w:bookmarkEnd w:id="985"/>
      <w:bookmarkEnd w:id="986"/>
    </w:p>
    <w:p w14:paraId="7B05D42C">
      <w:pPr>
        <w:rPr>
          <w:color w:val="auto"/>
          <w:highlight w:val="none"/>
        </w:rPr>
      </w:pPr>
    </w:p>
    <w:p w14:paraId="082E4B32">
      <w:pPr>
        <w:rPr>
          <w:color w:val="auto"/>
          <w:highlight w:val="none"/>
        </w:rPr>
      </w:pPr>
    </w:p>
    <w:p w14:paraId="5069B979">
      <w:pPr>
        <w:rPr>
          <w:color w:val="auto"/>
          <w:highlight w:val="none"/>
        </w:rPr>
      </w:pPr>
    </w:p>
    <w:p w14:paraId="56143D65">
      <w:pPr>
        <w:jc w:val="center"/>
        <w:rPr>
          <w:rFonts w:eastAsia="黑体"/>
          <w:color w:val="auto"/>
          <w:sz w:val="20"/>
          <w:szCs w:val="20"/>
          <w:highlight w:val="none"/>
        </w:rPr>
      </w:pPr>
      <w:r>
        <w:rPr>
          <w:rFonts w:eastAsia="黑体"/>
          <w:color w:val="auto"/>
          <w:sz w:val="28"/>
          <w:szCs w:val="28"/>
          <w:highlight w:val="none"/>
        </w:rPr>
        <w:t>（项目名称）</w:t>
      </w:r>
    </w:p>
    <w:p w14:paraId="7576ABA9">
      <w:pPr>
        <w:jc w:val="center"/>
        <w:rPr>
          <w:rFonts w:eastAsia="黑体"/>
          <w:color w:val="auto"/>
          <w:sz w:val="20"/>
          <w:szCs w:val="20"/>
          <w:highlight w:val="none"/>
        </w:rPr>
      </w:pPr>
    </w:p>
    <w:p w14:paraId="7FF06958">
      <w:pPr>
        <w:jc w:val="center"/>
        <w:rPr>
          <w:rFonts w:eastAsia="黑体"/>
          <w:color w:val="auto"/>
          <w:sz w:val="20"/>
          <w:szCs w:val="20"/>
          <w:highlight w:val="none"/>
        </w:rPr>
      </w:pPr>
    </w:p>
    <w:p w14:paraId="3165CB1E">
      <w:pPr>
        <w:jc w:val="center"/>
        <w:rPr>
          <w:rFonts w:eastAsia="黑体"/>
          <w:color w:val="auto"/>
          <w:sz w:val="20"/>
          <w:szCs w:val="20"/>
          <w:highlight w:val="none"/>
        </w:rPr>
      </w:pPr>
    </w:p>
    <w:p w14:paraId="75BA9D51">
      <w:pPr>
        <w:rPr>
          <w:rFonts w:eastAsia="黑体"/>
          <w:color w:val="auto"/>
          <w:sz w:val="20"/>
          <w:szCs w:val="20"/>
          <w:highlight w:val="none"/>
        </w:rPr>
      </w:pPr>
    </w:p>
    <w:p w14:paraId="347DEE05">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一</w:t>
      </w:r>
    </w:p>
    <w:p w14:paraId="4404D72F">
      <w:pPr>
        <w:jc w:val="center"/>
        <w:rPr>
          <w:rFonts w:eastAsia="黑体"/>
          <w:color w:val="auto"/>
          <w:sz w:val="44"/>
          <w:szCs w:val="44"/>
          <w:highlight w:val="none"/>
        </w:rPr>
      </w:pPr>
      <w:r>
        <w:rPr>
          <w:rFonts w:hint="eastAsia" w:eastAsia="黑体"/>
          <w:color w:val="auto"/>
          <w:sz w:val="44"/>
          <w:szCs w:val="44"/>
          <w:highlight w:val="none"/>
        </w:rPr>
        <w:t>（资信证明文件）</w:t>
      </w:r>
    </w:p>
    <w:p w14:paraId="69FD5586">
      <w:pPr>
        <w:rPr>
          <w:rFonts w:eastAsia="黑体"/>
          <w:color w:val="auto"/>
          <w:sz w:val="28"/>
          <w:szCs w:val="28"/>
          <w:highlight w:val="none"/>
        </w:rPr>
      </w:pPr>
    </w:p>
    <w:p w14:paraId="61671114">
      <w:pPr>
        <w:rPr>
          <w:rFonts w:eastAsia="黑体"/>
          <w:color w:val="auto"/>
          <w:sz w:val="28"/>
          <w:szCs w:val="28"/>
          <w:highlight w:val="none"/>
        </w:rPr>
      </w:pPr>
    </w:p>
    <w:p w14:paraId="7707CE46">
      <w:pPr>
        <w:rPr>
          <w:rFonts w:eastAsia="黑体"/>
          <w:color w:val="auto"/>
          <w:sz w:val="28"/>
          <w:szCs w:val="28"/>
          <w:highlight w:val="none"/>
        </w:rPr>
      </w:pPr>
    </w:p>
    <w:p w14:paraId="3E29662A">
      <w:pPr>
        <w:rPr>
          <w:rFonts w:eastAsia="黑体"/>
          <w:color w:val="auto"/>
          <w:sz w:val="28"/>
          <w:szCs w:val="28"/>
          <w:highlight w:val="none"/>
        </w:rPr>
      </w:pPr>
    </w:p>
    <w:p w14:paraId="69D02104">
      <w:pPr>
        <w:pStyle w:val="14"/>
        <w:ind w:firstLine="420"/>
        <w:rPr>
          <w:rFonts w:ascii="Times New Roman"/>
          <w:color w:val="auto"/>
          <w:szCs w:val="24"/>
          <w:highlight w:val="none"/>
        </w:rPr>
      </w:pPr>
    </w:p>
    <w:p w14:paraId="3062FE47">
      <w:pPr>
        <w:rPr>
          <w:rFonts w:ascii="Times New Roman"/>
          <w:color w:val="auto"/>
          <w:szCs w:val="24"/>
          <w:highlight w:val="none"/>
        </w:rPr>
      </w:pPr>
    </w:p>
    <w:p w14:paraId="78F93F73">
      <w:pPr>
        <w:pStyle w:val="14"/>
        <w:rPr>
          <w:rFonts w:ascii="Times New Roman"/>
          <w:color w:val="auto"/>
          <w:szCs w:val="24"/>
          <w:highlight w:val="none"/>
        </w:rPr>
      </w:pPr>
    </w:p>
    <w:p w14:paraId="1E9D0BD8">
      <w:pPr>
        <w:rPr>
          <w:rFonts w:ascii="Times New Roman"/>
          <w:color w:val="auto"/>
          <w:szCs w:val="24"/>
          <w:highlight w:val="none"/>
        </w:rPr>
      </w:pPr>
    </w:p>
    <w:p w14:paraId="13AFD6AD">
      <w:pPr>
        <w:pStyle w:val="14"/>
        <w:rPr>
          <w:color w:val="auto"/>
          <w:highlight w:val="none"/>
        </w:rPr>
      </w:pPr>
    </w:p>
    <w:p w14:paraId="0799C826">
      <w:pPr>
        <w:pStyle w:val="14"/>
        <w:ind w:firstLine="420"/>
        <w:rPr>
          <w:color w:val="auto"/>
          <w:highlight w:val="none"/>
        </w:rPr>
      </w:pPr>
    </w:p>
    <w:p w14:paraId="63F5BB9B">
      <w:pPr>
        <w:rPr>
          <w:rFonts w:eastAsia="黑体"/>
          <w:color w:val="auto"/>
          <w:sz w:val="28"/>
          <w:szCs w:val="28"/>
          <w:highlight w:val="none"/>
        </w:rPr>
      </w:pPr>
    </w:p>
    <w:p w14:paraId="6ECEBDFF">
      <w:pPr>
        <w:keepNext w:val="0"/>
        <w:keepLines w:val="0"/>
        <w:pageBreakBefore w:val="0"/>
        <w:widowControl w:val="0"/>
        <w:kinsoku/>
        <w:wordWrap/>
        <w:overflowPunct/>
        <w:topLinePunct w:val="0"/>
        <w:autoSpaceDE/>
        <w:autoSpaceDN/>
        <w:bidi w:val="0"/>
        <w:adjustRightInd/>
        <w:snapToGrid/>
        <w:spacing w:line="720" w:lineRule="auto"/>
        <w:textAlignment w:val="auto"/>
        <w:rPr>
          <w:rFonts w:eastAsia="黑体"/>
          <w:color w:val="auto"/>
          <w:sz w:val="28"/>
          <w:szCs w:val="28"/>
          <w:highlight w:val="none"/>
        </w:rPr>
      </w:pPr>
    </w:p>
    <w:p w14:paraId="62522776">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14:paraId="097218CB">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14:paraId="211A5DCF">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7802AEA0">
      <w:pPr>
        <w:rPr>
          <w:color w:val="auto"/>
          <w:highlight w:val="none"/>
        </w:rPr>
      </w:pPr>
      <w:bookmarkStart w:id="1006" w:name="_Toc35424971"/>
      <w:bookmarkStart w:id="1007" w:name="_Toc12683"/>
      <w:bookmarkStart w:id="1008" w:name="_Toc35425137"/>
    </w:p>
    <w:p w14:paraId="0EBCA57C">
      <w:pPr>
        <w:spacing w:beforeLines="50" w:afterLines="50" w:line="440" w:lineRule="exact"/>
        <w:ind w:firstLine="643" w:firstLineChars="200"/>
        <w:jc w:val="left"/>
        <w:rPr>
          <w:rFonts w:ascii="宋体" w:hAnsi="宋体" w:cs="宋体"/>
          <w:b/>
          <w:color w:val="auto"/>
          <w:sz w:val="28"/>
          <w:szCs w:val="28"/>
          <w:highlight w:val="none"/>
        </w:rPr>
      </w:pPr>
      <w:bookmarkStart w:id="1009" w:name="_Toc78803399"/>
      <w:r>
        <w:rPr>
          <w:rStyle w:val="120"/>
          <w:rFonts w:hint="eastAsia" w:ascii="宋体" w:hAnsi="宋体" w:cs="宋体"/>
          <w:color w:val="auto"/>
          <w:sz w:val="32"/>
          <w:highlight w:val="none"/>
        </w:rPr>
        <w:br w:type="page"/>
      </w:r>
      <w:r>
        <w:rPr>
          <w:rStyle w:val="120"/>
          <w:rFonts w:hint="eastAsia" w:ascii="宋体" w:hAnsi="宋体" w:cs="宋体"/>
          <w:color w:val="auto"/>
          <w:sz w:val="32"/>
          <w:highlight w:val="none"/>
        </w:rPr>
        <w:t>投标文件一</w:t>
      </w:r>
      <w:bookmarkEnd w:id="1006"/>
      <w:bookmarkEnd w:id="1007"/>
      <w:bookmarkEnd w:id="1008"/>
      <w:bookmarkEnd w:id="1009"/>
      <w:r>
        <w:rPr>
          <w:rFonts w:hint="eastAsia" w:ascii="宋体" w:hAnsi="宋体" w:cs="宋体"/>
          <w:b/>
          <w:color w:val="auto"/>
          <w:sz w:val="28"/>
          <w:szCs w:val="28"/>
          <w:highlight w:val="none"/>
        </w:rPr>
        <w:t>：资信证明文件目录</w:t>
      </w:r>
    </w:p>
    <w:p w14:paraId="649C76E1">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（1）法定代表人身份证明文件和本人有效身份证(或法定代表人授权委托书和委托代理人有效身份证)；</w:t>
      </w:r>
    </w:p>
    <w:p w14:paraId="50C7D52B">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（2）诚信投标承诺书；</w:t>
      </w:r>
    </w:p>
    <w:p w14:paraId="4E5CBE15">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（3）企业法人营业执照；</w:t>
      </w:r>
    </w:p>
    <w:p w14:paraId="04DBAEE1">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（4）企业资质证书</w:t>
      </w:r>
      <w:r>
        <w:rPr>
          <w:rFonts w:hint="eastAsia" w:ascii="宋体" w:hAnsi="宋体" w:cs="宋体"/>
          <w:color w:val="auto"/>
          <w:szCs w:val="21"/>
          <w:highlight w:val="none"/>
          <w:lang w:val="en-US" w:eastAsia="zh-CN"/>
        </w:rPr>
        <w:t>及</w:t>
      </w:r>
      <w:r>
        <w:rPr>
          <w:rFonts w:hint="eastAsia" w:ascii="宋体" w:hAnsi="宋体" w:cs="宋体"/>
          <w:color w:val="auto"/>
          <w:szCs w:val="21"/>
          <w:highlight w:val="none"/>
        </w:rPr>
        <w:t>企业安全生产许可证</w:t>
      </w:r>
      <w:r>
        <w:rPr>
          <w:rFonts w:hint="eastAsia" w:ascii="宋体" w:hAnsi="宋体" w:cs="宋体"/>
          <w:color w:val="auto"/>
          <w:szCs w:val="21"/>
          <w:highlight w:val="none"/>
        </w:rPr>
        <w:t>；</w:t>
      </w:r>
    </w:p>
    <w:p w14:paraId="548842A1">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rPr>
        <w:t>项目经理（建造师）有效身份证、注册证书以及安全生产考核合格证书（B证）</w:t>
      </w:r>
      <w:r>
        <w:rPr>
          <w:rFonts w:hint="eastAsia" w:ascii="宋体" w:hAnsi="宋体" w:cs="宋体"/>
          <w:color w:val="auto"/>
          <w:szCs w:val="21"/>
          <w:highlight w:val="none"/>
        </w:rPr>
        <w:t>；</w:t>
      </w:r>
    </w:p>
    <w:p w14:paraId="01EE2524">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color w:val="auto"/>
          <w:szCs w:val="21"/>
          <w:highlight w:val="none"/>
        </w:rPr>
        <w:t>投标人的法定代表人(或委托代理人)和拟任项目经理（建造师）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r>
        <w:rPr>
          <w:rFonts w:hint="eastAsia" w:ascii="宋体" w:hAnsi="宋体" w:cs="宋体"/>
          <w:color w:val="auto"/>
          <w:szCs w:val="21"/>
          <w:highlight w:val="none"/>
          <w:lang w:eastAsia="zh-CN"/>
        </w:rPr>
        <w:t>；</w:t>
      </w:r>
    </w:p>
    <w:p w14:paraId="2737E4A6">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lang w:eastAsia="zh-CN"/>
        </w:rPr>
        <w:t>）</w:t>
      </w:r>
      <w:r>
        <w:rPr>
          <w:rFonts w:hint="eastAsia" w:ascii="宋体" w:hAnsi="宋体" w:cs="宋体"/>
          <w:color w:val="auto"/>
          <w:szCs w:val="21"/>
          <w:highlight w:val="none"/>
        </w:rPr>
        <w:t>需要提供的所有证明材料</w:t>
      </w:r>
      <w:r>
        <w:rPr>
          <w:rFonts w:hint="eastAsia" w:ascii="宋体" w:hAnsi="宋体" w:cs="宋体"/>
          <w:color w:val="auto"/>
          <w:szCs w:val="21"/>
          <w:highlight w:val="none"/>
          <w:lang w:eastAsia="zh-CN"/>
        </w:rPr>
        <w:t>。</w:t>
      </w:r>
    </w:p>
    <w:p w14:paraId="59163E6F">
      <w:pPr>
        <w:spacing w:line="360" w:lineRule="auto"/>
        <w:jc w:val="center"/>
        <w:rPr>
          <w:rFonts w:ascii="宋体"/>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（1）法定代表人身份证明或授权委托书</w:t>
      </w:r>
    </w:p>
    <w:p w14:paraId="1618991E">
      <w:pPr>
        <w:pStyle w:val="74"/>
        <w:keepNext w:val="0"/>
        <w:keepLines w:val="0"/>
        <w:pageBreakBefore w:val="0"/>
        <w:kinsoku/>
        <w:wordWrap/>
        <w:overflowPunct/>
        <w:topLinePunct w:val="0"/>
        <w:autoSpaceDE/>
        <w:autoSpaceDN/>
        <w:bidi w:val="0"/>
        <w:adjustRightInd/>
        <w:snapToGrid/>
        <w:spacing w:beforeLines="100" w:afterLines="100" w:line="440" w:lineRule="exact"/>
        <w:rPr>
          <w:rFonts w:ascii="宋体"/>
          <w:b/>
          <w:color w:val="auto"/>
          <w:sz w:val="24"/>
          <w:szCs w:val="24"/>
          <w:highlight w:val="none"/>
        </w:rPr>
      </w:pPr>
      <w:bookmarkStart w:id="1010" w:name="_Toc26598"/>
      <w:bookmarkStart w:id="1011" w:name="_Toc503196197"/>
      <w:bookmarkStart w:id="1012" w:name="_Toc506107356"/>
      <w:r>
        <w:rPr>
          <w:rFonts w:hint="eastAsia" w:ascii="宋体"/>
          <w:color w:val="auto"/>
          <w:sz w:val="24"/>
          <w:szCs w:val="24"/>
          <w:highlight w:val="none"/>
        </w:rPr>
        <w:t>1、法定代表人身份证明</w:t>
      </w:r>
    </w:p>
    <w:p w14:paraId="5CD0926A">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p>
    <w:p w14:paraId="30E6B7AC">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单位性质：</w:t>
      </w:r>
      <w:r>
        <w:rPr>
          <w:rFonts w:hint="eastAsia" w:ascii="宋体"/>
          <w:color w:val="auto"/>
          <w:sz w:val="24"/>
          <w:highlight w:val="none"/>
          <w:u w:val="single"/>
        </w:rPr>
        <w:t xml:space="preserve">                              </w:t>
      </w:r>
    </w:p>
    <w:p w14:paraId="2B53194B">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p>
    <w:p w14:paraId="2672DE77">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56E18266">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p>
    <w:p w14:paraId="7220154A">
      <w:pPr>
        <w:keepNext w:val="0"/>
        <w:keepLines w:val="0"/>
        <w:pageBreakBefore w:val="0"/>
        <w:kinsoku/>
        <w:wordWrap/>
        <w:overflowPunct/>
        <w:topLinePunct w:val="0"/>
        <w:autoSpaceDE/>
        <w:autoSpaceDN/>
        <w:bidi w:val="0"/>
        <w:adjustRightInd/>
        <w:snapToGrid/>
        <w:spacing w:line="440" w:lineRule="exact"/>
        <w:jc w:val="left"/>
        <w:rPr>
          <w:rFonts w:ascii="宋体"/>
          <w:color w:val="auto"/>
          <w:sz w:val="24"/>
          <w:highlight w:val="none"/>
          <w:u w:val="singl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身份证号码：</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，系</w:t>
      </w:r>
      <w:r>
        <w:rPr>
          <w:rFonts w:hint="eastAsia" w:ascii="宋体"/>
          <w:color w:val="auto"/>
          <w:sz w:val="24"/>
          <w:highlight w:val="none"/>
          <w:u w:val="single"/>
        </w:rPr>
        <w:t xml:space="preserve">     （投标人名称）</w:t>
      </w:r>
      <w:r>
        <w:rPr>
          <w:rFonts w:hint="eastAsia" w:ascii="宋体"/>
          <w:color w:val="auto"/>
          <w:sz w:val="24"/>
          <w:highlight w:val="none"/>
        </w:rPr>
        <w:t>的法定代表人。</w:t>
      </w:r>
    </w:p>
    <w:p w14:paraId="13BA0D93">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特此证明。</w:t>
      </w:r>
    </w:p>
    <w:p w14:paraId="5AB38E67">
      <w:pPr>
        <w:keepNext w:val="0"/>
        <w:keepLines w:val="0"/>
        <w:pageBreakBefore w:val="0"/>
        <w:kinsoku/>
        <w:wordWrap/>
        <w:overflowPunct/>
        <w:topLinePunct w:val="0"/>
        <w:autoSpaceDE/>
        <w:autoSpaceDN/>
        <w:bidi w:val="0"/>
        <w:adjustRightInd/>
        <w:snapToGrid/>
        <w:spacing w:line="440" w:lineRule="exact"/>
        <w:ind w:firstLine="480" w:firstLineChars="200"/>
        <w:rPr>
          <w:color w:val="auto"/>
          <w:highlight w:val="none"/>
        </w:rPr>
      </w:pPr>
      <w:r>
        <w:rPr>
          <w:rFonts w:hint="eastAsia" w:ascii="宋体"/>
          <w:color w:val="auto"/>
          <w:sz w:val="24"/>
          <w:highlight w:val="none"/>
        </w:rPr>
        <w:t>附：</w:t>
      </w:r>
      <w:r>
        <w:rPr>
          <w:rFonts w:hint="eastAsia" w:ascii="宋体"/>
          <w:b/>
          <w:color w:val="auto"/>
          <w:sz w:val="24"/>
          <w:highlight w:val="none"/>
        </w:rPr>
        <w:t>法定代表人有效身份证扫描件</w:t>
      </w:r>
    </w:p>
    <w:p w14:paraId="3089C1AB">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盖</w:t>
      </w:r>
      <w:r>
        <w:rPr>
          <w:rFonts w:hint="eastAsia" w:ascii="宋体"/>
          <w:color w:val="auto"/>
          <w:sz w:val="24"/>
          <w:highlight w:val="none"/>
          <w:u w:val="single"/>
        </w:rPr>
        <w:t>章）</w:t>
      </w:r>
    </w:p>
    <w:p w14:paraId="34409C45">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 xml:space="preserve">                                        年    月     日</w:t>
      </w:r>
    </w:p>
    <w:p w14:paraId="2F0B7B0C">
      <w:pPr>
        <w:keepNext w:val="0"/>
        <w:keepLines w:val="0"/>
        <w:pageBreakBefore w:val="0"/>
        <w:kinsoku/>
        <w:wordWrap/>
        <w:overflowPunct/>
        <w:topLinePunct w:val="0"/>
        <w:autoSpaceDE/>
        <w:autoSpaceDN/>
        <w:bidi w:val="0"/>
        <w:adjustRightInd/>
        <w:snapToGrid/>
        <w:spacing w:line="440" w:lineRule="exact"/>
        <w:rPr>
          <w:color w:val="auto"/>
          <w:highlight w:val="none"/>
        </w:rPr>
      </w:pPr>
    </w:p>
    <w:p w14:paraId="1550066F">
      <w:pPr>
        <w:pStyle w:val="74"/>
        <w:keepNext w:val="0"/>
        <w:keepLines w:val="0"/>
        <w:pageBreakBefore w:val="0"/>
        <w:kinsoku/>
        <w:wordWrap/>
        <w:overflowPunct/>
        <w:topLinePunct w:val="0"/>
        <w:autoSpaceDE/>
        <w:autoSpaceDN/>
        <w:bidi w:val="0"/>
        <w:adjustRightInd/>
        <w:snapToGrid/>
        <w:spacing w:beforeLines="100" w:afterLines="100" w:line="440" w:lineRule="exact"/>
        <w:rPr>
          <w:rFonts w:ascii="宋体"/>
          <w:color w:val="auto"/>
          <w:sz w:val="24"/>
          <w:szCs w:val="24"/>
          <w:highlight w:val="none"/>
        </w:rPr>
      </w:pPr>
      <w:r>
        <w:rPr>
          <w:rFonts w:hint="eastAsia" w:ascii="宋体"/>
          <w:color w:val="auto"/>
          <w:sz w:val="24"/>
          <w:szCs w:val="24"/>
          <w:highlight w:val="none"/>
        </w:rPr>
        <w:t>或1、授权委托书</w:t>
      </w:r>
    </w:p>
    <w:p w14:paraId="00E2E773">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color w:val="auto"/>
          <w:sz w:val="24"/>
          <w:highlight w:val="none"/>
        </w:rPr>
      </w:pPr>
      <w:r>
        <w:rPr>
          <w:rFonts w:hint="eastAsia" w:ascii="宋体"/>
          <w:color w:val="auto"/>
          <w:sz w:val="24"/>
          <w:highlight w:val="none"/>
        </w:rPr>
        <w:t>本人</w:t>
      </w:r>
      <w:r>
        <w:rPr>
          <w:rFonts w:hint="eastAsia" w:ascii="宋体"/>
          <w:color w:val="auto"/>
          <w:sz w:val="24"/>
          <w:highlight w:val="none"/>
          <w:u w:val="single"/>
        </w:rPr>
        <w:t xml:space="preserve"> （姓名）</w:t>
      </w:r>
      <w:r>
        <w:rPr>
          <w:rFonts w:hint="eastAsia" w:ascii="宋体"/>
          <w:color w:val="auto"/>
          <w:sz w:val="24"/>
          <w:highlight w:val="none"/>
        </w:rPr>
        <w:t>系</w:t>
      </w:r>
      <w:r>
        <w:rPr>
          <w:rFonts w:hint="eastAsia" w:ascii="宋体"/>
          <w:color w:val="auto"/>
          <w:sz w:val="24"/>
          <w:highlight w:val="none"/>
          <w:u w:val="single"/>
        </w:rPr>
        <w:t>（投标人）</w:t>
      </w:r>
      <w:r>
        <w:rPr>
          <w:rFonts w:hint="eastAsia" w:ascii="宋体"/>
          <w:color w:val="auto"/>
          <w:sz w:val="24"/>
          <w:highlight w:val="none"/>
        </w:rPr>
        <w:t>的法定代表人，现委托</w:t>
      </w:r>
      <w:r>
        <w:rPr>
          <w:rFonts w:hint="eastAsia" w:ascii="宋体"/>
          <w:color w:val="auto"/>
          <w:sz w:val="24"/>
          <w:highlight w:val="none"/>
          <w:u w:val="single"/>
        </w:rPr>
        <w:t>（姓名）</w:t>
      </w:r>
      <w:r>
        <w:rPr>
          <w:rFonts w:hint="eastAsia" w:ascii="宋体"/>
          <w:color w:val="auto"/>
          <w:sz w:val="24"/>
          <w:highlight w:val="none"/>
        </w:rPr>
        <w:t>为我方代理人。代理人根据授权，以我方名义签署、澄清、说明、补正、递交、撤回、修改</w:t>
      </w:r>
      <w:r>
        <w:rPr>
          <w:rFonts w:hint="eastAsia" w:ascii="宋体"/>
          <w:color w:val="auto"/>
          <w:sz w:val="24"/>
          <w:highlight w:val="none"/>
          <w:u w:val="single"/>
        </w:rPr>
        <w:t xml:space="preserve"> “   ”(项目名称）</w:t>
      </w:r>
      <w:r>
        <w:rPr>
          <w:rFonts w:hint="eastAsia" w:ascii="宋体"/>
          <w:color w:val="auto"/>
          <w:sz w:val="24"/>
          <w:highlight w:val="none"/>
        </w:rPr>
        <w:t>投标文件，全权处理与该项目投标、评审答疑、签订合同以及与合同执行有关的一切事务，其法律后果由我方承担。</w:t>
      </w:r>
    </w:p>
    <w:p w14:paraId="104BA12E">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委托期限：</w:t>
      </w:r>
      <w:r>
        <w:rPr>
          <w:rFonts w:hint="eastAsia" w:ascii="宋体"/>
          <w:color w:val="auto"/>
          <w:sz w:val="24"/>
          <w:highlight w:val="none"/>
          <w:u w:val="single"/>
          <w:lang w:val="en-US" w:eastAsia="zh-CN"/>
        </w:rPr>
        <w:t xml:space="preserve">              </w:t>
      </w:r>
      <w:r>
        <w:rPr>
          <w:rFonts w:hint="eastAsia" w:ascii="宋体" w:cs="宋体"/>
          <w:color w:val="auto"/>
          <w:sz w:val="24"/>
          <w:highlight w:val="none"/>
        </w:rPr>
        <w:t>。</w:t>
      </w:r>
    </w:p>
    <w:p w14:paraId="5334BA4B">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代理人无转委托权。</w:t>
      </w:r>
    </w:p>
    <w:p w14:paraId="0A2C1F2B">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color w:val="auto"/>
          <w:sz w:val="24"/>
          <w:highlight w:val="none"/>
        </w:rPr>
      </w:pPr>
      <w:r>
        <w:rPr>
          <w:rFonts w:hint="eastAsia" w:ascii="宋体"/>
          <w:color w:val="auto"/>
          <w:sz w:val="24"/>
          <w:highlight w:val="none"/>
        </w:rPr>
        <w:t>附：</w:t>
      </w:r>
      <w:r>
        <w:rPr>
          <w:rFonts w:hint="eastAsia" w:ascii="宋体"/>
          <w:b/>
          <w:color w:val="auto"/>
          <w:sz w:val="24"/>
          <w:highlight w:val="none"/>
        </w:rPr>
        <w:t>委托代理人有效身份证扫描件</w:t>
      </w:r>
    </w:p>
    <w:p w14:paraId="3E1AE668">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color w:val="auto"/>
          <w:sz w:val="24"/>
          <w:highlight w:val="none"/>
        </w:rPr>
      </w:pPr>
      <w:r>
        <w:rPr>
          <w:rFonts w:hint="eastAsia" w:ascii="宋体"/>
          <w:b/>
          <w:color w:val="auto"/>
          <w:sz w:val="24"/>
          <w:highlight w:val="none"/>
        </w:rPr>
        <w:t>法定代表人有效身份证扫描件</w:t>
      </w:r>
    </w:p>
    <w:p w14:paraId="3DC4B743">
      <w:pPr>
        <w:keepNext w:val="0"/>
        <w:keepLines w:val="0"/>
        <w:pageBreakBefore w:val="0"/>
        <w:kinsoku/>
        <w:wordWrap/>
        <w:overflowPunct/>
        <w:topLinePunct w:val="0"/>
        <w:autoSpaceDE/>
        <w:autoSpaceDN/>
        <w:bidi w:val="0"/>
        <w:adjustRightInd/>
        <w:snapToGrid/>
        <w:spacing w:line="440" w:lineRule="exact"/>
        <w:ind w:firstLine="833" w:firstLineChars="397"/>
        <w:rPr>
          <w:color w:val="auto"/>
          <w:highlight w:val="none"/>
        </w:rPr>
      </w:pPr>
    </w:p>
    <w:p w14:paraId="4D108BBB">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投标人（盖章）：</w:t>
      </w:r>
    </w:p>
    <w:p w14:paraId="63FE0C48">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（签字或盖章）</w:t>
      </w:r>
    </w:p>
    <w:p w14:paraId="3BE5CF08">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委托代理人（身份证号码）：    （签字或盖章）</w:t>
      </w:r>
    </w:p>
    <w:p w14:paraId="0FCD3FA1">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color w:val="auto"/>
          <w:sz w:val="24"/>
          <w:highlight w:val="none"/>
        </w:rPr>
      </w:pPr>
      <w:r>
        <w:rPr>
          <w:rFonts w:hint="eastAsia" w:ascii="宋体"/>
          <w:color w:val="auto"/>
          <w:sz w:val="24"/>
          <w:highlight w:val="none"/>
        </w:rPr>
        <w:t xml:space="preserve">   </w:t>
      </w:r>
    </w:p>
    <w:p w14:paraId="0F4784B3">
      <w:pPr>
        <w:keepNext w:val="0"/>
        <w:keepLines w:val="0"/>
        <w:pageBreakBefore w:val="0"/>
        <w:kinsoku/>
        <w:wordWrap/>
        <w:overflowPunct/>
        <w:topLinePunct w:val="0"/>
        <w:autoSpaceDE/>
        <w:autoSpaceDN/>
        <w:bidi w:val="0"/>
        <w:adjustRightInd/>
        <w:snapToGrid/>
        <w:spacing w:line="440" w:lineRule="exact"/>
        <w:ind w:firstLine="5700" w:firstLineChars="2375"/>
        <w:rPr>
          <w:rFonts w:ascii="宋体"/>
          <w:color w:val="auto"/>
          <w:sz w:val="24"/>
          <w:highlight w:val="none"/>
        </w:rPr>
      </w:pPr>
      <w:r>
        <w:rPr>
          <w:rFonts w:hint="eastAsia" w:ascii="宋体"/>
          <w:color w:val="auto"/>
          <w:sz w:val="24"/>
          <w:highlight w:val="none"/>
        </w:rPr>
        <w:t>年    月    日</w:t>
      </w:r>
    </w:p>
    <w:p w14:paraId="666987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color w:val="auto"/>
          <w:sz w:val="28"/>
          <w:szCs w:val="28"/>
          <w:highlight w:val="none"/>
        </w:rPr>
      </w:pPr>
    </w:p>
    <w:p w14:paraId="1DB5A0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color w:val="auto"/>
          <w:sz w:val="28"/>
          <w:szCs w:val="28"/>
          <w:highlight w:val="none"/>
        </w:rPr>
      </w:pPr>
    </w:p>
    <w:p w14:paraId="1B9326C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color w:val="auto"/>
          <w:sz w:val="28"/>
          <w:szCs w:val="28"/>
          <w:highlight w:val="none"/>
        </w:rPr>
      </w:pPr>
    </w:p>
    <w:p w14:paraId="5287610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b/>
          <w:color w:val="auto"/>
          <w:sz w:val="28"/>
          <w:szCs w:val="28"/>
          <w:highlight w:val="none"/>
        </w:rPr>
      </w:pPr>
      <w:r>
        <w:rPr>
          <w:rFonts w:hint="eastAsia"/>
          <w:b/>
          <w:color w:val="auto"/>
          <w:sz w:val="28"/>
          <w:szCs w:val="28"/>
          <w:highlight w:val="none"/>
        </w:rPr>
        <w:t>（2）诚信投标承诺书</w:t>
      </w:r>
      <w:bookmarkEnd w:id="1010"/>
      <w:bookmarkEnd w:id="1011"/>
      <w:bookmarkEnd w:id="1012"/>
    </w:p>
    <w:p w14:paraId="4F449F94">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65F7576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项目的投标；</w:t>
      </w:r>
    </w:p>
    <w:p w14:paraId="01C34AA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二、所提供的一切材料都是真实、有效、合法的；</w:t>
      </w:r>
    </w:p>
    <w:p w14:paraId="72E8418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12874A6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5E82D77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42A349F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六、</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（企业名称）或</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（企业名称）法定代表人</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或拟派项目经理（负责人）      没有下列情形：</w:t>
      </w:r>
      <w:bookmarkStart w:id="1013" w:name="OLE_LINK134"/>
      <w:bookmarkStart w:id="1014" w:name="OLE_LINK133"/>
      <w:r>
        <w:rPr>
          <w:rFonts w:hint="eastAsia" w:ascii="宋体" w:hAnsi="宋体" w:eastAsia="宋体" w:cs="Times New Roman"/>
          <w:color w:val="auto"/>
          <w:szCs w:val="21"/>
          <w:highlight w:val="none"/>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bookmarkEnd w:id="1013"/>
      <w:bookmarkEnd w:id="1014"/>
      <w:r>
        <w:rPr>
          <w:rFonts w:hint="eastAsia" w:ascii="宋体" w:hAnsi="宋体" w:eastAsia="宋体" w:cs="Times New Roman"/>
          <w:color w:val="auto"/>
          <w:szCs w:val="21"/>
          <w:highlight w:val="none"/>
        </w:rPr>
        <w:t>若招标文件对投标人所属分公司、办事处等分支机构有上述1-10项信誉要求，在此一并承诺我公司所属分公司、办事处等分支机构没有上述1-10项情形）</w:t>
      </w:r>
    </w:p>
    <w:p w14:paraId="007134E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七</w:t>
      </w:r>
      <w:r>
        <w:rPr>
          <w:rFonts w:hint="eastAsia" w:ascii="宋体" w:hAnsi="宋体"/>
          <w:color w:val="auto"/>
          <w:szCs w:val="21"/>
          <w:highlight w:val="none"/>
        </w:rPr>
        <w:t>、保证中标后不转包及使用挂靠施工队伍，若有分包征得建设单位同意；</w:t>
      </w:r>
    </w:p>
    <w:p w14:paraId="63C6B49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八、保证中标之后，按照投标文件承诺派驻管理人员及投入机械设备，如有违反，同意接受建设单位违约处罚；</w:t>
      </w:r>
    </w:p>
    <w:p w14:paraId="775E189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九</w:t>
      </w:r>
      <w:r>
        <w:rPr>
          <w:rFonts w:hint="eastAsia" w:ascii="宋体" w:hAnsi="宋体" w:eastAsia="宋体" w:cs="Times New Roman"/>
          <w:color w:val="auto"/>
          <w:szCs w:val="21"/>
          <w:highlight w:val="none"/>
        </w:rPr>
        <w:t>、保证企业及所属相关人员在本次投标中无行贿等犯罪行为；</w:t>
      </w:r>
    </w:p>
    <w:p w14:paraId="598F4BE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十、</w:t>
      </w:r>
      <w:r>
        <w:rPr>
          <w:rFonts w:hint="eastAsia" w:ascii="宋体" w:hAnsi="宋体" w:eastAsia="宋体" w:cs="Times New Roman"/>
          <w:color w:val="auto"/>
          <w:szCs w:val="21"/>
          <w:highlight w:val="none"/>
        </w:rPr>
        <w:t>如我公司中标，保证中标的项目经理（建造师）无其他尚未完工（以竣工、交工、完工验收报告等手续为准）项目或在已中标项目（以发放中标通知书为准）中担任项目经理（建造师）情形。如有，项目在滁州市区域内的，接受中标无效、记入不良行为记录等处理；项目在滁州市区域外的，保证在中标候选人公示期第一日起开始计算7日内，提供经行政主管部门备案的变更证明材料，否则接受中标无效、记入不良行为记录等处理；</w:t>
      </w:r>
    </w:p>
    <w:p w14:paraId="7B3ACF3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十</w:t>
      </w:r>
      <w:r>
        <w:rPr>
          <w:rFonts w:hint="eastAsia" w:ascii="宋体" w:hAnsi="宋体" w:eastAsia="宋体" w:cs="Times New Roman"/>
          <w:color w:val="auto"/>
          <w:szCs w:val="21"/>
          <w:highlight w:val="none"/>
          <w:lang w:val="en-US" w:eastAsia="zh-CN"/>
        </w:rPr>
        <w:t>一</w:t>
      </w:r>
      <w:r>
        <w:rPr>
          <w:rFonts w:hint="eastAsia" w:ascii="宋体" w:hAnsi="宋体" w:eastAsia="宋体" w:cs="Times New Roman"/>
          <w:color w:val="auto"/>
          <w:szCs w:val="21"/>
          <w:highlight w:val="none"/>
        </w:rPr>
        <w:t>、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2355D54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十</w:t>
      </w:r>
      <w:r>
        <w:rPr>
          <w:rFonts w:hint="eastAsia" w:ascii="宋体" w:hAnsi="宋体" w:eastAsia="宋体" w:cs="Times New Roman"/>
          <w:color w:val="auto"/>
          <w:szCs w:val="21"/>
          <w:highlight w:val="none"/>
          <w:lang w:val="en-US" w:eastAsia="zh-CN"/>
        </w:rPr>
        <w:t>二</w:t>
      </w:r>
      <w:r>
        <w:rPr>
          <w:rFonts w:hint="eastAsia" w:ascii="宋体" w:hAnsi="宋体" w:eastAsia="宋体" w:cs="Times New Roman"/>
          <w:color w:val="auto"/>
          <w:szCs w:val="21"/>
          <w:highlight w:val="none"/>
        </w:rPr>
        <w:t>、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68E9458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十</w:t>
      </w:r>
      <w:r>
        <w:rPr>
          <w:rFonts w:hint="eastAsia" w:ascii="宋体" w:hAnsi="宋体" w:eastAsia="宋体" w:cs="Times New Roman"/>
          <w:color w:val="auto"/>
          <w:szCs w:val="21"/>
          <w:highlight w:val="none"/>
          <w:lang w:val="en-US" w:eastAsia="zh-CN"/>
        </w:rPr>
        <w:t>三</w:t>
      </w:r>
      <w:r>
        <w:rPr>
          <w:rFonts w:hint="eastAsia" w:ascii="宋体" w:hAnsi="宋体" w:eastAsia="宋体" w:cs="Times New Roman"/>
          <w:color w:val="auto"/>
          <w:szCs w:val="21"/>
          <w:highlight w:val="none"/>
        </w:rPr>
        <w:t>、我公司拟任项目经理（建造师）不是投标截止时间前六个月内在滁州市区域内办理过项目经理（建造师）变更备案手续的原项目经理（建造师）。</w:t>
      </w:r>
    </w:p>
    <w:p w14:paraId="6535A94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以上内容我已仔细阅读，本公司若有违反承诺内容的行为，自愿接受取消投标或者中标资格、中标无效、记入不良行为记录等有关处理，愿意承担法律责任，给招标人造成损失的，承担赔偿责任。</w:t>
      </w:r>
    </w:p>
    <w:p w14:paraId="0612BCE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auto"/>
          <w:szCs w:val="21"/>
          <w:highlight w:val="none"/>
        </w:rPr>
      </w:pPr>
    </w:p>
    <w:p w14:paraId="635156B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开户银行：                          基本账户：</w:t>
      </w:r>
    </w:p>
    <w:p w14:paraId="5608ECA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投标人（盖章）：              法定代表人（签字或</w:t>
      </w:r>
      <w:r>
        <w:rPr>
          <w:rFonts w:hint="eastAsia" w:ascii="宋体" w:hAnsi="宋体"/>
          <w:color w:val="auto"/>
          <w:szCs w:val="21"/>
          <w:highlight w:val="none"/>
          <w:lang w:val="en-US" w:eastAsia="zh-CN"/>
        </w:rPr>
        <w:t>盖</w:t>
      </w:r>
      <w:r>
        <w:rPr>
          <w:rFonts w:hint="eastAsia" w:ascii="宋体" w:hAnsi="宋体"/>
          <w:color w:val="auto"/>
          <w:szCs w:val="21"/>
          <w:highlight w:val="none"/>
        </w:rPr>
        <w:t>章）：</w:t>
      </w:r>
    </w:p>
    <w:p w14:paraId="3617905E">
      <w:pPr>
        <w:keepNext w:val="0"/>
        <w:keepLines w:val="0"/>
        <w:pageBreakBefore w:val="0"/>
        <w:widowControl w:val="0"/>
        <w:kinsoku/>
        <w:wordWrap/>
        <w:overflowPunct/>
        <w:topLinePunct w:val="0"/>
        <w:autoSpaceDE/>
        <w:autoSpaceDN/>
        <w:bidi w:val="0"/>
        <w:adjustRightInd/>
        <w:snapToGrid/>
        <w:spacing w:line="440" w:lineRule="exact"/>
        <w:ind w:firstLine="5250" w:firstLineChars="2500"/>
        <w:textAlignment w:val="auto"/>
        <w:rPr>
          <w:color w:val="auto"/>
          <w:highlight w:val="none"/>
        </w:rPr>
      </w:pPr>
      <w:r>
        <w:rPr>
          <w:rFonts w:hint="eastAsia" w:ascii="宋体" w:hAnsi="宋体"/>
          <w:color w:val="auto"/>
          <w:szCs w:val="21"/>
          <w:highlight w:val="none"/>
        </w:rPr>
        <w:t>日期：    年   月   日</w:t>
      </w:r>
    </w:p>
    <w:p w14:paraId="364DDAFB">
      <w:pPr>
        <w:rPr>
          <w:rFonts w:eastAsia="黑体"/>
          <w:color w:val="auto"/>
          <w:sz w:val="28"/>
          <w:szCs w:val="28"/>
          <w:highlight w:val="none"/>
          <w:u w:val="single"/>
        </w:rPr>
      </w:pPr>
      <w:r>
        <w:rPr>
          <w:rFonts w:hint="eastAsia" w:ascii="宋体" w:hAnsi="宋体"/>
          <w:b/>
          <w:color w:val="auto"/>
          <w:sz w:val="32"/>
          <w:szCs w:val="32"/>
          <w:highlight w:val="none"/>
        </w:rPr>
        <w:br w:type="page"/>
      </w:r>
    </w:p>
    <w:p w14:paraId="576EEB9B">
      <w:pPr>
        <w:adjustRightInd w:val="0"/>
        <w:snapToGrid w:val="0"/>
        <w:spacing w:line="560" w:lineRule="exact"/>
        <w:jc w:val="center"/>
        <w:rPr>
          <w:rFonts w:hint="eastAsia" w:eastAsia="黑体"/>
          <w:color w:val="auto"/>
          <w:sz w:val="28"/>
          <w:szCs w:val="28"/>
          <w:highlight w:val="none"/>
          <w:u w:val="single"/>
        </w:rPr>
      </w:pPr>
    </w:p>
    <w:p w14:paraId="25D978AE">
      <w:pPr>
        <w:adjustRightInd w:val="0"/>
        <w:snapToGrid w:val="0"/>
        <w:spacing w:line="560" w:lineRule="exact"/>
        <w:jc w:val="center"/>
        <w:rPr>
          <w:rFonts w:hint="eastAsia" w:eastAsia="黑体"/>
          <w:color w:val="auto"/>
          <w:sz w:val="28"/>
          <w:szCs w:val="28"/>
          <w:highlight w:val="none"/>
          <w:u w:val="single"/>
        </w:rPr>
      </w:pPr>
    </w:p>
    <w:p w14:paraId="021BBC41">
      <w:pPr>
        <w:adjustRightInd w:val="0"/>
        <w:snapToGrid w:val="0"/>
        <w:spacing w:line="560" w:lineRule="exact"/>
        <w:jc w:val="center"/>
        <w:rPr>
          <w:rFonts w:hint="eastAsia" w:eastAsia="黑体"/>
          <w:color w:val="auto"/>
          <w:sz w:val="28"/>
          <w:szCs w:val="28"/>
          <w:highlight w:val="none"/>
          <w:u w:val="single"/>
        </w:rPr>
      </w:pPr>
    </w:p>
    <w:p w14:paraId="45062D82">
      <w:pPr>
        <w:adjustRightInd w:val="0"/>
        <w:snapToGrid w:val="0"/>
        <w:spacing w:line="560" w:lineRule="exact"/>
        <w:jc w:val="center"/>
        <w:rPr>
          <w:rFonts w:hint="eastAsia" w:eastAsia="黑体"/>
          <w:color w:val="auto"/>
          <w:sz w:val="28"/>
          <w:szCs w:val="28"/>
          <w:highlight w:val="none"/>
          <w:u w:val="single"/>
        </w:rPr>
      </w:pPr>
    </w:p>
    <w:p w14:paraId="650957C7">
      <w:pPr>
        <w:adjustRightInd w:val="0"/>
        <w:snapToGrid w:val="0"/>
        <w:spacing w:line="560" w:lineRule="exact"/>
        <w:jc w:val="center"/>
        <w:rPr>
          <w:rFonts w:hint="eastAsia" w:eastAsia="黑体"/>
          <w:color w:val="auto"/>
          <w:sz w:val="20"/>
          <w:szCs w:val="20"/>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（项目名称）</w:t>
      </w:r>
    </w:p>
    <w:p w14:paraId="34CAF67E">
      <w:pPr>
        <w:adjustRightInd w:val="0"/>
        <w:snapToGrid w:val="0"/>
        <w:spacing w:line="560" w:lineRule="exact"/>
        <w:jc w:val="center"/>
        <w:rPr>
          <w:rFonts w:hint="eastAsia" w:eastAsia="黑体"/>
          <w:color w:val="auto"/>
          <w:sz w:val="20"/>
          <w:szCs w:val="20"/>
          <w:highlight w:val="none"/>
        </w:rPr>
      </w:pPr>
    </w:p>
    <w:p w14:paraId="51C60653">
      <w:pPr>
        <w:adjustRightInd w:val="0"/>
        <w:snapToGrid w:val="0"/>
        <w:spacing w:line="560" w:lineRule="exact"/>
        <w:rPr>
          <w:rFonts w:hint="eastAsia" w:eastAsia="黑体"/>
          <w:color w:val="auto"/>
          <w:sz w:val="20"/>
          <w:szCs w:val="20"/>
          <w:highlight w:val="none"/>
        </w:rPr>
      </w:pPr>
    </w:p>
    <w:p w14:paraId="04FBF58C">
      <w:pPr>
        <w:adjustRightInd w:val="0"/>
        <w:snapToGrid w:val="0"/>
        <w:spacing w:line="560" w:lineRule="exact"/>
        <w:jc w:val="center"/>
        <w:rPr>
          <w:rFonts w:hint="eastAsia"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二</w:t>
      </w:r>
    </w:p>
    <w:p w14:paraId="5ED1A363">
      <w:pPr>
        <w:adjustRightInd w:val="0"/>
        <w:snapToGrid w:val="0"/>
        <w:spacing w:line="560" w:lineRule="exact"/>
        <w:jc w:val="center"/>
        <w:rPr>
          <w:rFonts w:hint="eastAsia" w:eastAsia="黑体"/>
          <w:color w:val="auto"/>
          <w:sz w:val="44"/>
          <w:szCs w:val="44"/>
          <w:highlight w:val="none"/>
        </w:rPr>
      </w:pPr>
      <w:r>
        <w:rPr>
          <w:rFonts w:hint="eastAsia" w:eastAsia="黑体"/>
          <w:color w:val="auto"/>
          <w:sz w:val="44"/>
          <w:szCs w:val="44"/>
          <w:highlight w:val="none"/>
        </w:rPr>
        <w:t>（技术标文件）</w:t>
      </w:r>
    </w:p>
    <w:p w14:paraId="3F93D178">
      <w:pPr>
        <w:adjustRightInd w:val="0"/>
        <w:snapToGrid w:val="0"/>
        <w:spacing w:line="560" w:lineRule="exact"/>
        <w:rPr>
          <w:rFonts w:eastAsia="黑体"/>
          <w:color w:val="auto"/>
          <w:sz w:val="28"/>
          <w:szCs w:val="28"/>
          <w:highlight w:val="none"/>
        </w:rPr>
      </w:pPr>
    </w:p>
    <w:p w14:paraId="14641E1E">
      <w:pPr>
        <w:adjustRightInd w:val="0"/>
        <w:snapToGrid w:val="0"/>
        <w:spacing w:line="560" w:lineRule="exact"/>
        <w:rPr>
          <w:rFonts w:eastAsia="黑体"/>
          <w:color w:val="auto"/>
          <w:sz w:val="28"/>
          <w:szCs w:val="28"/>
          <w:highlight w:val="none"/>
        </w:rPr>
      </w:pPr>
    </w:p>
    <w:p w14:paraId="1F90D52E">
      <w:pPr>
        <w:adjustRightInd w:val="0"/>
        <w:snapToGrid w:val="0"/>
        <w:spacing w:line="560" w:lineRule="exact"/>
        <w:rPr>
          <w:rFonts w:eastAsia="黑体"/>
          <w:color w:val="auto"/>
          <w:sz w:val="28"/>
          <w:szCs w:val="28"/>
          <w:highlight w:val="none"/>
        </w:rPr>
      </w:pPr>
    </w:p>
    <w:p w14:paraId="7A259675">
      <w:pPr>
        <w:adjustRightInd w:val="0"/>
        <w:snapToGrid w:val="0"/>
        <w:spacing w:line="560" w:lineRule="exact"/>
        <w:rPr>
          <w:rFonts w:eastAsia="黑体"/>
          <w:color w:val="auto"/>
          <w:sz w:val="28"/>
          <w:szCs w:val="28"/>
          <w:highlight w:val="none"/>
        </w:rPr>
      </w:pPr>
    </w:p>
    <w:p w14:paraId="2D159310">
      <w:pPr>
        <w:adjustRightInd w:val="0"/>
        <w:snapToGrid w:val="0"/>
        <w:spacing w:line="560" w:lineRule="exact"/>
        <w:rPr>
          <w:rFonts w:hint="eastAsia" w:eastAsia="黑体"/>
          <w:color w:val="auto"/>
          <w:sz w:val="28"/>
          <w:szCs w:val="28"/>
          <w:highlight w:val="none"/>
        </w:rPr>
      </w:pPr>
    </w:p>
    <w:p w14:paraId="0F232666">
      <w:pPr>
        <w:pStyle w:val="14"/>
        <w:rPr>
          <w:rFonts w:hint="eastAsia"/>
          <w:color w:val="auto"/>
          <w:highlight w:val="none"/>
        </w:rPr>
      </w:pPr>
    </w:p>
    <w:p w14:paraId="592223C0">
      <w:pPr>
        <w:rPr>
          <w:color w:val="auto"/>
          <w:highlight w:val="none"/>
        </w:rPr>
      </w:pPr>
    </w:p>
    <w:p w14:paraId="52F3A51E">
      <w:pPr>
        <w:adjustRightInd w:val="0"/>
        <w:snapToGrid w:val="0"/>
        <w:spacing w:line="560" w:lineRule="exact"/>
        <w:rPr>
          <w:rFonts w:eastAsia="黑体"/>
          <w:color w:val="auto"/>
          <w:sz w:val="28"/>
          <w:szCs w:val="28"/>
          <w:highlight w:val="none"/>
        </w:rPr>
      </w:pPr>
    </w:p>
    <w:p w14:paraId="5A3D8557">
      <w:pPr>
        <w:pStyle w:val="14"/>
        <w:adjustRightInd w:val="0"/>
        <w:snapToGrid w:val="0"/>
        <w:spacing w:after="0" w:line="560" w:lineRule="exact"/>
        <w:ind w:left="0" w:leftChars="0" w:firstLine="560"/>
        <w:rPr>
          <w:rFonts w:eastAsia="黑体"/>
          <w:color w:val="auto"/>
          <w:sz w:val="28"/>
          <w:szCs w:val="28"/>
          <w:highlight w:val="none"/>
        </w:rPr>
      </w:pPr>
    </w:p>
    <w:p w14:paraId="41A8EC40">
      <w:pPr>
        <w:adjustRightInd w:val="0"/>
        <w:snapToGrid w:val="0"/>
        <w:spacing w:line="560" w:lineRule="exact"/>
        <w:rPr>
          <w:rFonts w:eastAsia="黑体"/>
          <w:color w:val="auto"/>
          <w:sz w:val="28"/>
          <w:szCs w:val="28"/>
          <w:highlight w:val="none"/>
        </w:rPr>
      </w:pPr>
    </w:p>
    <w:p w14:paraId="6ECD99C8">
      <w:pPr>
        <w:pStyle w:val="14"/>
        <w:adjustRightInd w:val="0"/>
        <w:snapToGrid w:val="0"/>
        <w:spacing w:after="0" w:line="560" w:lineRule="exact"/>
        <w:ind w:left="0" w:leftChars="0" w:firstLine="0" w:firstLineChars="0"/>
        <w:rPr>
          <w:color w:val="auto"/>
          <w:highlight w:val="none"/>
        </w:rPr>
      </w:pPr>
    </w:p>
    <w:p w14:paraId="7E1CD6B5">
      <w:pPr>
        <w:adjustRightInd w:val="0"/>
        <w:snapToGrid w:val="0"/>
        <w:spacing w:line="560" w:lineRule="exact"/>
        <w:rPr>
          <w:rFonts w:eastAsia="黑体"/>
          <w:color w:val="auto"/>
          <w:sz w:val="28"/>
          <w:szCs w:val="28"/>
          <w:highlight w:val="none"/>
        </w:rPr>
      </w:pPr>
    </w:p>
    <w:p w14:paraId="73834895">
      <w:pPr>
        <w:adjustRightInd w:val="0"/>
        <w:snapToGrid w:val="0"/>
        <w:spacing w:line="560" w:lineRule="exact"/>
        <w:rPr>
          <w:rFonts w:eastAsia="黑体"/>
          <w:color w:val="auto"/>
          <w:sz w:val="28"/>
          <w:szCs w:val="28"/>
          <w:highlight w:val="none"/>
        </w:rPr>
      </w:pPr>
    </w:p>
    <w:p w14:paraId="09F05625">
      <w:pPr>
        <w:adjustRightInd w:val="0"/>
        <w:snapToGrid w:val="0"/>
        <w:spacing w:line="560" w:lineRule="exact"/>
        <w:jc w:val="center"/>
        <w:rPr>
          <w:rFonts w:eastAsia="黑体"/>
          <w:color w:val="auto"/>
          <w:sz w:val="28"/>
          <w:szCs w:val="28"/>
          <w:highlight w:val="none"/>
          <w:u w:val="single"/>
        </w:rPr>
      </w:pPr>
      <w:r>
        <w:rPr>
          <w:rFonts w:eastAsia="黑体"/>
          <w:color w:val="auto"/>
          <w:sz w:val="28"/>
          <w:szCs w:val="28"/>
          <w:highlight w:val="none"/>
        </w:rPr>
        <w:t>投标人：</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签章</w:t>
      </w:r>
      <w:r>
        <w:rPr>
          <w:rFonts w:eastAsia="黑体"/>
          <w:color w:val="auto"/>
          <w:sz w:val="28"/>
          <w:szCs w:val="28"/>
          <w:highlight w:val="none"/>
        </w:rPr>
        <w:t>）</w:t>
      </w:r>
    </w:p>
    <w:p w14:paraId="29A7AEF7">
      <w:pPr>
        <w:adjustRightInd w:val="0"/>
        <w:snapToGrid w:val="0"/>
        <w:spacing w:line="560" w:lineRule="exact"/>
        <w:jc w:val="center"/>
        <w:rPr>
          <w:rFonts w:eastAsia="黑体"/>
          <w:color w:val="auto"/>
          <w:sz w:val="28"/>
          <w:szCs w:val="28"/>
          <w:highlight w:val="none"/>
        </w:rPr>
      </w:pPr>
      <w:r>
        <w:rPr>
          <w:rFonts w:hint="eastAsia" w:eastAsia="黑体"/>
          <w:color w:val="auto"/>
          <w:sz w:val="28"/>
          <w:szCs w:val="28"/>
          <w:highlight w:val="none"/>
        </w:rPr>
        <w:t>法定代表人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rPr>
        <w:t>（签</w:t>
      </w:r>
      <w:r>
        <w:rPr>
          <w:rFonts w:hint="eastAsia" w:eastAsia="黑体"/>
          <w:color w:val="auto"/>
          <w:sz w:val="28"/>
          <w:szCs w:val="28"/>
          <w:highlight w:val="none"/>
        </w:rPr>
        <w:t>章</w:t>
      </w:r>
      <w:r>
        <w:rPr>
          <w:rFonts w:eastAsia="黑体"/>
          <w:color w:val="auto"/>
          <w:sz w:val="28"/>
          <w:szCs w:val="28"/>
          <w:highlight w:val="none"/>
        </w:rPr>
        <w:t>）</w:t>
      </w:r>
      <w:r>
        <w:rPr>
          <w:rFonts w:hint="eastAsia" w:ascii="仿宋_GB2312" w:eastAsia="仿宋_GB2312"/>
          <w:color w:val="auto"/>
          <w:sz w:val="28"/>
          <w:szCs w:val="28"/>
          <w:highlight w:val="none"/>
          <w:vertAlign w:val="superscript"/>
        </w:rPr>
        <w:t>①</w:t>
      </w:r>
    </w:p>
    <w:p w14:paraId="4767AA77">
      <w:pPr>
        <w:adjustRightInd w:val="0"/>
        <w:snapToGrid w:val="0"/>
        <w:spacing w:line="560" w:lineRule="exact"/>
        <w:jc w:val="center"/>
        <w:rPr>
          <w:rFonts w:hint="eastAsia"/>
          <w:color w:val="auto"/>
          <w:highlight w:val="none"/>
        </w:rPr>
      </w:pP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eastAsia="黑体"/>
          <w:color w:val="auto"/>
          <w:sz w:val="28"/>
          <w:szCs w:val="28"/>
          <w:highlight w:val="none"/>
        </w:rPr>
        <w:t>日</w:t>
      </w:r>
    </w:p>
    <w:p w14:paraId="68293451">
      <w:pPr>
        <w:rPr>
          <w:rFonts w:hint="eastAsia"/>
          <w:color w:val="auto"/>
          <w:highlight w:val="none"/>
        </w:rPr>
      </w:pPr>
      <w:bookmarkStart w:id="1015" w:name="_Toc95223539"/>
      <w:r>
        <w:rPr>
          <w:rFonts w:hint="eastAsia"/>
          <w:color w:val="auto"/>
          <w:highlight w:val="none"/>
        </w:rPr>
        <w:br w:type="page"/>
      </w:r>
    </w:p>
    <w:p w14:paraId="1B189BE9">
      <w:pPr>
        <w:spacing w:beforeLines="50" w:afterLines="50" w:line="440" w:lineRule="exact"/>
        <w:jc w:val="left"/>
        <w:rPr>
          <w:rStyle w:val="120"/>
          <w:rFonts w:hint="eastAsia" w:ascii="宋体" w:hAnsi="宋体" w:eastAsia="宋体" w:cs="宋体"/>
          <w:color w:val="auto"/>
          <w:sz w:val="32"/>
          <w:highlight w:val="none"/>
        </w:rPr>
      </w:pPr>
      <w:r>
        <w:rPr>
          <w:rStyle w:val="120"/>
          <w:rFonts w:hint="eastAsia" w:ascii="宋体" w:hAnsi="宋体" w:eastAsia="宋体" w:cs="宋体"/>
          <w:color w:val="auto"/>
          <w:sz w:val="32"/>
          <w:highlight w:val="none"/>
        </w:rPr>
        <w:t>投标文件二：技术标目录</w:t>
      </w:r>
      <w:bookmarkEnd w:id="1015"/>
    </w:p>
    <w:p w14:paraId="4A757280">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（1）施工组织设计</w:t>
      </w:r>
    </w:p>
    <w:p w14:paraId="161C70FE">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（2）其他技术标评审所需资料</w:t>
      </w:r>
    </w:p>
    <w:p w14:paraId="54F384A3">
      <w:pPr>
        <w:adjustRightInd w:val="0"/>
        <w:snapToGrid w:val="0"/>
        <w:spacing w:line="560" w:lineRule="exact"/>
        <w:rPr>
          <w:rFonts w:hint="eastAsia" w:ascii="宋体" w:hAnsi="宋体"/>
          <w:color w:val="auto"/>
          <w:szCs w:val="21"/>
          <w:highlight w:val="none"/>
        </w:rPr>
      </w:pPr>
    </w:p>
    <w:p w14:paraId="04ED82F0">
      <w:pPr>
        <w:adjustRightInd w:val="0"/>
        <w:snapToGrid w:val="0"/>
        <w:spacing w:line="560" w:lineRule="exact"/>
        <w:rPr>
          <w:rFonts w:hint="eastAsia" w:ascii="仿宋_GB2312" w:eastAsia="仿宋_GB2312"/>
          <w:color w:val="auto"/>
          <w:szCs w:val="21"/>
          <w:highlight w:val="none"/>
        </w:rPr>
      </w:pPr>
    </w:p>
    <w:p w14:paraId="2194FA78">
      <w:pPr>
        <w:rPr>
          <w:color w:val="auto"/>
          <w:highlight w:val="none"/>
        </w:rPr>
      </w:pPr>
    </w:p>
    <w:p w14:paraId="15A2C948">
      <w:pPr>
        <w:rPr>
          <w:color w:val="auto"/>
          <w:highlight w:val="none"/>
        </w:rPr>
      </w:pPr>
      <w:r>
        <w:rPr>
          <w:color w:val="auto"/>
          <w:highlight w:val="none"/>
        </w:rPr>
        <w:br w:type="page"/>
      </w:r>
    </w:p>
    <w:p w14:paraId="32909EE7">
      <w:pPr>
        <w:rPr>
          <w:color w:val="auto"/>
          <w:highlight w:val="none"/>
        </w:rPr>
      </w:pPr>
    </w:p>
    <w:p w14:paraId="37AFF5C8">
      <w:pPr>
        <w:rPr>
          <w:color w:val="auto"/>
          <w:highlight w:val="none"/>
        </w:rPr>
      </w:pPr>
    </w:p>
    <w:p w14:paraId="10A94BA1">
      <w:pPr>
        <w:pStyle w:val="14"/>
        <w:rPr>
          <w:color w:val="auto"/>
          <w:highlight w:val="none"/>
        </w:rPr>
      </w:pPr>
    </w:p>
    <w:p w14:paraId="50582D72">
      <w:pPr>
        <w:rPr>
          <w:color w:val="auto"/>
          <w:highlight w:val="none"/>
        </w:rPr>
      </w:pPr>
    </w:p>
    <w:p w14:paraId="4408DAAE">
      <w:pPr>
        <w:pStyle w:val="14"/>
        <w:rPr>
          <w:color w:val="auto"/>
          <w:highlight w:val="none"/>
        </w:rPr>
      </w:pPr>
    </w:p>
    <w:p w14:paraId="1ADCBC81">
      <w:pPr>
        <w:rPr>
          <w:color w:val="auto"/>
          <w:highlight w:val="none"/>
        </w:rPr>
      </w:pPr>
    </w:p>
    <w:p w14:paraId="52F921F7">
      <w:pPr>
        <w:jc w:val="center"/>
        <w:rPr>
          <w:rFonts w:eastAsia="黑体"/>
          <w:color w:val="auto"/>
          <w:sz w:val="20"/>
          <w:szCs w:val="20"/>
          <w:highlight w:val="none"/>
        </w:rPr>
      </w:pPr>
      <w:r>
        <w:rPr>
          <w:rFonts w:eastAsia="黑体"/>
          <w:color w:val="auto"/>
          <w:sz w:val="28"/>
          <w:szCs w:val="28"/>
          <w:highlight w:val="none"/>
        </w:rPr>
        <w:t>（项目名称）</w:t>
      </w:r>
    </w:p>
    <w:p w14:paraId="1CB3AF7F">
      <w:pPr>
        <w:jc w:val="center"/>
        <w:rPr>
          <w:rFonts w:eastAsia="黑体"/>
          <w:color w:val="auto"/>
          <w:sz w:val="20"/>
          <w:szCs w:val="20"/>
          <w:highlight w:val="none"/>
        </w:rPr>
      </w:pPr>
    </w:p>
    <w:p w14:paraId="7F67D925">
      <w:pPr>
        <w:rPr>
          <w:rFonts w:eastAsia="黑体"/>
          <w:color w:val="auto"/>
          <w:sz w:val="20"/>
          <w:szCs w:val="20"/>
          <w:highlight w:val="none"/>
        </w:rPr>
      </w:pPr>
    </w:p>
    <w:p w14:paraId="5AE9D7EA">
      <w:pPr>
        <w:jc w:val="center"/>
        <w:rPr>
          <w:rFonts w:hint="eastAsia" w:eastAsia="黑体"/>
          <w:color w:val="auto"/>
          <w:sz w:val="44"/>
          <w:szCs w:val="44"/>
          <w:highlight w:val="none"/>
          <w:lang w:eastAsia="zh-CN"/>
        </w:rPr>
      </w:pPr>
      <w:r>
        <w:rPr>
          <w:rFonts w:eastAsia="黑体"/>
          <w:color w:val="auto"/>
          <w:sz w:val="44"/>
          <w:szCs w:val="44"/>
          <w:highlight w:val="none"/>
        </w:rPr>
        <w:t>投  标  文  件</w:t>
      </w:r>
      <w:r>
        <w:rPr>
          <w:rFonts w:hint="eastAsia" w:eastAsia="黑体"/>
          <w:color w:val="auto"/>
          <w:sz w:val="44"/>
          <w:szCs w:val="44"/>
          <w:highlight w:val="none"/>
        </w:rPr>
        <w:t xml:space="preserve">  </w:t>
      </w:r>
      <w:r>
        <w:rPr>
          <w:rFonts w:hint="eastAsia" w:eastAsia="黑体"/>
          <w:color w:val="auto"/>
          <w:sz w:val="44"/>
          <w:szCs w:val="44"/>
          <w:highlight w:val="none"/>
          <w:lang w:val="en-US" w:eastAsia="zh-CN"/>
        </w:rPr>
        <w:t>二</w:t>
      </w:r>
    </w:p>
    <w:p w14:paraId="4D9A83AD">
      <w:pPr>
        <w:jc w:val="center"/>
        <w:rPr>
          <w:rFonts w:eastAsia="黑体"/>
          <w:color w:val="auto"/>
          <w:sz w:val="44"/>
          <w:szCs w:val="44"/>
          <w:highlight w:val="none"/>
        </w:rPr>
      </w:pPr>
      <w:r>
        <w:rPr>
          <w:rFonts w:hint="eastAsia" w:eastAsia="黑体"/>
          <w:color w:val="auto"/>
          <w:sz w:val="44"/>
          <w:szCs w:val="44"/>
          <w:highlight w:val="none"/>
        </w:rPr>
        <w:t>（商务标文件）</w:t>
      </w:r>
    </w:p>
    <w:p w14:paraId="00AD4571">
      <w:pPr>
        <w:rPr>
          <w:rFonts w:eastAsia="黑体"/>
          <w:color w:val="auto"/>
          <w:sz w:val="28"/>
          <w:szCs w:val="28"/>
          <w:highlight w:val="none"/>
        </w:rPr>
      </w:pPr>
    </w:p>
    <w:p w14:paraId="03FF9373">
      <w:pPr>
        <w:rPr>
          <w:rFonts w:eastAsia="黑体"/>
          <w:color w:val="auto"/>
          <w:sz w:val="28"/>
          <w:szCs w:val="28"/>
          <w:highlight w:val="none"/>
        </w:rPr>
      </w:pPr>
    </w:p>
    <w:p w14:paraId="6F4198FD">
      <w:pPr>
        <w:rPr>
          <w:rFonts w:eastAsia="黑体"/>
          <w:color w:val="auto"/>
          <w:sz w:val="28"/>
          <w:szCs w:val="28"/>
          <w:highlight w:val="none"/>
        </w:rPr>
      </w:pPr>
    </w:p>
    <w:p w14:paraId="18D553B1">
      <w:pPr>
        <w:rPr>
          <w:rFonts w:eastAsia="黑体"/>
          <w:color w:val="auto"/>
          <w:sz w:val="28"/>
          <w:szCs w:val="28"/>
          <w:highlight w:val="none"/>
        </w:rPr>
      </w:pPr>
    </w:p>
    <w:p w14:paraId="0E5FE50F">
      <w:pPr>
        <w:rPr>
          <w:rFonts w:eastAsia="黑体"/>
          <w:color w:val="auto"/>
          <w:sz w:val="28"/>
          <w:szCs w:val="28"/>
          <w:highlight w:val="none"/>
        </w:rPr>
      </w:pPr>
    </w:p>
    <w:p w14:paraId="74AFA9E2">
      <w:pPr>
        <w:rPr>
          <w:rFonts w:eastAsia="黑体"/>
          <w:color w:val="auto"/>
          <w:sz w:val="28"/>
          <w:szCs w:val="28"/>
          <w:highlight w:val="none"/>
        </w:rPr>
      </w:pPr>
    </w:p>
    <w:p w14:paraId="078AB10D">
      <w:pPr>
        <w:rPr>
          <w:rFonts w:eastAsia="黑体"/>
          <w:color w:val="auto"/>
          <w:sz w:val="28"/>
          <w:szCs w:val="28"/>
          <w:highlight w:val="none"/>
        </w:rPr>
      </w:pPr>
    </w:p>
    <w:p w14:paraId="5C03182B">
      <w:pPr>
        <w:rPr>
          <w:rFonts w:eastAsia="黑体"/>
          <w:color w:val="auto"/>
          <w:sz w:val="28"/>
          <w:szCs w:val="28"/>
          <w:highlight w:val="none"/>
        </w:rPr>
      </w:pPr>
    </w:p>
    <w:p w14:paraId="50FB798D">
      <w:pPr>
        <w:rPr>
          <w:rFonts w:eastAsia="黑体"/>
          <w:color w:val="auto"/>
          <w:sz w:val="28"/>
          <w:szCs w:val="28"/>
          <w:highlight w:val="none"/>
        </w:rPr>
      </w:pPr>
    </w:p>
    <w:p w14:paraId="3118FFCA">
      <w:pPr>
        <w:pStyle w:val="14"/>
        <w:rPr>
          <w:rFonts w:eastAsia="黑体"/>
          <w:color w:val="auto"/>
          <w:sz w:val="28"/>
          <w:szCs w:val="28"/>
          <w:highlight w:val="none"/>
        </w:rPr>
      </w:pPr>
    </w:p>
    <w:p w14:paraId="01BE5E84">
      <w:pPr>
        <w:rPr>
          <w:rFonts w:eastAsia="黑体"/>
          <w:color w:val="auto"/>
          <w:sz w:val="28"/>
          <w:szCs w:val="28"/>
          <w:highlight w:val="none"/>
        </w:rPr>
      </w:pPr>
    </w:p>
    <w:p w14:paraId="2FE9E756">
      <w:pPr>
        <w:pStyle w:val="14"/>
        <w:rPr>
          <w:rFonts w:eastAsia="黑体"/>
          <w:color w:val="auto"/>
          <w:sz w:val="28"/>
          <w:szCs w:val="28"/>
          <w:highlight w:val="none"/>
        </w:rPr>
      </w:pPr>
    </w:p>
    <w:p w14:paraId="67B6F8F9">
      <w:pPr>
        <w:rPr>
          <w:rFonts w:eastAsia="黑体"/>
          <w:color w:val="auto"/>
          <w:sz w:val="28"/>
          <w:szCs w:val="28"/>
          <w:highlight w:val="none"/>
        </w:rPr>
      </w:pPr>
    </w:p>
    <w:p w14:paraId="3C7498B7">
      <w:pPr>
        <w:pStyle w:val="14"/>
        <w:rPr>
          <w:rFonts w:eastAsia="黑体"/>
          <w:color w:val="auto"/>
          <w:sz w:val="28"/>
          <w:szCs w:val="28"/>
          <w:highlight w:val="none"/>
        </w:rPr>
      </w:pPr>
    </w:p>
    <w:p w14:paraId="34079401">
      <w:pPr>
        <w:rPr>
          <w:rFonts w:eastAsia="黑体"/>
          <w:color w:val="auto"/>
          <w:sz w:val="28"/>
          <w:szCs w:val="28"/>
          <w:highlight w:val="none"/>
        </w:rPr>
      </w:pPr>
    </w:p>
    <w:p w14:paraId="794B988D">
      <w:pPr>
        <w:pStyle w:val="14"/>
        <w:rPr>
          <w:color w:val="auto"/>
          <w:highlight w:val="none"/>
        </w:rPr>
      </w:pPr>
    </w:p>
    <w:p w14:paraId="0682BFC9">
      <w:pPr>
        <w:rPr>
          <w:rFonts w:eastAsia="黑体"/>
          <w:color w:val="auto"/>
          <w:sz w:val="28"/>
          <w:szCs w:val="28"/>
          <w:highlight w:val="none"/>
        </w:rPr>
      </w:pPr>
    </w:p>
    <w:p w14:paraId="68117E32">
      <w:pPr>
        <w:rPr>
          <w:rFonts w:eastAsia="黑体"/>
          <w:color w:val="auto"/>
          <w:sz w:val="28"/>
          <w:szCs w:val="28"/>
          <w:highlight w:val="none"/>
        </w:rPr>
      </w:pPr>
    </w:p>
    <w:p w14:paraId="038F9E36">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14:paraId="4CAB06D8">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14:paraId="350C1BB2">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14:paraId="2EE77B13">
      <w:pPr>
        <w:rPr>
          <w:color w:val="auto"/>
          <w:highlight w:val="none"/>
        </w:rPr>
      </w:pPr>
    </w:p>
    <w:p w14:paraId="2F4494A4">
      <w:pPr>
        <w:pStyle w:val="14"/>
        <w:ind w:firstLine="420"/>
        <w:rPr>
          <w:color w:val="auto"/>
          <w:highlight w:val="none"/>
        </w:rPr>
      </w:pPr>
    </w:p>
    <w:p w14:paraId="3AB72A24">
      <w:pPr>
        <w:rPr>
          <w:color w:val="auto"/>
          <w:highlight w:val="none"/>
        </w:rPr>
      </w:pPr>
    </w:p>
    <w:p w14:paraId="60A767E1">
      <w:pPr>
        <w:spacing w:beforeLines="50" w:afterLines="50" w:line="440" w:lineRule="exact"/>
        <w:ind w:firstLine="643" w:firstLineChars="200"/>
        <w:jc w:val="left"/>
        <w:rPr>
          <w:rStyle w:val="120"/>
          <w:rFonts w:ascii="宋体" w:hAnsi="宋体" w:cs="宋体"/>
          <w:color w:val="auto"/>
          <w:sz w:val="32"/>
          <w:highlight w:val="none"/>
        </w:rPr>
      </w:pPr>
      <w:bookmarkStart w:id="1016" w:name="_Toc35424973"/>
      <w:bookmarkStart w:id="1017" w:name="_Toc19174"/>
      <w:bookmarkStart w:id="1018" w:name="_Toc35425139"/>
      <w:bookmarkStart w:id="1019" w:name="_Toc78803401"/>
      <w:r>
        <w:rPr>
          <w:rStyle w:val="120"/>
          <w:rFonts w:hint="eastAsia" w:ascii="宋体" w:hAnsi="宋体" w:cs="宋体"/>
          <w:color w:val="auto"/>
          <w:sz w:val="32"/>
          <w:highlight w:val="none"/>
        </w:rPr>
        <w:t>投标文件</w:t>
      </w:r>
      <w:bookmarkEnd w:id="1016"/>
      <w:bookmarkEnd w:id="1017"/>
      <w:bookmarkEnd w:id="1018"/>
      <w:r>
        <w:rPr>
          <w:rStyle w:val="120"/>
          <w:rFonts w:hint="eastAsia" w:ascii="宋体" w:hAnsi="宋体" w:cs="宋体"/>
          <w:color w:val="auto"/>
          <w:sz w:val="32"/>
          <w:highlight w:val="none"/>
          <w:lang w:val="en-US"/>
        </w:rPr>
        <w:t>二</w:t>
      </w:r>
      <w:r>
        <w:rPr>
          <w:rStyle w:val="120"/>
          <w:rFonts w:hint="eastAsia" w:ascii="宋体" w:hAnsi="宋体" w:cs="宋体"/>
          <w:color w:val="auto"/>
          <w:sz w:val="32"/>
          <w:highlight w:val="none"/>
        </w:rPr>
        <w:t>：商务标目录</w:t>
      </w:r>
      <w:bookmarkEnd w:id="1019"/>
    </w:p>
    <w:p w14:paraId="3318E4A9">
      <w:pPr>
        <w:adjustRightInd w:val="0"/>
        <w:snapToGrid w:val="0"/>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（1）投标函；</w:t>
      </w:r>
    </w:p>
    <w:p w14:paraId="4E3CCDEE">
      <w:pPr>
        <w:adjustRightInd w:val="0"/>
        <w:snapToGrid w:val="0"/>
        <w:spacing w:line="560" w:lineRule="exact"/>
        <w:ind w:firstLine="420" w:firstLineChars="200"/>
        <w:rPr>
          <w:rFonts w:hint="eastAsia" w:eastAsia="宋体"/>
          <w:color w:val="auto"/>
          <w:highlight w:val="none"/>
          <w:lang w:eastAsia="zh-CN"/>
        </w:rPr>
      </w:pPr>
      <w:r>
        <w:rPr>
          <w:rFonts w:hint="eastAsia" w:ascii="宋体" w:hAnsi="宋体"/>
          <w:color w:val="auto"/>
          <w:szCs w:val="21"/>
          <w:highlight w:val="none"/>
        </w:rPr>
        <w:t>（2）工程量清单报价书</w:t>
      </w:r>
      <w:r>
        <w:rPr>
          <w:rFonts w:hint="eastAsia" w:ascii="宋体" w:hAnsi="宋体"/>
          <w:color w:val="auto"/>
          <w:szCs w:val="21"/>
          <w:highlight w:val="none"/>
          <w:lang w:eastAsia="zh-CN"/>
        </w:rPr>
        <w:t>；</w:t>
      </w:r>
    </w:p>
    <w:p w14:paraId="1DD25671">
      <w:pPr>
        <w:adjustRightInd w:val="0"/>
        <w:snapToGrid w:val="0"/>
        <w:spacing w:line="560" w:lineRule="exact"/>
        <w:ind w:firstLine="420" w:firstLineChars="200"/>
        <w:rPr>
          <w:rFonts w:hint="eastAsia" w:ascii="宋体" w:hAnsi="宋体" w:eastAsia="宋体" w:cs="Times New Roman"/>
          <w:color w:val="auto"/>
          <w:szCs w:val="21"/>
          <w:highlight w:val="none"/>
          <w:lang w:eastAsia="zh-CN"/>
        </w:rPr>
      </w:pPr>
      <w:r>
        <w:rPr>
          <w:rFonts w:hint="eastAsia" w:ascii="宋体" w:hAnsi="宋体"/>
          <w:color w:val="auto"/>
          <w:szCs w:val="21"/>
          <w:highlight w:val="none"/>
        </w:rPr>
        <w:t>（3）招标人推荐的</w:t>
      </w:r>
      <w:r>
        <w:rPr>
          <w:rFonts w:hint="eastAsia" w:ascii="宋体" w:hAnsi="宋体" w:eastAsia="宋体" w:cs="Times New Roman"/>
          <w:color w:val="auto"/>
          <w:szCs w:val="21"/>
          <w:highlight w:val="none"/>
        </w:rPr>
        <w:t>材料品牌响应表（如有）</w:t>
      </w:r>
      <w:r>
        <w:rPr>
          <w:rFonts w:hint="eastAsia" w:ascii="宋体" w:hAnsi="宋体" w:eastAsia="宋体" w:cs="Times New Roman"/>
          <w:color w:val="auto"/>
          <w:szCs w:val="21"/>
          <w:highlight w:val="none"/>
          <w:lang w:eastAsia="zh-CN"/>
        </w:rPr>
        <w:t>；</w:t>
      </w:r>
    </w:p>
    <w:p w14:paraId="7DEC2A54">
      <w:pPr>
        <w:adjustRightInd w:val="0"/>
        <w:snapToGrid w:val="0"/>
        <w:spacing w:line="5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（4）全国建筑市场监管公共服务平台(四库一平台)企业注册人员网页截图；</w:t>
      </w:r>
    </w:p>
    <w:p w14:paraId="66686266">
      <w:pPr>
        <w:adjustRightInd w:val="0"/>
        <w:snapToGrid w:val="0"/>
        <w:spacing w:line="5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（5）详细评审所需其他材料。</w:t>
      </w:r>
    </w:p>
    <w:p w14:paraId="03122088">
      <w:pPr>
        <w:spacing w:line="540" w:lineRule="exact"/>
        <w:rPr>
          <w:rFonts w:eastAsia="黑体"/>
          <w:color w:val="auto"/>
          <w:sz w:val="20"/>
          <w:szCs w:val="20"/>
          <w:highlight w:val="none"/>
        </w:rPr>
      </w:pPr>
    </w:p>
    <w:p w14:paraId="3338FC9F">
      <w:pPr>
        <w:spacing w:line="540" w:lineRule="exact"/>
        <w:rPr>
          <w:rFonts w:eastAsia="黑体"/>
          <w:color w:val="auto"/>
          <w:sz w:val="20"/>
          <w:szCs w:val="20"/>
          <w:highlight w:val="none"/>
        </w:rPr>
      </w:pPr>
    </w:p>
    <w:p w14:paraId="3D5F9903">
      <w:pPr>
        <w:spacing w:line="540" w:lineRule="exact"/>
        <w:rPr>
          <w:rFonts w:eastAsia="黑体"/>
          <w:color w:val="auto"/>
          <w:sz w:val="20"/>
          <w:szCs w:val="20"/>
          <w:highlight w:val="none"/>
        </w:rPr>
      </w:pPr>
    </w:p>
    <w:p w14:paraId="6FEF5B0D">
      <w:pPr>
        <w:spacing w:line="360" w:lineRule="auto"/>
        <w:ind w:firstLine="420" w:firstLineChars="200"/>
        <w:jc w:val="right"/>
        <w:rPr>
          <w:color w:val="auto"/>
          <w:szCs w:val="21"/>
          <w:highlight w:val="none"/>
          <w:u w:val="single"/>
        </w:rPr>
      </w:pPr>
    </w:p>
    <w:p w14:paraId="70F20168">
      <w:pPr>
        <w:spacing w:line="360" w:lineRule="auto"/>
        <w:ind w:firstLine="420" w:firstLineChars="200"/>
        <w:jc w:val="right"/>
        <w:rPr>
          <w:color w:val="auto"/>
          <w:szCs w:val="21"/>
          <w:highlight w:val="none"/>
          <w:u w:val="single"/>
        </w:rPr>
      </w:pPr>
    </w:p>
    <w:p w14:paraId="5BDCA848">
      <w:pPr>
        <w:spacing w:line="360" w:lineRule="auto"/>
        <w:ind w:firstLine="420" w:firstLineChars="200"/>
        <w:jc w:val="right"/>
        <w:rPr>
          <w:color w:val="auto"/>
          <w:szCs w:val="21"/>
          <w:highlight w:val="none"/>
          <w:u w:val="single"/>
        </w:rPr>
      </w:pPr>
    </w:p>
    <w:p w14:paraId="5B4A47D5">
      <w:pPr>
        <w:spacing w:line="360" w:lineRule="auto"/>
        <w:ind w:firstLine="420" w:firstLineChars="200"/>
        <w:jc w:val="right"/>
        <w:rPr>
          <w:color w:val="auto"/>
          <w:szCs w:val="21"/>
          <w:highlight w:val="none"/>
          <w:u w:val="single"/>
        </w:rPr>
      </w:pPr>
    </w:p>
    <w:p w14:paraId="6AF87BBA">
      <w:pPr>
        <w:spacing w:line="360" w:lineRule="auto"/>
        <w:ind w:firstLine="420" w:firstLineChars="200"/>
        <w:jc w:val="right"/>
        <w:rPr>
          <w:color w:val="auto"/>
          <w:szCs w:val="21"/>
          <w:highlight w:val="none"/>
          <w:u w:val="single"/>
        </w:rPr>
      </w:pPr>
    </w:p>
    <w:p w14:paraId="49A7FE35">
      <w:pPr>
        <w:spacing w:line="360" w:lineRule="auto"/>
        <w:ind w:firstLine="420" w:firstLineChars="200"/>
        <w:jc w:val="right"/>
        <w:rPr>
          <w:color w:val="auto"/>
          <w:szCs w:val="21"/>
          <w:highlight w:val="none"/>
          <w:u w:val="single"/>
        </w:rPr>
      </w:pPr>
    </w:p>
    <w:p w14:paraId="7EAE036F">
      <w:pPr>
        <w:spacing w:line="360" w:lineRule="auto"/>
        <w:ind w:firstLine="420" w:firstLineChars="200"/>
        <w:jc w:val="right"/>
        <w:rPr>
          <w:color w:val="auto"/>
          <w:szCs w:val="21"/>
          <w:highlight w:val="none"/>
          <w:u w:val="single"/>
        </w:rPr>
      </w:pPr>
    </w:p>
    <w:p w14:paraId="39D3A8B9">
      <w:pPr>
        <w:spacing w:line="360" w:lineRule="auto"/>
        <w:ind w:firstLine="420" w:firstLineChars="200"/>
        <w:jc w:val="right"/>
        <w:rPr>
          <w:color w:val="auto"/>
          <w:szCs w:val="21"/>
          <w:highlight w:val="none"/>
          <w:u w:val="single"/>
        </w:rPr>
      </w:pPr>
    </w:p>
    <w:p w14:paraId="042B576F">
      <w:pPr>
        <w:jc w:val="center"/>
        <w:rPr>
          <w:b/>
          <w:color w:val="auto"/>
          <w:sz w:val="32"/>
          <w:szCs w:val="32"/>
          <w:highlight w:val="none"/>
        </w:rPr>
      </w:pPr>
    </w:p>
    <w:p w14:paraId="29EE3D81">
      <w:pPr>
        <w:jc w:val="center"/>
        <w:rPr>
          <w:b/>
          <w:color w:val="auto"/>
          <w:sz w:val="32"/>
          <w:szCs w:val="32"/>
          <w:highlight w:val="none"/>
        </w:rPr>
      </w:pPr>
    </w:p>
    <w:p w14:paraId="569DA32B">
      <w:pPr>
        <w:jc w:val="center"/>
        <w:rPr>
          <w:b/>
          <w:color w:val="auto"/>
          <w:sz w:val="32"/>
          <w:szCs w:val="32"/>
          <w:highlight w:val="none"/>
        </w:rPr>
      </w:pPr>
    </w:p>
    <w:p w14:paraId="30415CF4">
      <w:pPr>
        <w:jc w:val="center"/>
        <w:rPr>
          <w:b/>
          <w:color w:val="auto"/>
          <w:sz w:val="32"/>
          <w:szCs w:val="32"/>
          <w:highlight w:val="none"/>
        </w:rPr>
      </w:pPr>
    </w:p>
    <w:p w14:paraId="1AAF50B0">
      <w:pPr>
        <w:jc w:val="center"/>
        <w:rPr>
          <w:b/>
          <w:color w:val="auto"/>
          <w:sz w:val="32"/>
          <w:szCs w:val="32"/>
          <w:highlight w:val="none"/>
        </w:rPr>
      </w:pPr>
    </w:p>
    <w:p w14:paraId="5BCCA520">
      <w:pPr>
        <w:jc w:val="center"/>
        <w:rPr>
          <w:b/>
          <w:color w:val="auto"/>
          <w:sz w:val="32"/>
          <w:szCs w:val="32"/>
          <w:highlight w:val="none"/>
        </w:rPr>
      </w:pPr>
    </w:p>
    <w:p w14:paraId="194A658F">
      <w:pPr>
        <w:jc w:val="center"/>
        <w:rPr>
          <w:b/>
          <w:color w:val="auto"/>
          <w:sz w:val="32"/>
          <w:szCs w:val="32"/>
          <w:highlight w:val="none"/>
        </w:rPr>
      </w:pPr>
    </w:p>
    <w:p w14:paraId="3F1030A3">
      <w:pPr>
        <w:spacing w:line="360" w:lineRule="auto"/>
        <w:rPr>
          <w:b/>
          <w:bCs/>
          <w:color w:val="auto"/>
          <w:sz w:val="32"/>
          <w:szCs w:val="32"/>
          <w:highlight w:val="none"/>
        </w:rPr>
      </w:pPr>
    </w:p>
    <w:p w14:paraId="5D358DCD">
      <w:pPr>
        <w:jc w:val="center"/>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32"/>
          <w:szCs w:val="32"/>
          <w:highlight w:val="none"/>
        </w:rPr>
        <w:t>（1）投 标 函</w:t>
      </w:r>
    </w:p>
    <w:p w14:paraId="246EE23D">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highlight w:val="none"/>
        </w:rPr>
      </w:pPr>
      <w:bookmarkStart w:id="1020" w:name="_Toc35425140"/>
      <w:bookmarkStart w:id="1021" w:name="_Toc35424974"/>
      <w:bookmarkStart w:id="1022" w:name="_Toc15058950"/>
      <w:bookmarkStart w:id="1023" w:name="_Toc506107366"/>
      <w:r>
        <w:rPr>
          <w:rFonts w:hint="eastAsia" w:ascii="宋体" w:hAnsi="宋体" w:eastAsia="宋体" w:cs="宋体"/>
          <w:b/>
          <w:bCs/>
          <w:color w:val="auto"/>
          <w:highlight w:val="none"/>
        </w:rPr>
        <w:t>致 ：</w:t>
      </w:r>
      <w:r>
        <w:rPr>
          <w:rFonts w:hint="eastAsia" w:ascii="宋体" w:hAnsi="宋体" w:eastAsia="宋体" w:cs="宋体"/>
          <w:b/>
          <w:bCs/>
          <w:color w:val="auto"/>
          <w:highlight w:val="none"/>
          <w:u w:val="single"/>
          <w:lang w:val="en-US" w:eastAsia="zh-CN"/>
        </w:rPr>
        <w:t xml:space="preserve">       （招标人） </w:t>
      </w:r>
      <w:r>
        <w:rPr>
          <w:rFonts w:hint="eastAsia" w:ascii="宋体" w:hAnsi="宋体" w:eastAsia="宋体" w:cs="宋体"/>
          <w:color w:val="auto"/>
          <w:highlight w:val="none"/>
        </w:rPr>
        <w:t xml:space="preserve">：  </w:t>
      </w:r>
    </w:p>
    <w:p w14:paraId="4655D6FB">
      <w:pPr>
        <w:adjustRightInd w:val="0"/>
        <w:snapToGrid w:val="0"/>
        <w:spacing w:line="5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1、根据你方招</w:t>
      </w:r>
      <w:bookmarkStart w:id="1024" w:name="_Toc60061591"/>
      <w:r>
        <w:rPr>
          <w:rFonts w:hint="eastAsia" w:ascii="宋体" w:hAnsi="宋体"/>
          <w:color w:val="auto"/>
          <w:sz w:val="21"/>
          <w:szCs w:val="21"/>
          <w:highlight w:val="none"/>
        </w:rPr>
        <w:t>标项目编号为</w:t>
      </w:r>
      <w:r>
        <w:rPr>
          <w:rFonts w:ascii="宋体" w:hAnsi="宋体"/>
          <w:color w:val="auto"/>
          <w:sz w:val="21"/>
          <w:szCs w:val="21"/>
          <w:highlight w:val="none"/>
          <w:u w:val="single"/>
        </w:rPr>
        <w:t xml:space="preserve">  </w:t>
      </w:r>
      <w:bookmarkEnd w:id="1024"/>
      <w:r>
        <w:rPr>
          <w:rFonts w:ascii="宋体" w:hAnsi="宋体"/>
          <w:color w:val="auto"/>
          <w:sz w:val="21"/>
          <w:szCs w:val="21"/>
          <w:highlight w:val="none"/>
          <w:u w:val="single"/>
        </w:rPr>
        <w:t xml:space="preserve">      </w:t>
      </w:r>
      <w:r>
        <w:rPr>
          <w:rFonts w:ascii="宋体" w:hAnsi="宋体"/>
          <w:color w:val="auto"/>
          <w:sz w:val="21"/>
          <w:szCs w:val="21"/>
          <w:highlight w:val="none"/>
        </w:rPr>
        <w:t xml:space="preserve"> </w:t>
      </w:r>
      <w:r>
        <w:rPr>
          <w:rFonts w:hint="eastAsia" w:ascii="宋体" w:hAnsi="宋体"/>
          <w:color w:val="auto"/>
          <w:sz w:val="21"/>
          <w:szCs w:val="21"/>
          <w:highlight w:val="none"/>
        </w:rPr>
        <w:t>的</w:t>
      </w:r>
      <w:r>
        <w:rPr>
          <w:rFonts w:ascii="宋体" w:hAnsi="宋体"/>
          <w:color w:val="auto"/>
          <w:sz w:val="21"/>
          <w:szCs w:val="21"/>
          <w:highlight w:val="non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招标文件，遵照《中华人民共和国招标投标法》等有关规定，经踏勘项目现场和研究上述招标文件的投标须知、合同条件、技术规范、工程量清单和其他有关文件后，我方愿以</w:t>
      </w:r>
      <w:r>
        <w:rPr>
          <w:rFonts w:ascii="宋体" w:hAnsi="宋体"/>
          <w:color w:val="auto"/>
          <w:sz w:val="21"/>
          <w:szCs w:val="21"/>
          <w:highlight w:val="none"/>
        </w:rPr>
        <w:t xml:space="preserve"> </w:t>
      </w:r>
      <w:r>
        <w:rPr>
          <w:rFonts w:hint="eastAsia" w:ascii="宋体" w:hAnsi="宋体"/>
          <w:color w:val="auto"/>
          <w:sz w:val="21"/>
          <w:szCs w:val="21"/>
          <w:highlight w:val="none"/>
        </w:rPr>
        <w:t>（币种，金额、单位）</w:t>
      </w:r>
      <w:r>
        <w:rPr>
          <w:rFonts w:hint="eastAsia" w:ascii="宋体" w:hAnsi="宋体"/>
          <w:color w:val="auto"/>
          <w:sz w:val="21"/>
          <w:szCs w:val="21"/>
          <w:highlight w:val="none"/>
          <w:u w:val="single"/>
        </w:rPr>
        <w:t xml:space="preserve">人民币           元                  </w:t>
      </w:r>
      <w:r>
        <w:rPr>
          <w:rFonts w:hint="eastAsia" w:ascii="宋体" w:hAnsi="宋体"/>
          <w:color w:val="auto"/>
          <w:sz w:val="21"/>
          <w:szCs w:val="21"/>
          <w:highlight w:val="none"/>
        </w:rPr>
        <w:t>的投标总报价承包上述工程的施工、竣工，并承担任何质量缺陷保修责任。</w:t>
      </w:r>
    </w:p>
    <w:p w14:paraId="5F0C98BD">
      <w:pPr>
        <w:tabs>
          <w:tab w:val="left" w:pos="840"/>
        </w:tabs>
        <w:adjustRightInd w:val="0"/>
        <w:snapToGrid w:val="0"/>
        <w:spacing w:line="5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2、我方已详细审核全部招标文件及有关附件，承诺招标文件及有关附件中所有条款。</w:t>
      </w:r>
    </w:p>
    <w:p w14:paraId="3FE6622D">
      <w:pPr>
        <w:adjustRightInd w:val="0"/>
        <w:snapToGrid w:val="0"/>
        <w:spacing w:line="56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3、一旦我方中标，我方将派出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建造师为本工程项目经理，保证按照招标人要求开始本工程的施工，并在</w:t>
      </w:r>
      <w:r>
        <w:rPr>
          <w:rFonts w:ascii="宋体" w:hAnsi="宋体"/>
          <w:color w:val="auto"/>
          <w:sz w:val="21"/>
          <w:szCs w:val="21"/>
          <w:highlight w:val="none"/>
          <w:u w:val="single"/>
        </w:rPr>
        <w:t xml:space="preserve">       </w:t>
      </w:r>
      <w:r>
        <w:rPr>
          <w:rFonts w:hint="eastAsia" w:ascii="宋体" w:hAnsi="宋体"/>
          <w:color w:val="auto"/>
          <w:sz w:val="21"/>
          <w:szCs w:val="21"/>
          <w:highlight w:val="none"/>
        </w:rPr>
        <w:t>个日历天（工期）内完成本合同的施工，并移交整个工程，工程质量达到</w:t>
      </w:r>
      <w:r>
        <w:rPr>
          <w:rFonts w:ascii="宋体" w:hAnsi="宋体"/>
          <w:color w:val="auto"/>
          <w:sz w:val="21"/>
          <w:szCs w:val="21"/>
          <w:highlight w:val="none"/>
          <w:u w:val="single"/>
        </w:rPr>
        <w:t xml:space="preserve">          </w:t>
      </w:r>
      <w:r>
        <w:rPr>
          <w:rFonts w:hint="eastAsia" w:ascii="宋体" w:hAnsi="宋体"/>
          <w:color w:val="auto"/>
          <w:sz w:val="21"/>
          <w:szCs w:val="21"/>
          <w:highlight w:val="none"/>
        </w:rPr>
        <w:t xml:space="preserve"> 标准。</w:t>
      </w:r>
    </w:p>
    <w:p w14:paraId="68274B7B">
      <w:pPr>
        <w:adjustRightInd w:val="0"/>
        <w:snapToGrid w:val="0"/>
        <w:spacing w:line="560" w:lineRule="exact"/>
        <w:ind w:firstLine="420" w:firstLineChars="200"/>
        <w:rPr>
          <w:rFonts w:hint="eastAsia" w:ascii="宋体" w:hAnsi="宋体"/>
          <w:color w:val="auto"/>
          <w:sz w:val="21"/>
          <w:szCs w:val="21"/>
          <w:highlight w:val="none"/>
        </w:rPr>
      </w:pPr>
      <w:r>
        <w:rPr>
          <w:rFonts w:hint="eastAsia" w:ascii="宋体" w:hAnsi="宋体"/>
          <w:color w:val="auto"/>
          <w:sz w:val="21"/>
          <w:szCs w:val="21"/>
          <w:highlight w:val="none"/>
          <w:lang w:val="en-US" w:eastAsia="zh-CN"/>
        </w:rPr>
        <w:t>4</w:t>
      </w:r>
      <w:r>
        <w:rPr>
          <w:rFonts w:hint="eastAsia" w:ascii="宋体" w:hAnsi="宋体"/>
          <w:color w:val="auto"/>
          <w:sz w:val="21"/>
          <w:szCs w:val="21"/>
          <w:highlight w:val="none"/>
        </w:rPr>
        <w:t>、如果我方中标我方将按照招标文件的规定提交履约担保。工程验收合格后，方可退还。</w:t>
      </w:r>
    </w:p>
    <w:p w14:paraId="3E40DC48">
      <w:pPr>
        <w:adjustRightInd w:val="0"/>
        <w:snapToGrid w:val="0"/>
        <w:spacing w:line="56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、我方承诺在招标文件规定的投标有效期内不撤销投标文件。</w:t>
      </w:r>
    </w:p>
    <w:p w14:paraId="4B7069B8">
      <w:pPr>
        <w:adjustRightInd w:val="0"/>
        <w:snapToGrid w:val="0"/>
        <w:spacing w:line="56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、我单位提供如下通讯地址：</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电子邮箱（地址），确认本项目相关法律文书均通过提供的以上地址送达，相关文书只要发送至以上电子邮箱（地址）即视为送达，投标人愿意承担一切法律后果。</w:t>
      </w:r>
    </w:p>
    <w:p w14:paraId="3E0C4000">
      <w:pPr>
        <w:adjustRightInd w:val="0"/>
        <w:snapToGrid w:val="0"/>
        <w:spacing w:line="560" w:lineRule="exact"/>
        <w:ind w:firstLine="420" w:firstLineChars="200"/>
        <w:jc w:val="left"/>
        <w:rPr>
          <w:rFonts w:hint="eastAsia" w:ascii="宋体" w:hAnsi="宋体" w:eastAsia="宋体" w:cs="宋体"/>
          <w:color w:val="auto"/>
          <w:sz w:val="21"/>
          <w:szCs w:val="21"/>
          <w:highlight w:val="none"/>
        </w:rPr>
      </w:pPr>
      <w:r>
        <w:rPr>
          <w:rFonts w:hint="eastAsia" w:ascii="宋体" w:hAnsi="宋体"/>
          <w:color w:val="auto"/>
          <w:sz w:val="21"/>
          <w:szCs w:val="21"/>
          <w:highlight w:val="none"/>
          <w:lang w:val="en-US" w:eastAsia="zh-CN"/>
        </w:rPr>
        <w:t>7</w:t>
      </w:r>
      <w:r>
        <w:rPr>
          <w:rFonts w:hint="eastAsia" w:ascii="宋体" w:hAnsi="宋体"/>
          <w:color w:val="auto"/>
          <w:sz w:val="21"/>
          <w:szCs w:val="21"/>
          <w:highlight w:val="none"/>
          <w:lang w:eastAsia="zh-CN"/>
        </w:rPr>
        <w:t>、</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（其他补充说明）</w:t>
      </w:r>
    </w:p>
    <w:p w14:paraId="2504D90C">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14:paraId="7B092613">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盖</w:t>
      </w:r>
      <w:r>
        <w:rPr>
          <w:rFonts w:hint="eastAsia" w:ascii="宋体" w:hAnsi="宋体" w:eastAsia="宋体" w:cs="宋体"/>
          <w:color w:val="auto"/>
          <w:szCs w:val="21"/>
          <w:highlight w:val="none"/>
          <w:u w:val="single"/>
        </w:rPr>
        <w:t xml:space="preserve">章）   </w:t>
      </w:r>
    </w:p>
    <w:p w14:paraId="41B57621">
      <w:pPr>
        <w:spacing w:line="600" w:lineRule="exact"/>
        <w:ind w:firstLine="2310" w:firstLineChars="1100"/>
        <w:jc w:val="left"/>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lang w:val="en-US" w:eastAsia="zh-CN"/>
        </w:rPr>
        <w:t>或委托代理人</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签字或盖章</w:t>
      </w:r>
      <w:r>
        <w:rPr>
          <w:rFonts w:hint="eastAsia" w:ascii="宋体" w:hAnsi="宋体"/>
          <w:color w:val="auto"/>
          <w:szCs w:val="21"/>
          <w:highlight w:val="none"/>
          <w:u w:val="single"/>
        </w:rPr>
        <w:t>）</w:t>
      </w:r>
    </w:p>
    <w:p w14:paraId="75BF44E2">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152985B8">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14:paraId="26367422">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809622B">
      <w:pPr>
        <w:pStyle w:val="4"/>
        <w:adjustRightInd w:val="0"/>
        <w:snapToGrid w:val="0"/>
        <w:spacing w:before="0" w:after="0" w:line="560" w:lineRule="exact"/>
        <w:jc w:val="center"/>
        <w:rPr>
          <w:rFonts w:hint="eastAsia"/>
          <w:color w:val="auto"/>
          <w:highlight w:val="none"/>
        </w:rPr>
      </w:pPr>
      <w:r>
        <w:rPr>
          <w:rFonts w:hint="eastAsia"/>
          <w:color w:val="auto"/>
          <w:sz w:val="32"/>
          <w:szCs w:val="32"/>
          <w:highlight w:val="none"/>
        </w:rPr>
        <w:br w:type="page"/>
      </w:r>
      <w:bookmarkEnd w:id="7"/>
      <w:bookmarkEnd w:id="8"/>
      <w:bookmarkEnd w:id="9"/>
      <w:bookmarkEnd w:id="10"/>
      <w:bookmarkEnd w:id="11"/>
      <w:bookmarkEnd w:id="1020"/>
      <w:bookmarkEnd w:id="1021"/>
      <w:bookmarkEnd w:id="1022"/>
      <w:bookmarkEnd w:id="1023"/>
      <w:bookmarkStart w:id="1025" w:name="_Toc78803402"/>
      <w:r>
        <w:rPr>
          <w:rFonts w:hint="eastAsia"/>
          <w:color w:val="auto"/>
          <w:highlight w:val="none"/>
        </w:rPr>
        <w:t>（2）工程量清单报价书</w:t>
      </w:r>
    </w:p>
    <w:p w14:paraId="7D855F0A">
      <w:pPr>
        <w:jc w:val="center"/>
        <w:rPr>
          <w:rFonts w:ascii="Calibri" w:hAnsi="Calibri"/>
          <w:color w:val="auto"/>
          <w:sz w:val="32"/>
          <w:szCs w:val="32"/>
          <w:highlight w:val="none"/>
        </w:rPr>
      </w:pPr>
    </w:p>
    <w:p w14:paraId="2528277B">
      <w:pPr>
        <w:jc w:val="center"/>
        <w:rPr>
          <w:rFonts w:ascii="Calibri" w:hAnsi="Calibri"/>
          <w:color w:val="auto"/>
          <w:sz w:val="32"/>
          <w:szCs w:val="32"/>
          <w:highlight w:val="none"/>
        </w:rPr>
      </w:pPr>
      <w:r>
        <w:rPr>
          <w:rFonts w:hint="eastAsia" w:ascii="仿宋_GB2312" w:hAnsi="Calibri" w:eastAsia="仿宋_GB2312"/>
          <w:b/>
          <w:color w:val="auto"/>
          <w:sz w:val="36"/>
          <w:szCs w:val="36"/>
          <w:highlight w:val="none"/>
        </w:rPr>
        <w:t>①</w:t>
      </w:r>
      <w:r>
        <w:rPr>
          <w:rFonts w:hint="eastAsia" w:ascii="Calibri" w:hAnsi="Calibri"/>
          <w:b/>
          <w:color w:val="auto"/>
          <w:sz w:val="36"/>
          <w:szCs w:val="36"/>
          <w:highlight w:val="none"/>
        </w:rPr>
        <w:t>工程量清单报价书（封面）</w:t>
      </w:r>
      <w:r>
        <w:rPr>
          <w:rFonts w:hint="eastAsia" w:ascii="Calibri" w:hAnsi="Calibri"/>
          <w:color w:val="auto"/>
          <w:sz w:val="32"/>
          <w:szCs w:val="32"/>
          <w:highlight w:val="none"/>
          <w:vertAlign w:val="superscript"/>
        </w:rPr>
        <w:t>1</w:t>
      </w:r>
    </w:p>
    <w:p w14:paraId="3D7A056C">
      <w:pPr>
        <w:jc w:val="center"/>
        <w:rPr>
          <w:rFonts w:ascii="Calibri" w:hAnsi="Calibri"/>
          <w:b/>
          <w:color w:val="auto"/>
          <w:sz w:val="32"/>
          <w:szCs w:val="32"/>
          <w:highlight w:val="none"/>
        </w:rPr>
      </w:pPr>
    </w:p>
    <w:p w14:paraId="5262813B">
      <w:pPr>
        <w:ind w:firstLine="643" w:firstLineChars="200"/>
        <w:jc w:val="center"/>
        <w:rPr>
          <w:rFonts w:ascii="Calibri" w:hAnsi="Calibri"/>
          <w:b/>
          <w:color w:val="auto"/>
          <w:sz w:val="32"/>
          <w:szCs w:val="32"/>
          <w:highlight w:val="none"/>
        </w:rPr>
      </w:pPr>
      <w:r>
        <w:rPr>
          <w:rFonts w:hint="eastAsia" w:ascii="Calibri" w:hAnsi="Calibri"/>
          <w:b/>
          <w:color w:val="auto"/>
          <w:sz w:val="32"/>
          <w:szCs w:val="32"/>
          <w:highlight w:val="none"/>
        </w:rPr>
        <w:t>投标总价</w:t>
      </w:r>
    </w:p>
    <w:p w14:paraId="51772B8A">
      <w:pPr>
        <w:spacing w:line="800" w:lineRule="exact"/>
        <w:ind w:firstLine="640" w:firstLineChars="200"/>
        <w:rPr>
          <w:rFonts w:ascii="Calibri" w:hAnsi="Calibri"/>
          <w:color w:val="auto"/>
          <w:sz w:val="32"/>
          <w:szCs w:val="32"/>
          <w:highlight w:val="none"/>
          <w:u w:val="single"/>
        </w:rPr>
      </w:pPr>
      <w:r>
        <w:rPr>
          <w:rFonts w:hint="eastAsia" w:ascii="Calibri" w:hAnsi="Calibri"/>
          <w:color w:val="auto"/>
          <w:sz w:val="32"/>
          <w:szCs w:val="32"/>
          <w:highlight w:val="none"/>
        </w:rPr>
        <w:t>招标人：</w:t>
      </w:r>
      <w:r>
        <w:rPr>
          <w:rFonts w:hint="eastAsia" w:ascii="Calibri" w:hAnsi="Calibri"/>
          <w:color w:val="auto"/>
          <w:sz w:val="32"/>
          <w:szCs w:val="32"/>
          <w:highlight w:val="none"/>
          <w:u w:val="single"/>
        </w:rPr>
        <w:t xml:space="preserve">                                                 </w:t>
      </w:r>
    </w:p>
    <w:p w14:paraId="55501C58">
      <w:pPr>
        <w:spacing w:line="800" w:lineRule="exact"/>
        <w:ind w:firstLine="640" w:firstLineChars="200"/>
        <w:rPr>
          <w:rFonts w:ascii="Calibri" w:hAnsi="Calibri"/>
          <w:color w:val="auto"/>
          <w:sz w:val="32"/>
          <w:szCs w:val="32"/>
          <w:highlight w:val="none"/>
        </w:rPr>
      </w:pPr>
      <w:r>
        <w:rPr>
          <w:rFonts w:hint="eastAsia" w:ascii="Calibri" w:hAnsi="Calibri"/>
          <w:color w:val="auto"/>
          <w:sz w:val="32"/>
          <w:szCs w:val="32"/>
          <w:highlight w:val="none"/>
        </w:rPr>
        <w:t>工程名称：</w:t>
      </w:r>
      <w:r>
        <w:rPr>
          <w:rFonts w:hint="eastAsia" w:ascii="Calibri" w:hAnsi="Calibri"/>
          <w:color w:val="auto"/>
          <w:sz w:val="32"/>
          <w:szCs w:val="32"/>
          <w:highlight w:val="none"/>
          <w:u w:val="single"/>
        </w:rPr>
        <w:t xml:space="preserve">                                               </w:t>
      </w:r>
    </w:p>
    <w:p w14:paraId="0A224365">
      <w:pPr>
        <w:spacing w:line="800" w:lineRule="exact"/>
        <w:ind w:firstLine="640" w:firstLineChars="200"/>
        <w:rPr>
          <w:rFonts w:ascii="Calibri" w:hAnsi="Calibri"/>
          <w:color w:val="auto"/>
          <w:sz w:val="32"/>
          <w:szCs w:val="32"/>
          <w:highlight w:val="none"/>
          <w:u w:val="single"/>
        </w:rPr>
      </w:pPr>
      <w:r>
        <w:rPr>
          <w:rFonts w:hint="eastAsia" w:ascii="Calibri" w:hAnsi="Calibri"/>
          <w:color w:val="auto"/>
          <w:sz w:val="32"/>
          <w:szCs w:val="32"/>
          <w:highlight w:val="none"/>
        </w:rPr>
        <w:t>投标总价（小写）：</w:t>
      </w:r>
      <w:r>
        <w:rPr>
          <w:rFonts w:hint="eastAsia" w:ascii="Calibri" w:hAnsi="Calibri"/>
          <w:color w:val="auto"/>
          <w:sz w:val="32"/>
          <w:szCs w:val="32"/>
          <w:highlight w:val="none"/>
          <w:u w:val="single"/>
        </w:rPr>
        <w:t xml:space="preserve">                                       </w:t>
      </w:r>
    </w:p>
    <w:p w14:paraId="6243B7A2">
      <w:pPr>
        <w:spacing w:line="800" w:lineRule="exact"/>
        <w:ind w:firstLine="1920" w:firstLineChars="600"/>
        <w:rPr>
          <w:rFonts w:ascii="Calibri" w:hAnsi="Calibri"/>
          <w:color w:val="auto"/>
          <w:sz w:val="32"/>
          <w:szCs w:val="32"/>
          <w:highlight w:val="none"/>
        </w:rPr>
      </w:pPr>
      <w:r>
        <w:rPr>
          <w:rFonts w:hint="eastAsia" w:ascii="Calibri" w:hAnsi="Calibri"/>
          <w:color w:val="auto"/>
          <w:sz w:val="32"/>
          <w:szCs w:val="32"/>
          <w:highlight w:val="none"/>
        </w:rPr>
        <w:t>（大写）：</w:t>
      </w:r>
      <w:r>
        <w:rPr>
          <w:rFonts w:hint="eastAsia" w:ascii="Calibri" w:hAnsi="Calibri"/>
          <w:color w:val="auto"/>
          <w:sz w:val="32"/>
          <w:szCs w:val="32"/>
          <w:highlight w:val="none"/>
          <w:u w:val="single"/>
        </w:rPr>
        <w:t xml:space="preserve">                                       </w:t>
      </w:r>
    </w:p>
    <w:p w14:paraId="7A25A46B">
      <w:pPr>
        <w:spacing w:line="800" w:lineRule="exact"/>
        <w:ind w:firstLine="640" w:firstLineChars="200"/>
        <w:rPr>
          <w:rFonts w:ascii="Calibri" w:hAnsi="Calibri"/>
          <w:color w:val="auto"/>
          <w:sz w:val="32"/>
          <w:szCs w:val="32"/>
          <w:highlight w:val="none"/>
        </w:rPr>
      </w:pPr>
    </w:p>
    <w:p w14:paraId="7DB1D3AF">
      <w:pPr>
        <w:spacing w:line="800" w:lineRule="exact"/>
        <w:ind w:firstLine="640" w:firstLineChars="200"/>
        <w:rPr>
          <w:rFonts w:ascii="Calibri" w:hAnsi="Calibri"/>
          <w:color w:val="auto"/>
          <w:sz w:val="32"/>
          <w:szCs w:val="32"/>
          <w:highlight w:val="none"/>
        </w:rPr>
      </w:pPr>
      <w:r>
        <w:rPr>
          <w:rFonts w:hint="eastAsia" w:ascii="Calibri" w:hAnsi="Calibri"/>
          <w:color w:val="auto"/>
          <w:sz w:val="32"/>
          <w:szCs w:val="32"/>
          <w:highlight w:val="none"/>
        </w:rPr>
        <w:t>投 标 人：</w:t>
      </w:r>
      <w:r>
        <w:rPr>
          <w:rFonts w:hint="eastAsia" w:ascii="Calibri" w:hAnsi="Calibri"/>
          <w:color w:val="auto"/>
          <w:sz w:val="32"/>
          <w:szCs w:val="32"/>
          <w:highlight w:val="none"/>
          <w:u w:val="single"/>
        </w:rPr>
        <w:t xml:space="preserve">                                     </w:t>
      </w:r>
      <w:r>
        <w:rPr>
          <w:rFonts w:hint="eastAsia" w:ascii="Calibri" w:hAnsi="Calibri"/>
          <w:color w:val="auto"/>
          <w:sz w:val="32"/>
          <w:szCs w:val="32"/>
          <w:highlight w:val="none"/>
        </w:rPr>
        <w:t xml:space="preserve"> (单位盖章)</w:t>
      </w:r>
    </w:p>
    <w:p w14:paraId="2923CD59">
      <w:pPr>
        <w:spacing w:line="800" w:lineRule="exact"/>
        <w:ind w:firstLine="640" w:firstLineChars="200"/>
        <w:rPr>
          <w:rFonts w:ascii="Calibri" w:hAnsi="Calibri"/>
          <w:color w:val="auto"/>
          <w:sz w:val="32"/>
          <w:szCs w:val="32"/>
          <w:highlight w:val="none"/>
        </w:rPr>
      </w:pPr>
    </w:p>
    <w:p w14:paraId="27258875">
      <w:pPr>
        <w:spacing w:line="800" w:lineRule="exact"/>
        <w:ind w:firstLine="640" w:firstLineChars="200"/>
        <w:rPr>
          <w:rFonts w:ascii="Calibri" w:hAnsi="Calibri"/>
          <w:color w:val="auto"/>
          <w:sz w:val="32"/>
          <w:szCs w:val="32"/>
          <w:highlight w:val="none"/>
        </w:rPr>
      </w:pPr>
      <w:r>
        <w:rPr>
          <w:rFonts w:hint="eastAsia" w:ascii="Calibri" w:hAnsi="Calibri"/>
          <w:color w:val="auto"/>
          <w:sz w:val="32"/>
          <w:szCs w:val="32"/>
          <w:highlight w:val="none"/>
        </w:rPr>
        <w:t>法定代表人：</w:t>
      </w:r>
      <w:r>
        <w:rPr>
          <w:rFonts w:hint="eastAsia" w:ascii="Calibri" w:hAnsi="Calibri"/>
          <w:color w:val="auto"/>
          <w:sz w:val="32"/>
          <w:szCs w:val="32"/>
          <w:highlight w:val="none"/>
          <w:u w:val="single"/>
        </w:rPr>
        <w:t xml:space="preserve">                                 </w:t>
      </w:r>
      <w:r>
        <w:rPr>
          <w:rFonts w:hint="eastAsia" w:ascii="Calibri" w:hAnsi="Calibri"/>
          <w:color w:val="auto"/>
          <w:sz w:val="32"/>
          <w:szCs w:val="32"/>
          <w:highlight w:val="none"/>
        </w:rPr>
        <w:t xml:space="preserve"> (签字或盖章)</w:t>
      </w:r>
    </w:p>
    <w:p w14:paraId="4925F3C8">
      <w:pPr>
        <w:spacing w:line="800" w:lineRule="exact"/>
        <w:ind w:firstLine="640" w:firstLineChars="200"/>
        <w:rPr>
          <w:rFonts w:ascii="Calibri" w:hAnsi="Calibri"/>
          <w:color w:val="auto"/>
          <w:sz w:val="32"/>
          <w:szCs w:val="32"/>
          <w:highlight w:val="none"/>
        </w:rPr>
      </w:pPr>
    </w:p>
    <w:p w14:paraId="22B76E0B">
      <w:pPr>
        <w:spacing w:line="800" w:lineRule="exact"/>
        <w:ind w:firstLine="640" w:firstLineChars="200"/>
        <w:rPr>
          <w:rFonts w:ascii="Calibri" w:hAnsi="Calibri"/>
          <w:color w:val="auto"/>
          <w:sz w:val="32"/>
          <w:szCs w:val="32"/>
          <w:highlight w:val="none"/>
          <w:u w:val="single"/>
        </w:rPr>
      </w:pPr>
      <w:r>
        <w:rPr>
          <w:rFonts w:hint="eastAsia" w:ascii="Calibri" w:hAnsi="Calibri"/>
          <w:color w:val="auto"/>
          <w:sz w:val="32"/>
          <w:szCs w:val="32"/>
          <w:highlight w:val="none"/>
        </w:rPr>
        <w:t>编制人：</w:t>
      </w:r>
      <w:r>
        <w:rPr>
          <w:rFonts w:hint="eastAsia" w:ascii="Calibri" w:hAnsi="Calibri"/>
          <w:color w:val="auto"/>
          <w:sz w:val="32"/>
          <w:szCs w:val="32"/>
          <w:highlight w:val="none"/>
          <w:u w:val="single"/>
        </w:rPr>
        <w:t xml:space="preserve">                                                 </w:t>
      </w:r>
    </w:p>
    <w:p w14:paraId="7BBAE3CA">
      <w:pPr>
        <w:spacing w:line="800" w:lineRule="exact"/>
        <w:ind w:firstLine="2720" w:firstLineChars="850"/>
        <w:rPr>
          <w:rFonts w:ascii="Calibri" w:hAnsi="Calibri"/>
          <w:color w:val="auto"/>
          <w:sz w:val="32"/>
          <w:szCs w:val="32"/>
          <w:highlight w:val="none"/>
          <w:u w:val="single"/>
        </w:rPr>
      </w:pPr>
      <w:r>
        <w:rPr>
          <w:rFonts w:hint="eastAsia" w:ascii="Calibri" w:hAnsi="Calibri"/>
          <w:color w:val="auto"/>
          <w:sz w:val="32"/>
          <w:szCs w:val="32"/>
          <w:highlight w:val="none"/>
        </w:rPr>
        <w:t xml:space="preserve"> (注册造价工程师签字并盖执业专用章)</w:t>
      </w:r>
    </w:p>
    <w:p w14:paraId="0D1E8CE0">
      <w:pPr>
        <w:spacing w:line="800" w:lineRule="exact"/>
        <w:ind w:firstLine="640" w:firstLineChars="200"/>
        <w:rPr>
          <w:rFonts w:ascii="Calibri" w:hAnsi="Calibri"/>
          <w:color w:val="auto"/>
          <w:sz w:val="32"/>
          <w:szCs w:val="32"/>
          <w:highlight w:val="none"/>
        </w:rPr>
      </w:pPr>
    </w:p>
    <w:p w14:paraId="2768937A">
      <w:pPr>
        <w:spacing w:line="800" w:lineRule="exact"/>
        <w:ind w:firstLine="640" w:firstLineChars="200"/>
        <w:rPr>
          <w:rFonts w:ascii="Calibri" w:hAnsi="Calibri"/>
          <w:color w:val="auto"/>
          <w:sz w:val="32"/>
          <w:szCs w:val="32"/>
          <w:highlight w:val="none"/>
        </w:rPr>
      </w:pPr>
      <w:r>
        <w:rPr>
          <w:rFonts w:hint="eastAsia" w:ascii="Calibri" w:hAnsi="Calibri"/>
          <w:color w:val="auto"/>
          <w:sz w:val="32"/>
          <w:szCs w:val="32"/>
          <w:highlight w:val="none"/>
        </w:rPr>
        <w:t>编制时间：</w:t>
      </w:r>
      <w:r>
        <w:rPr>
          <w:rFonts w:hint="eastAsia" w:ascii="Calibri" w:hAnsi="Calibri"/>
          <w:color w:val="auto"/>
          <w:sz w:val="32"/>
          <w:szCs w:val="32"/>
          <w:highlight w:val="none"/>
          <w:u w:val="single"/>
        </w:rPr>
        <w:t xml:space="preserve">             </w:t>
      </w:r>
      <w:r>
        <w:rPr>
          <w:rFonts w:hint="eastAsia" w:ascii="Calibri" w:hAnsi="Calibri"/>
          <w:color w:val="auto"/>
          <w:sz w:val="32"/>
          <w:szCs w:val="32"/>
          <w:highlight w:val="none"/>
        </w:rPr>
        <w:t>年</w:t>
      </w:r>
      <w:r>
        <w:rPr>
          <w:rFonts w:hint="eastAsia" w:ascii="Calibri" w:hAnsi="Calibri"/>
          <w:color w:val="auto"/>
          <w:sz w:val="32"/>
          <w:szCs w:val="32"/>
          <w:highlight w:val="none"/>
          <w:u w:val="single"/>
        </w:rPr>
        <w:t xml:space="preserve">          </w:t>
      </w:r>
      <w:r>
        <w:rPr>
          <w:rFonts w:hint="eastAsia" w:ascii="Calibri" w:hAnsi="Calibri"/>
          <w:color w:val="auto"/>
          <w:sz w:val="32"/>
          <w:szCs w:val="32"/>
          <w:highlight w:val="none"/>
        </w:rPr>
        <w:t>月</w:t>
      </w:r>
      <w:r>
        <w:rPr>
          <w:rFonts w:hint="eastAsia" w:ascii="Calibri" w:hAnsi="Calibri"/>
          <w:color w:val="auto"/>
          <w:sz w:val="32"/>
          <w:szCs w:val="32"/>
          <w:highlight w:val="none"/>
          <w:u w:val="single"/>
        </w:rPr>
        <w:t xml:space="preserve">          </w:t>
      </w:r>
      <w:r>
        <w:rPr>
          <w:rFonts w:hint="eastAsia" w:ascii="Calibri" w:hAnsi="Calibri"/>
          <w:color w:val="auto"/>
          <w:sz w:val="32"/>
          <w:szCs w:val="32"/>
          <w:highlight w:val="none"/>
        </w:rPr>
        <w:t>日</w:t>
      </w:r>
    </w:p>
    <w:p w14:paraId="0E20567A">
      <w:pPr>
        <w:rPr>
          <w:rFonts w:ascii="Calibri" w:hAnsi="Calibri"/>
          <w:color w:val="auto"/>
          <w:sz w:val="32"/>
          <w:szCs w:val="32"/>
          <w:highlight w:val="none"/>
        </w:rPr>
      </w:pPr>
    </w:p>
    <w:p w14:paraId="25DA0702">
      <w:pPr>
        <w:rPr>
          <w:rFonts w:ascii="宋体" w:hAnsi="宋体"/>
          <w:color w:val="auto"/>
          <w:sz w:val="18"/>
          <w:szCs w:val="18"/>
          <w:highlight w:val="none"/>
        </w:rPr>
      </w:pPr>
      <w:r>
        <w:rPr>
          <w:rFonts w:hint="eastAsia" w:ascii="宋体" w:hAnsi="宋体"/>
          <w:color w:val="auto"/>
          <w:sz w:val="18"/>
          <w:szCs w:val="18"/>
          <w:highlight w:val="none"/>
        </w:rPr>
        <w:t>1注：投标文件格式中工程量清单报价书（封面）及投标报价编制人信息表与投标文件制作工具导出文件不一致的，以投标文件格式文件为准。</w:t>
      </w:r>
    </w:p>
    <w:p w14:paraId="158AF5EF">
      <w:pPr>
        <w:jc w:val="center"/>
        <w:rPr>
          <w:rFonts w:hint="eastAsia" w:ascii="宋体" w:hAnsi="宋体"/>
          <w:color w:val="auto"/>
          <w:sz w:val="32"/>
          <w:szCs w:val="32"/>
          <w:highlight w:val="none"/>
        </w:rPr>
      </w:pPr>
    </w:p>
    <w:p w14:paraId="3E802F3D">
      <w:pPr>
        <w:rPr>
          <w:rFonts w:hint="eastAsia" w:ascii="宋体" w:hAnsi="宋体"/>
          <w:color w:val="auto"/>
          <w:sz w:val="32"/>
          <w:szCs w:val="32"/>
          <w:highlight w:val="none"/>
        </w:rPr>
      </w:pPr>
    </w:p>
    <w:p w14:paraId="73C8E6C7">
      <w:pPr>
        <w:jc w:val="center"/>
        <w:rPr>
          <w:rFonts w:ascii="宋体" w:hAnsi="宋体"/>
          <w:color w:val="auto"/>
          <w:sz w:val="32"/>
          <w:szCs w:val="32"/>
          <w:highlight w:val="none"/>
        </w:rPr>
        <w:sectPr>
          <w:headerReference r:id="rId7" w:type="default"/>
          <w:footerReference r:id="rId8" w:type="default"/>
          <w:pgSz w:w="11910" w:h="16840"/>
          <w:pgMar w:top="1060" w:right="660" w:bottom="1020" w:left="1120" w:header="0" w:footer="833" w:gutter="0"/>
          <w:cols w:space="720" w:num="1"/>
        </w:sectPr>
      </w:pPr>
    </w:p>
    <w:p w14:paraId="6BE3DC7D">
      <w:pPr>
        <w:jc w:val="center"/>
        <w:rPr>
          <w:rFonts w:hint="eastAsia" w:ascii="宋体" w:hAnsi="宋体"/>
          <w:color w:val="auto"/>
          <w:sz w:val="32"/>
          <w:szCs w:val="32"/>
          <w:highlight w:val="none"/>
        </w:rPr>
      </w:pPr>
    </w:p>
    <w:p w14:paraId="4FFA3562">
      <w:pPr>
        <w:jc w:val="center"/>
        <w:rPr>
          <w:rFonts w:ascii="Calibri" w:hAnsi="Calibri"/>
          <w:color w:val="auto"/>
          <w:sz w:val="32"/>
          <w:szCs w:val="32"/>
          <w:highlight w:val="none"/>
        </w:rPr>
      </w:pPr>
      <w:r>
        <w:rPr>
          <w:rFonts w:hint="eastAsia" w:ascii="宋体" w:hAnsi="宋体"/>
          <w:color w:val="auto"/>
          <w:sz w:val="32"/>
          <w:szCs w:val="32"/>
          <w:highlight w:val="none"/>
        </w:rPr>
        <w:t>②</w:t>
      </w:r>
      <w:r>
        <w:rPr>
          <w:rFonts w:hint="eastAsia" w:ascii="Calibri" w:hAnsi="Calibri"/>
          <w:color w:val="auto"/>
          <w:sz w:val="32"/>
          <w:szCs w:val="32"/>
          <w:highlight w:val="none"/>
        </w:rPr>
        <w:t>投标报价编制人信息表</w:t>
      </w:r>
      <w:r>
        <w:rPr>
          <w:rFonts w:hint="eastAsia" w:ascii="Calibri" w:hAnsi="Calibri"/>
          <w:color w:val="auto"/>
          <w:sz w:val="32"/>
          <w:szCs w:val="32"/>
          <w:highlight w:val="none"/>
          <w:vertAlign w:val="superscript"/>
        </w:rPr>
        <w:t>1</w:t>
      </w:r>
    </w:p>
    <w:p w14:paraId="4E0FE831">
      <w:pPr>
        <w:jc w:val="center"/>
        <w:rPr>
          <w:rFonts w:ascii="Calibri" w:hAnsi="Calibri"/>
          <w:color w:val="auto"/>
          <w:sz w:val="32"/>
          <w:szCs w:val="32"/>
          <w:highlight w:val="none"/>
        </w:rPr>
      </w:pPr>
    </w:p>
    <w:tbl>
      <w:tblPr>
        <w:tblStyle w:val="47"/>
        <w:tblW w:w="10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216"/>
        <w:gridCol w:w="2951"/>
        <w:gridCol w:w="1737"/>
        <w:gridCol w:w="1563"/>
        <w:gridCol w:w="1967"/>
      </w:tblGrid>
      <w:tr w14:paraId="734CB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827" w:type="dxa"/>
            <w:noWrap w:val="0"/>
            <w:vAlign w:val="center"/>
          </w:tcPr>
          <w:p w14:paraId="76C3EEF7">
            <w:pPr>
              <w:jc w:val="center"/>
              <w:rPr>
                <w:rFonts w:ascii="Calibri" w:hAnsi="Calibri"/>
                <w:color w:val="auto"/>
                <w:szCs w:val="22"/>
                <w:highlight w:val="none"/>
              </w:rPr>
            </w:pPr>
            <w:r>
              <w:rPr>
                <w:rFonts w:hint="eastAsia" w:ascii="Calibri" w:hAnsi="Calibri"/>
                <w:color w:val="auto"/>
                <w:szCs w:val="22"/>
                <w:highlight w:val="none"/>
              </w:rPr>
              <w:t>序号</w:t>
            </w:r>
          </w:p>
        </w:tc>
        <w:tc>
          <w:tcPr>
            <w:tcW w:w="1216" w:type="dxa"/>
            <w:noWrap w:val="0"/>
            <w:vAlign w:val="center"/>
          </w:tcPr>
          <w:p w14:paraId="2EAD4517">
            <w:pPr>
              <w:jc w:val="center"/>
              <w:rPr>
                <w:rFonts w:ascii="Calibri" w:hAnsi="Calibri"/>
                <w:color w:val="auto"/>
                <w:szCs w:val="22"/>
                <w:highlight w:val="none"/>
              </w:rPr>
            </w:pPr>
            <w:r>
              <w:rPr>
                <w:rFonts w:hint="eastAsia" w:ascii="Calibri" w:hAnsi="Calibri"/>
                <w:color w:val="auto"/>
                <w:szCs w:val="22"/>
                <w:highlight w:val="none"/>
              </w:rPr>
              <w:t>姓名</w:t>
            </w:r>
          </w:p>
        </w:tc>
        <w:tc>
          <w:tcPr>
            <w:tcW w:w="2951" w:type="dxa"/>
            <w:noWrap w:val="0"/>
            <w:vAlign w:val="center"/>
          </w:tcPr>
          <w:p w14:paraId="2519E21A">
            <w:pPr>
              <w:jc w:val="center"/>
              <w:rPr>
                <w:rFonts w:ascii="Calibri" w:hAnsi="Calibri"/>
                <w:color w:val="auto"/>
                <w:szCs w:val="22"/>
                <w:highlight w:val="none"/>
              </w:rPr>
            </w:pPr>
            <w:r>
              <w:rPr>
                <w:rFonts w:hint="eastAsia" w:ascii="Calibri" w:hAnsi="Calibri"/>
                <w:color w:val="auto"/>
                <w:szCs w:val="22"/>
                <w:highlight w:val="none"/>
              </w:rPr>
              <w:t>身份证号码</w:t>
            </w:r>
          </w:p>
        </w:tc>
        <w:tc>
          <w:tcPr>
            <w:tcW w:w="1737" w:type="dxa"/>
            <w:noWrap w:val="0"/>
            <w:vAlign w:val="center"/>
          </w:tcPr>
          <w:p w14:paraId="29F76927">
            <w:pPr>
              <w:jc w:val="center"/>
              <w:rPr>
                <w:rFonts w:ascii="Calibri" w:hAnsi="Calibri"/>
                <w:color w:val="auto"/>
                <w:szCs w:val="22"/>
                <w:highlight w:val="none"/>
              </w:rPr>
            </w:pPr>
            <w:r>
              <w:rPr>
                <w:rFonts w:hint="eastAsia" w:ascii="Calibri" w:hAnsi="Calibri"/>
                <w:color w:val="auto"/>
                <w:szCs w:val="22"/>
                <w:highlight w:val="none"/>
              </w:rPr>
              <w:t>手机号码</w:t>
            </w:r>
          </w:p>
        </w:tc>
        <w:tc>
          <w:tcPr>
            <w:tcW w:w="1563" w:type="dxa"/>
            <w:noWrap w:val="0"/>
            <w:vAlign w:val="center"/>
          </w:tcPr>
          <w:p w14:paraId="0498F078">
            <w:pPr>
              <w:jc w:val="center"/>
              <w:rPr>
                <w:rFonts w:ascii="Calibri" w:hAnsi="Calibri"/>
                <w:color w:val="auto"/>
                <w:szCs w:val="22"/>
                <w:highlight w:val="none"/>
              </w:rPr>
            </w:pPr>
            <w:r>
              <w:rPr>
                <w:rFonts w:hint="eastAsia" w:ascii="Calibri" w:hAnsi="Calibri"/>
                <w:color w:val="auto"/>
                <w:szCs w:val="22"/>
                <w:highlight w:val="none"/>
              </w:rPr>
              <w:t>单位名称</w:t>
            </w:r>
          </w:p>
        </w:tc>
        <w:tc>
          <w:tcPr>
            <w:tcW w:w="1967" w:type="dxa"/>
            <w:noWrap w:val="0"/>
            <w:vAlign w:val="center"/>
          </w:tcPr>
          <w:p w14:paraId="0B040D36">
            <w:pPr>
              <w:jc w:val="center"/>
              <w:rPr>
                <w:rFonts w:ascii="Calibri" w:hAnsi="Calibri"/>
                <w:color w:val="auto"/>
                <w:szCs w:val="22"/>
                <w:highlight w:val="none"/>
              </w:rPr>
            </w:pPr>
            <w:r>
              <w:rPr>
                <w:rFonts w:hint="eastAsia" w:ascii="Calibri" w:hAnsi="Calibri"/>
                <w:color w:val="auto"/>
                <w:szCs w:val="22"/>
                <w:highlight w:val="none"/>
              </w:rPr>
              <w:t>注册造价工程师注册证书号</w:t>
            </w:r>
          </w:p>
        </w:tc>
      </w:tr>
      <w:tr w14:paraId="0E2F6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827" w:type="dxa"/>
            <w:noWrap w:val="0"/>
            <w:vAlign w:val="center"/>
          </w:tcPr>
          <w:p w14:paraId="64773D5B">
            <w:pPr>
              <w:jc w:val="center"/>
              <w:rPr>
                <w:rFonts w:ascii="Calibri" w:hAnsi="Calibri"/>
                <w:color w:val="auto"/>
                <w:szCs w:val="22"/>
                <w:highlight w:val="none"/>
              </w:rPr>
            </w:pPr>
          </w:p>
        </w:tc>
        <w:tc>
          <w:tcPr>
            <w:tcW w:w="1216" w:type="dxa"/>
            <w:noWrap w:val="0"/>
            <w:vAlign w:val="center"/>
          </w:tcPr>
          <w:p w14:paraId="70AA3C12">
            <w:pPr>
              <w:jc w:val="center"/>
              <w:rPr>
                <w:rFonts w:ascii="Calibri" w:hAnsi="Calibri"/>
                <w:color w:val="auto"/>
                <w:szCs w:val="22"/>
                <w:highlight w:val="none"/>
              </w:rPr>
            </w:pPr>
          </w:p>
        </w:tc>
        <w:tc>
          <w:tcPr>
            <w:tcW w:w="2951" w:type="dxa"/>
            <w:noWrap w:val="0"/>
            <w:vAlign w:val="center"/>
          </w:tcPr>
          <w:p w14:paraId="27D03DA0">
            <w:pPr>
              <w:jc w:val="center"/>
              <w:rPr>
                <w:rFonts w:ascii="Calibri" w:hAnsi="Calibri"/>
                <w:color w:val="auto"/>
                <w:szCs w:val="22"/>
                <w:highlight w:val="none"/>
              </w:rPr>
            </w:pPr>
          </w:p>
        </w:tc>
        <w:tc>
          <w:tcPr>
            <w:tcW w:w="1737" w:type="dxa"/>
            <w:noWrap w:val="0"/>
            <w:vAlign w:val="center"/>
          </w:tcPr>
          <w:p w14:paraId="71B2152F">
            <w:pPr>
              <w:jc w:val="center"/>
              <w:rPr>
                <w:rFonts w:ascii="Calibri" w:hAnsi="Calibri"/>
                <w:color w:val="auto"/>
                <w:szCs w:val="22"/>
                <w:highlight w:val="none"/>
              </w:rPr>
            </w:pPr>
          </w:p>
        </w:tc>
        <w:tc>
          <w:tcPr>
            <w:tcW w:w="1563" w:type="dxa"/>
            <w:noWrap w:val="0"/>
            <w:vAlign w:val="center"/>
          </w:tcPr>
          <w:p w14:paraId="56637195">
            <w:pPr>
              <w:jc w:val="center"/>
              <w:rPr>
                <w:rFonts w:ascii="Calibri" w:hAnsi="Calibri"/>
                <w:color w:val="auto"/>
                <w:szCs w:val="22"/>
                <w:highlight w:val="none"/>
              </w:rPr>
            </w:pPr>
          </w:p>
        </w:tc>
        <w:tc>
          <w:tcPr>
            <w:tcW w:w="1967" w:type="dxa"/>
            <w:noWrap w:val="0"/>
            <w:vAlign w:val="center"/>
          </w:tcPr>
          <w:p w14:paraId="309B0DDF">
            <w:pPr>
              <w:jc w:val="center"/>
              <w:rPr>
                <w:rFonts w:ascii="Calibri" w:hAnsi="Calibri"/>
                <w:color w:val="auto"/>
                <w:szCs w:val="22"/>
                <w:highlight w:val="none"/>
              </w:rPr>
            </w:pPr>
          </w:p>
        </w:tc>
      </w:tr>
      <w:tr w14:paraId="43C98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827" w:type="dxa"/>
            <w:noWrap w:val="0"/>
            <w:vAlign w:val="center"/>
          </w:tcPr>
          <w:p w14:paraId="73681B26">
            <w:pPr>
              <w:jc w:val="center"/>
              <w:rPr>
                <w:rFonts w:ascii="Calibri" w:hAnsi="Calibri"/>
                <w:color w:val="auto"/>
                <w:szCs w:val="22"/>
                <w:highlight w:val="none"/>
              </w:rPr>
            </w:pPr>
          </w:p>
        </w:tc>
        <w:tc>
          <w:tcPr>
            <w:tcW w:w="1216" w:type="dxa"/>
            <w:noWrap w:val="0"/>
            <w:vAlign w:val="center"/>
          </w:tcPr>
          <w:p w14:paraId="24FDB299">
            <w:pPr>
              <w:jc w:val="center"/>
              <w:rPr>
                <w:rFonts w:ascii="Calibri" w:hAnsi="Calibri"/>
                <w:color w:val="auto"/>
                <w:szCs w:val="22"/>
                <w:highlight w:val="none"/>
              </w:rPr>
            </w:pPr>
          </w:p>
        </w:tc>
        <w:tc>
          <w:tcPr>
            <w:tcW w:w="2951" w:type="dxa"/>
            <w:noWrap w:val="0"/>
            <w:vAlign w:val="center"/>
          </w:tcPr>
          <w:p w14:paraId="39C811F2">
            <w:pPr>
              <w:jc w:val="center"/>
              <w:rPr>
                <w:rFonts w:ascii="Calibri" w:hAnsi="Calibri"/>
                <w:color w:val="auto"/>
                <w:szCs w:val="22"/>
                <w:highlight w:val="none"/>
              </w:rPr>
            </w:pPr>
          </w:p>
        </w:tc>
        <w:tc>
          <w:tcPr>
            <w:tcW w:w="1737" w:type="dxa"/>
            <w:noWrap w:val="0"/>
            <w:vAlign w:val="center"/>
          </w:tcPr>
          <w:p w14:paraId="561EFFBE">
            <w:pPr>
              <w:jc w:val="center"/>
              <w:rPr>
                <w:rFonts w:ascii="Calibri" w:hAnsi="Calibri"/>
                <w:color w:val="auto"/>
                <w:szCs w:val="22"/>
                <w:highlight w:val="none"/>
              </w:rPr>
            </w:pPr>
          </w:p>
        </w:tc>
        <w:tc>
          <w:tcPr>
            <w:tcW w:w="1563" w:type="dxa"/>
            <w:noWrap w:val="0"/>
            <w:vAlign w:val="center"/>
          </w:tcPr>
          <w:p w14:paraId="03686129">
            <w:pPr>
              <w:jc w:val="center"/>
              <w:rPr>
                <w:rFonts w:ascii="Calibri" w:hAnsi="Calibri"/>
                <w:color w:val="auto"/>
                <w:szCs w:val="22"/>
                <w:highlight w:val="none"/>
              </w:rPr>
            </w:pPr>
          </w:p>
        </w:tc>
        <w:tc>
          <w:tcPr>
            <w:tcW w:w="1967" w:type="dxa"/>
            <w:noWrap w:val="0"/>
            <w:vAlign w:val="center"/>
          </w:tcPr>
          <w:p w14:paraId="7663A0DE">
            <w:pPr>
              <w:jc w:val="center"/>
              <w:rPr>
                <w:rFonts w:ascii="Calibri" w:hAnsi="Calibri"/>
                <w:color w:val="auto"/>
                <w:szCs w:val="22"/>
                <w:highlight w:val="none"/>
              </w:rPr>
            </w:pPr>
          </w:p>
        </w:tc>
      </w:tr>
    </w:tbl>
    <w:p w14:paraId="1C3498CD">
      <w:pPr>
        <w:rPr>
          <w:rFonts w:ascii="宋体" w:hAnsi="宋体"/>
          <w:b/>
          <w:color w:val="auto"/>
          <w:sz w:val="24"/>
          <w:highlight w:val="none"/>
        </w:rPr>
      </w:pPr>
    </w:p>
    <w:p w14:paraId="0E3B9A49">
      <w:pPr>
        <w:spacing w:line="560" w:lineRule="exact"/>
        <w:rPr>
          <w:rFonts w:ascii="宋体" w:hAnsi="宋体"/>
          <w:b/>
          <w:color w:val="auto"/>
          <w:sz w:val="24"/>
          <w:highlight w:val="none"/>
        </w:rPr>
      </w:pPr>
      <w:r>
        <w:rPr>
          <w:rFonts w:hint="eastAsia" w:ascii="宋体" w:hAnsi="宋体"/>
          <w:b/>
          <w:color w:val="auto"/>
          <w:sz w:val="24"/>
          <w:highlight w:val="none"/>
        </w:rPr>
        <w:t>注：</w:t>
      </w:r>
    </w:p>
    <w:p w14:paraId="617A53C3">
      <w:pPr>
        <w:spacing w:line="560" w:lineRule="exact"/>
        <w:rPr>
          <w:rFonts w:ascii="宋体" w:hAnsi="宋体"/>
          <w:color w:val="auto"/>
          <w:sz w:val="24"/>
          <w:highlight w:val="none"/>
        </w:rPr>
      </w:pPr>
      <w:r>
        <w:rPr>
          <w:rFonts w:hint="eastAsia" w:ascii="宋体" w:hAnsi="宋体"/>
          <w:color w:val="auto"/>
          <w:sz w:val="24"/>
          <w:highlight w:val="none"/>
        </w:rPr>
        <w:t>1. 提供投标报价编制人员的注册造价工程师证书扫描件或影印件；</w:t>
      </w:r>
    </w:p>
    <w:p w14:paraId="6D22DC2A">
      <w:pPr>
        <w:spacing w:line="560" w:lineRule="exact"/>
        <w:rPr>
          <w:rFonts w:ascii="宋体" w:hAnsi="宋体"/>
          <w:color w:val="auto"/>
          <w:sz w:val="24"/>
          <w:highlight w:val="none"/>
        </w:rPr>
      </w:pPr>
      <w:r>
        <w:rPr>
          <w:rFonts w:hint="eastAsia" w:ascii="宋体" w:hAnsi="宋体"/>
          <w:color w:val="auto"/>
          <w:sz w:val="24"/>
          <w:highlight w:val="none"/>
        </w:rPr>
        <w:t>2. 若投标报价编制人员为投标人委托的造价咨询单位注册造价人员，须提供与造价咨询单位签订的委托协议。</w:t>
      </w:r>
    </w:p>
    <w:p w14:paraId="3614E8A5">
      <w:pPr>
        <w:spacing w:line="560" w:lineRule="exact"/>
        <w:rPr>
          <w:rFonts w:ascii="宋体" w:hAnsi="宋体"/>
          <w:color w:val="auto"/>
          <w:sz w:val="24"/>
          <w:highlight w:val="none"/>
        </w:rPr>
      </w:pPr>
      <w:r>
        <w:rPr>
          <w:rFonts w:hint="eastAsia" w:ascii="宋体" w:hAnsi="宋体"/>
          <w:color w:val="auto"/>
          <w:sz w:val="24"/>
          <w:highlight w:val="none"/>
        </w:rPr>
        <w:t>3. 表格内容将作为公安机关和行政主管部门调查串通投标、允许他人以自己名义从事工程造价业务等违法违规行为的重要依据。</w:t>
      </w:r>
    </w:p>
    <w:p w14:paraId="73668EF9">
      <w:pPr>
        <w:spacing w:line="560" w:lineRule="exact"/>
        <w:rPr>
          <w:rFonts w:ascii="宋体" w:hAnsi="宋体"/>
          <w:color w:val="auto"/>
          <w:sz w:val="24"/>
          <w:highlight w:val="none"/>
        </w:rPr>
      </w:pPr>
      <w:r>
        <w:rPr>
          <w:rFonts w:hint="eastAsia" w:ascii="宋体" w:hAnsi="宋体"/>
          <w:color w:val="auto"/>
          <w:sz w:val="24"/>
          <w:highlight w:val="none"/>
        </w:rPr>
        <w:t>4. 投标人填写内容务必真实准确，否则将承担投标失败、中标无效的风险。</w:t>
      </w:r>
    </w:p>
    <w:p w14:paraId="081E94DD">
      <w:pPr>
        <w:spacing w:line="560" w:lineRule="exact"/>
        <w:rPr>
          <w:rFonts w:ascii="宋体" w:hAnsi="宋体"/>
          <w:color w:val="auto"/>
          <w:sz w:val="24"/>
          <w:highlight w:val="none"/>
        </w:rPr>
      </w:pPr>
    </w:p>
    <w:p w14:paraId="69A73CA9">
      <w:pPr>
        <w:spacing w:line="560" w:lineRule="exact"/>
        <w:rPr>
          <w:rFonts w:ascii="宋体" w:hAnsi="宋体"/>
          <w:color w:val="auto"/>
          <w:sz w:val="24"/>
          <w:highlight w:val="none"/>
        </w:rPr>
      </w:pPr>
    </w:p>
    <w:p w14:paraId="3EBDA530">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③工程量清单报价书正文格式：见2018版“工程量清单计价文件”格式，在滁州市公共资源交易中心网站下载招标文件后，使用投标文件制作工具导出“招标清单文件”，即为“工程量清单计价文件”正文格式。</w:t>
      </w:r>
    </w:p>
    <w:p w14:paraId="7ACE6453">
      <w:pPr>
        <w:pStyle w:val="4"/>
        <w:adjustRightInd w:val="0"/>
        <w:snapToGrid w:val="0"/>
        <w:spacing w:before="0" w:after="0" w:line="560" w:lineRule="exact"/>
        <w:jc w:val="center"/>
        <w:rPr>
          <w:rFonts w:hint="eastAsia"/>
          <w:color w:val="auto"/>
          <w:highlight w:val="none"/>
        </w:rPr>
      </w:pPr>
      <w:bookmarkStart w:id="1026" w:name="_Toc95223546"/>
    </w:p>
    <w:bookmarkEnd w:id="1026"/>
    <w:p w14:paraId="65A7D629">
      <w:pPr>
        <w:rPr>
          <w:rFonts w:hint="eastAsia"/>
          <w:bCs/>
          <w:color w:val="auto"/>
          <w:szCs w:val="32"/>
          <w:highlight w:val="none"/>
        </w:rPr>
      </w:pPr>
      <w:r>
        <w:rPr>
          <w:rFonts w:hint="eastAsia"/>
          <w:bCs/>
          <w:color w:val="auto"/>
          <w:szCs w:val="32"/>
          <w:highlight w:val="none"/>
        </w:rPr>
        <w:br w:type="page"/>
      </w:r>
    </w:p>
    <w:p w14:paraId="172B3F58">
      <w:pPr>
        <w:pStyle w:val="44"/>
        <w:spacing w:beforeLines="50" w:afterLines="50" w:line="440" w:lineRule="exact"/>
        <w:rPr>
          <w:bCs/>
          <w:color w:val="auto"/>
          <w:szCs w:val="32"/>
          <w:highlight w:val="none"/>
        </w:rPr>
      </w:pPr>
      <w:r>
        <w:rPr>
          <w:rFonts w:hint="eastAsia"/>
          <w:bCs/>
          <w:color w:val="auto"/>
          <w:szCs w:val="32"/>
          <w:highlight w:val="none"/>
        </w:rPr>
        <w:t>第</w:t>
      </w:r>
      <w:r>
        <w:rPr>
          <w:rFonts w:hint="eastAsia"/>
          <w:bCs/>
          <w:color w:val="auto"/>
          <w:szCs w:val="32"/>
          <w:highlight w:val="none"/>
          <w:lang w:val="en-US" w:eastAsia="zh-CN"/>
        </w:rPr>
        <w:t>十</w:t>
      </w:r>
      <w:r>
        <w:rPr>
          <w:rFonts w:hint="eastAsia"/>
          <w:bCs/>
          <w:color w:val="auto"/>
          <w:szCs w:val="32"/>
          <w:highlight w:val="none"/>
        </w:rPr>
        <w:t>章  招标单位、招标代理机构对本招标文件的确认</w:t>
      </w:r>
      <w:bookmarkEnd w:id="1025"/>
    </w:p>
    <w:p w14:paraId="7D391125">
      <w:pPr>
        <w:pStyle w:val="20"/>
        <w:rPr>
          <w:color w:val="auto"/>
          <w:highlight w:val="none"/>
        </w:rPr>
      </w:pPr>
    </w:p>
    <w:tbl>
      <w:tblPr>
        <w:tblStyle w:val="47"/>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28B5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14:paraId="45DC8EDB">
            <w:pPr>
              <w:wordWrap w:val="0"/>
              <w:adjustRightInd w:val="0"/>
              <w:snapToGrid w:val="0"/>
              <w:spacing w:line="560" w:lineRule="exact"/>
              <w:rPr>
                <w:color w:val="auto"/>
                <w:sz w:val="30"/>
                <w:highlight w:val="none"/>
              </w:rPr>
            </w:pPr>
          </w:p>
          <w:p w14:paraId="3CB446EA">
            <w:pPr>
              <w:wordWrap w:val="0"/>
              <w:spacing w:line="560" w:lineRule="exact"/>
              <w:ind w:firstLine="560" w:firstLineChars="200"/>
              <w:rPr>
                <w:color w:val="auto"/>
                <w:sz w:val="28"/>
                <w:szCs w:val="28"/>
                <w:highlight w:val="none"/>
              </w:rPr>
            </w:pPr>
            <w:r>
              <w:rPr>
                <w:rFonts w:hint="eastAsia"/>
                <w:color w:val="auto"/>
                <w:sz w:val="28"/>
                <w:szCs w:val="28"/>
                <w:highlight w:val="none"/>
              </w:rPr>
              <w:t>我单位对</w:t>
            </w:r>
            <w:r>
              <w:rPr>
                <w:rFonts w:hint="eastAsia"/>
                <w:color w:val="auto"/>
                <w:sz w:val="28"/>
                <w:szCs w:val="28"/>
                <w:highlight w:val="none"/>
                <w:u w:val="single"/>
              </w:rPr>
              <w:t xml:space="preserve"> </w:t>
            </w:r>
            <w:r>
              <w:rPr>
                <w:rFonts w:hint="eastAsia"/>
                <w:color w:val="auto"/>
                <w:sz w:val="28"/>
                <w:szCs w:val="28"/>
                <w:highlight w:val="none"/>
                <w:u w:val="single"/>
                <w:lang w:eastAsia="zh-CN"/>
              </w:rPr>
              <w:t>2026年滁宁公司房屋修缮工程</w:t>
            </w:r>
            <w:r>
              <w:rPr>
                <w:rFonts w:hint="eastAsia"/>
                <w:color w:val="auto"/>
                <w:sz w:val="28"/>
                <w:szCs w:val="28"/>
                <w:highlight w:val="none"/>
                <w:u w:val="single"/>
              </w:rPr>
              <w:t xml:space="preserve"> </w:t>
            </w:r>
            <w:r>
              <w:rPr>
                <w:rFonts w:hint="eastAsia"/>
                <w:color w:val="auto"/>
                <w:sz w:val="28"/>
                <w:szCs w:val="28"/>
                <w:highlight w:val="none"/>
              </w:rPr>
              <w:t>的招标文件进行确认。</w:t>
            </w:r>
          </w:p>
          <w:p w14:paraId="71A0CDF3">
            <w:pPr>
              <w:widowControl/>
              <w:spacing w:line="360" w:lineRule="auto"/>
              <w:ind w:firstLine="560" w:firstLineChars="200"/>
              <w:jc w:val="left"/>
              <w:rPr>
                <w:rFonts w:hint="eastAsia" w:ascii="宋体" w:hAnsi="宋体"/>
                <w:color w:val="auto"/>
                <w:sz w:val="28"/>
                <w:szCs w:val="28"/>
                <w:highlight w:val="none"/>
              </w:rPr>
            </w:pPr>
            <w:r>
              <w:rPr>
                <w:rFonts w:hint="eastAsia" w:ascii="宋体" w:hAnsi="宋体"/>
                <w:color w:val="auto"/>
                <w:sz w:val="28"/>
                <w:szCs w:val="28"/>
                <w:highlight w:val="none"/>
                <w:lang w:val="en-US" w:eastAsia="zh-CN"/>
              </w:rPr>
              <w:t>招标人</w:t>
            </w:r>
            <w:r>
              <w:rPr>
                <w:rFonts w:hint="eastAsia" w:ascii="宋体" w:hAnsi="宋体"/>
                <w:color w:val="auto"/>
                <w:sz w:val="28"/>
                <w:szCs w:val="28"/>
                <w:highlight w:val="none"/>
              </w:rPr>
              <w:t>：</w:t>
            </w:r>
            <w:r>
              <w:rPr>
                <w:rFonts w:hint="eastAsia" w:ascii="宋体" w:hAnsi="宋体"/>
                <w:color w:val="auto"/>
                <w:sz w:val="28"/>
                <w:szCs w:val="28"/>
                <w:highlight w:val="none"/>
                <w:lang w:eastAsia="zh-CN"/>
              </w:rPr>
              <w:t>安徽滁宁高速公路股份有限公司</w:t>
            </w:r>
            <w:r>
              <w:rPr>
                <w:rFonts w:hint="eastAsia" w:ascii="宋体" w:hAnsi="宋体"/>
                <w:color w:val="auto"/>
                <w:sz w:val="28"/>
                <w:szCs w:val="28"/>
                <w:highlight w:val="none"/>
              </w:rPr>
              <w:t xml:space="preserve">  </w:t>
            </w:r>
          </w:p>
          <w:p w14:paraId="7E988D38">
            <w:pPr>
              <w:adjustRightInd w:val="0"/>
              <w:snapToGrid w:val="0"/>
              <w:spacing w:line="560" w:lineRule="exact"/>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联 系 人：</w:t>
            </w:r>
            <w:r>
              <w:rPr>
                <w:rFonts w:hint="eastAsia" w:ascii="宋体" w:hAnsi="宋体" w:cs="Times New Roman"/>
                <w:color w:val="auto"/>
                <w:sz w:val="28"/>
                <w:szCs w:val="28"/>
                <w:highlight w:val="none"/>
                <w:lang w:val="en-US" w:eastAsia="zh-CN"/>
              </w:rPr>
              <w:t>鲁伟</w:t>
            </w:r>
            <w:r>
              <w:rPr>
                <w:rFonts w:hint="eastAsia" w:ascii="宋体" w:hAnsi="宋体" w:eastAsia="宋体" w:cs="Times New Roman"/>
                <w:color w:val="auto"/>
                <w:sz w:val="28"/>
                <w:szCs w:val="28"/>
                <w:highlight w:val="none"/>
                <w:lang w:val="en-US" w:eastAsia="zh-CN"/>
              </w:rPr>
              <w:t xml:space="preserve"> </w:t>
            </w:r>
          </w:p>
          <w:p w14:paraId="27CF026B">
            <w:pPr>
              <w:spacing w:line="560" w:lineRule="exac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联系电话：</w:t>
            </w:r>
            <w:r>
              <w:rPr>
                <w:rFonts w:hint="eastAsia" w:ascii="宋体" w:hAnsi="宋体" w:cs="宋体"/>
                <w:color w:val="auto"/>
                <w:sz w:val="28"/>
                <w:szCs w:val="28"/>
                <w:highlight w:val="none"/>
                <w:lang w:val="en-US" w:eastAsia="zh-CN"/>
              </w:rPr>
              <w:t>0550-3568105</w:t>
            </w:r>
          </w:p>
          <w:p w14:paraId="01C3939A">
            <w:pPr>
              <w:adjustRightInd w:val="0"/>
              <w:snapToGrid w:val="0"/>
              <w:spacing w:line="560" w:lineRule="exact"/>
              <w:ind w:firstLine="560" w:firstLineChars="200"/>
              <w:rPr>
                <w:rFonts w:hint="eastAsia" w:ascii="宋体" w:hAnsi="宋体" w:eastAsia="宋体" w:cs="Times New Roman"/>
                <w:color w:val="auto"/>
                <w:sz w:val="28"/>
                <w:szCs w:val="28"/>
                <w:highlight w:val="none"/>
                <w:lang w:val="en-US" w:eastAsia="zh-CN"/>
              </w:rPr>
            </w:pPr>
          </w:p>
          <w:p w14:paraId="01C406FE">
            <w:pPr>
              <w:wordWrap w:val="0"/>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p>
          <w:p w14:paraId="2BCF4FCB">
            <w:pPr>
              <w:wordWrap w:val="0"/>
              <w:spacing w:line="560" w:lineRule="exact"/>
              <w:ind w:firstLine="560" w:firstLineChars="200"/>
              <w:rPr>
                <w:rFonts w:ascii="宋体" w:hAnsi="宋体"/>
                <w:color w:val="auto"/>
                <w:sz w:val="28"/>
                <w:szCs w:val="28"/>
                <w:highlight w:val="none"/>
              </w:rPr>
            </w:pPr>
          </w:p>
          <w:p w14:paraId="3879E6FD">
            <w:pPr>
              <w:wordWrap w:val="0"/>
              <w:spacing w:line="560" w:lineRule="exact"/>
              <w:ind w:firstLine="560" w:firstLineChars="200"/>
              <w:rPr>
                <w:rFonts w:ascii="宋体" w:hAnsi="宋体"/>
                <w:color w:val="auto"/>
                <w:sz w:val="28"/>
                <w:szCs w:val="28"/>
                <w:highlight w:val="none"/>
              </w:rPr>
            </w:pPr>
          </w:p>
          <w:p w14:paraId="6BD2A618">
            <w:pPr>
              <w:wordWrap w:val="0"/>
              <w:spacing w:line="560" w:lineRule="exact"/>
              <w:ind w:firstLine="5740" w:firstLineChars="2050"/>
              <w:rPr>
                <w:rFonts w:ascii="宋体" w:hAnsi="宋体"/>
                <w:color w:val="auto"/>
                <w:sz w:val="28"/>
                <w:szCs w:val="28"/>
                <w:highlight w:val="none"/>
              </w:rPr>
            </w:pPr>
            <w:r>
              <w:rPr>
                <w:rFonts w:hint="eastAsia" w:ascii="宋体" w:hAnsi="宋体"/>
                <w:color w:val="auto"/>
                <w:sz w:val="28"/>
                <w:szCs w:val="28"/>
                <w:highlight w:val="none"/>
              </w:rPr>
              <w:t>（单位盖章）</w:t>
            </w:r>
          </w:p>
          <w:p w14:paraId="0DB51C41">
            <w:pPr>
              <w:spacing w:line="560" w:lineRule="exact"/>
              <w:ind w:firstLine="5880" w:firstLineChars="2100"/>
              <w:rPr>
                <w:rFonts w:ascii="宋体" w:hAnsi="宋体"/>
                <w:color w:val="auto"/>
                <w:sz w:val="28"/>
                <w:szCs w:val="28"/>
                <w:highlight w:val="none"/>
              </w:rPr>
            </w:pPr>
            <w:r>
              <w:rPr>
                <w:rFonts w:hint="eastAsia" w:ascii="宋体" w:hAnsi="宋体"/>
                <w:color w:val="auto"/>
                <w:sz w:val="28"/>
                <w:szCs w:val="28"/>
                <w:highlight w:val="none"/>
                <w:lang w:eastAsia="zh-CN"/>
              </w:rPr>
              <w:t>2026</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1</w:t>
            </w:r>
            <w:r>
              <w:rPr>
                <w:rFonts w:hint="eastAsia" w:ascii="宋体" w:hAnsi="宋体"/>
                <w:color w:val="auto"/>
                <w:sz w:val="28"/>
                <w:szCs w:val="28"/>
                <w:highlight w:val="none"/>
              </w:rPr>
              <w:t>月</w:t>
            </w:r>
          </w:p>
          <w:p w14:paraId="72A7FF77">
            <w:pPr>
              <w:pStyle w:val="14"/>
              <w:ind w:firstLine="420"/>
              <w:rPr>
                <w:color w:val="auto"/>
                <w:highlight w:val="none"/>
              </w:rPr>
            </w:pPr>
          </w:p>
        </w:tc>
      </w:tr>
      <w:tr w14:paraId="05F32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14:paraId="2080D8D4">
            <w:pPr>
              <w:spacing w:line="560" w:lineRule="exact"/>
              <w:ind w:firstLine="560" w:firstLineChars="200"/>
              <w:rPr>
                <w:rFonts w:ascii="宋体" w:hAnsi="宋体" w:cs="宋体"/>
                <w:color w:val="auto"/>
                <w:sz w:val="28"/>
                <w:szCs w:val="28"/>
                <w:highlight w:val="none"/>
              </w:rPr>
            </w:pPr>
          </w:p>
          <w:p w14:paraId="297A006E">
            <w:pPr>
              <w:spacing w:line="560" w:lineRule="exact"/>
              <w:ind w:firstLine="560" w:firstLineChars="200"/>
              <w:rPr>
                <w:rFonts w:ascii="宋体" w:hAnsi="宋体" w:cs="宋体"/>
                <w:color w:val="auto"/>
                <w:sz w:val="28"/>
                <w:szCs w:val="28"/>
                <w:highlight w:val="none"/>
                <w:u w:val="single"/>
              </w:rPr>
            </w:pPr>
            <w:r>
              <w:rPr>
                <w:rFonts w:hint="eastAsia" w:ascii="宋体" w:hAnsi="宋体" w:cs="宋体"/>
                <w:color w:val="auto"/>
                <w:sz w:val="28"/>
                <w:szCs w:val="28"/>
                <w:highlight w:val="none"/>
              </w:rPr>
              <w:t>招标代理机构：</w:t>
            </w:r>
            <w:r>
              <w:rPr>
                <w:rFonts w:hint="eastAsia"/>
                <w:color w:val="auto"/>
                <w:sz w:val="28"/>
                <w:szCs w:val="28"/>
                <w:highlight w:val="none"/>
              </w:rPr>
              <w:t>滁州市城投工程咨询管理有限公司</w:t>
            </w:r>
          </w:p>
          <w:p w14:paraId="04195C3D">
            <w:pPr>
              <w:spacing w:line="560" w:lineRule="exact"/>
              <w:ind w:firstLine="560" w:firstLineChars="200"/>
              <w:rPr>
                <w:rFonts w:hint="default" w:ascii="宋体" w:hAnsi="宋体" w:eastAsia="宋体" w:cs="宋体"/>
                <w:color w:val="auto"/>
                <w:sz w:val="28"/>
                <w:szCs w:val="28"/>
                <w:highlight w:val="none"/>
                <w:u w:val="single"/>
                <w:lang w:val="en-US" w:eastAsia="zh-CN"/>
              </w:rPr>
            </w:pPr>
            <w:r>
              <w:rPr>
                <w:rFonts w:hint="eastAsia" w:ascii="宋体" w:hAnsi="宋体" w:cs="宋体"/>
                <w:color w:val="auto"/>
                <w:sz w:val="28"/>
                <w:szCs w:val="28"/>
                <w:highlight w:val="none"/>
              </w:rPr>
              <w:t>联 系 人：</w:t>
            </w:r>
            <w:r>
              <w:rPr>
                <w:rFonts w:hint="eastAsia" w:ascii="宋体" w:hAnsi="宋体" w:cs="宋体"/>
                <w:color w:val="auto"/>
                <w:sz w:val="28"/>
                <w:szCs w:val="28"/>
                <w:highlight w:val="none"/>
                <w:lang w:val="en-US" w:eastAsia="zh-CN"/>
              </w:rPr>
              <w:t>王芳</w:t>
            </w:r>
          </w:p>
          <w:p w14:paraId="47E8E678">
            <w:pPr>
              <w:spacing w:line="56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联系电话：0550-351951</w:t>
            </w:r>
            <w:r>
              <w:rPr>
                <w:rFonts w:hint="eastAsia" w:ascii="宋体" w:hAnsi="宋体" w:cs="宋体"/>
                <w:color w:val="auto"/>
                <w:sz w:val="28"/>
                <w:szCs w:val="28"/>
                <w:highlight w:val="none"/>
                <w:lang w:val="en-US" w:eastAsia="zh-CN"/>
              </w:rPr>
              <w:t>9</w:t>
            </w: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18955055067</w:t>
            </w:r>
          </w:p>
          <w:p w14:paraId="60018F68">
            <w:pPr>
              <w:spacing w:line="560" w:lineRule="exact"/>
              <w:ind w:firstLine="5040" w:firstLineChars="1800"/>
              <w:rPr>
                <w:rFonts w:ascii="宋体" w:hAnsi="宋体" w:cs="宋体"/>
                <w:color w:val="auto"/>
                <w:sz w:val="28"/>
                <w:szCs w:val="28"/>
                <w:highlight w:val="none"/>
              </w:rPr>
            </w:pPr>
          </w:p>
          <w:p w14:paraId="0781C8CF">
            <w:pPr>
              <w:spacing w:line="560" w:lineRule="exact"/>
              <w:ind w:firstLine="5460" w:firstLineChars="1950"/>
              <w:rPr>
                <w:rFonts w:ascii="宋体" w:hAnsi="宋体" w:cs="宋体"/>
                <w:color w:val="auto"/>
                <w:sz w:val="28"/>
                <w:szCs w:val="28"/>
                <w:highlight w:val="none"/>
              </w:rPr>
            </w:pPr>
          </w:p>
          <w:p w14:paraId="0A1FE158">
            <w:pPr>
              <w:spacing w:line="560" w:lineRule="exact"/>
              <w:ind w:firstLine="5880" w:firstLineChars="2100"/>
              <w:rPr>
                <w:rFonts w:ascii="宋体" w:hAnsi="宋体" w:cs="宋体"/>
                <w:color w:val="auto"/>
                <w:sz w:val="28"/>
                <w:szCs w:val="28"/>
                <w:highlight w:val="none"/>
              </w:rPr>
            </w:pPr>
            <w:r>
              <w:rPr>
                <w:rFonts w:hint="eastAsia" w:ascii="宋体" w:hAnsi="宋体" w:cs="宋体"/>
                <w:color w:val="auto"/>
                <w:sz w:val="28"/>
                <w:szCs w:val="28"/>
                <w:highlight w:val="none"/>
              </w:rPr>
              <w:t>（单位盖章）</w:t>
            </w:r>
          </w:p>
          <w:p w14:paraId="144B0D1C">
            <w:pPr>
              <w:spacing w:line="560" w:lineRule="exact"/>
              <w:ind w:firstLine="6020" w:firstLineChars="2150"/>
              <w:rPr>
                <w:rFonts w:ascii="宋体" w:hAnsi="宋体"/>
                <w:color w:val="auto"/>
                <w:sz w:val="28"/>
                <w:szCs w:val="28"/>
                <w:highlight w:val="none"/>
              </w:rPr>
            </w:pPr>
            <w:r>
              <w:rPr>
                <w:rFonts w:hint="eastAsia" w:ascii="宋体" w:hAnsi="宋体"/>
                <w:color w:val="auto"/>
                <w:sz w:val="28"/>
                <w:szCs w:val="28"/>
                <w:highlight w:val="none"/>
                <w:lang w:eastAsia="zh-CN"/>
              </w:rPr>
              <w:t>2026</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1</w:t>
            </w:r>
            <w:r>
              <w:rPr>
                <w:rFonts w:hint="eastAsia" w:ascii="宋体" w:hAnsi="宋体"/>
                <w:color w:val="auto"/>
                <w:sz w:val="28"/>
                <w:szCs w:val="28"/>
                <w:highlight w:val="none"/>
              </w:rPr>
              <w:t>月</w:t>
            </w:r>
          </w:p>
          <w:p w14:paraId="4EDF8AEB">
            <w:pPr>
              <w:pStyle w:val="14"/>
              <w:ind w:firstLine="420"/>
              <w:rPr>
                <w:color w:val="auto"/>
                <w:highlight w:val="none"/>
              </w:rPr>
            </w:pPr>
          </w:p>
        </w:tc>
      </w:tr>
    </w:tbl>
    <w:p w14:paraId="2D7DD9E9">
      <w:pPr>
        <w:rPr>
          <w:color w:val="auto"/>
          <w:highlight w:val="none"/>
        </w:rPr>
      </w:pPr>
      <w:r>
        <w:rPr>
          <w:color w:val="auto"/>
          <w:highlight w:val="none"/>
        </w:rPr>
        <w:br w:type="page"/>
      </w:r>
    </w:p>
    <w:p w14:paraId="034D9A8E">
      <w:pPr>
        <w:keepNext/>
        <w:keepLines/>
        <w:spacing w:before="200" w:after="200" w:line="600" w:lineRule="exact"/>
        <w:outlineLvl w:val="0"/>
        <w:rPr>
          <w:rFonts w:ascii="黑体" w:hAnsi="黑体" w:eastAsia="黑体"/>
          <w:b/>
          <w:bCs/>
          <w:color w:val="auto"/>
          <w:kern w:val="44"/>
          <w:sz w:val="28"/>
          <w:szCs w:val="28"/>
          <w:highlight w:val="none"/>
        </w:rPr>
      </w:pPr>
      <w:bookmarkStart w:id="1027" w:name="OLE_LINK25"/>
      <w:bookmarkStart w:id="1028" w:name="OLE_LINK24"/>
      <w:r>
        <w:rPr>
          <w:rFonts w:hint="eastAsia" w:ascii="黑体" w:hAnsi="黑体" w:eastAsia="黑体"/>
          <w:b/>
          <w:bCs/>
          <w:color w:val="auto"/>
          <w:kern w:val="44"/>
          <w:sz w:val="36"/>
          <w:szCs w:val="28"/>
          <w:highlight w:val="none"/>
        </w:rPr>
        <w:t>附件1 关于联合惩戒失信行为加强信用查询管理的通知</w:t>
      </w:r>
    </w:p>
    <w:p w14:paraId="7D78D1E5">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一、失信行为联合惩戒的范围和查询渠道</w:t>
      </w:r>
    </w:p>
    <w:p w14:paraId="2BD71219">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在我市公共资源交易活动中对存在下列失信行为的投标人、法定代表人及其项目经理（建造师）实施联合惩戒，禁止参与我市公共资源交易活动。</w:t>
      </w:r>
    </w:p>
    <w:p w14:paraId="28C6AAAB">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（一）工程建设项目</w:t>
      </w:r>
    </w:p>
    <w:bookmarkEnd w:id="1027"/>
    <w:bookmarkEnd w:id="1028"/>
    <w:p w14:paraId="7F29E750">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1、“信用中国”网站（www.creditchina.gov.cn）查询</w:t>
      </w:r>
      <w:bookmarkStart w:id="1029" w:name="OLE_LINK103"/>
      <w:bookmarkStart w:id="1030" w:name="OLE_LINK92"/>
      <w:bookmarkStart w:id="1031" w:name="OLE_LINK91"/>
      <w:bookmarkStart w:id="1032" w:name="OLE_LINK93"/>
      <w:r>
        <w:rPr>
          <w:rFonts w:hint="eastAsia" w:ascii="仿宋_GB2312" w:hAnsi="宋体" w:eastAsia="仿宋_GB2312"/>
          <w:color w:val="auto"/>
          <w:sz w:val="28"/>
          <w:szCs w:val="28"/>
          <w:highlight w:val="none"/>
        </w:rPr>
        <w:t>投标人、法定代表人及其项目经理(建造师)</w:t>
      </w:r>
      <w:bookmarkEnd w:id="1029"/>
      <w:bookmarkEnd w:id="1030"/>
      <w:bookmarkEnd w:id="1031"/>
      <w:bookmarkEnd w:id="1032"/>
      <w:r>
        <w:rPr>
          <w:rFonts w:hint="eastAsia" w:ascii="仿宋_GB2312" w:hAnsi="宋体" w:eastAsia="仿宋_GB2312"/>
          <w:color w:val="auto"/>
          <w:sz w:val="28"/>
          <w:szCs w:val="28"/>
          <w:highlight w:val="none"/>
        </w:rPr>
        <w:t>以下失信行为：</w:t>
      </w:r>
    </w:p>
    <w:p w14:paraId="39E02CAC">
      <w:pPr>
        <w:adjustRightInd w:val="0"/>
        <w:snapToGrid w:val="0"/>
        <w:spacing w:line="560" w:lineRule="exact"/>
        <w:ind w:firstLine="560" w:firstLineChars="200"/>
        <w:rPr>
          <w:rFonts w:hint="eastAsia" w:ascii="仿宋_GB2312" w:hAnsi="宋体" w:eastAsia="仿宋_GB2312"/>
          <w:color w:val="auto"/>
          <w:sz w:val="28"/>
          <w:szCs w:val="28"/>
          <w:highlight w:val="none"/>
        </w:rPr>
      </w:pPr>
      <w:bookmarkStart w:id="1033" w:name="OLE_LINK86"/>
      <w:bookmarkStart w:id="1034" w:name="OLE_LINK21"/>
      <w:bookmarkStart w:id="1035" w:name="OLE_LINK94"/>
      <w:bookmarkStart w:id="1036" w:name="OLE_LINK119"/>
      <w:bookmarkStart w:id="1037" w:name="OLE_LINK87"/>
      <w:r>
        <w:rPr>
          <w:rFonts w:hint="eastAsia" w:ascii="仿宋_GB2312" w:hAnsi="宋体" w:eastAsia="仿宋_GB2312"/>
          <w:color w:val="auto"/>
          <w:sz w:val="28"/>
          <w:szCs w:val="28"/>
          <w:highlight w:val="none"/>
        </w:rPr>
        <w:t>①被列入“失信被执行人”的;</w:t>
      </w:r>
    </w:p>
    <w:p w14:paraId="7047C0E8">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w:t>
      </w:r>
      <w:bookmarkStart w:id="1038" w:name="OLE_LINK115"/>
      <w:bookmarkStart w:id="1039" w:name="OLE_LINK116"/>
      <w:bookmarkStart w:id="1040" w:name="OLE_LINK118"/>
      <w:bookmarkStart w:id="1041" w:name="OLE_LINK117"/>
      <w:r>
        <w:rPr>
          <w:rFonts w:hint="eastAsia" w:ascii="仿宋_GB2312" w:hAnsi="宋体" w:eastAsia="仿宋_GB2312"/>
          <w:color w:val="auto"/>
          <w:sz w:val="28"/>
          <w:szCs w:val="28"/>
          <w:highlight w:val="none"/>
        </w:rPr>
        <w:t>“重大税收违法失信主体”</w:t>
      </w:r>
      <w:bookmarkEnd w:id="1038"/>
      <w:bookmarkEnd w:id="1039"/>
      <w:bookmarkEnd w:id="1040"/>
      <w:bookmarkEnd w:id="1041"/>
      <w:r>
        <w:rPr>
          <w:rFonts w:hint="eastAsia" w:ascii="仿宋_GB2312" w:hAnsi="宋体" w:eastAsia="仿宋_GB2312"/>
          <w:color w:val="auto"/>
          <w:sz w:val="28"/>
          <w:szCs w:val="28"/>
          <w:highlight w:val="none"/>
        </w:rPr>
        <w:t>的；</w:t>
      </w:r>
    </w:p>
    <w:p w14:paraId="7DC992D2">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③被列入“拖欠</w:t>
      </w:r>
      <w:bookmarkStart w:id="1042" w:name="OLE_LINK84"/>
      <w:bookmarkStart w:id="1043" w:name="OLE_LINK85"/>
      <w:r>
        <w:rPr>
          <w:rFonts w:hint="eastAsia" w:ascii="仿宋_GB2312" w:hAnsi="宋体" w:eastAsia="仿宋_GB2312"/>
          <w:color w:val="auto"/>
          <w:sz w:val="28"/>
          <w:szCs w:val="28"/>
          <w:highlight w:val="none"/>
        </w:rPr>
        <w:t>农民工工资失信联合惩戒对象</w:t>
      </w:r>
      <w:bookmarkEnd w:id="1042"/>
      <w:bookmarkEnd w:id="1043"/>
      <w:r>
        <w:rPr>
          <w:rFonts w:hint="eastAsia" w:ascii="仿宋_GB2312" w:hAnsi="宋体" w:eastAsia="仿宋_GB2312"/>
          <w:color w:val="auto"/>
          <w:sz w:val="28"/>
          <w:szCs w:val="28"/>
          <w:highlight w:val="none"/>
        </w:rPr>
        <w:t>名单”的；</w:t>
      </w:r>
    </w:p>
    <w:p w14:paraId="43D5EFC6">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④被列入 “严重失信主体名单”的；</w:t>
      </w:r>
    </w:p>
    <w:p w14:paraId="7F86043F">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⑤在“信用中国”网站上披露的仍在公示期的严重失信行为(具体行为类别及判定依据见附件2)的。</w:t>
      </w:r>
    </w:p>
    <w:bookmarkEnd w:id="1033"/>
    <w:bookmarkEnd w:id="1034"/>
    <w:bookmarkEnd w:id="1035"/>
    <w:bookmarkEnd w:id="1036"/>
    <w:bookmarkEnd w:id="1037"/>
    <w:p w14:paraId="1B61F2E2">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w:t>
      </w:r>
      <w:bookmarkStart w:id="1044" w:name="OLE_LINK130"/>
      <w:r>
        <w:rPr>
          <w:rFonts w:hint="eastAsia" w:ascii="仿宋_GB2312" w:hAnsi="宋体" w:eastAsia="仿宋_GB2312"/>
          <w:color w:val="auto"/>
          <w:sz w:val="28"/>
          <w:szCs w:val="28"/>
          <w:highlight w:val="none"/>
        </w:rPr>
        <w:t>国家企业信用信息公示系统网站</w:t>
      </w:r>
      <w:bookmarkEnd w:id="1044"/>
      <w:r>
        <w:rPr>
          <w:rFonts w:hint="eastAsia" w:ascii="仿宋_GB2312" w:hAnsi="宋体" w:eastAsia="仿宋_GB2312"/>
          <w:color w:val="auto"/>
          <w:sz w:val="28"/>
          <w:szCs w:val="28"/>
          <w:highlight w:val="none"/>
        </w:rPr>
        <w:t>（</w:t>
      </w:r>
      <w:r>
        <w:rPr>
          <w:color w:val="auto"/>
          <w:highlight w:val="none"/>
        </w:rPr>
        <w:fldChar w:fldCharType="begin"/>
      </w:r>
      <w:r>
        <w:rPr>
          <w:color w:val="auto"/>
          <w:highlight w:val="none"/>
        </w:rPr>
        <w:instrText xml:space="preserve"> </w:instrText>
      </w:r>
      <w:r>
        <w:rPr>
          <w:rFonts w:hint="eastAsia"/>
          <w:color w:val="auto"/>
          <w:highlight w:val="none"/>
        </w:rPr>
        <w:instrText xml:space="preserve">HYPERLINK "http://www.gsxt.gov.cn）查询"</w:instrText>
      </w:r>
      <w:r>
        <w:rPr>
          <w:color w:val="auto"/>
          <w:highlight w:val="none"/>
        </w:rPr>
        <w:instrText xml:space="preserve"> </w:instrText>
      </w:r>
      <w:r>
        <w:rPr>
          <w:color w:val="auto"/>
          <w:highlight w:val="none"/>
        </w:rPr>
        <w:fldChar w:fldCharType="separate"/>
      </w:r>
      <w:bookmarkStart w:id="1045" w:name="OLE_LINK90"/>
      <w:bookmarkStart w:id="1046" w:name="OLE_LINK89"/>
      <w:r>
        <w:rPr>
          <w:rStyle w:val="58"/>
          <w:rFonts w:hint="eastAsia" w:ascii="仿宋_GB2312" w:hAnsi="宋体" w:eastAsia="仿宋_GB2312"/>
          <w:color w:val="auto"/>
          <w:sz w:val="28"/>
          <w:szCs w:val="28"/>
          <w:highlight w:val="none"/>
        </w:rPr>
        <w:t>www.gsxt.gov.cn</w:t>
      </w:r>
      <w:bookmarkEnd w:id="1045"/>
      <w:bookmarkEnd w:id="1046"/>
      <w:r>
        <w:rPr>
          <w:rStyle w:val="58"/>
          <w:rFonts w:hint="eastAsia" w:ascii="仿宋_GB2312" w:hAnsi="宋体" w:eastAsia="仿宋_GB2312"/>
          <w:color w:val="auto"/>
          <w:sz w:val="28"/>
          <w:szCs w:val="28"/>
          <w:highlight w:val="none"/>
        </w:rPr>
        <w:t>）</w:t>
      </w:r>
      <w:r>
        <w:rPr>
          <w:color w:val="auto"/>
          <w:highlight w:val="none"/>
        </w:rPr>
        <w:fldChar w:fldCharType="end"/>
      </w:r>
      <w:r>
        <w:rPr>
          <w:rFonts w:hint="eastAsia" w:ascii="仿宋_GB2312" w:hAnsi="宋体" w:eastAsia="仿宋_GB2312"/>
          <w:color w:val="auto"/>
          <w:sz w:val="28"/>
          <w:szCs w:val="28"/>
          <w:highlight w:val="none"/>
        </w:rPr>
        <w:t>查询投标人以下失信行为：</w:t>
      </w:r>
    </w:p>
    <w:p w14:paraId="2345EFB3">
      <w:pPr>
        <w:adjustRightInd w:val="0"/>
        <w:snapToGrid w:val="0"/>
        <w:spacing w:line="560" w:lineRule="exact"/>
        <w:ind w:firstLine="560" w:firstLineChars="200"/>
        <w:rPr>
          <w:rFonts w:hint="eastAsia" w:ascii="仿宋_GB2312" w:hAnsi="宋体" w:eastAsia="仿宋_GB2312"/>
          <w:color w:val="auto"/>
          <w:sz w:val="28"/>
          <w:szCs w:val="28"/>
          <w:highlight w:val="none"/>
        </w:rPr>
      </w:pPr>
      <w:bookmarkStart w:id="1047" w:name="OLE_LINK121"/>
      <w:bookmarkStart w:id="1048" w:name="OLE_LINK122"/>
      <w:bookmarkStart w:id="1049" w:name="OLE_LINK120"/>
      <w:r>
        <w:rPr>
          <w:rFonts w:hint="eastAsia" w:ascii="仿宋_GB2312" w:hAnsi="宋体" w:eastAsia="仿宋_GB2312"/>
          <w:color w:val="auto"/>
          <w:sz w:val="28"/>
          <w:szCs w:val="28"/>
          <w:highlight w:val="none"/>
        </w:rPr>
        <w:t>①被列入“经营异常名录”或者“严重违法失信名单”的。</w:t>
      </w:r>
      <w:bookmarkEnd w:id="1047"/>
      <w:bookmarkEnd w:id="1048"/>
      <w:bookmarkEnd w:id="1049"/>
    </w:p>
    <w:p w14:paraId="034FA393">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3、由</w:t>
      </w:r>
      <w:r>
        <w:rPr>
          <w:rFonts w:hint="eastAsia" w:ascii="仿宋_GB2312" w:hAnsi="宋体" w:eastAsia="仿宋_GB2312"/>
          <w:color w:val="auto"/>
          <w:kern w:val="0"/>
          <w:sz w:val="28"/>
          <w:szCs w:val="28"/>
          <w:highlight w:val="none"/>
        </w:rPr>
        <w:t>投标人、法定代表人及其项目经理(建造师)</w:t>
      </w:r>
      <w:r>
        <w:rPr>
          <w:rFonts w:hint="eastAsia" w:ascii="仿宋_GB2312" w:hAnsi="宋体" w:eastAsia="仿宋_GB2312"/>
          <w:color w:val="auto"/>
          <w:sz w:val="28"/>
          <w:szCs w:val="28"/>
          <w:highlight w:val="none"/>
        </w:rPr>
        <w:t>进行承诺，不进行现场网上信用查询的失信行为：</w:t>
      </w:r>
    </w:p>
    <w:p w14:paraId="003358AB">
      <w:pPr>
        <w:adjustRightInd w:val="0"/>
        <w:snapToGrid w:val="0"/>
        <w:spacing w:line="560" w:lineRule="exact"/>
        <w:ind w:firstLine="560" w:firstLineChars="200"/>
        <w:rPr>
          <w:rFonts w:hint="eastAsia" w:ascii="仿宋_GB2312" w:hAnsi="宋体" w:eastAsia="仿宋_GB2312" w:cs="楷体"/>
          <w:color w:val="auto"/>
          <w:sz w:val="28"/>
          <w:szCs w:val="28"/>
          <w:highlight w:val="none"/>
        </w:rPr>
      </w:pPr>
      <w:bookmarkStart w:id="1050" w:name="OLE_LINK124"/>
      <w:bookmarkStart w:id="1051" w:name="OLE_LINK123"/>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p>
    <w:p w14:paraId="39670212">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②被滁州市县两级公管部门取消在一定期限内的投标资格且在取消期限内的；</w:t>
      </w:r>
    </w:p>
    <w:p w14:paraId="4FBE87E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③被滁州市县两级各行业主管部门取消在一定期限内的投标资格且在取消期限内的；</w:t>
      </w:r>
    </w:p>
    <w:p w14:paraId="5AD426C5">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④因拖欠农民工工资被</w:t>
      </w:r>
      <w:bookmarkStart w:id="1052" w:name="OLE_LINK107"/>
      <w:bookmarkStart w:id="1053" w:name="OLE_LINK108"/>
      <w:r>
        <w:rPr>
          <w:rFonts w:hint="eastAsia" w:ascii="仿宋_GB2312" w:hAnsi="宋体" w:eastAsia="仿宋_GB2312"/>
          <w:color w:val="auto"/>
          <w:sz w:val="28"/>
          <w:szCs w:val="28"/>
          <w:highlight w:val="none"/>
        </w:rPr>
        <w:t>县级及以上有关行政主管部门限制投标资格且在限制期限内的</w:t>
      </w:r>
      <w:bookmarkEnd w:id="1052"/>
      <w:bookmarkEnd w:id="1053"/>
      <w:r>
        <w:rPr>
          <w:rFonts w:hint="eastAsia" w:ascii="仿宋_GB2312" w:hAnsi="宋体" w:eastAsia="仿宋_GB2312"/>
          <w:color w:val="auto"/>
          <w:sz w:val="28"/>
          <w:szCs w:val="28"/>
          <w:highlight w:val="none"/>
        </w:rPr>
        <w:t>；</w:t>
      </w:r>
    </w:p>
    <w:p w14:paraId="3C3CBF73">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1050"/>
    <w:bookmarkEnd w:id="1051"/>
    <w:p w14:paraId="374AA87B">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（二）政府采购项目</w:t>
      </w:r>
    </w:p>
    <w:p w14:paraId="4C8C011D">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t>
      </w:r>
      <w:r>
        <w:rPr>
          <w:rFonts w:hint="eastAsia" w:ascii="仿宋" w:hAnsi="仿宋" w:eastAsia="仿宋"/>
          <w:color w:val="auto"/>
          <w:sz w:val="28"/>
          <w:szCs w:val="28"/>
          <w:highlight w:val="none"/>
        </w:rPr>
        <w:t>（</w:t>
      </w:r>
      <w:r>
        <w:rPr>
          <w:rStyle w:val="58"/>
          <w:rFonts w:hint="eastAsia" w:ascii="仿宋" w:hAnsi="仿宋" w:eastAsia="仿宋"/>
          <w:color w:val="auto"/>
          <w:sz w:val="28"/>
          <w:szCs w:val="28"/>
          <w:highlight w:val="none"/>
        </w:rPr>
        <w:t>www.creditchina.gov.cn</w:t>
      </w:r>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查询供应商、法定代表人及其项目负责人以下失信行为：</w:t>
      </w:r>
    </w:p>
    <w:p w14:paraId="66110A55">
      <w:pPr>
        <w:adjustRightInd w:val="0"/>
        <w:snapToGrid w:val="0"/>
        <w:spacing w:line="560" w:lineRule="exact"/>
        <w:ind w:firstLine="560"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①被列入“失信被执行人”的;</w:t>
      </w:r>
    </w:p>
    <w:p w14:paraId="76905306">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②被列入“重大税收违法失信主体”的；</w:t>
      </w:r>
    </w:p>
    <w:p w14:paraId="224CBA47">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③被列入“拖欠农民工工资失信联合惩戒对象名单”的；</w:t>
      </w:r>
    </w:p>
    <w:p w14:paraId="19BC1919">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④被列入 “严重失信主体名单”的；</w:t>
      </w:r>
    </w:p>
    <w:p w14:paraId="2673F94A">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⑤在“信用中国”网站上披露的仍在公示期的严重失信行为(具体行为类别及判定依据见附件2)的。</w:t>
      </w:r>
    </w:p>
    <w:p w14:paraId="3F17E67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2、国家企业信用信息公示系统网站</w:t>
      </w:r>
      <w:r>
        <w:rPr>
          <w:rFonts w:hint="eastAsia" w:ascii="仿宋" w:hAnsi="仿宋" w:eastAsia="仿宋"/>
          <w:color w:val="auto"/>
          <w:sz w:val="28"/>
          <w:szCs w:val="28"/>
          <w:highlight w:val="none"/>
        </w:rPr>
        <w:t>（</w:t>
      </w:r>
      <w:r>
        <w:rPr>
          <w:color w:val="auto"/>
          <w:highlight w:val="none"/>
        </w:rPr>
        <w:fldChar w:fldCharType="begin"/>
      </w:r>
      <w:r>
        <w:rPr>
          <w:color w:val="auto"/>
          <w:highlight w:val="none"/>
        </w:rPr>
        <w:instrText xml:space="preserve"> </w:instrText>
      </w:r>
      <w:r>
        <w:rPr>
          <w:rFonts w:hint="eastAsia"/>
          <w:color w:val="auto"/>
          <w:highlight w:val="none"/>
        </w:rPr>
        <w:instrText xml:space="preserve">HYPERLINK "http://www.gsxt.gov.cn）查询"</w:instrText>
      </w:r>
      <w:r>
        <w:rPr>
          <w:color w:val="auto"/>
          <w:highlight w:val="none"/>
        </w:rPr>
        <w:instrText xml:space="preserve"> </w:instrText>
      </w:r>
      <w:r>
        <w:rPr>
          <w:color w:val="auto"/>
          <w:highlight w:val="none"/>
        </w:rPr>
        <w:fldChar w:fldCharType="separate"/>
      </w:r>
      <w:r>
        <w:rPr>
          <w:rStyle w:val="58"/>
          <w:rFonts w:hint="eastAsia" w:ascii="仿宋" w:hAnsi="仿宋" w:eastAsia="仿宋"/>
          <w:color w:val="auto"/>
          <w:sz w:val="28"/>
          <w:szCs w:val="28"/>
          <w:highlight w:val="none"/>
        </w:rPr>
        <w:t>www.gsxt.gov.cn）</w:t>
      </w:r>
      <w:r>
        <w:rPr>
          <w:color w:val="auto"/>
          <w:highlight w:val="none"/>
        </w:rPr>
        <w:fldChar w:fldCharType="end"/>
      </w:r>
      <w:r>
        <w:rPr>
          <w:rFonts w:hint="eastAsia" w:ascii="仿宋_GB2312" w:hAnsi="宋体" w:eastAsia="仿宋_GB2312"/>
          <w:color w:val="auto"/>
          <w:sz w:val="28"/>
          <w:szCs w:val="28"/>
          <w:highlight w:val="none"/>
        </w:rPr>
        <w:t>查询供应商以下失信行为：</w:t>
      </w:r>
    </w:p>
    <w:p w14:paraId="3D63D8A1">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bookmarkStart w:id="1054" w:name="OLE_LINK101"/>
      <w:bookmarkStart w:id="1055" w:name="OLE_LINK100"/>
      <w:bookmarkStart w:id="1056" w:name="OLE_LINK102"/>
      <w:r>
        <w:rPr>
          <w:rFonts w:hint="eastAsia" w:ascii="仿宋_GB2312" w:hAnsi="宋体" w:eastAsia="仿宋_GB2312"/>
          <w:color w:val="auto"/>
          <w:sz w:val="28"/>
          <w:szCs w:val="28"/>
          <w:highlight w:val="none"/>
        </w:rPr>
        <w:t>被列入“经营异常名录”或者“严重违法失信名单”的</w:t>
      </w:r>
      <w:bookmarkEnd w:id="1054"/>
      <w:bookmarkEnd w:id="1055"/>
      <w:bookmarkEnd w:id="1056"/>
      <w:r>
        <w:rPr>
          <w:rFonts w:hint="eastAsia" w:ascii="仿宋_GB2312" w:hAnsi="宋体" w:eastAsia="仿宋_GB2312"/>
          <w:color w:val="auto"/>
          <w:sz w:val="28"/>
          <w:szCs w:val="28"/>
          <w:highlight w:val="none"/>
        </w:rPr>
        <w:t>。</w:t>
      </w:r>
    </w:p>
    <w:p w14:paraId="5C07D31A">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3、中国政府采购网站</w:t>
      </w:r>
      <w:r>
        <w:rPr>
          <w:rFonts w:hint="eastAsia" w:ascii="仿宋" w:hAnsi="仿宋" w:eastAsia="仿宋"/>
          <w:color w:val="auto"/>
          <w:sz w:val="28"/>
          <w:szCs w:val="28"/>
          <w:highlight w:val="none"/>
        </w:rPr>
        <w:t>（</w:t>
      </w:r>
      <w:bookmarkStart w:id="1057" w:name="OLE_LINK95"/>
      <w:bookmarkStart w:id="1058" w:name="OLE_LINK96"/>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HYPERLINK "http://www.ccgp.gov.cn" </w:instrText>
      </w:r>
      <w:r>
        <w:rPr>
          <w:rFonts w:ascii="仿宋" w:hAnsi="仿宋" w:eastAsia="仿宋"/>
          <w:color w:val="auto"/>
          <w:sz w:val="28"/>
          <w:szCs w:val="28"/>
          <w:highlight w:val="none"/>
        </w:rPr>
        <w:fldChar w:fldCharType="separate"/>
      </w:r>
      <w:r>
        <w:rPr>
          <w:rStyle w:val="58"/>
          <w:rFonts w:hint="eastAsia" w:ascii="仿宋" w:hAnsi="仿宋" w:eastAsia="仿宋"/>
          <w:color w:val="auto"/>
          <w:sz w:val="28"/>
          <w:szCs w:val="28"/>
          <w:highlight w:val="none"/>
        </w:rPr>
        <w:t>www.ccgp.gov.cn</w:t>
      </w:r>
      <w:r>
        <w:rPr>
          <w:rFonts w:ascii="仿宋" w:hAnsi="仿宋" w:eastAsia="仿宋"/>
          <w:color w:val="auto"/>
          <w:sz w:val="28"/>
          <w:szCs w:val="28"/>
          <w:highlight w:val="none"/>
        </w:rPr>
        <w:fldChar w:fldCharType="end"/>
      </w:r>
      <w:bookmarkEnd w:id="1057"/>
      <w:bookmarkEnd w:id="1058"/>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查询以下失信行为：</w:t>
      </w:r>
    </w:p>
    <w:p w14:paraId="2C0E0F88">
      <w:pPr>
        <w:adjustRightInd w:val="0"/>
        <w:snapToGrid w:val="0"/>
        <w:spacing w:line="560" w:lineRule="exact"/>
        <w:ind w:firstLine="560" w:firstLineChars="200"/>
        <w:rPr>
          <w:rFonts w:hint="eastAsia" w:ascii="仿宋_GB2312" w:hAnsi="宋体" w:eastAsia="仿宋_GB2312" w:cs="楷体"/>
          <w:color w:val="auto"/>
          <w:sz w:val="28"/>
          <w:szCs w:val="28"/>
          <w:highlight w:val="none"/>
        </w:rPr>
      </w:pPr>
      <w:r>
        <w:rPr>
          <w:rFonts w:hint="eastAsia" w:ascii="仿宋_GB2312" w:hAnsi="宋体" w:eastAsia="仿宋_GB2312"/>
          <w:color w:val="auto"/>
          <w:sz w:val="28"/>
          <w:szCs w:val="28"/>
          <w:highlight w:val="none"/>
        </w:rPr>
        <w:t>①</w:t>
      </w:r>
      <w:bookmarkStart w:id="1059" w:name="OLE_LINK106"/>
      <w:bookmarkStart w:id="1060" w:name="OLE_LINK105"/>
      <w:bookmarkStart w:id="1061" w:name="OLE_LINK104"/>
      <w:r>
        <w:rPr>
          <w:rFonts w:hint="eastAsia" w:ascii="仿宋_GB2312" w:hAnsi="宋体" w:eastAsia="仿宋_GB2312"/>
          <w:color w:val="auto"/>
          <w:sz w:val="28"/>
          <w:szCs w:val="28"/>
          <w:highlight w:val="none"/>
        </w:rPr>
        <w:t>被列入“政府采购严重违法失信行为信息记录”的</w:t>
      </w:r>
      <w:bookmarkEnd w:id="1059"/>
      <w:bookmarkEnd w:id="1060"/>
      <w:bookmarkEnd w:id="1061"/>
      <w:r>
        <w:rPr>
          <w:rFonts w:hint="eastAsia" w:ascii="仿宋_GB2312" w:hAnsi="宋体" w:eastAsia="仿宋_GB2312" w:cs="楷体"/>
          <w:color w:val="auto"/>
          <w:sz w:val="28"/>
          <w:szCs w:val="28"/>
          <w:highlight w:val="none"/>
        </w:rPr>
        <w:t>。</w:t>
      </w:r>
    </w:p>
    <w:p w14:paraId="3AE2308B">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4、由竞争主体进行承诺，不进行现场网上信用查询的失信行为：</w:t>
      </w:r>
    </w:p>
    <w:p w14:paraId="04F61849">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r>
        <w:rPr>
          <w:rFonts w:hint="eastAsia" w:ascii="仿宋_GB2312" w:hAnsi="宋体" w:eastAsia="仿宋_GB2312"/>
          <w:color w:val="auto"/>
          <w:sz w:val="28"/>
          <w:szCs w:val="28"/>
          <w:highlight w:val="none"/>
        </w:rPr>
        <w:t>。</w:t>
      </w:r>
    </w:p>
    <w:p w14:paraId="4C55428A">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二、在开评标活动中的查询程序</w:t>
      </w:r>
    </w:p>
    <w:p w14:paraId="1BF8CF45">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60E7CEF1">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6D8223D8">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3、项目单位及其委托的代理机构应当做好信用查询结果截图和记录留存。</w:t>
      </w:r>
    </w:p>
    <w:p w14:paraId="3CA3F24E">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三、相关要求</w:t>
      </w:r>
    </w:p>
    <w:p w14:paraId="1E376C09">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25F921B0">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63C0FF21">
      <w:pPr>
        <w:wordWrap w:val="0"/>
        <w:adjustRightInd w:val="0"/>
        <w:snapToGrid w:val="0"/>
        <w:spacing w:line="560" w:lineRule="exact"/>
        <w:ind w:firstLine="560" w:firstLineChars="200"/>
        <w:rPr>
          <w:rFonts w:hint="eastAsia"/>
          <w:color w:val="auto"/>
          <w:highlight w:val="none"/>
        </w:rPr>
      </w:pPr>
      <w:r>
        <w:rPr>
          <w:rFonts w:hint="eastAsia" w:ascii="仿宋_GB2312" w:hAnsi="宋体" w:eastAsia="仿宋_GB2312"/>
          <w:color w:val="auto"/>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Style w:val="58"/>
          <w:rFonts w:hint="eastAsia" w:ascii="仿宋_GB2312" w:hAnsi="宋体" w:eastAsia="仿宋_GB2312"/>
          <w:color w:val="auto"/>
          <w:sz w:val="28"/>
          <w:szCs w:val="28"/>
          <w:highlight w:val="none"/>
        </w:rPr>
        <w:t>https://credit.ah.gov.cn/xinyong-fuwu/xvbahv/index.html</w:t>
      </w:r>
      <w:r>
        <w:rPr>
          <w:color w:val="auto"/>
          <w:highlight w:val="none"/>
        </w:rPr>
        <w:fldChar w:fldCharType="end"/>
      </w:r>
      <w:r>
        <w:rPr>
          <w:rFonts w:hint="eastAsia" w:ascii="仿宋_GB2312" w:hAnsi="宋体" w:eastAsia="仿宋_GB2312"/>
          <w:color w:val="auto"/>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7BF6EE59">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2、“信用中国”查询的严重失信行为判定依据为各行业主管部门下发的联合惩戒文件中规定的行为（按附件2执行）。</w:t>
      </w:r>
    </w:p>
    <w:p w14:paraId="0B921086">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3、资格预审的项目以递交资格预审申请文件截止时间查询为准；资格后审的项目以递交投标文件截止时间查询为准。</w:t>
      </w:r>
    </w:p>
    <w:p w14:paraId="249D7A08">
      <w:pPr>
        <w:ind w:right="960"/>
        <w:rPr>
          <w:rFonts w:hint="eastAsia" w:ascii="仿宋" w:hAnsi="仿宋" w:eastAsia="仿宋"/>
          <w:color w:val="auto"/>
          <w:sz w:val="32"/>
          <w:szCs w:val="32"/>
          <w:highlight w:val="none"/>
        </w:rPr>
      </w:pPr>
    </w:p>
    <w:p w14:paraId="6A4FB55B">
      <w:pPr>
        <w:ind w:right="960"/>
        <w:rPr>
          <w:rFonts w:hint="eastAsia" w:ascii="仿宋" w:hAnsi="仿宋" w:eastAsia="仿宋"/>
          <w:color w:val="auto"/>
          <w:sz w:val="32"/>
          <w:szCs w:val="32"/>
          <w:highlight w:val="none"/>
        </w:rPr>
      </w:pPr>
    </w:p>
    <w:p w14:paraId="249B4F5E">
      <w:pPr>
        <w:ind w:right="960"/>
        <w:rPr>
          <w:rFonts w:hint="eastAsia" w:ascii="仿宋" w:hAnsi="仿宋" w:eastAsia="仿宋"/>
          <w:color w:val="auto"/>
          <w:sz w:val="32"/>
          <w:szCs w:val="32"/>
          <w:highlight w:val="none"/>
        </w:rPr>
      </w:pPr>
    </w:p>
    <w:p w14:paraId="67A9ADF0">
      <w:pPr>
        <w:ind w:right="960"/>
        <w:rPr>
          <w:rFonts w:hint="eastAsia" w:ascii="仿宋" w:hAnsi="仿宋" w:eastAsia="仿宋"/>
          <w:color w:val="auto"/>
          <w:sz w:val="32"/>
          <w:szCs w:val="32"/>
          <w:highlight w:val="none"/>
        </w:rPr>
      </w:pPr>
    </w:p>
    <w:p w14:paraId="3FEE74D5">
      <w:pPr>
        <w:ind w:right="960"/>
        <w:rPr>
          <w:rFonts w:hint="eastAsia" w:ascii="仿宋" w:hAnsi="仿宋" w:eastAsia="仿宋"/>
          <w:color w:val="auto"/>
          <w:sz w:val="32"/>
          <w:szCs w:val="32"/>
          <w:highlight w:val="none"/>
        </w:rPr>
      </w:pPr>
    </w:p>
    <w:p w14:paraId="7AF46EEF">
      <w:pPr>
        <w:ind w:right="960"/>
        <w:rPr>
          <w:rFonts w:hint="eastAsia" w:ascii="仿宋" w:hAnsi="仿宋" w:eastAsia="仿宋"/>
          <w:color w:val="auto"/>
          <w:sz w:val="32"/>
          <w:szCs w:val="32"/>
          <w:highlight w:val="none"/>
        </w:rPr>
      </w:pPr>
    </w:p>
    <w:p w14:paraId="687E9AFF">
      <w:pPr>
        <w:ind w:right="960"/>
        <w:rPr>
          <w:rFonts w:hint="eastAsia" w:ascii="仿宋" w:hAnsi="仿宋" w:eastAsia="仿宋"/>
          <w:color w:val="auto"/>
          <w:sz w:val="32"/>
          <w:szCs w:val="32"/>
          <w:highlight w:val="none"/>
        </w:rPr>
      </w:pPr>
    </w:p>
    <w:p w14:paraId="0D7FF19D">
      <w:pPr>
        <w:ind w:right="960"/>
        <w:rPr>
          <w:rFonts w:hint="eastAsia" w:ascii="仿宋" w:hAnsi="仿宋" w:eastAsia="仿宋"/>
          <w:color w:val="auto"/>
          <w:sz w:val="32"/>
          <w:szCs w:val="32"/>
          <w:highlight w:val="none"/>
        </w:rPr>
      </w:pPr>
    </w:p>
    <w:p w14:paraId="061F0099">
      <w:pPr>
        <w:pStyle w:val="14"/>
        <w:rPr>
          <w:rFonts w:hint="eastAsia"/>
          <w:color w:val="auto"/>
          <w:highlight w:val="none"/>
        </w:rPr>
      </w:pPr>
    </w:p>
    <w:p w14:paraId="2100EB53">
      <w:pPr>
        <w:rPr>
          <w:color w:val="auto"/>
          <w:highlight w:val="none"/>
        </w:rPr>
      </w:pPr>
    </w:p>
    <w:p w14:paraId="2D5FFC9A">
      <w:pPr>
        <w:pStyle w:val="14"/>
        <w:rPr>
          <w:color w:val="auto"/>
          <w:highlight w:val="none"/>
        </w:rPr>
      </w:pPr>
    </w:p>
    <w:p w14:paraId="034683CA">
      <w:pPr>
        <w:rPr>
          <w:color w:val="auto"/>
          <w:highlight w:val="none"/>
        </w:rPr>
      </w:pPr>
    </w:p>
    <w:p w14:paraId="19A45D62">
      <w:pPr>
        <w:pStyle w:val="14"/>
        <w:rPr>
          <w:color w:val="auto"/>
          <w:highlight w:val="none"/>
        </w:rPr>
      </w:pPr>
    </w:p>
    <w:p w14:paraId="1927032A">
      <w:pPr>
        <w:rPr>
          <w:color w:val="auto"/>
          <w:highlight w:val="none"/>
        </w:rPr>
      </w:pPr>
    </w:p>
    <w:p w14:paraId="2F2382EE">
      <w:pPr>
        <w:pStyle w:val="14"/>
        <w:rPr>
          <w:color w:val="auto"/>
          <w:highlight w:val="none"/>
        </w:rPr>
      </w:pPr>
    </w:p>
    <w:p w14:paraId="55C6220E">
      <w:pPr>
        <w:rPr>
          <w:color w:val="auto"/>
          <w:highlight w:val="none"/>
        </w:rPr>
      </w:pPr>
    </w:p>
    <w:p w14:paraId="1FC6910E">
      <w:pPr>
        <w:ind w:right="960"/>
        <w:rPr>
          <w:rFonts w:ascii="仿宋" w:hAnsi="仿宋" w:eastAsia="仿宋"/>
          <w:color w:val="auto"/>
          <w:sz w:val="32"/>
          <w:szCs w:val="32"/>
          <w:highlight w:val="none"/>
        </w:rPr>
      </w:pPr>
    </w:p>
    <w:p w14:paraId="5C6A6E33">
      <w:pPr>
        <w:keepNext/>
        <w:keepLines/>
        <w:spacing w:before="200" w:after="200" w:line="600" w:lineRule="exact"/>
        <w:outlineLvl w:val="0"/>
        <w:rPr>
          <w:rFonts w:hint="eastAsia" w:ascii="黑体" w:hAnsi="黑体" w:eastAsia="黑体"/>
          <w:b/>
          <w:bCs/>
          <w:color w:val="auto"/>
          <w:kern w:val="44"/>
          <w:sz w:val="36"/>
          <w:szCs w:val="28"/>
          <w:highlight w:val="none"/>
        </w:rPr>
      </w:pPr>
      <w:bookmarkStart w:id="1062" w:name="_Toc95223549"/>
      <w:bookmarkStart w:id="1063" w:name="OLE_LINK41"/>
      <w:bookmarkStart w:id="1064" w:name="OLE_LINK31"/>
      <w:r>
        <w:rPr>
          <w:rFonts w:hint="eastAsia" w:ascii="黑体" w:hAnsi="黑体" w:eastAsia="黑体"/>
          <w:b/>
          <w:bCs/>
          <w:color w:val="auto"/>
          <w:kern w:val="44"/>
          <w:sz w:val="36"/>
          <w:szCs w:val="28"/>
          <w:highlight w:val="none"/>
        </w:rPr>
        <w:t xml:space="preserve">附件2 </w:t>
      </w:r>
      <w:bookmarkStart w:id="1065" w:name="OLE_LINK74"/>
      <w:bookmarkStart w:id="1066" w:name="OLE_LINK75"/>
      <w:r>
        <w:rPr>
          <w:rFonts w:hint="eastAsia" w:ascii="黑体" w:hAnsi="黑体" w:eastAsia="黑体"/>
          <w:b/>
          <w:bCs/>
          <w:color w:val="auto"/>
          <w:kern w:val="44"/>
          <w:sz w:val="36"/>
          <w:szCs w:val="28"/>
          <w:highlight w:val="none"/>
        </w:rPr>
        <w:t>“信用中国”查询的严重失信行为</w:t>
      </w:r>
      <w:bookmarkStart w:id="1067" w:name="OLE_LINK76"/>
      <w:bookmarkStart w:id="1068" w:name="OLE_LINK39"/>
      <w:bookmarkStart w:id="1069" w:name="OLE_LINK38"/>
      <w:bookmarkStart w:id="1070" w:name="OLE_LINK40"/>
      <w:r>
        <w:rPr>
          <w:rFonts w:hint="eastAsia" w:ascii="黑体" w:hAnsi="黑体" w:eastAsia="黑体"/>
          <w:b/>
          <w:bCs/>
          <w:color w:val="auto"/>
          <w:kern w:val="44"/>
          <w:sz w:val="36"/>
          <w:szCs w:val="28"/>
          <w:highlight w:val="none"/>
        </w:rPr>
        <w:t>类别及判定依据</w:t>
      </w:r>
      <w:bookmarkEnd w:id="1062"/>
      <w:bookmarkEnd w:id="1065"/>
      <w:bookmarkEnd w:id="1066"/>
      <w:bookmarkEnd w:id="1067"/>
      <w:bookmarkEnd w:id="1068"/>
      <w:bookmarkEnd w:id="1069"/>
      <w:bookmarkEnd w:id="1070"/>
    </w:p>
    <w:bookmarkEnd w:id="1063"/>
    <w:bookmarkEnd w:id="1064"/>
    <w:p w14:paraId="628BE8C0">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28"/>
          <w:szCs w:val="28"/>
          <w:highlight w:val="none"/>
        </w:rPr>
        <w:t>信用中国”查询的严重失信行为判定依据为各行业主管部门下发的联合惩戒文件中规定的行为。下面将部分类别的严重失信行为列举如下：</w:t>
      </w:r>
    </w:p>
    <w:p w14:paraId="2F1F6A7C">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一、安全生产领域严重失信行为：</w:t>
      </w:r>
    </w:p>
    <w:p w14:paraId="25EB2755">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（一）下列发生生产安全事故的生产经营单位及其有关人员应当列入严重失信主体名单：</w:t>
      </w:r>
    </w:p>
    <w:p w14:paraId="00AB77BA">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1、发生特别重大、重大生产安全事故的生产经营单位及其主要负责人，以及经调查认定对该事故发生负有责任，应当列入名单的其他单位和人员；</w:t>
      </w:r>
    </w:p>
    <w:p w14:paraId="333E6C29">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2、12个月内累计发生2起以上较大生产安全事故的生产经营单位及其主要负责人；</w:t>
      </w:r>
    </w:p>
    <w:p w14:paraId="7B8C2E1C">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7CCF81C5">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4、瞒报、谎报生产安全事故的生产经营单位及其有关责任人员；</w:t>
      </w:r>
    </w:p>
    <w:p w14:paraId="3783DCB7">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5、发生生产安全事故后，不立即组织抢救或者在事故调查处理期间擅离职守或者逃匿的生产经营单位主要负责人。</w:t>
      </w:r>
    </w:p>
    <w:p w14:paraId="4C878CCF">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（二）下列未发生生产安全事故，但因安全生产违法行为，受到行政处罚的生产经营单位或者机构及其有关人员，应当列入严重失信主体名单：</w:t>
      </w:r>
    </w:p>
    <w:p w14:paraId="7DF570C7">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1、未依法取得安全生产相关许可或者许可被暂扣、吊销期间从事相关生产经营活动的生产经营单位及其主要负责人；</w:t>
      </w:r>
    </w:p>
    <w:p w14:paraId="2923941C">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2、承担安全评价、认证、检测、检验职责的机构及其直接责任人员租借资质、挂靠、出具虚假报告或者证书的；</w:t>
      </w:r>
    </w:p>
    <w:p w14:paraId="5EF465D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3、在应急管理部门作出行政处罚后，有执行能力拒不执行或者逃避执行的生产经营单位及其主要负责人；</w:t>
      </w:r>
    </w:p>
    <w:p w14:paraId="531E6551">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4、其他违反安全生产法律法规受到行政处罚，且性质恶劣、情节严重的。</w:t>
      </w:r>
    </w:p>
    <w:p w14:paraId="3CA155C7">
      <w:pPr>
        <w:adjustRightInd w:val="0"/>
        <w:snapToGrid w:val="0"/>
        <w:spacing w:line="560" w:lineRule="exact"/>
        <w:ind w:firstLine="645"/>
        <w:jc w:val="left"/>
        <w:rPr>
          <w:rFonts w:hint="eastAsia" w:ascii="仿宋_GB2312" w:hAnsi="Calibri" w:eastAsia="仿宋_GB2312"/>
          <w:b/>
          <w:color w:val="auto"/>
          <w:sz w:val="28"/>
          <w:szCs w:val="28"/>
          <w:highlight w:val="none"/>
        </w:rPr>
      </w:pPr>
      <w:r>
        <w:rPr>
          <w:rFonts w:hint="eastAsia" w:ascii="仿宋_GB2312" w:hAnsi="宋体" w:eastAsia="仿宋_GB2312"/>
          <w:b/>
          <w:color w:val="auto"/>
          <w:sz w:val="28"/>
          <w:szCs w:val="28"/>
          <w:highlight w:val="none"/>
        </w:rPr>
        <w:t>依据：《安全生产严重失信主体名单管理办法》</w:t>
      </w:r>
      <w:r>
        <w:rPr>
          <w:rFonts w:hint="eastAsia" w:ascii="仿宋_GB2312" w:hAnsi="Calibri" w:eastAsia="仿宋_GB2312"/>
          <w:b/>
          <w:color w:val="auto"/>
          <w:sz w:val="28"/>
          <w:szCs w:val="28"/>
          <w:highlight w:val="none"/>
        </w:rPr>
        <w:t>（2023年8月8日应急管理部令第11号）</w:t>
      </w:r>
    </w:p>
    <w:p w14:paraId="7A1EC75C">
      <w:pPr>
        <w:adjustRightInd w:val="0"/>
        <w:snapToGrid w:val="0"/>
        <w:spacing w:line="560" w:lineRule="exact"/>
        <w:ind w:firstLine="645"/>
        <w:jc w:val="left"/>
        <w:rPr>
          <w:rFonts w:hint="eastAsia" w:ascii="仿宋_GB2312" w:hAnsi="宋体" w:eastAsia="仿宋_GB2312"/>
          <w:b/>
          <w:color w:val="auto"/>
          <w:sz w:val="28"/>
          <w:szCs w:val="28"/>
          <w:highlight w:val="none"/>
        </w:rPr>
      </w:pPr>
    </w:p>
    <w:p w14:paraId="51C84A1C">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二、环境保护领域严重失信行为：</w:t>
      </w:r>
    </w:p>
    <w:p w14:paraId="1F64C3A7">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（一）因为环境违法构成</w:t>
      </w:r>
      <w:r>
        <w:rPr>
          <w:color w:val="auto"/>
          <w:highlight w:val="none"/>
        </w:rPr>
        <w:fldChar w:fldCharType="begin"/>
      </w:r>
      <w:r>
        <w:rPr>
          <w:color w:val="auto"/>
          <w:highlight w:val="none"/>
        </w:rPr>
        <w:instrText xml:space="preserve"> HYPERLINK "https://baike.sogou.com/m/fullLemma?lid=10403954&amp;g_ut=3"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环境犯罪</w:t>
      </w:r>
      <w:r>
        <w:rPr>
          <w:color w:val="auto"/>
          <w:highlight w:val="none"/>
        </w:rPr>
        <w:fldChar w:fldCharType="end"/>
      </w:r>
      <w:r>
        <w:rPr>
          <w:rFonts w:hint="eastAsia" w:ascii="仿宋_GB2312" w:hAnsi="宋体" w:eastAsia="仿宋_GB2312"/>
          <w:color w:val="auto"/>
          <w:sz w:val="28"/>
          <w:szCs w:val="28"/>
          <w:highlight w:val="none"/>
        </w:rPr>
        <w:t>的；</w:t>
      </w:r>
    </w:p>
    <w:p w14:paraId="24F90AF9">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w:t>
      </w:r>
      <w:r>
        <w:rPr>
          <w:color w:val="auto"/>
          <w:highlight w:val="none"/>
        </w:rPr>
        <w:fldChar w:fldCharType="begin"/>
      </w:r>
      <w:r>
        <w:rPr>
          <w:color w:val="auto"/>
          <w:highlight w:val="none"/>
        </w:rPr>
        <w:instrText xml:space="preserve"> HYPERLINK "https://baike.sogou.com/m/fullLemma?lid=76033123&amp;g_ut=3"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建设项目环境影响评价</w:t>
      </w:r>
      <w:r>
        <w:rPr>
          <w:color w:val="auto"/>
          <w:highlight w:val="none"/>
        </w:rPr>
        <w:fldChar w:fldCharType="end"/>
      </w:r>
      <w:r>
        <w:rPr>
          <w:rFonts w:hint="eastAsia" w:ascii="仿宋_GB2312" w:hAnsi="宋体" w:eastAsia="仿宋_GB2312"/>
          <w:color w:val="auto"/>
          <w:sz w:val="28"/>
          <w:szCs w:val="28"/>
          <w:highlight w:val="none"/>
        </w:rPr>
        <w:t>文件未按规定通过审批，擅自开工建设的；</w:t>
      </w:r>
    </w:p>
    <w:p w14:paraId="289B4A6B">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竣工环保验收</w:t>
      </w:r>
      <w:r>
        <w:rPr>
          <w:color w:val="auto"/>
          <w:highlight w:val="none"/>
        </w:rPr>
        <w:fldChar w:fldCharType="end"/>
      </w:r>
      <w:r>
        <w:rPr>
          <w:rFonts w:hint="eastAsia" w:ascii="仿宋_GB2312" w:hAnsi="宋体" w:eastAsia="仿宋_GB2312"/>
          <w:color w:val="auto"/>
          <w:sz w:val="28"/>
          <w:szCs w:val="28"/>
          <w:highlight w:val="none"/>
        </w:rPr>
        <w:t>或者验收不合格，主体工程正式投入生产或者使用的；</w:t>
      </w:r>
    </w:p>
    <w:p w14:paraId="7100E25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（四）建设项目性质、规模、地点、采用的生产工艺或者防治污染、防止生态破坏的措施发生重大变动，未重新报批环境影响评价文件，擅自投入生产或者使用的；</w:t>
      </w:r>
    </w:p>
    <w:p w14:paraId="41C35C8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（五）主要污染物排放总量超过控制指标的；</w:t>
      </w:r>
    </w:p>
    <w:p w14:paraId="6286EC39">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（六）私设暗管或者利用</w:t>
      </w:r>
      <w:r>
        <w:rPr>
          <w:color w:val="auto"/>
          <w:highlight w:val="none"/>
        </w:rPr>
        <w:fldChar w:fldCharType="begin"/>
      </w:r>
      <w:r>
        <w:rPr>
          <w:color w:val="auto"/>
          <w:highlight w:val="none"/>
        </w:rPr>
        <w:instrText xml:space="preserve"> HYPERLINK "https://baike.sogou.com/m/fullLemma?lid=41657319&amp;g_ut=3"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渗井</w:t>
      </w:r>
      <w:r>
        <w:rPr>
          <w:color w:val="auto"/>
          <w:highlight w:val="none"/>
        </w:rPr>
        <w:fldChar w:fldCharType="end"/>
      </w:r>
      <w:r>
        <w:rPr>
          <w:rFonts w:hint="eastAsia" w:ascii="仿宋_GB2312" w:hAnsi="宋体" w:eastAsia="仿宋_GB2312"/>
          <w:color w:val="auto"/>
          <w:sz w:val="28"/>
          <w:szCs w:val="28"/>
          <w:highlight w:val="none"/>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大气污染物</w:t>
      </w:r>
      <w:r>
        <w:rPr>
          <w:color w:val="auto"/>
          <w:highlight w:val="none"/>
        </w:rPr>
        <w:fldChar w:fldCharType="end"/>
      </w:r>
      <w:r>
        <w:rPr>
          <w:rFonts w:hint="eastAsia" w:ascii="仿宋_GB2312" w:hAnsi="宋体" w:eastAsia="仿宋_GB2312"/>
          <w:color w:val="auto"/>
          <w:sz w:val="28"/>
          <w:szCs w:val="28"/>
          <w:highlight w:val="none"/>
        </w:rPr>
        <w:t>的；</w:t>
      </w:r>
    </w:p>
    <w:p w14:paraId="4D5E5040">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（七）非法排放、倾倒、处置危险废物，或者向无</w:t>
      </w:r>
      <w:r>
        <w:rPr>
          <w:color w:val="auto"/>
          <w:highlight w:val="none"/>
        </w:rPr>
        <w:fldChar w:fldCharType="begin"/>
      </w:r>
      <w:r>
        <w:rPr>
          <w:color w:val="auto"/>
          <w:highlight w:val="none"/>
        </w:rPr>
        <w:instrText xml:space="preserve"> HYPERLINK "https://baike.sogou.com/m/fullLemma?lid=5923292&amp;g_ut=3"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经营许可证</w:t>
      </w:r>
      <w:r>
        <w:rPr>
          <w:color w:val="auto"/>
          <w:highlight w:val="none"/>
        </w:rPr>
        <w:fldChar w:fldCharType="end"/>
      </w:r>
      <w:r>
        <w:rPr>
          <w:rFonts w:hint="eastAsia" w:ascii="仿宋_GB2312" w:hAnsi="宋体" w:eastAsia="仿宋_GB2312"/>
          <w:color w:val="auto"/>
          <w:sz w:val="28"/>
          <w:szCs w:val="28"/>
          <w:highlight w:val="none"/>
        </w:rPr>
        <w:t>或者超出经营许可范围的单位或个人提供或者委托其收集、贮存、利用、处置危险废物的；</w:t>
      </w:r>
    </w:p>
    <w:p w14:paraId="4DD23927">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（八）</w:t>
      </w:r>
      <w:r>
        <w:rPr>
          <w:color w:val="auto"/>
          <w:highlight w:val="none"/>
        </w:rPr>
        <w:fldChar w:fldCharType="begin"/>
      </w:r>
      <w:r>
        <w:rPr>
          <w:color w:val="auto"/>
          <w:highlight w:val="none"/>
        </w:rPr>
        <w:instrText xml:space="preserve"> HYPERLINK "https://baike.sogou.com/m/fullLemma?lid=167759803&amp;g_ut=3"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环境违法行为</w:t>
      </w:r>
      <w:r>
        <w:rPr>
          <w:color w:val="auto"/>
          <w:highlight w:val="none"/>
        </w:rPr>
        <w:fldChar w:fldCharType="end"/>
      </w:r>
      <w:r>
        <w:rPr>
          <w:rFonts w:hint="eastAsia" w:ascii="仿宋_GB2312" w:hAnsi="宋体" w:eastAsia="仿宋_GB2312"/>
          <w:color w:val="auto"/>
          <w:sz w:val="28"/>
          <w:szCs w:val="28"/>
          <w:highlight w:val="none"/>
        </w:rPr>
        <w:t>造成集中式生活饮用水水源取水中断的；</w:t>
      </w:r>
    </w:p>
    <w:p w14:paraId="64D91935">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国家重点生态功能区</w:t>
      </w:r>
      <w:r>
        <w:rPr>
          <w:color w:val="auto"/>
          <w:highlight w:val="none"/>
        </w:rPr>
        <w:fldChar w:fldCharType="end"/>
      </w:r>
      <w:r>
        <w:rPr>
          <w:rFonts w:hint="eastAsia" w:ascii="仿宋_GB2312" w:hAnsi="宋体" w:eastAsia="仿宋_GB2312"/>
          <w:color w:val="auto"/>
          <w:sz w:val="28"/>
          <w:szCs w:val="28"/>
          <w:highlight w:val="none"/>
        </w:rPr>
        <w:t>、风景名胜区、居住功能区、</w:t>
      </w:r>
      <w:r>
        <w:rPr>
          <w:color w:val="auto"/>
          <w:highlight w:val="none"/>
        </w:rPr>
        <w:fldChar w:fldCharType="begin"/>
      </w:r>
      <w:r>
        <w:rPr>
          <w:color w:val="auto"/>
          <w:highlight w:val="none"/>
        </w:rPr>
        <w:instrText xml:space="preserve"> HYPERLINK "https://baike.sogou.com/m/fullLemma?lid=7757164&amp;g_ut=3"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基本农田保护区</w:t>
      </w:r>
      <w:r>
        <w:rPr>
          <w:color w:val="auto"/>
          <w:highlight w:val="none"/>
        </w:rPr>
        <w:fldChar w:fldCharType="end"/>
      </w:r>
      <w:r>
        <w:rPr>
          <w:rFonts w:hint="eastAsia" w:ascii="仿宋_GB2312" w:hAnsi="宋体" w:eastAsia="仿宋_GB2312"/>
          <w:color w:val="auto"/>
          <w:sz w:val="28"/>
          <w:szCs w:val="28"/>
          <w:highlight w:val="none"/>
        </w:rPr>
        <w:t>等环境敏感区造成重大不利影响的；</w:t>
      </w:r>
    </w:p>
    <w:p w14:paraId="1075BC10">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（十）违法从事自然资源开发、交通基础设施建设，以及其他开发建设活动，造成严重生态破坏的；</w:t>
      </w:r>
    </w:p>
    <w:p w14:paraId="2E701397">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（十一）发生较大及以上突发环境事件的；</w:t>
      </w:r>
    </w:p>
    <w:p w14:paraId="283F36DD">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（十二）被环保部门挂牌督办，整改逾期未完成的；</w:t>
      </w:r>
    </w:p>
    <w:p w14:paraId="0A4ECC25">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（十三）以暴力、威胁等方式拒绝、阻挠环保部门工作人员现场检查的；</w:t>
      </w:r>
    </w:p>
    <w:p w14:paraId="0CC1D9A8">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（十四）违反重污染天气应急预案有关规定，对重污染天气响应不力的。</w:t>
      </w:r>
    </w:p>
    <w:p w14:paraId="29D35320">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依据：《关于对环境保护领域失信生产经营单位及其有关人员开展联合惩戒的合作备忘录》、《</w:t>
      </w:r>
      <w:bookmarkStart w:id="1071" w:name="OLE_LINK12"/>
      <w:r>
        <w:rPr>
          <w:rFonts w:hint="eastAsia" w:ascii="仿宋_GB2312" w:hAnsi="宋体" w:eastAsia="仿宋_GB2312"/>
          <w:b/>
          <w:color w:val="auto"/>
          <w:sz w:val="28"/>
          <w:szCs w:val="28"/>
          <w:highlight w:val="none"/>
        </w:rPr>
        <w:t>企业环境信用评价办法（试行）</w:t>
      </w:r>
      <w:bookmarkEnd w:id="1071"/>
      <w:r>
        <w:rPr>
          <w:rFonts w:hint="eastAsia" w:ascii="仿宋_GB2312" w:hAnsi="宋体" w:eastAsia="仿宋_GB2312"/>
          <w:b/>
          <w:color w:val="auto"/>
          <w:sz w:val="28"/>
          <w:szCs w:val="28"/>
          <w:highlight w:val="none"/>
        </w:rPr>
        <w:t>》（环发〔2013〕150号）</w:t>
      </w:r>
    </w:p>
    <w:p w14:paraId="40AE7F7B">
      <w:pPr>
        <w:adjustRightInd w:val="0"/>
        <w:snapToGrid w:val="0"/>
        <w:spacing w:line="560" w:lineRule="exact"/>
        <w:ind w:firstLine="645"/>
        <w:jc w:val="left"/>
        <w:rPr>
          <w:rFonts w:hint="eastAsia" w:ascii="仿宋_GB2312" w:hAnsi="宋体" w:eastAsia="仿宋_GB2312"/>
          <w:b/>
          <w:color w:val="auto"/>
          <w:sz w:val="28"/>
          <w:szCs w:val="28"/>
          <w:highlight w:val="none"/>
        </w:rPr>
      </w:pPr>
    </w:p>
    <w:p w14:paraId="2A4C250A">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w:t>
      </w:r>
      <w:r>
        <w:rPr>
          <w:rFonts w:hint="eastAsia" w:ascii="仿宋_GB2312" w:hAnsi="宋体" w:eastAsia="仿宋_GB2312"/>
          <w:b/>
          <w:bCs/>
          <w:color w:val="auto"/>
          <w:sz w:val="28"/>
          <w:szCs w:val="28"/>
          <w:highlight w:val="none"/>
        </w:rPr>
        <w:t>公共资源交易领域严重失信行为</w:t>
      </w:r>
    </w:p>
    <w:p w14:paraId="728DBF8E">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（一）违反法律规定，必须进行招标的项目而不招标的，将必须进行招标的项目化整为零或者以其他任何方式规避招标的； </w:t>
      </w:r>
    </w:p>
    <w:p w14:paraId="667DBF9D">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2E87BD1E">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4077E943">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3DFC823B">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（五）投标人相互串通投标或者与招标人串通投标的，投标人以向招标人或者评标委员会成员行贿的手段谋取中标的； </w:t>
      </w:r>
    </w:p>
    <w:p w14:paraId="0943AFF2">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（六）投标人以他人名义投标或者以其他方式弄虚作假，骗取中标的；</w:t>
      </w:r>
    </w:p>
    <w:p w14:paraId="315DDD54">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（七）依法必须进行招标的项目，招标人违反法律规定，与投标人就投标价格、投标方案等实质性内容进行谈判的；</w:t>
      </w:r>
    </w:p>
    <w:p w14:paraId="77131B66">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4AB2229C">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168C24E3">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27A6D6C8">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（十一）招标人与中标人不按照招标文件和中标人的投标文件订立合同的，或者招标人、中标人订立背离合同实质性内容的 协议的； </w:t>
      </w:r>
    </w:p>
    <w:p w14:paraId="7127FAC0">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（十二）中标人不按照与招标人订立的合同履行义务，情节严重的； </w:t>
      </w:r>
    </w:p>
    <w:p w14:paraId="344AB446">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7033427C">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3D627371">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 （十五）采购人对应当实行集中采购的政府采购项目，不委托集中采购机构实行集中采购的； </w:t>
      </w:r>
    </w:p>
    <w:p w14:paraId="3842F2E3">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（十六）采购人、采购代理机构违反法律规定隐匿、销毁应当保存的采购文件或者伪造、变造采购文件的； </w:t>
      </w:r>
    </w:p>
    <w:p w14:paraId="767271E7">
      <w:pPr>
        <w:adjustRightInd w:val="0"/>
        <w:snapToGrid w:val="0"/>
        <w:spacing w:line="560" w:lineRule="exact"/>
        <w:ind w:firstLine="645"/>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3FD9B2FD">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（十八）疫苗生产企业向县级疾病预防控制机构以外的单位或者个人销售第二类疫苗的； </w:t>
      </w:r>
    </w:p>
    <w:p w14:paraId="5AEF4A25">
      <w:pPr>
        <w:adjustRightInd w:val="0"/>
        <w:snapToGrid w:val="0"/>
        <w:spacing w:line="560" w:lineRule="exact"/>
        <w:ind w:left="141" w:leftChars="67" w:firstLine="420" w:firstLineChars="150"/>
        <w:jc w:val="left"/>
        <w:rPr>
          <w:rFonts w:hint="eastAsia" w:ascii="仿宋_GB2312" w:hAnsi="宋体" w:eastAsia="仿宋_GB2312"/>
          <w:color w:val="auto"/>
          <w:sz w:val="28"/>
          <w:szCs w:val="28"/>
          <w:highlight w:val="none"/>
        </w:rPr>
      </w:pPr>
      <w:r>
        <w:rPr>
          <w:rFonts w:hint="eastAsia" w:ascii="仿宋_GB2312" w:hAnsi="Calibri" w:eastAsia="仿宋_GB2312"/>
          <w:color w:val="auto"/>
          <w:sz w:val="28"/>
          <w:szCs w:val="28"/>
          <w:highlight w:val="none"/>
        </w:rPr>
        <w:t>（十九）存在其他违反公共资源交易法律法规行为的。</w:t>
      </w:r>
    </w:p>
    <w:p w14:paraId="1DE2E9D9">
      <w:pPr>
        <w:adjustRightInd w:val="0"/>
        <w:snapToGrid w:val="0"/>
        <w:spacing w:line="560" w:lineRule="exact"/>
        <w:ind w:firstLine="894" w:firstLineChars="318"/>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w:t>
      </w:r>
      <w:bookmarkStart w:id="1072" w:name="OLE_LINK13"/>
      <w:r>
        <w:rPr>
          <w:rFonts w:hint="eastAsia" w:ascii="仿宋_GB2312" w:hAnsi="宋体" w:eastAsia="仿宋_GB2312"/>
          <w:b/>
          <w:color w:val="auto"/>
          <w:sz w:val="28"/>
          <w:szCs w:val="28"/>
          <w:highlight w:val="none"/>
        </w:rPr>
        <w:t>关于对公共资源交易领域严重失信主体开展联合惩戒的备忘录</w:t>
      </w:r>
      <w:bookmarkEnd w:id="1072"/>
      <w:r>
        <w:rPr>
          <w:rFonts w:hint="eastAsia" w:ascii="仿宋_GB2312" w:hAnsi="宋体" w:eastAsia="仿宋_GB2312"/>
          <w:b/>
          <w:color w:val="auto"/>
          <w:sz w:val="28"/>
          <w:szCs w:val="28"/>
          <w:highlight w:val="none"/>
        </w:rPr>
        <w:t>》（发改法规〔2018〕457号）</w:t>
      </w:r>
    </w:p>
    <w:p w14:paraId="5F50F06C">
      <w:pPr>
        <w:adjustRightInd w:val="0"/>
        <w:snapToGrid w:val="0"/>
        <w:spacing w:line="560" w:lineRule="exact"/>
        <w:ind w:firstLine="645"/>
        <w:jc w:val="left"/>
        <w:rPr>
          <w:rFonts w:hint="eastAsia" w:ascii="仿宋_GB2312" w:hAnsi="宋体" w:eastAsia="仿宋_GB2312"/>
          <w:color w:val="auto"/>
          <w:sz w:val="28"/>
          <w:szCs w:val="28"/>
          <w:highlight w:val="none"/>
        </w:rPr>
      </w:pPr>
    </w:p>
    <w:p w14:paraId="7EABA4A8">
      <w:pPr>
        <w:adjustRightInd w:val="0"/>
        <w:snapToGrid w:val="0"/>
        <w:spacing w:line="560" w:lineRule="exact"/>
        <w:ind w:firstLine="645"/>
        <w:jc w:val="left"/>
        <w:rPr>
          <w:rFonts w:hint="eastAsia"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四、</w:t>
      </w:r>
      <w:r>
        <w:rPr>
          <w:rFonts w:hint="eastAsia" w:ascii="仿宋_GB2312" w:hAnsi="宋体" w:eastAsia="仿宋_GB2312"/>
          <w:b/>
          <w:bCs/>
          <w:color w:val="auto"/>
          <w:sz w:val="28"/>
          <w:szCs w:val="28"/>
          <w:highlight w:val="none"/>
        </w:rPr>
        <w:t>社会保险领域严重失信行为</w:t>
      </w:r>
    </w:p>
    <w:p w14:paraId="45C93F7D">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（一）用人单位未按相关规定参加社会保险且拒不整改的； </w:t>
      </w:r>
    </w:p>
    <w:p w14:paraId="2EEC539A">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（二）用人单位未如实申报社会保险缴费基数且拒不整改的； </w:t>
      </w:r>
    </w:p>
    <w:p w14:paraId="7DF3259F">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（三）应缴纳社会保险费却拒不缴纳的； </w:t>
      </w:r>
    </w:p>
    <w:p w14:paraId="6AA46D62">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（四）隐匿、转移、侵占、挪用社会保险费款、基金或者违规投资运营的；</w:t>
      </w:r>
    </w:p>
    <w:p w14:paraId="7ADBED04">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（五）以欺诈、伪造证明材料或者其他手段参加、申报社会保险和骗取社会保险基金支出或社会保险待遇的； </w:t>
      </w:r>
    </w:p>
    <w:p w14:paraId="0107A6CA">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（六）非法获取、出售或变相交易社会保险个人权益数据的； </w:t>
      </w:r>
    </w:p>
    <w:p w14:paraId="2378E822">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（七）社会保险服务机构违反服务协议或相关规定的； </w:t>
      </w:r>
    </w:p>
    <w:p w14:paraId="688D696E">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400396C9">
      <w:pPr>
        <w:adjustRightInd w:val="0"/>
        <w:snapToGrid w:val="0"/>
        <w:spacing w:line="560" w:lineRule="exact"/>
        <w:ind w:left="141" w:leftChars="67" w:firstLine="420" w:firstLineChars="15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（九）其他违反法律法规规定的。</w:t>
      </w:r>
    </w:p>
    <w:p w14:paraId="787E64C2">
      <w:pPr>
        <w:adjustRightInd w:val="0"/>
        <w:snapToGrid w:val="0"/>
        <w:spacing w:line="560" w:lineRule="exact"/>
        <w:ind w:firstLine="551" w:firstLineChars="196"/>
        <w:jc w:val="left"/>
        <w:rPr>
          <w:rFonts w:hint="eastAsia" w:ascii="仿宋_GB2312" w:hAnsi="Calibri" w:eastAsia="仿宋_GB2312"/>
          <w:color w:val="auto"/>
          <w:sz w:val="28"/>
          <w:szCs w:val="28"/>
          <w:highlight w:val="none"/>
        </w:rPr>
      </w:pPr>
      <w:r>
        <w:rPr>
          <w:rFonts w:hint="eastAsia" w:ascii="仿宋_GB2312" w:hAnsi="Calibri" w:eastAsia="仿宋_GB2312"/>
          <w:b/>
          <w:color w:val="auto"/>
          <w:sz w:val="28"/>
          <w:szCs w:val="28"/>
          <w:highlight w:val="none"/>
        </w:rPr>
        <w:t>依据：《关于对社会保险领域严重失信企业及其有关人员实施联合惩戒的合作备忘录》（发改财金〔2018〕1704号）</w:t>
      </w:r>
    </w:p>
    <w:p w14:paraId="11D7DDFD">
      <w:pPr>
        <w:adjustRightInd w:val="0"/>
        <w:snapToGrid w:val="0"/>
        <w:spacing w:line="560" w:lineRule="exact"/>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w:t>
      </w:r>
    </w:p>
    <w:p w14:paraId="4070699D">
      <w:pPr>
        <w:adjustRightInd w:val="0"/>
        <w:snapToGrid w:val="0"/>
        <w:spacing w:line="560" w:lineRule="exact"/>
        <w:ind w:firstLine="562" w:firstLineChars="200"/>
        <w:jc w:val="left"/>
        <w:rPr>
          <w:rFonts w:hint="eastAsia"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五、建筑市场领域</w:t>
      </w:r>
      <w:r>
        <w:rPr>
          <w:rFonts w:hint="eastAsia" w:ascii="仿宋_GB2312" w:hAnsi="宋体" w:eastAsia="仿宋_GB2312"/>
          <w:b/>
          <w:bCs/>
          <w:color w:val="auto"/>
          <w:sz w:val="28"/>
          <w:szCs w:val="28"/>
          <w:highlight w:val="none"/>
        </w:rPr>
        <w:t>严重失信行为</w:t>
      </w:r>
    </w:p>
    <w:p w14:paraId="2111A551">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（一）利用虚假材料、以欺骗手段取得企业资质的；</w:t>
      </w:r>
    </w:p>
    <w:p w14:paraId="78D31793">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（二）发生转包、出借资质，受到行政处罚的；</w:t>
      </w:r>
    </w:p>
    <w:p w14:paraId="1684216C">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522B82F8">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（四）经法院判决或仲裁机构裁决，认定为拖欠工程款,且拒不履行生效法律文书确定的义务的。</w:t>
      </w:r>
    </w:p>
    <w:p w14:paraId="23450082">
      <w:pPr>
        <w:adjustRightInd w:val="0"/>
        <w:snapToGrid w:val="0"/>
        <w:spacing w:line="560" w:lineRule="exact"/>
        <w:ind w:firstLine="560" w:firstLineChars="200"/>
        <w:jc w:val="left"/>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5A48083A">
      <w:pPr>
        <w:ind w:firstLine="562" w:firstLineChars="200"/>
        <w:jc w:val="left"/>
        <w:rPr>
          <w:rFonts w:hint="eastAsia" w:ascii="宋体" w:hAnsi="宋体"/>
          <w:color w:val="auto"/>
          <w:sz w:val="28"/>
          <w:szCs w:val="28"/>
          <w:highlight w:val="none"/>
        </w:rPr>
      </w:pPr>
      <w:r>
        <w:rPr>
          <w:rFonts w:hint="eastAsia" w:ascii="仿宋_GB2312" w:hAnsi="Calibri" w:eastAsia="仿宋_GB2312"/>
          <w:b/>
          <w:color w:val="auto"/>
          <w:sz w:val="28"/>
          <w:szCs w:val="28"/>
          <w:highlight w:val="none"/>
        </w:rPr>
        <w:t>依据：《</w:t>
      </w:r>
      <w:bookmarkStart w:id="1073" w:name="OLE_LINK18"/>
      <w:r>
        <w:rPr>
          <w:rFonts w:hint="eastAsia" w:ascii="仿宋_GB2312" w:hAnsi="Calibri" w:eastAsia="仿宋_GB2312"/>
          <w:b/>
          <w:color w:val="auto"/>
          <w:sz w:val="28"/>
          <w:szCs w:val="28"/>
          <w:highlight w:val="none"/>
        </w:rPr>
        <w:t>建筑市场信用管理暂行办法</w:t>
      </w:r>
      <w:bookmarkEnd w:id="1073"/>
      <w:r>
        <w:rPr>
          <w:rFonts w:hint="eastAsia" w:ascii="仿宋_GB2312" w:hAnsi="Calibri" w:eastAsia="仿宋_GB2312"/>
          <w:b/>
          <w:color w:val="auto"/>
          <w:sz w:val="28"/>
          <w:szCs w:val="28"/>
          <w:highlight w:val="none"/>
        </w:rPr>
        <w:t>》（建市〔2017〕241号）</w:t>
      </w:r>
    </w:p>
    <w:p w14:paraId="0AD755F2">
      <w:pPr>
        <w:adjustRightInd w:val="0"/>
        <w:snapToGrid w:val="0"/>
        <w:spacing w:line="560" w:lineRule="exact"/>
        <w:rPr>
          <w:rFonts w:hint="eastAsia" w:ascii="仿宋_GB2312" w:hAnsi="宋体" w:eastAsia="仿宋_GB2312"/>
          <w:b/>
          <w:color w:val="auto"/>
          <w:sz w:val="28"/>
          <w:szCs w:val="28"/>
          <w:highlight w:val="none"/>
        </w:rPr>
      </w:pPr>
    </w:p>
    <w:p w14:paraId="01F2BFBF">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六、</w:t>
      </w:r>
      <w:bookmarkStart w:id="1074" w:name="OLE_LINK20"/>
      <w:bookmarkStart w:id="1075" w:name="OLE_LINK19"/>
      <w:r>
        <w:rPr>
          <w:rFonts w:hint="eastAsia" w:ascii="仿宋_GB2312" w:hAnsi="宋体" w:eastAsia="仿宋_GB2312"/>
          <w:b/>
          <w:color w:val="auto"/>
          <w:sz w:val="28"/>
          <w:szCs w:val="28"/>
          <w:highlight w:val="none"/>
        </w:rPr>
        <w:t>政府采购严重失信行为</w:t>
      </w:r>
      <w:bookmarkEnd w:id="1074"/>
      <w:bookmarkEnd w:id="1075"/>
    </w:p>
    <w:p w14:paraId="28483B0E">
      <w:pPr>
        <w:adjustRightInd w:val="0"/>
        <w:snapToGrid w:val="0"/>
        <w:spacing w:line="560" w:lineRule="exact"/>
        <w:ind w:firstLine="615"/>
        <w:rPr>
          <w:rFonts w:hint="eastAsia" w:ascii="仿宋_GB2312" w:hAnsi="Calibri" w:eastAsia="仿宋_GB2312"/>
          <w:color w:val="auto"/>
          <w:sz w:val="28"/>
          <w:szCs w:val="28"/>
          <w:highlight w:val="none"/>
        </w:rPr>
      </w:pPr>
      <w:r>
        <w:rPr>
          <w:rFonts w:hint="eastAsia" w:ascii="仿宋_GB2312" w:hAnsi="Calibri" w:eastAsia="仿宋_GB2312"/>
          <w:color w:val="auto"/>
          <w:sz w:val="28"/>
          <w:szCs w:val="28"/>
          <w:highlight w:val="none"/>
        </w:rPr>
        <w:t>供应商、采购代理机构在三年内受到财政部门作出下列情形之一的行政处罚，列入政府采购严重违法失信行为记录名单。</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（一）三万元以上罚款；</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（二）在一至三年内禁止参加政府采购活动（处罚期限届满的除外）；</w:t>
      </w:r>
      <w:r>
        <w:rPr>
          <w:rFonts w:hint="eastAsia" w:ascii="仿宋_GB2312" w:hAnsi="Calibri" w:eastAsia="仿宋_GB2312"/>
          <w:color w:val="auto"/>
          <w:sz w:val="28"/>
          <w:szCs w:val="28"/>
          <w:highlight w:val="none"/>
        </w:rPr>
        <w:br w:type="textWrapping"/>
      </w:r>
      <w:r>
        <w:rPr>
          <w:rFonts w:hint="eastAsia" w:ascii="仿宋_GB2312" w:hAnsi="Calibri" w:eastAsia="仿宋_GB2312"/>
          <w:color w:val="auto"/>
          <w:sz w:val="28"/>
          <w:szCs w:val="28"/>
          <w:highlight w:val="none"/>
        </w:rPr>
        <w:t>　　（三）在一至三年内禁止代理政府采购业务（处罚期限届满的除外）；</w:t>
      </w:r>
      <w:r>
        <w:rPr>
          <w:rFonts w:hint="eastAsia" w:ascii="仿宋_GB2312" w:hAnsi="Calibri" w:eastAsia="仿宋_GB2312"/>
          <w:color w:val="auto"/>
          <w:sz w:val="28"/>
          <w:szCs w:val="28"/>
          <w:highlight w:val="none"/>
        </w:rPr>
        <w:br w:type="textWrapping"/>
      </w:r>
      <w:r>
        <w:rPr>
          <w:rFonts w:hint="eastAsia" w:ascii="仿宋_GB2312" w:hAnsi="宋体" w:eastAsia="仿宋_GB2312"/>
          <w:color w:val="auto"/>
          <w:sz w:val="28"/>
          <w:szCs w:val="28"/>
          <w:highlight w:val="none"/>
        </w:rPr>
        <w:t xml:space="preserve">　 </w:t>
      </w:r>
      <w:r>
        <w:rPr>
          <w:rFonts w:hint="eastAsia" w:ascii="仿宋_GB2312" w:hAnsi="Calibri" w:eastAsia="仿宋_GB2312"/>
          <w:color w:val="auto"/>
          <w:sz w:val="28"/>
          <w:szCs w:val="28"/>
          <w:highlight w:val="none"/>
        </w:rPr>
        <w:t>（四）撤销政府采购代理机构资格（仅针对《政府采购法》第78条修改前作出的处罚决定）。</w:t>
      </w:r>
    </w:p>
    <w:p w14:paraId="16A3FFB2">
      <w:pPr>
        <w:adjustRightInd w:val="0"/>
        <w:snapToGrid w:val="0"/>
        <w:spacing w:line="560" w:lineRule="exact"/>
        <w:ind w:firstLine="562" w:firstLineChars="200"/>
        <w:jc w:val="left"/>
        <w:rPr>
          <w:rFonts w:hint="eastAsia" w:ascii="仿宋_GB2312" w:hAnsi="Calibri" w:eastAsia="仿宋_GB2312"/>
          <w:b/>
          <w:color w:val="auto"/>
          <w:sz w:val="28"/>
          <w:szCs w:val="28"/>
          <w:highlight w:val="none"/>
        </w:rPr>
      </w:pPr>
      <w:r>
        <w:rPr>
          <w:rFonts w:hint="eastAsia" w:ascii="仿宋_GB2312" w:hAnsi="Calibri" w:eastAsia="仿宋_GB2312"/>
          <w:b/>
          <w:color w:val="auto"/>
          <w:sz w:val="28"/>
          <w:szCs w:val="28"/>
          <w:highlight w:val="none"/>
        </w:rPr>
        <w:t>依据：《关于报送政府采购严重违法失信行为信息记录的通知》</w:t>
      </w:r>
      <w:r>
        <w:rPr>
          <w:rFonts w:hint="eastAsia" w:ascii="Calibri" w:hAnsi="Calibri"/>
          <w:b/>
          <w:color w:val="auto"/>
          <w:sz w:val="28"/>
          <w:szCs w:val="28"/>
          <w:highlight w:val="none"/>
        </w:rPr>
        <w:t>（财办库〔</w:t>
      </w:r>
      <w:r>
        <w:rPr>
          <w:rFonts w:ascii="Calibri" w:hAnsi="Calibri"/>
          <w:b/>
          <w:color w:val="auto"/>
          <w:sz w:val="28"/>
          <w:szCs w:val="28"/>
          <w:highlight w:val="none"/>
        </w:rPr>
        <w:t>2014</w:t>
      </w:r>
      <w:r>
        <w:rPr>
          <w:rFonts w:hint="eastAsia" w:ascii="Calibri" w:hAnsi="Calibri"/>
          <w:b/>
          <w:color w:val="auto"/>
          <w:sz w:val="28"/>
          <w:szCs w:val="28"/>
          <w:highlight w:val="none"/>
        </w:rPr>
        <w:t>〕</w:t>
      </w:r>
      <w:r>
        <w:rPr>
          <w:rFonts w:ascii="Calibri" w:hAnsi="Calibri"/>
          <w:b/>
          <w:color w:val="auto"/>
          <w:sz w:val="28"/>
          <w:szCs w:val="28"/>
          <w:highlight w:val="none"/>
        </w:rPr>
        <w:t>526</w:t>
      </w:r>
      <w:r>
        <w:rPr>
          <w:rFonts w:hint="eastAsia" w:ascii="Calibri" w:hAnsi="Calibri"/>
          <w:b/>
          <w:color w:val="auto"/>
          <w:sz w:val="28"/>
          <w:szCs w:val="28"/>
          <w:highlight w:val="none"/>
        </w:rPr>
        <w:t>号）</w:t>
      </w:r>
    </w:p>
    <w:p w14:paraId="224FA00F">
      <w:pPr>
        <w:adjustRightInd w:val="0"/>
        <w:snapToGrid w:val="0"/>
        <w:spacing w:line="560" w:lineRule="exact"/>
        <w:rPr>
          <w:rFonts w:hint="eastAsia" w:ascii="仿宋_GB2312" w:hAnsi="宋体" w:eastAsia="仿宋_GB2312"/>
          <w:b/>
          <w:color w:val="auto"/>
          <w:sz w:val="28"/>
          <w:szCs w:val="28"/>
          <w:highlight w:val="none"/>
        </w:rPr>
      </w:pPr>
    </w:p>
    <w:p w14:paraId="0A91B9BD">
      <w:pPr>
        <w:adjustRightInd w:val="0"/>
        <w:snapToGrid w:val="0"/>
        <w:spacing w:line="560" w:lineRule="exact"/>
        <w:ind w:firstLine="615"/>
        <w:rPr>
          <w:rFonts w:hint="eastAsia" w:ascii="仿宋_GB2312" w:hAnsi="Calibri" w:eastAsia="仿宋_GB2312"/>
          <w:b/>
          <w:color w:val="auto"/>
          <w:sz w:val="32"/>
          <w:szCs w:val="32"/>
          <w:highlight w:val="none"/>
        </w:rPr>
      </w:pPr>
      <w:r>
        <w:rPr>
          <w:rFonts w:hint="eastAsia" w:ascii="仿宋_GB2312" w:hAnsi="宋体" w:eastAsia="仿宋_GB2312"/>
          <w:b/>
          <w:color w:val="auto"/>
          <w:sz w:val="28"/>
          <w:szCs w:val="28"/>
          <w:highlight w:val="none"/>
        </w:rPr>
        <w:t>未列出的其他类别严重失信行为，由招标人（代理机构）根据各类别行业主管部门下发的联合惩戒文件进行判</w:t>
      </w:r>
      <w:r>
        <w:rPr>
          <w:rFonts w:hint="eastAsia" w:ascii="仿宋_GB2312" w:hAnsi="宋体" w:eastAsia="仿宋_GB2312"/>
          <w:b/>
          <w:color w:val="auto"/>
          <w:sz w:val="32"/>
          <w:szCs w:val="32"/>
          <w:highlight w:val="none"/>
        </w:rPr>
        <w:t>断。</w:t>
      </w:r>
    </w:p>
    <w:p w14:paraId="715B92A1">
      <w:pPr>
        <w:pStyle w:val="14"/>
        <w:rPr>
          <w:color w:val="auto"/>
          <w:highlight w:val="none"/>
        </w:rPr>
      </w:pPr>
    </w:p>
    <w:sectPr>
      <w:headerReference r:id="rId9" w:type="default"/>
      <w:footerReference r:id="rId10" w:type="default"/>
      <w:pgSz w:w="11906" w:h="16838"/>
      <w:pgMar w:top="1134"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odIcon">
    <w:altName w:val="XcGJSymbol"/>
    <w:panose1 w:val="00000000000000000000"/>
    <w:charset w:val="00"/>
    <w:family w:val="auto"/>
    <w:pitch w:val="default"/>
    <w:sig w:usb0="00000000" w:usb1="00000000" w:usb2="00000000" w:usb3="00000000" w:csb0="00000000" w:csb1="00000000"/>
  </w:font>
  <w:font w:name="ActionIcon">
    <w:altName w:val="XcGJSymbol"/>
    <w:panose1 w:val="00000000000000000000"/>
    <w:charset w:val="00"/>
    <w:family w:val="auto"/>
    <w:pitch w:val="default"/>
    <w:sig w:usb0="00000000" w:usb1="00000000" w:usb2="00000000" w:usb3="00000000" w:csb0="00000000" w:csb1="00000000"/>
  </w:font>
  <w:font w:name="XcGJSymbol">
    <w:panose1 w:val="020005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42DBF">
    <w:pPr>
      <w:pStyle w:val="29"/>
      <w:rPr>
        <w:rStyle w:val="51"/>
      </w:rPr>
    </w:pPr>
  </w:p>
  <w:p w14:paraId="53435915">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08C72">
    <w:pPr>
      <w:pStyle w:val="29"/>
      <w:rPr>
        <w:rStyle w:val="51"/>
      </w:rPr>
    </w:pPr>
  </w:p>
  <w:p w14:paraId="78B0040E">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6B4D4">
    <w:pPr>
      <w:pStyle w:val="29"/>
      <w:rPr>
        <w:rStyle w:val="51"/>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01E254">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701E254">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0A8F7B91">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C588D">
    <w:pPr>
      <w:pStyle w:val="29"/>
      <w:rPr>
        <w:rStyle w:val="51"/>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8F04E6">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B8F04E6">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2441B96C">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767B4">
    <w:pPr>
      <w:pStyle w:val="29"/>
      <w:rPr>
        <w:rStyle w:val="51"/>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02D7ED">
                          <w:pPr>
                            <w:pStyle w:val="2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qv1RMoBAACcAwAADgAAAGRycy9lMm9Eb2MueG1srVPNjtMwEL4j8Q6W&#10;79RpD6hE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qv1RMoBAACcAwAADgAAAAAAAAABACAAAAAeAQAAZHJzL2Uyb0Rv&#10;Yy54bWxQSwUGAAAAAAYABgBZAQAAWgUAAAAA&#10;">
              <v:fill on="f" focussize="0,0"/>
              <v:stroke on="f"/>
              <v:imagedata o:title=""/>
              <o:lock v:ext="edit" aspectratio="f"/>
              <v:textbox inset="0mm,0mm,0mm,0mm" style="mso-fit-shape-to-text:t;">
                <w:txbxContent>
                  <w:p w14:paraId="2802D7ED">
                    <w:pPr>
                      <w:pStyle w:val="29"/>
                    </w:pPr>
                    <w:r>
                      <w:fldChar w:fldCharType="begin"/>
                    </w:r>
                    <w:r>
                      <w:instrText xml:space="preserve"> PAGE  \* MERGEFORMAT </w:instrText>
                    </w:r>
                    <w:r>
                      <w:fldChar w:fldCharType="separate"/>
                    </w:r>
                    <w:r>
                      <w:t>2</w:t>
                    </w:r>
                    <w:r>
                      <w:fldChar w:fldCharType="end"/>
                    </w:r>
                  </w:p>
                </w:txbxContent>
              </v:textbox>
            </v:shape>
          </w:pict>
        </mc:Fallback>
      </mc:AlternateContent>
    </w:r>
  </w:p>
  <w:p w14:paraId="01B2BA8E">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23331">
    <w:pPr>
      <w:pStyle w:val="30"/>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6B492">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8BC04">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0B1C5"/>
    <w:multiLevelType w:val="singleLevel"/>
    <w:tmpl w:val="84E0B1C5"/>
    <w:lvl w:ilvl="0" w:tentative="0">
      <w:start w:val="1"/>
      <w:numFmt w:val="decimal"/>
      <w:suff w:val="space"/>
      <w:lvlText w:val="（%1）"/>
      <w:lvlJc w:val="left"/>
    </w:lvl>
  </w:abstractNum>
  <w:abstractNum w:abstractNumId="1">
    <w:nsid w:val="152B3C79"/>
    <w:multiLevelType w:val="singleLevel"/>
    <w:tmpl w:val="152B3C79"/>
    <w:lvl w:ilvl="0" w:tentative="0">
      <w:start w:val="1"/>
      <w:numFmt w:val="decimal"/>
      <w:suff w:val="nothing"/>
      <w:lvlText w:val="（%1）"/>
      <w:lvlJc w:val="left"/>
    </w:lvl>
  </w:abstractNum>
  <w:abstractNum w:abstractNumId="2">
    <w:nsid w:val="17A77041"/>
    <w:multiLevelType w:val="singleLevel"/>
    <w:tmpl w:val="17A77041"/>
    <w:lvl w:ilvl="0" w:tentative="0">
      <w:start w:val="4"/>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36C"/>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86012"/>
    <w:rsid w:val="012F23D2"/>
    <w:rsid w:val="01353E46"/>
    <w:rsid w:val="013D20EF"/>
    <w:rsid w:val="013D4C8F"/>
    <w:rsid w:val="0141555F"/>
    <w:rsid w:val="01425A17"/>
    <w:rsid w:val="01542AFA"/>
    <w:rsid w:val="015E6630"/>
    <w:rsid w:val="016C75C7"/>
    <w:rsid w:val="018D524F"/>
    <w:rsid w:val="019036D8"/>
    <w:rsid w:val="01A01767"/>
    <w:rsid w:val="01A66FAC"/>
    <w:rsid w:val="01BD4FDC"/>
    <w:rsid w:val="01C42B8B"/>
    <w:rsid w:val="01CE3A0A"/>
    <w:rsid w:val="01E941AE"/>
    <w:rsid w:val="01ED256A"/>
    <w:rsid w:val="01FE504C"/>
    <w:rsid w:val="02201D8C"/>
    <w:rsid w:val="0221105C"/>
    <w:rsid w:val="02240E71"/>
    <w:rsid w:val="022F6268"/>
    <w:rsid w:val="0230144B"/>
    <w:rsid w:val="023E2A8F"/>
    <w:rsid w:val="023F01AC"/>
    <w:rsid w:val="02497F02"/>
    <w:rsid w:val="025C7268"/>
    <w:rsid w:val="025D37A6"/>
    <w:rsid w:val="02630A21"/>
    <w:rsid w:val="026A6C48"/>
    <w:rsid w:val="027520D7"/>
    <w:rsid w:val="02910656"/>
    <w:rsid w:val="029452C8"/>
    <w:rsid w:val="0299330C"/>
    <w:rsid w:val="029E3E12"/>
    <w:rsid w:val="02AE2F1E"/>
    <w:rsid w:val="02B07476"/>
    <w:rsid w:val="02B12263"/>
    <w:rsid w:val="02B34262"/>
    <w:rsid w:val="02BA6D6B"/>
    <w:rsid w:val="02BC6761"/>
    <w:rsid w:val="02C30781"/>
    <w:rsid w:val="02C32A89"/>
    <w:rsid w:val="02EB23C8"/>
    <w:rsid w:val="02ED4254"/>
    <w:rsid w:val="02F54A67"/>
    <w:rsid w:val="02FB586B"/>
    <w:rsid w:val="032764F6"/>
    <w:rsid w:val="03355FAD"/>
    <w:rsid w:val="03357A15"/>
    <w:rsid w:val="033F6615"/>
    <w:rsid w:val="034A4B76"/>
    <w:rsid w:val="03604B36"/>
    <w:rsid w:val="03646BB0"/>
    <w:rsid w:val="036A455B"/>
    <w:rsid w:val="03700AD7"/>
    <w:rsid w:val="03881BEB"/>
    <w:rsid w:val="03B07722"/>
    <w:rsid w:val="03B94246"/>
    <w:rsid w:val="03C9092D"/>
    <w:rsid w:val="03C947DD"/>
    <w:rsid w:val="03CD0376"/>
    <w:rsid w:val="03E73921"/>
    <w:rsid w:val="03E868D9"/>
    <w:rsid w:val="03EB0F95"/>
    <w:rsid w:val="03F1290E"/>
    <w:rsid w:val="04002E0B"/>
    <w:rsid w:val="040F03FA"/>
    <w:rsid w:val="0412438A"/>
    <w:rsid w:val="04136717"/>
    <w:rsid w:val="041D2A27"/>
    <w:rsid w:val="04332546"/>
    <w:rsid w:val="04533461"/>
    <w:rsid w:val="048D54DF"/>
    <w:rsid w:val="04B51F1A"/>
    <w:rsid w:val="04BD0338"/>
    <w:rsid w:val="04C56D31"/>
    <w:rsid w:val="04CF0F22"/>
    <w:rsid w:val="04D7542D"/>
    <w:rsid w:val="04DD163F"/>
    <w:rsid w:val="04E452F2"/>
    <w:rsid w:val="04E82F5F"/>
    <w:rsid w:val="05084E1A"/>
    <w:rsid w:val="0536624A"/>
    <w:rsid w:val="05476ED2"/>
    <w:rsid w:val="05507187"/>
    <w:rsid w:val="05547F50"/>
    <w:rsid w:val="05586D81"/>
    <w:rsid w:val="056775E0"/>
    <w:rsid w:val="05812096"/>
    <w:rsid w:val="05A174D0"/>
    <w:rsid w:val="05A31C11"/>
    <w:rsid w:val="05A54A82"/>
    <w:rsid w:val="05B6570E"/>
    <w:rsid w:val="05B719DB"/>
    <w:rsid w:val="05D411B5"/>
    <w:rsid w:val="05DC03BC"/>
    <w:rsid w:val="05E03755"/>
    <w:rsid w:val="05E05D39"/>
    <w:rsid w:val="05EE025B"/>
    <w:rsid w:val="05FB2E46"/>
    <w:rsid w:val="06274DE9"/>
    <w:rsid w:val="0643158D"/>
    <w:rsid w:val="06606ACF"/>
    <w:rsid w:val="06632C8A"/>
    <w:rsid w:val="066C44D0"/>
    <w:rsid w:val="06780BE4"/>
    <w:rsid w:val="067D77AC"/>
    <w:rsid w:val="0688298E"/>
    <w:rsid w:val="06A978A6"/>
    <w:rsid w:val="06BA577F"/>
    <w:rsid w:val="06C373A0"/>
    <w:rsid w:val="06CA61EA"/>
    <w:rsid w:val="06CE3AAD"/>
    <w:rsid w:val="06D3256B"/>
    <w:rsid w:val="06E93094"/>
    <w:rsid w:val="07142FC9"/>
    <w:rsid w:val="0716354A"/>
    <w:rsid w:val="071A113A"/>
    <w:rsid w:val="071A5532"/>
    <w:rsid w:val="073F7F68"/>
    <w:rsid w:val="07433326"/>
    <w:rsid w:val="074D1200"/>
    <w:rsid w:val="07701435"/>
    <w:rsid w:val="078057A6"/>
    <w:rsid w:val="0791006E"/>
    <w:rsid w:val="07A93817"/>
    <w:rsid w:val="07AA51F7"/>
    <w:rsid w:val="07C16E32"/>
    <w:rsid w:val="07C956F1"/>
    <w:rsid w:val="07DE071F"/>
    <w:rsid w:val="07E724F1"/>
    <w:rsid w:val="07F54B10"/>
    <w:rsid w:val="0805246C"/>
    <w:rsid w:val="080D2DB2"/>
    <w:rsid w:val="08236132"/>
    <w:rsid w:val="0824157E"/>
    <w:rsid w:val="082A5712"/>
    <w:rsid w:val="08365D8B"/>
    <w:rsid w:val="083932FD"/>
    <w:rsid w:val="083C1D74"/>
    <w:rsid w:val="08664D5B"/>
    <w:rsid w:val="087338E5"/>
    <w:rsid w:val="087E552F"/>
    <w:rsid w:val="08935065"/>
    <w:rsid w:val="08994E2C"/>
    <w:rsid w:val="089E0248"/>
    <w:rsid w:val="08AA7F40"/>
    <w:rsid w:val="08AC09F8"/>
    <w:rsid w:val="08AF1C74"/>
    <w:rsid w:val="08B76FB8"/>
    <w:rsid w:val="08EC3C9C"/>
    <w:rsid w:val="08EF4818"/>
    <w:rsid w:val="08F26284"/>
    <w:rsid w:val="08F57B11"/>
    <w:rsid w:val="08F617F2"/>
    <w:rsid w:val="08F64252"/>
    <w:rsid w:val="08F94C8C"/>
    <w:rsid w:val="08FD0C7A"/>
    <w:rsid w:val="09027DBF"/>
    <w:rsid w:val="090F109A"/>
    <w:rsid w:val="09151314"/>
    <w:rsid w:val="09263609"/>
    <w:rsid w:val="092E2FE0"/>
    <w:rsid w:val="093E5BC8"/>
    <w:rsid w:val="0953633D"/>
    <w:rsid w:val="095867F9"/>
    <w:rsid w:val="09697733"/>
    <w:rsid w:val="09953804"/>
    <w:rsid w:val="099A0675"/>
    <w:rsid w:val="099C034D"/>
    <w:rsid w:val="09A71810"/>
    <w:rsid w:val="09AF52BC"/>
    <w:rsid w:val="09C556F2"/>
    <w:rsid w:val="09C9680A"/>
    <w:rsid w:val="09E33DCA"/>
    <w:rsid w:val="09EA33AB"/>
    <w:rsid w:val="09EA6668"/>
    <w:rsid w:val="0A0501E5"/>
    <w:rsid w:val="0A075D0B"/>
    <w:rsid w:val="0A0A57FB"/>
    <w:rsid w:val="0A193C90"/>
    <w:rsid w:val="0A1A77A1"/>
    <w:rsid w:val="0A3E3D26"/>
    <w:rsid w:val="0A4834F8"/>
    <w:rsid w:val="0A6173D2"/>
    <w:rsid w:val="0A682231"/>
    <w:rsid w:val="0A6825A9"/>
    <w:rsid w:val="0A781198"/>
    <w:rsid w:val="0AAC10E4"/>
    <w:rsid w:val="0AB07E4A"/>
    <w:rsid w:val="0AC93B72"/>
    <w:rsid w:val="0ACA6D38"/>
    <w:rsid w:val="0AD53C26"/>
    <w:rsid w:val="0ADD3B4A"/>
    <w:rsid w:val="0AEE775A"/>
    <w:rsid w:val="0AFF5154"/>
    <w:rsid w:val="0B0260FA"/>
    <w:rsid w:val="0B127FA5"/>
    <w:rsid w:val="0B187C06"/>
    <w:rsid w:val="0B462863"/>
    <w:rsid w:val="0B4B3360"/>
    <w:rsid w:val="0B6153F6"/>
    <w:rsid w:val="0B6C4BE2"/>
    <w:rsid w:val="0B895D1E"/>
    <w:rsid w:val="0B903157"/>
    <w:rsid w:val="0B9335CE"/>
    <w:rsid w:val="0BA653BF"/>
    <w:rsid w:val="0BAC6F99"/>
    <w:rsid w:val="0BCD1EAC"/>
    <w:rsid w:val="0BCF142C"/>
    <w:rsid w:val="0BDC319A"/>
    <w:rsid w:val="0BFB783E"/>
    <w:rsid w:val="0BFD5373"/>
    <w:rsid w:val="0BFD6481"/>
    <w:rsid w:val="0C0F0CD9"/>
    <w:rsid w:val="0C631998"/>
    <w:rsid w:val="0C6821F6"/>
    <w:rsid w:val="0C8170B4"/>
    <w:rsid w:val="0C990787"/>
    <w:rsid w:val="0C992D4F"/>
    <w:rsid w:val="0CAE3A50"/>
    <w:rsid w:val="0CBF15FF"/>
    <w:rsid w:val="0CC20F4F"/>
    <w:rsid w:val="0CD8398F"/>
    <w:rsid w:val="0CD91857"/>
    <w:rsid w:val="0CDA4E4E"/>
    <w:rsid w:val="0CF258A4"/>
    <w:rsid w:val="0D212A41"/>
    <w:rsid w:val="0D214045"/>
    <w:rsid w:val="0D215F2C"/>
    <w:rsid w:val="0D314FE6"/>
    <w:rsid w:val="0D330BC5"/>
    <w:rsid w:val="0D540C02"/>
    <w:rsid w:val="0D571C0F"/>
    <w:rsid w:val="0D637F0E"/>
    <w:rsid w:val="0D645222"/>
    <w:rsid w:val="0D6A5410"/>
    <w:rsid w:val="0D794CB6"/>
    <w:rsid w:val="0D8324ED"/>
    <w:rsid w:val="0D8F059D"/>
    <w:rsid w:val="0D8F5855"/>
    <w:rsid w:val="0D936D15"/>
    <w:rsid w:val="0D9827E5"/>
    <w:rsid w:val="0DAF3D29"/>
    <w:rsid w:val="0DC466B9"/>
    <w:rsid w:val="0DC54945"/>
    <w:rsid w:val="0DF25BA4"/>
    <w:rsid w:val="0DFD573A"/>
    <w:rsid w:val="0DFE1012"/>
    <w:rsid w:val="0E0B029F"/>
    <w:rsid w:val="0E230373"/>
    <w:rsid w:val="0E2A41ED"/>
    <w:rsid w:val="0E30302E"/>
    <w:rsid w:val="0E351EED"/>
    <w:rsid w:val="0E397874"/>
    <w:rsid w:val="0E461B92"/>
    <w:rsid w:val="0E6059EA"/>
    <w:rsid w:val="0E632208"/>
    <w:rsid w:val="0E844468"/>
    <w:rsid w:val="0E9E135B"/>
    <w:rsid w:val="0EA44F43"/>
    <w:rsid w:val="0EA62844"/>
    <w:rsid w:val="0EC2669E"/>
    <w:rsid w:val="0ED75315"/>
    <w:rsid w:val="0ED756CF"/>
    <w:rsid w:val="0EE34A0A"/>
    <w:rsid w:val="0EEF23A4"/>
    <w:rsid w:val="0F2500FF"/>
    <w:rsid w:val="0F2A7DB7"/>
    <w:rsid w:val="0F2D61D9"/>
    <w:rsid w:val="0F43254D"/>
    <w:rsid w:val="0F45451E"/>
    <w:rsid w:val="0F5372FC"/>
    <w:rsid w:val="0F543C48"/>
    <w:rsid w:val="0F54568B"/>
    <w:rsid w:val="0F6801CF"/>
    <w:rsid w:val="0F7F71A8"/>
    <w:rsid w:val="0F851480"/>
    <w:rsid w:val="0F9B0554"/>
    <w:rsid w:val="0FAF5422"/>
    <w:rsid w:val="0FAF5990"/>
    <w:rsid w:val="0FB271E8"/>
    <w:rsid w:val="0FB3423F"/>
    <w:rsid w:val="0FB73D2F"/>
    <w:rsid w:val="0FBF1392"/>
    <w:rsid w:val="0FD84D52"/>
    <w:rsid w:val="0FD93801"/>
    <w:rsid w:val="0FDC41E3"/>
    <w:rsid w:val="0FE95EB3"/>
    <w:rsid w:val="100C40A0"/>
    <w:rsid w:val="10131FB5"/>
    <w:rsid w:val="10176676"/>
    <w:rsid w:val="1031732E"/>
    <w:rsid w:val="10327E3A"/>
    <w:rsid w:val="10374301"/>
    <w:rsid w:val="10394E9C"/>
    <w:rsid w:val="103A764D"/>
    <w:rsid w:val="103B6EC4"/>
    <w:rsid w:val="10457DEF"/>
    <w:rsid w:val="10482BD9"/>
    <w:rsid w:val="104A6951"/>
    <w:rsid w:val="105628E7"/>
    <w:rsid w:val="105A27E6"/>
    <w:rsid w:val="108120DC"/>
    <w:rsid w:val="108950E7"/>
    <w:rsid w:val="109135C4"/>
    <w:rsid w:val="10A4426E"/>
    <w:rsid w:val="10B656D8"/>
    <w:rsid w:val="10BB6F68"/>
    <w:rsid w:val="10C37A22"/>
    <w:rsid w:val="10C556C7"/>
    <w:rsid w:val="10C55FD8"/>
    <w:rsid w:val="10F772EF"/>
    <w:rsid w:val="11017A58"/>
    <w:rsid w:val="11023D17"/>
    <w:rsid w:val="110F34C8"/>
    <w:rsid w:val="11491151"/>
    <w:rsid w:val="1159543F"/>
    <w:rsid w:val="116230D1"/>
    <w:rsid w:val="116A7E05"/>
    <w:rsid w:val="11722460"/>
    <w:rsid w:val="117A4F14"/>
    <w:rsid w:val="119D6F55"/>
    <w:rsid w:val="11CB1987"/>
    <w:rsid w:val="11D529F0"/>
    <w:rsid w:val="11DC5FC8"/>
    <w:rsid w:val="11E71072"/>
    <w:rsid w:val="11F55D84"/>
    <w:rsid w:val="11F95233"/>
    <w:rsid w:val="11FE73E1"/>
    <w:rsid w:val="1206271C"/>
    <w:rsid w:val="120839F3"/>
    <w:rsid w:val="120E39AF"/>
    <w:rsid w:val="12114BE2"/>
    <w:rsid w:val="121911ED"/>
    <w:rsid w:val="12261816"/>
    <w:rsid w:val="122816CA"/>
    <w:rsid w:val="1231523F"/>
    <w:rsid w:val="12392AE3"/>
    <w:rsid w:val="12421044"/>
    <w:rsid w:val="127A5380"/>
    <w:rsid w:val="12957C2C"/>
    <w:rsid w:val="1298079E"/>
    <w:rsid w:val="12AD5EBA"/>
    <w:rsid w:val="12B10442"/>
    <w:rsid w:val="12C319F0"/>
    <w:rsid w:val="12CB7F7B"/>
    <w:rsid w:val="12D57B5A"/>
    <w:rsid w:val="12D60970"/>
    <w:rsid w:val="12DA74FD"/>
    <w:rsid w:val="130354DD"/>
    <w:rsid w:val="13160E95"/>
    <w:rsid w:val="131D4A08"/>
    <w:rsid w:val="132A077A"/>
    <w:rsid w:val="132B4874"/>
    <w:rsid w:val="13365D96"/>
    <w:rsid w:val="133833D9"/>
    <w:rsid w:val="13401CF4"/>
    <w:rsid w:val="13474541"/>
    <w:rsid w:val="13597FDE"/>
    <w:rsid w:val="13610A7C"/>
    <w:rsid w:val="1370511E"/>
    <w:rsid w:val="138A2CF3"/>
    <w:rsid w:val="139600FA"/>
    <w:rsid w:val="139B1B3C"/>
    <w:rsid w:val="13AC7923"/>
    <w:rsid w:val="13BB36C2"/>
    <w:rsid w:val="13C163E4"/>
    <w:rsid w:val="13CF69C3"/>
    <w:rsid w:val="13E63AA6"/>
    <w:rsid w:val="13EB21F9"/>
    <w:rsid w:val="13F175F7"/>
    <w:rsid w:val="13F85DC5"/>
    <w:rsid w:val="13FC3073"/>
    <w:rsid w:val="14002DA6"/>
    <w:rsid w:val="141601C0"/>
    <w:rsid w:val="14183270"/>
    <w:rsid w:val="141D447E"/>
    <w:rsid w:val="141D6B0B"/>
    <w:rsid w:val="142D6F89"/>
    <w:rsid w:val="144554E0"/>
    <w:rsid w:val="144C2ACB"/>
    <w:rsid w:val="145908CD"/>
    <w:rsid w:val="146975C2"/>
    <w:rsid w:val="148617D9"/>
    <w:rsid w:val="149258A7"/>
    <w:rsid w:val="149321EC"/>
    <w:rsid w:val="14A979BF"/>
    <w:rsid w:val="14AA6C47"/>
    <w:rsid w:val="14AD74AF"/>
    <w:rsid w:val="14B81325"/>
    <w:rsid w:val="14BB5770"/>
    <w:rsid w:val="14CA4494"/>
    <w:rsid w:val="14DD13B5"/>
    <w:rsid w:val="14DF1102"/>
    <w:rsid w:val="14E74E80"/>
    <w:rsid w:val="14FB05D3"/>
    <w:rsid w:val="14FB1DB1"/>
    <w:rsid w:val="1507775C"/>
    <w:rsid w:val="15082EFA"/>
    <w:rsid w:val="15107A3E"/>
    <w:rsid w:val="15214D63"/>
    <w:rsid w:val="1531629A"/>
    <w:rsid w:val="153E6FE7"/>
    <w:rsid w:val="15522142"/>
    <w:rsid w:val="15535F3F"/>
    <w:rsid w:val="155C3CBE"/>
    <w:rsid w:val="15697093"/>
    <w:rsid w:val="15760076"/>
    <w:rsid w:val="157E5DA4"/>
    <w:rsid w:val="159F6FD6"/>
    <w:rsid w:val="15A5462A"/>
    <w:rsid w:val="15B01BBF"/>
    <w:rsid w:val="15EC3B3E"/>
    <w:rsid w:val="15F1786F"/>
    <w:rsid w:val="15F46C2A"/>
    <w:rsid w:val="16121567"/>
    <w:rsid w:val="16175528"/>
    <w:rsid w:val="162D4D4B"/>
    <w:rsid w:val="16343F81"/>
    <w:rsid w:val="163948ED"/>
    <w:rsid w:val="164275F4"/>
    <w:rsid w:val="164717FA"/>
    <w:rsid w:val="16501227"/>
    <w:rsid w:val="1654148B"/>
    <w:rsid w:val="165710DF"/>
    <w:rsid w:val="16573B76"/>
    <w:rsid w:val="165B71D5"/>
    <w:rsid w:val="16700A7A"/>
    <w:rsid w:val="16734728"/>
    <w:rsid w:val="167D1103"/>
    <w:rsid w:val="1683572D"/>
    <w:rsid w:val="169E0BEA"/>
    <w:rsid w:val="16AF7EFC"/>
    <w:rsid w:val="16DD2BAC"/>
    <w:rsid w:val="16F70EB5"/>
    <w:rsid w:val="17197085"/>
    <w:rsid w:val="172460AC"/>
    <w:rsid w:val="172B1987"/>
    <w:rsid w:val="173054B2"/>
    <w:rsid w:val="17424EAD"/>
    <w:rsid w:val="174C1699"/>
    <w:rsid w:val="17544559"/>
    <w:rsid w:val="175E7E76"/>
    <w:rsid w:val="1763479D"/>
    <w:rsid w:val="178667F0"/>
    <w:rsid w:val="178A4C4F"/>
    <w:rsid w:val="17942AA9"/>
    <w:rsid w:val="17987255"/>
    <w:rsid w:val="179928AA"/>
    <w:rsid w:val="17A739C7"/>
    <w:rsid w:val="17C212EB"/>
    <w:rsid w:val="17C42121"/>
    <w:rsid w:val="17D82A95"/>
    <w:rsid w:val="17FB6C91"/>
    <w:rsid w:val="18053F1E"/>
    <w:rsid w:val="18085749"/>
    <w:rsid w:val="180B6D06"/>
    <w:rsid w:val="181A3262"/>
    <w:rsid w:val="181C3FF8"/>
    <w:rsid w:val="182F6FCF"/>
    <w:rsid w:val="18365CFA"/>
    <w:rsid w:val="184114A1"/>
    <w:rsid w:val="18425C49"/>
    <w:rsid w:val="186969E3"/>
    <w:rsid w:val="188C7694"/>
    <w:rsid w:val="18BE3F0D"/>
    <w:rsid w:val="18C140E3"/>
    <w:rsid w:val="18CD6371"/>
    <w:rsid w:val="18DA0A8E"/>
    <w:rsid w:val="18DC03A2"/>
    <w:rsid w:val="18E11EA5"/>
    <w:rsid w:val="18FA4C8D"/>
    <w:rsid w:val="19054750"/>
    <w:rsid w:val="19083037"/>
    <w:rsid w:val="19092828"/>
    <w:rsid w:val="19103908"/>
    <w:rsid w:val="1933462F"/>
    <w:rsid w:val="19390D64"/>
    <w:rsid w:val="19554C37"/>
    <w:rsid w:val="19566DB3"/>
    <w:rsid w:val="196279A1"/>
    <w:rsid w:val="198040A4"/>
    <w:rsid w:val="198C37FE"/>
    <w:rsid w:val="19A941C1"/>
    <w:rsid w:val="19AE5ACF"/>
    <w:rsid w:val="19AF5A77"/>
    <w:rsid w:val="19B3071D"/>
    <w:rsid w:val="19B675DA"/>
    <w:rsid w:val="19C57049"/>
    <w:rsid w:val="19C637E5"/>
    <w:rsid w:val="19C721FB"/>
    <w:rsid w:val="19CE5CD8"/>
    <w:rsid w:val="19F02EFF"/>
    <w:rsid w:val="1A052165"/>
    <w:rsid w:val="1A063EF5"/>
    <w:rsid w:val="1A0F3AD5"/>
    <w:rsid w:val="1A0F6516"/>
    <w:rsid w:val="1A0F7374"/>
    <w:rsid w:val="1A142D27"/>
    <w:rsid w:val="1A1816AF"/>
    <w:rsid w:val="1A302494"/>
    <w:rsid w:val="1A330E88"/>
    <w:rsid w:val="1A60672B"/>
    <w:rsid w:val="1A630F50"/>
    <w:rsid w:val="1A6732FB"/>
    <w:rsid w:val="1A7929A3"/>
    <w:rsid w:val="1A7B4669"/>
    <w:rsid w:val="1A870B38"/>
    <w:rsid w:val="1A8C5DB8"/>
    <w:rsid w:val="1A8C6CF6"/>
    <w:rsid w:val="1A9417D9"/>
    <w:rsid w:val="1AA572B8"/>
    <w:rsid w:val="1AA70EB7"/>
    <w:rsid w:val="1AAA4949"/>
    <w:rsid w:val="1AB31D2F"/>
    <w:rsid w:val="1AC00AAF"/>
    <w:rsid w:val="1ACE55DA"/>
    <w:rsid w:val="1ACE6054"/>
    <w:rsid w:val="1ACE6D27"/>
    <w:rsid w:val="1AE0038B"/>
    <w:rsid w:val="1B397563"/>
    <w:rsid w:val="1B403FA5"/>
    <w:rsid w:val="1B450A9E"/>
    <w:rsid w:val="1B481CDF"/>
    <w:rsid w:val="1B4B17D0"/>
    <w:rsid w:val="1B524326"/>
    <w:rsid w:val="1B55168B"/>
    <w:rsid w:val="1B63458F"/>
    <w:rsid w:val="1B645069"/>
    <w:rsid w:val="1B7D1BE7"/>
    <w:rsid w:val="1B7D1D15"/>
    <w:rsid w:val="1B8637EA"/>
    <w:rsid w:val="1B966EEF"/>
    <w:rsid w:val="1BDD1B28"/>
    <w:rsid w:val="1BE57F51"/>
    <w:rsid w:val="1C022610"/>
    <w:rsid w:val="1C037CCC"/>
    <w:rsid w:val="1C085913"/>
    <w:rsid w:val="1C0876C1"/>
    <w:rsid w:val="1C2F4A48"/>
    <w:rsid w:val="1C37598E"/>
    <w:rsid w:val="1C400DCC"/>
    <w:rsid w:val="1C4A3D51"/>
    <w:rsid w:val="1C550B58"/>
    <w:rsid w:val="1C6062B5"/>
    <w:rsid w:val="1C656B00"/>
    <w:rsid w:val="1C657709"/>
    <w:rsid w:val="1C6D522B"/>
    <w:rsid w:val="1C762201"/>
    <w:rsid w:val="1C87757C"/>
    <w:rsid w:val="1C911F05"/>
    <w:rsid w:val="1C9232F2"/>
    <w:rsid w:val="1C943E77"/>
    <w:rsid w:val="1C993860"/>
    <w:rsid w:val="1CB517E1"/>
    <w:rsid w:val="1CBF5FD1"/>
    <w:rsid w:val="1CC07FCD"/>
    <w:rsid w:val="1CCD060E"/>
    <w:rsid w:val="1CD4109A"/>
    <w:rsid w:val="1CDE3631"/>
    <w:rsid w:val="1CE814D1"/>
    <w:rsid w:val="1CFE11B3"/>
    <w:rsid w:val="1D00167E"/>
    <w:rsid w:val="1D01132A"/>
    <w:rsid w:val="1D022EEB"/>
    <w:rsid w:val="1D2C5B34"/>
    <w:rsid w:val="1D3444B7"/>
    <w:rsid w:val="1D3A1AFC"/>
    <w:rsid w:val="1D3F2887"/>
    <w:rsid w:val="1D413DD6"/>
    <w:rsid w:val="1D442082"/>
    <w:rsid w:val="1D467DF1"/>
    <w:rsid w:val="1D494085"/>
    <w:rsid w:val="1D6104E9"/>
    <w:rsid w:val="1D6D5E73"/>
    <w:rsid w:val="1D6E2EA0"/>
    <w:rsid w:val="1D7C0366"/>
    <w:rsid w:val="1D90430C"/>
    <w:rsid w:val="1DA228F6"/>
    <w:rsid w:val="1DA26C67"/>
    <w:rsid w:val="1DB571C9"/>
    <w:rsid w:val="1DBF6F58"/>
    <w:rsid w:val="1DFC5003"/>
    <w:rsid w:val="1E2527AC"/>
    <w:rsid w:val="1E2851F8"/>
    <w:rsid w:val="1E2A3F9F"/>
    <w:rsid w:val="1E65546D"/>
    <w:rsid w:val="1E7B6900"/>
    <w:rsid w:val="1E933E22"/>
    <w:rsid w:val="1EB60A31"/>
    <w:rsid w:val="1EC6457D"/>
    <w:rsid w:val="1EC7170B"/>
    <w:rsid w:val="1EC7534C"/>
    <w:rsid w:val="1ECD7160"/>
    <w:rsid w:val="1ED34F83"/>
    <w:rsid w:val="1ED4353F"/>
    <w:rsid w:val="1ED641E3"/>
    <w:rsid w:val="1EED4935"/>
    <w:rsid w:val="1EF15FC6"/>
    <w:rsid w:val="1F196F16"/>
    <w:rsid w:val="1F1F544D"/>
    <w:rsid w:val="1F294330"/>
    <w:rsid w:val="1F2A3EE6"/>
    <w:rsid w:val="1F5164BE"/>
    <w:rsid w:val="1F530AFF"/>
    <w:rsid w:val="1F550636"/>
    <w:rsid w:val="1F6725BD"/>
    <w:rsid w:val="1F6F0182"/>
    <w:rsid w:val="1F751014"/>
    <w:rsid w:val="1F7A16FF"/>
    <w:rsid w:val="1F841E94"/>
    <w:rsid w:val="1F86410F"/>
    <w:rsid w:val="1F987D78"/>
    <w:rsid w:val="1FAD0B55"/>
    <w:rsid w:val="1FB57B5F"/>
    <w:rsid w:val="1FBA786C"/>
    <w:rsid w:val="1FC55FF4"/>
    <w:rsid w:val="1FDF7221"/>
    <w:rsid w:val="1FE07DD2"/>
    <w:rsid w:val="1FF72B1D"/>
    <w:rsid w:val="2000702C"/>
    <w:rsid w:val="201952D2"/>
    <w:rsid w:val="2020109E"/>
    <w:rsid w:val="20220096"/>
    <w:rsid w:val="202816B6"/>
    <w:rsid w:val="20352DB6"/>
    <w:rsid w:val="204E725A"/>
    <w:rsid w:val="205050F3"/>
    <w:rsid w:val="20665891"/>
    <w:rsid w:val="208241B4"/>
    <w:rsid w:val="208F5999"/>
    <w:rsid w:val="20B05494"/>
    <w:rsid w:val="20BD4F1E"/>
    <w:rsid w:val="20D109C9"/>
    <w:rsid w:val="20EE5770"/>
    <w:rsid w:val="2107261C"/>
    <w:rsid w:val="21147FEE"/>
    <w:rsid w:val="21154D5A"/>
    <w:rsid w:val="2132760F"/>
    <w:rsid w:val="213F7E47"/>
    <w:rsid w:val="21592FEC"/>
    <w:rsid w:val="215B2DFE"/>
    <w:rsid w:val="215C5CD9"/>
    <w:rsid w:val="215E3FAB"/>
    <w:rsid w:val="215F2E6D"/>
    <w:rsid w:val="218B2E3C"/>
    <w:rsid w:val="219E13DD"/>
    <w:rsid w:val="21B5456C"/>
    <w:rsid w:val="21C0289A"/>
    <w:rsid w:val="21C314C7"/>
    <w:rsid w:val="21CB366A"/>
    <w:rsid w:val="21E53DD4"/>
    <w:rsid w:val="21FE67C3"/>
    <w:rsid w:val="21FF567A"/>
    <w:rsid w:val="220019CB"/>
    <w:rsid w:val="22080E1D"/>
    <w:rsid w:val="222E4A4B"/>
    <w:rsid w:val="224564ED"/>
    <w:rsid w:val="225B1C1A"/>
    <w:rsid w:val="22655D1C"/>
    <w:rsid w:val="227A5579"/>
    <w:rsid w:val="227B3EC3"/>
    <w:rsid w:val="228B3A51"/>
    <w:rsid w:val="22AC6E9D"/>
    <w:rsid w:val="22AF6B28"/>
    <w:rsid w:val="22BF1959"/>
    <w:rsid w:val="22FE3A70"/>
    <w:rsid w:val="23007343"/>
    <w:rsid w:val="230A1D1E"/>
    <w:rsid w:val="230F3D0A"/>
    <w:rsid w:val="232E3EB1"/>
    <w:rsid w:val="23341448"/>
    <w:rsid w:val="23385650"/>
    <w:rsid w:val="23425BAE"/>
    <w:rsid w:val="23517B9F"/>
    <w:rsid w:val="23531B69"/>
    <w:rsid w:val="235C6C70"/>
    <w:rsid w:val="23694EE9"/>
    <w:rsid w:val="237F04EF"/>
    <w:rsid w:val="23841437"/>
    <w:rsid w:val="238A3CA3"/>
    <w:rsid w:val="23AF4708"/>
    <w:rsid w:val="23C16A9A"/>
    <w:rsid w:val="23C465C3"/>
    <w:rsid w:val="23E66003"/>
    <w:rsid w:val="23F80076"/>
    <w:rsid w:val="23FE2FB7"/>
    <w:rsid w:val="23FE3AF7"/>
    <w:rsid w:val="241B7142"/>
    <w:rsid w:val="24452007"/>
    <w:rsid w:val="244802C7"/>
    <w:rsid w:val="244C0B39"/>
    <w:rsid w:val="245A32E7"/>
    <w:rsid w:val="24635935"/>
    <w:rsid w:val="24660E6A"/>
    <w:rsid w:val="24665559"/>
    <w:rsid w:val="24691825"/>
    <w:rsid w:val="248E0BEE"/>
    <w:rsid w:val="249222CA"/>
    <w:rsid w:val="24B056E4"/>
    <w:rsid w:val="24CC572F"/>
    <w:rsid w:val="24CF65FC"/>
    <w:rsid w:val="24D258A5"/>
    <w:rsid w:val="24DA6A74"/>
    <w:rsid w:val="24DB4BCD"/>
    <w:rsid w:val="24F602A0"/>
    <w:rsid w:val="250025A0"/>
    <w:rsid w:val="25296C9F"/>
    <w:rsid w:val="25401D76"/>
    <w:rsid w:val="2544236B"/>
    <w:rsid w:val="25453733"/>
    <w:rsid w:val="256C3562"/>
    <w:rsid w:val="257F6C45"/>
    <w:rsid w:val="258C736F"/>
    <w:rsid w:val="25977271"/>
    <w:rsid w:val="259B2D68"/>
    <w:rsid w:val="259E7D45"/>
    <w:rsid w:val="25A6077B"/>
    <w:rsid w:val="25A941CC"/>
    <w:rsid w:val="25A97E1E"/>
    <w:rsid w:val="25B40CD0"/>
    <w:rsid w:val="25BF4424"/>
    <w:rsid w:val="25C17AFA"/>
    <w:rsid w:val="25C251DB"/>
    <w:rsid w:val="25E00E0C"/>
    <w:rsid w:val="25EF379B"/>
    <w:rsid w:val="260C11C1"/>
    <w:rsid w:val="261049C1"/>
    <w:rsid w:val="261E645E"/>
    <w:rsid w:val="26383109"/>
    <w:rsid w:val="2641214D"/>
    <w:rsid w:val="26597FFC"/>
    <w:rsid w:val="26697AAB"/>
    <w:rsid w:val="266D2F42"/>
    <w:rsid w:val="2673065B"/>
    <w:rsid w:val="26746071"/>
    <w:rsid w:val="267839D3"/>
    <w:rsid w:val="26802C75"/>
    <w:rsid w:val="268423E1"/>
    <w:rsid w:val="26890627"/>
    <w:rsid w:val="26937CAB"/>
    <w:rsid w:val="26A43060"/>
    <w:rsid w:val="26BB1EFF"/>
    <w:rsid w:val="26BB2001"/>
    <w:rsid w:val="26C467F8"/>
    <w:rsid w:val="26E35358"/>
    <w:rsid w:val="270E00FE"/>
    <w:rsid w:val="270E298C"/>
    <w:rsid w:val="270E29F5"/>
    <w:rsid w:val="271512D2"/>
    <w:rsid w:val="272A0E33"/>
    <w:rsid w:val="272A2D2F"/>
    <w:rsid w:val="274020AE"/>
    <w:rsid w:val="27446B6F"/>
    <w:rsid w:val="274F752C"/>
    <w:rsid w:val="27520933"/>
    <w:rsid w:val="27584657"/>
    <w:rsid w:val="275E5A93"/>
    <w:rsid w:val="27736226"/>
    <w:rsid w:val="27755DA7"/>
    <w:rsid w:val="277C7F9A"/>
    <w:rsid w:val="279D2924"/>
    <w:rsid w:val="27A52E1A"/>
    <w:rsid w:val="27AC7A9A"/>
    <w:rsid w:val="27C53958"/>
    <w:rsid w:val="27D36D37"/>
    <w:rsid w:val="27DA4B73"/>
    <w:rsid w:val="27E61F25"/>
    <w:rsid w:val="27EC31BB"/>
    <w:rsid w:val="27ED2CBD"/>
    <w:rsid w:val="27F63DA6"/>
    <w:rsid w:val="27FA5CB6"/>
    <w:rsid w:val="280D34EA"/>
    <w:rsid w:val="281466B1"/>
    <w:rsid w:val="281713B7"/>
    <w:rsid w:val="281824A7"/>
    <w:rsid w:val="28312BBF"/>
    <w:rsid w:val="283B7736"/>
    <w:rsid w:val="285F673E"/>
    <w:rsid w:val="28644CCA"/>
    <w:rsid w:val="28687E65"/>
    <w:rsid w:val="28732D83"/>
    <w:rsid w:val="288F6949"/>
    <w:rsid w:val="28911AF2"/>
    <w:rsid w:val="289151CA"/>
    <w:rsid w:val="28A10C81"/>
    <w:rsid w:val="28A2680F"/>
    <w:rsid w:val="28DF17A9"/>
    <w:rsid w:val="28EB31BC"/>
    <w:rsid w:val="28EB583C"/>
    <w:rsid w:val="28EC2844"/>
    <w:rsid w:val="28F402DA"/>
    <w:rsid w:val="28FC78BE"/>
    <w:rsid w:val="29000A40"/>
    <w:rsid w:val="290F29AF"/>
    <w:rsid w:val="292D0766"/>
    <w:rsid w:val="293634F4"/>
    <w:rsid w:val="29600B3C"/>
    <w:rsid w:val="29606D8E"/>
    <w:rsid w:val="29671ECA"/>
    <w:rsid w:val="29770361"/>
    <w:rsid w:val="2985201E"/>
    <w:rsid w:val="29C55899"/>
    <w:rsid w:val="29D3130E"/>
    <w:rsid w:val="29F2147C"/>
    <w:rsid w:val="2A0C4A40"/>
    <w:rsid w:val="2A0D3DED"/>
    <w:rsid w:val="2A104310"/>
    <w:rsid w:val="2A134AF4"/>
    <w:rsid w:val="2A255C2B"/>
    <w:rsid w:val="2A2B7BC9"/>
    <w:rsid w:val="2A3A5DF9"/>
    <w:rsid w:val="2A4926C2"/>
    <w:rsid w:val="2A4B107A"/>
    <w:rsid w:val="2A4D2BFD"/>
    <w:rsid w:val="2A530EDF"/>
    <w:rsid w:val="2A574428"/>
    <w:rsid w:val="2A5F6992"/>
    <w:rsid w:val="2A7949E3"/>
    <w:rsid w:val="2A80647C"/>
    <w:rsid w:val="2A8E62B6"/>
    <w:rsid w:val="2A9572CC"/>
    <w:rsid w:val="2AA9206F"/>
    <w:rsid w:val="2AD81233"/>
    <w:rsid w:val="2AE63EFE"/>
    <w:rsid w:val="2B053749"/>
    <w:rsid w:val="2B195446"/>
    <w:rsid w:val="2B2E227F"/>
    <w:rsid w:val="2B2F07C6"/>
    <w:rsid w:val="2B3404E2"/>
    <w:rsid w:val="2B363CF4"/>
    <w:rsid w:val="2B3A7305"/>
    <w:rsid w:val="2B425FD0"/>
    <w:rsid w:val="2B4268A6"/>
    <w:rsid w:val="2B536BAA"/>
    <w:rsid w:val="2B8C79C6"/>
    <w:rsid w:val="2B9B40AD"/>
    <w:rsid w:val="2B9B4F58"/>
    <w:rsid w:val="2BA3696C"/>
    <w:rsid w:val="2BAA0794"/>
    <w:rsid w:val="2BB67A51"/>
    <w:rsid w:val="2BB769EE"/>
    <w:rsid w:val="2BB8130D"/>
    <w:rsid w:val="2BC058C2"/>
    <w:rsid w:val="2BC1223D"/>
    <w:rsid w:val="2BC40014"/>
    <w:rsid w:val="2BC51B34"/>
    <w:rsid w:val="2BDE3F9A"/>
    <w:rsid w:val="2BE07D12"/>
    <w:rsid w:val="2BF95140"/>
    <w:rsid w:val="2C063C1D"/>
    <w:rsid w:val="2C0B194E"/>
    <w:rsid w:val="2C1A4F62"/>
    <w:rsid w:val="2C3447BE"/>
    <w:rsid w:val="2C3C07B5"/>
    <w:rsid w:val="2C3D3C75"/>
    <w:rsid w:val="2C4B420E"/>
    <w:rsid w:val="2C56006A"/>
    <w:rsid w:val="2C5F50DB"/>
    <w:rsid w:val="2C660165"/>
    <w:rsid w:val="2C6619D7"/>
    <w:rsid w:val="2C6A0BA3"/>
    <w:rsid w:val="2C6E17C2"/>
    <w:rsid w:val="2C745C43"/>
    <w:rsid w:val="2C8A76F4"/>
    <w:rsid w:val="2C931BC6"/>
    <w:rsid w:val="2CA45E14"/>
    <w:rsid w:val="2CB43679"/>
    <w:rsid w:val="2CB62CA6"/>
    <w:rsid w:val="2CD40261"/>
    <w:rsid w:val="2CEE34EF"/>
    <w:rsid w:val="2CF605F7"/>
    <w:rsid w:val="2D016FE9"/>
    <w:rsid w:val="2D14362B"/>
    <w:rsid w:val="2D2E304F"/>
    <w:rsid w:val="2D3B49D6"/>
    <w:rsid w:val="2D3C07FE"/>
    <w:rsid w:val="2D5756FC"/>
    <w:rsid w:val="2D5D5591"/>
    <w:rsid w:val="2D74743A"/>
    <w:rsid w:val="2D7C11D4"/>
    <w:rsid w:val="2D7F4766"/>
    <w:rsid w:val="2D8D3A62"/>
    <w:rsid w:val="2DAF3E40"/>
    <w:rsid w:val="2DBE7F60"/>
    <w:rsid w:val="2DF22E0E"/>
    <w:rsid w:val="2DF6381D"/>
    <w:rsid w:val="2DF6788C"/>
    <w:rsid w:val="2E0D1588"/>
    <w:rsid w:val="2E3944B7"/>
    <w:rsid w:val="2E4749F8"/>
    <w:rsid w:val="2E4C1B78"/>
    <w:rsid w:val="2E544E1A"/>
    <w:rsid w:val="2E73313B"/>
    <w:rsid w:val="2E866E5E"/>
    <w:rsid w:val="2E9077CD"/>
    <w:rsid w:val="2EA916B2"/>
    <w:rsid w:val="2EB46A04"/>
    <w:rsid w:val="2EB84F76"/>
    <w:rsid w:val="2EC62DA5"/>
    <w:rsid w:val="2ECB7077"/>
    <w:rsid w:val="2EED318E"/>
    <w:rsid w:val="2EFE3F3B"/>
    <w:rsid w:val="2F0F1794"/>
    <w:rsid w:val="2F176141"/>
    <w:rsid w:val="2F1A0856"/>
    <w:rsid w:val="2F2B5B05"/>
    <w:rsid w:val="2F475C7E"/>
    <w:rsid w:val="2F486024"/>
    <w:rsid w:val="2F523B34"/>
    <w:rsid w:val="2F5E78CC"/>
    <w:rsid w:val="2F681310"/>
    <w:rsid w:val="2F6C283B"/>
    <w:rsid w:val="2F743B89"/>
    <w:rsid w:val="2F7D19D9"/>
    <w:rsid w:val="2F7E2877"/>
    <w:rsid w:val="2F8567D8"/>
    <w:rsid w:val="2F8B5040"/>
    <w:rsid w:val="2F9107C4"/>
    <w:rsid w:val="2F961B57"/>
    <w:rsid w:val="2FA0209F"/>
    <w:rsid w:val="2FDC6A42"/>
    <w:rsid w:val="2FE65B09"/>
    <w:rsid w:val="2FFF53A8"/>
    <w:rsid w:val="30047098"/>
    <w:rsid w:val="30077F63"/>
    <w:rsid w:val="30115CE5"/>
    <w:rsid w:val="30135C1F"/>
    <w:rsid w:val="30191760"/>
    <w:rsid w:val="3028092A"/>
    <w:rsid w:val="302F54E7"/>
    <w:rsid w:val="304863A9"/>
    <w:rsid w:val="30726790"/>
    <w:rsid w:val="30801AC4"/>
    <w:rsid w:val="30823D65"/>
    <w:rsid w:val="30831C53"/>
    <w:rsid w:val="308E438B"/>
    <w:rsid w:val="30A43A04"/>
    <w:rsid w:val="30C87FB8"/>
    <w:rsid w:val="30CB1DAF"/>
    <w:rsid w:val="30E90E2B"/>
    <w:rsid w:val="30ED02EA"/>
    <w:rsid w:val="30FF267A"/>
    <w:rsid w:val="310A2A14"/>
    <w:rsid w:val="310F59F0"/>
    <w:rsid w:val="31395BA8"/>
    <w:rsid w:val="3141666D"/>
    <w:rsid w:val="31480833"/>
    <w:rsid w:val="314B14BF"/>
    <w:rsid w:val="3158219E"/>
    <w:rsid w:val="316D537E"/>
    <w:rsid w:val="31716348"/>
    <w:rsid w:val="317355F2"/>
    <w:rsid w:val="3185517F"/>
    <w:rsid w:val="3185793C"/>
    <w:rsid w:val="319475D5"/>
    <w:rsid w:val="31975317"/>
    <w:rsid w:val="31A87524"/>
    <w:rsid w:val="31B06C89"/>
    <w:rsid w:val="31B91778"/>
    <w:rsid w:val="31C2569E"/>
    <w:rsid w:val="31C96BD0"/>
    <w:rsid w:val="31D04385"/>
    <w:rsid w:val="31D9377A"/>
    <w:rsid w:val="31E15891"/>
    <w:rsid w:val="31F043F4"/>
    <w:rsid w:val="32170EE1"/>
    <w:rsid w:val="325066A8"/>
    <w:rsid w:val="32563FE3"/>
    <w:rsid w:val="325D3410"/>
    <w:rsid w:val="3260226B"/>
    <w:rsid w:val="327652E9"/>
    <w:rsid w:val="327A5FF1"/>
    <w:rsid w:val="32A55CC0"/>
    <w:rsid w:val="32A937D2"/>
    <w:rsid w:val="32C95971"/>
    <w:rsid w:val="32CF5928"/>
    <w:rsid w:val="32E41009"/>
    <w:rsid w:val="32E9078F"/>
    <w:rsid w:val="32ED34FF"/>
    <w:rsid w:val="330856D0"/>
    <w:rsid w:val="33316646"/>
    <w:rsid w:val="333A06E2"/>
    <w:rsid w:val="33462B8C"/>
    <w:rsid w:val="33491C13"/>
    <w:rsid w:val="335E45B2"/>
    <w:rsid w:val="33680D19"/>
    <w:rsid w:val="33691E57"/>
    <w:rsid w:val="336E025D"/>
    <w:rsid w:val="33735D99"/>
    <w:rsid w:val="33736E76"/>
    <w:rsid w:val="337570A4"/>
    <w:rsid w:val="33833CFC"/>
    <w:rsid w:val="33A269EC"/>
    <w:rsid w:val="33A856B1"/>
    <w:rsid w:val="33A930DF"/>
    <w:rsid w:val="33AB2922"/>
    <w:rsid w:val="33B73314"/>
    <w:rsid w:val="33C50B9E"/>
    <w:rsid w:val="33D30EC6"/>
    <w:rsid w:val="33D867E1"/>
    <w:rsid w:val="33D976B3"/>
    <w:rsid w:val="33DB2EFB"/>
    <w:rsid w:val="33DC6CF8"/>
    <w:rsid w:val="33EE36D1"/>
    <w:rsid w:val="33F54490"/>
    <w:rsid w:val="33F85833"/>
    <w:rsid w:val="33F94458"/>
    <w:rsid w:val="340B1EAD"/>
    <w:rsid w:val="34111989"/>
    <w:rsid w:val="341266A4"/>
    <w:rsid w:val="3429350C"/>
    <w:rsid w:val="343C76C2"/>
    <w:rsid w:val="343D0166"/>
    <w:rsid w:val="343D6C24"/>
    <w:rsid w:val="345873A9"/>
    <w:rsid w:val="347C5D20"/>
    <w:rsid w:val="348C4EDB"/>
    <w:rsid w:val="34997F68"/>
    <w:rsid w:val="34AF7CC9"/>
    <w:rsid w:val="34B14942"/>
    <w:rsid w:val="34E526B4"/>
    <w:rsid w:val="34F03DC0"/>
    <w:rsid w:val="34FE7262"/>
    <w:rsid w:val="352407FC"/>
    <w:rsid w:val="352612DF"/>
    <w:rsid w:val="35284201"/>
    <w:rsid w:val="35322B1F"/>
    <w:rsid w:val="3535498A"/>
    <w:rsid w:val="35471E10"/>
    <w:rsid w:val="354F3660"/>
    <w:rsid w:val="355004C3"/>
    <w:rsid w:val="3556146D"/>
    <w:rsid w:val="355724F0"/>
    <w:rsid w:val="356B5D07"/>
    <w:rsid w:val="35810326"/>
    <w:rsid w:val="358C5E8C"/>
    <w:rsid w:val="358D7C9B"/>
    <w:rsid w:val="358E2186"/>
    <w:rsid w:val="35AA4C6A"/>
    <w:rsid w:val="35B90B5D"/>
    <w:rsid w:val="35C81F43"/>
    <w:rsid w:val="35CC1726"/>
    <w:rsid w:val="35DE239E"/>
    <w:rsid w:val="35E004BC"/>
    <w:rsid w:val="35E06512"/>
    <w:rsid w:val="35E33F92"/>
    <w:rsid w:val="36010FB1"/>
    <w:rsid w:val="360212D1"/>
    <w:rsid w:val="360C7B72"/>
    <w:rsid w:val="360E2480"/>
    <w:rsid w:val="361327DB"/>
    <w:rsid w:val="361F1CFE"/>
    <w:rsid w:val="36371201"/>
    <w:rsid w:val="363720E3"/>
    <w:rsid w:val="3639711B"/>
    <w:rsid w:val="363E765D"/>
    <w:rsid w:val="36592830"/>
    <w:rsid w:val="36632356"/>
    <w:rsid w:val="367409D2"/>
    <w:rsid w:val="367B56C5"/>
    <w:rsid w:val="367C5173"/>
    <w:rsid w:val="36915D46"/>
    <w:rsid w:val="36B81FB7"/>
    <w:rsid w:val="36CA31B0"/>
    <w:rsid w:val="36D20797"/>
    <w:rsid w:val="36E65B3A"/>
    <w:rsid w:val="36FF3742"/>
    <w:rsid w:val="370346A6"/>
    <w:rsid w:val="37113475"/>
    <w:rsid w:val="37252E94"/>
    <w:rsid w:val="37296474"/>
    <w:rsid w:val="373227C5"/>
    <w:rsid w:val="37405833"/>
    <w:rsid w:val="374101FF"/>
    <w:rsid w:val="375869AC"/>
    <w:rsid w:val="375B253A"/>
    <w:rsid w:val="37666B6B"/>
    <w:rsid w:val="37675674"/>
    <w:rsid w:val="376B1978"/>
    <w:rsid w:val="37940CA8"/>
    <w:rsid w:val="37D848CF"/>
    <w:rsid w:val="37DA41AF"/>
    <w:rsid w:val="37DB157C"/>
    <w:rsid w:val="37DB3C7D"/>
    <w:rsid w:val="37EE7D30"/>
    <w:rsid w:val="37F62976"/>
    <w:rsid w:val="37F77F19"/>
    <w:rsid w:val="38042FDA"/>
    <w:rsid w:val="381C3F20"/>
    <w:rsid w:val="3822692C"/>
    <w:rsid w:val="38343F2A"/>
    <w:rsid w:val="38490F9C"/>
    <w:rsid w:val="384C1631"/>
    <w:rsid w:val="38542754"/>
    <w:rsid w:val="386C03A0"/>
    <w:rsid w:val="386D6DD1"/>
    <w:rsid w:val="38850AD8"/>
    <w:rsid w:val="38B10FD7"/>
    <w:rsid w:val="38B2326B"/>
    <w:rsid w:val="38BD498D"/>
    <w:rsid w:val="38D81B11"/>
    <w:rsid w:val="38ED2653"/>
    <w:rsid w:val="38FC71A8"/>
    <w:rsid w:val="38FD1F03"/>
    <w:rsid w:val="39020983"/>
    <w:rsid w:val="39037F6C"/>
    <w:rsid w:val="39214610"/>
    <w:rsid w:val="39317DFF"/>
    <w:rsid w:val="39464964"/>
    <w:rsid w:val="395224D9"/>
    <w:rsid w:val="39535FC7"/>
    <w:rsid w:val="395601FC"/>
    <w:rsid w:val="397B4E62"/>
    <w:rsid w:val="39972B1A"/>
    <w:rsid w:val="399A1410"/>
    <w:rsid w:val="39C47D94"/>
    <w:rsid w:val="39CD1539"/>
    <w:rsid w:val="39CD5D32"/>
    <w:rsid w:val="39D0322E"/>
    <w:rsid w:val="39DA1DFA"/>
    <w:rsid w:val="39DC71EB"/>
    <w:rsid w:val="39DD5D2E"/>
    <w:rsid w:val="39E01A69"/>
    <w:rsid w:val="3A045F91"/>
    <w:rsid w:val="3A076679"/>
    <w:rsid w:val="3A0A0953"/>
    <w:rsid w:val="3A211C22"/>
    <w:rsid w:val="3A2C4127"/>
    <w:rsid w:val="3A4F0AA8"/>
    <w:rsid w:val="3A543DA5"/>
    <w:rsid w:val="3A5576B6"/>
    <w:rsid w:val="3A682780"/>
    <w:rsid w:val="3A697EB7"/>
    <w:rsid w:val="3A7F0311"/>
    <w:rsid w:val="3A8538B6"/>
    <w:rsid w:val="3A884EF1"/>
    <w:rsid w:val="3A8C5141"/>
    <w:rsid w:val="3AA52853"/>
    <w:rsid w:val="3AA648FE"/>
    <w:rsid w:val="3AAA7D3D"/>
    <w:rsid w:val="3AD117FB"/>
    <w:rsid w:val="3AD4138A"/>
    <w:rsid w:val="3AD72904"/>
    <w:rsid w:val="3AD75A09"/>
    <w:rsid w:val="3ADC5AFD"/>
    <w:rsid w:val="3AE17BBC"/>
    <w:rsid w:val="3B007A89"/>
    <w:rsid w:val="3B0F5ABD"/>
    <w:rsid w:val="3B2F4F75"/>
    <w:rsid w:val="3B31477D"/>
    <w:rsid w:val="3B315914"/>
    <w:rsid w:val="3B422101"/>
    <w:rsid w:val="3B4715CB"/>
    <w:rsid w:val="3B5008D7"/>
    <w:rsid w:val="3B7F15E2"/>
    <w:rsid w:val="3B8536A6"/>
    <w:rsid w:val="3B9F0C51"/>
    <w:rsid w:val="3BA00572"/>
    <w:rsid w:val="3BB1021B"/>
    <w:rsid w:val="3BE15B0C"/>
    <w:rsid w:val="3BE64EF0"/>
    <w:rsid w:val="3BF72A83"/>
    <w:rsid w:val="3C135790"/>
    <w:rsid w:val="3C1752F7"/>
    <w:rsid w:val="3C193171"/>
    <w:rsid w:val="3C1E3214"/>
    <w:rsid w:val="3C2528C6"/>
    <w:rsid w:val="3C371BD0"/>
    <w:rsid w:val="3C4F1FEA"/>
    <w:rsid w:val="3C5B6745"/>
    <w:rsid w:val="3C683B38"/>
    <w:rsid w:val="3C686571"/>
    <w:rsid w:val="3C6F5E3B"/>
    <w:rsid w:val="3C83525B"/>
    <w:rsid w:val="3C87375A"/>
    <w:rsid w:val="3C88531F"/>
    <w:rsid w:val="3C8D7A42"/>
    <w:rsid w:val="3C8E189D"/>
    <w:rsid w:val="3CA22EFE"/>
    <w:rsid w:val="3CB8043D"/>
    <w:rsid w:val="3CB94BCA"/>
    <w:rsid w:val="3CC35212"/>
    <w:rsid w:val="3CC50225"/>
    <w:rsid w:val="3CD967E3"/>
    <w:rsid w:val="3CDE231E"/>
    <w:rsid w:val="3D245A63"/>
    <w:rsid w:val="3D36346C"/>
    <w:rsid w:val="3D4269DA"/>
    <w:rsid w:val="3D430EA3"/>
    <w:rsid w:val="3D47560D"/>
    <w:rsid w:val="3D523BCD"/>
    <w:rsid w:val="3D645169"/>
    <w:rsid w:val="3D6933DE"/>
    <w:rsid w:val="3D7C3859"/>
    <w:rsid w:val="3D80607F"/>
    <w:rsid w:val="3D8F2120"/>
    <w:rsid w:val="3D8F30A0"/>
    <w:rsid w:val="3D990E61"/>
    <w:rsid w:val="3DA327E5"/>
    <w:rsid w:val="3DB01C7C"/>
    <w:rsid w:val="3DB334D8"/>
    <w:rsid w:val="3DBA1ADA"/>
    <w:rsid w:val="3DC355A6"/>
    <w:rsid w:val="3DC42D6E"/>
    <w:rsid w:val="3DD009EA"/>
    <w:rsid w:val="3DD122A2"/>
    <w:rsid w:val="3DD64752"/>
    <w:rsid w:val="3DD80DF7"/>
    <w:rsid w:val="3DE17E96"/>
    <w:rsid w:val="3DE26317"/>
    <w:rsid w:val="3DEB1B40"/>
    <w:rsid w:val="3DFC4E7F"/>
    <w:rsid w:val="3E2D1C0D"/>
    <w:rsid w:val="3E352B5B"/>
    <w:rsid w:val="3E3A2755"/>
    <w:rsid w:val="3E463101"/>
    <w:rsid w:val="3E5717D0"/>
    <w:rsid w:val="3E5E04B0"/>
    <w:rsid w:val="3E5F4189"/>
    <w:rsid w:val="3E6C1A3F"/>
    <w:rsid w:val="3E734A16"/>
    <w:rsid w:val="3E752133"/>
    <w:rsid w:val="3E7A5DA4"/>
    <w:rsid w:val="3E953235"/>
    <w:rsid w:val="3EAA3B18"/>
    <w:rsid w:val="3EAA555F"/>
    <w:rsid w:val="3EB64E66"/>
    <w:rsid w:val="3EBD0BAE"/>
    <w:rsid w:val="3EC3774B"/>
    <w:rsid w:val="3ECC3927"/>
    <w:rsid w:val="3ECD2095"/>
    <w:rsid w:val="3EEF22EE"/>
    <w:rsid w:val="3EF02AD3"/>
    <w:rsid w:val="3F024C1A"/>
    <w:rsid w:val="3F0D0FA0"/>
    <w:rsid w:val="3F21052E"/>
    <w:rsid w:val="3F330C34"/>
    <w:rsid w:val="3F3917F4"/>
    <w:rsid w:val="3F397A0D"/>
    <w:rsid w:val="3F4A39C9"/>
    <w:rsid w:val="3F625E8E"/>
    <w:rsid w:val="3F6A673B"/>
    <w:rsid w:val="3F8C2A74"/>
    <w:rsid w:val="3FA70307"/>
    <w:rsid w:val="3FA7458E"/>
    <w:rsid w:val="3FB22390"/>
    <w:rsid w:val="3FCF1529"/>
    <w:rsid w:val="3FDD2A57"/>
    <w:rsid w:val="3FE37E33"/>
    <w:rsid w:val="3FF027C2"/>
    <w:rsid w:val="3FF55C7D"/>
    <w:rsid w:val="3FF676AC"/>
    <w:rsid w:val="400E03CE"/>
    <w:rsid w:val="401171AD"/>
    <w:rsid w:val="40225AF1"/>
    <w:rsid w:val="403D5148"/>
    <w:rsid w:val="403D6B94"/>
    <w:rsid w:val="40507C98"/>
    <w:rsid w:val="40580367"/>
    <w:rsid w:val="4061657E"/>
    <w:rsid w:val="40767673"/>
    <w:rsid w:val="407707ED"/>
    <w:rsid w:val="40892318"/>
    <w:rsid w:val="408E0789"/>
    <w:rsid w:val="40A76FA9"/>
    <w:rsid w:val="40AC084A"/>
    <w:rsid w:val="40D05FDB"/>
    <w:rsid w:val="40DB515E"/>
    <w:rsid w:val="40E30197"/>
    <w:rsid w:val="40E63D94"/>
    <w:rsid w:val="40EA1367"/>
    <w:rsid w:val="40EB151F"/>
    <w:rsid w:val="40ED4F53"/>
    <w:rsid w:val="40F25A91"/>
    <w:rsid w:val="411C387B"/>
    <w:rsid w:val="41292B74"/>
    <w:rsid w:val="41406E31"/>
    <w:rsid w:val="414E3836"/>
    <w:rsid w:val="41592854"/>
    <w:rsid w:val="416E516B"/>
    <w:rsid w:val="418812BB"/>
    <w:rsid w:val="418D4040"/>
    <w:rsid w:val="419E7FFC"/>
    <w:rsid w:val="419F3079"/>
    <w:rsid w:val="41AE3A67"/>
    <w:rsid w:val="41C95125"/>
    <w:rsid w:val="41EA02ED"/>
    <w:rsid w:val="42075BA1"/>
    <w:rsid w:val="4215282E"/>
    <w:rsid w:val="42225E0B"/>
    <w:rsid w:val="42383FB6"/>
    <w:rsid w:val="423D7815"/>
    <w:rsid w:val="424F30C2"/>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3D5C"/>
    <w:rsid w:val="42DD74CF"/>
    <w:rsid w:val="42DF3579"/>
    <w:rsid w:val="42E264C2"/>
    <w:rsid w:val="42E85CD3"/>
    <w:rsid w:val="42F54D63"/>
    <w:rsid w:val="43011E27"/>
    <w:rsid w:val="430D368B"/>
    <w:rsid w:val="430F20A0"/>
    <w:rsid w:val="43135F0F"/>
    <w:rsid w:val="431B6CC7"/>
    <w:rsid w:val="43225F65"/>
    <w:rsid w:val="435720D9"/>
    <w:rsid w:val="43615785"/>
    <w:rsid w:val="43732880"/>
    <w:rsid w:val="43865952"/>
    <w:rsid w:val="438F0BB0"/>
    <w:rsid w:val="43993170"/>
    <w:rsid w:val="43BF04EA"/>
    <w:rsid w:val="43C05A1E"/>
    <w:rsid w:val="43CF4932"/>
    <w:rsid w:val="43D22CDA"/>
    <w:rsid w:val="43D354DC"/>
    <w:rsid w:val="43DB6FAC"/>
    <w:rsid w:val="4405353A"/>
    <w:rsid w:val="44063CF3"/>
    <w:rsid w:val="44072973"/>
    <w:rsid w:val="44095C00"/>
    <w:rsid w:val="44117E2D"/>
    <w:rsid w:val="441822E7"/>
    <w:rsid w:val="442F13DF"/>
    <w:rsid w:val="44426345"/>
    <w:rsid w:val="444B2816"/>
    <w:rsid w:val="445279AA"/>
    <w:rsid w:val="4453331F"/>
    <w:rsid w:val="445F3A86"/>
    <w:rsid w:val="4478636B"/>
    <w:rsid w:val="447A0DB3"/>
    <w:rsid w:val="4481712B"/>
    <w:rsid w:val="44901E7E"/>
    <w:rsid w:val="449F54A7"/>
    <w:rsid w:val="44A1052F"/>
    <w:rsid w:val="44C93406"/>
    <w:rsid w:val="44D74994"/>
    <w:rsid w:val="44DD0E3B"/>
    <w:rsid w:val="44E67CEF"/>
    <w:rsid w:val="44F62875"/>
    <w:rsid w:val="451730A2"/>
    <w:rsid w:val="451955A3"/>
    <w:rsid w:val="45205199"/>
    <w:rsid w:val="45260B70"/>
    <w:rsid w:val="45357C2D"/>
    <w:rsid w:val="453A003B"/>
    <w:rsid w:val="453B493D"/>
    <w:rsid w:val="45467C1A"/>
    <w:rsid w:val="45523E0A"/>
    <w:rsid w:val="45603F46"/>
    <w:rsid w:val="45784EE5"/>
    <w:rsid w:val="457C33A8"/>
    <w:rsid w:val="458804FE"/>
    <w:rsid w:val="458D57CB"/>
    <w:rsid w:val="4595726A"/>
    <w:rsid w:val="45C67177"/>
    <w:rsid w:val="45D048BE"/>
    <w:rsid w:val="45DE626C"/>
    <w:rsid w:val="45EB660D"/>
    <w:rsid w:val="45F13477"/>
    <w:rsid w:val="45FA688F"/>
    <w:rsid w:val="45FD7B3D"/>
    <w:rsid w:val="460A10C2"/>
    <w:rsid w:val="46220C85"/>
    <w:rsid w:val="46230254"/>
    <w:rsid w:val="46244F73"/>
    <w:rsid w:val="46287B26"/>
    <w:rsid w:val="462A00B0"/>
    <w:rsid w:val="462D24EF"/>
    <w:rsid w:val="46427F4E"/>
    <w:rsid w:val="46534E0B"/>
    <w:rsid w:val="4670640B"/>
    <w:rsid w:val="46753897"/>
    <w:rsid w:val="467A71EB"/>
    <w:rsid w:val="46867477"/>
    <w:rsid w:val="468A02AD"/>
    <w:rsid w:val="468B3DD1"/>
    <w:rsid w:val="469043B7"/>
    <w:rsid w:val="46BF4C9C"/>
    <w:rsid w:val="46C936C8"/>
    <w:rsid w:val="46CB1893"/>
    <w:rsid w:val="46D87DE5"/>
    <w:rsid w:val="46E556A4"/>
    <w:rsid w:val="46E97F6B"/>
    <w:rsid w:val="46EA25E1"/>
    <w:rsid w:val="46EB1077"/>
    <w:rsid w:val="470C2558"/>
    <w:rsid w:val="472127B7"/>
    <w:rsid w:val="472165B7"/>
    <w:rsid w:val="47277064"/>
    <w:rsid w:val="47323C17"/>
    <w:rsid w:val="4743767B"/>
    <w:rsid w:val="474E29C1"/>
    <w:rsid w:val="475569C5"/>
    <w:rsid w:val="475A49C5"/>
    <w:rsid w:val="475E44B5"/>
    <w:rsid w:val="476121D8"/>
    <w:rsid w:val="476A063C"/>
    <w:rsid w:val="477C748E"/>
    <w:rsid w:val="478A7058"/>
    <w:rsid w:val="47941208"/>
    <w:rsid w:val="47A101B2"/>
    <w:rsid w:val="47BF2852"/>
    <w:rsid w:val="47BF386C"/>
    <w:rsid w:val="47C3256A"/>
    <w:rsid w:val="47C95C6C"/>
    <w:rsid w:val="47EC7022"/>
    <w:rsid w:val="47FC7940"/>
    <w:rsid w:val="48030B33"/>
    <w:rsid w:val="48046015"/>
    <w:rsid w:val="4819316F"/>
    <w:rsid w:val="482F5E51"/>
    <w:rsid w:val="483F125D"/>
    <w:rsid w:val="48580B32"/>
    <w:rsid w:val="485B43A9"/>
    <w:rsid w:val="48635024"/>
    <w:rsid w:val="487B675C"/>
    <w:rsid w:val="48A95C04"/>
    <w:rsid w:val="48B22238"/>
    <w:rsid w:val="48B33076"/>
    <w:rsid w:val="48C4330A"/>
    <w:rsid w:val="48D55EB3"/>
    <w:rsid w:val="48DA0701"/>
    <w:rsid w:val="48DF324A"/>
    <w:rsid w:val="48E052EC"/>
    <w:rsid w:val="48E65AEE"/>
    <w:rsid w:val="48F80CE7"/>
    <w:rsid w:val="49096FCD"/>
    <w:rsid w:val="491D7C08"/>
    <w:rsid w:val="494625B6"/>
    <w:rsid w:val="49507E2D"/>
    <w:rsid w:val="49512BB1"/>
    <w:rsid w:val="495E0009"/>
    <w:rsid w:val="49641F5D"/>
    <w:rsid w:val="49666B6B"/>
    <w:rsid w:val="496C26B3"/>
    <w:rsid w:val="496F2CCC"/>
    <w:rsid w:val="498F64FC"/>
    <w:rsid w:val="49AD1724"/>
    <w:rsid w:val="49BE7E39"/>
    <w:rsid w:val="49C40005"/>
    <w:rsid w:val="49C65419"/>
    <w:rsid w:val="49D04BAB"/>
    <w:rsid w:val="49EA0282"/>
    <w:rsid w:val="49EA17C4"/>
    <w:rsid w:val="49EF440A"/>
    <w:rsid w:val="4A1A2F12"/>
    <w:rsid w:val="4A2C7C77"/>
    <w:rsid w:val="4A321C6F"/>
    <w:rsid w:val="4A366D8C"/>
    <w:rsid w:val="4A375709"/>
    <w:rsid w:val="4A475BFC"/>
    <w:rsid w:val="4A4E1094"/>
    <w:rsid w:val="4A561717"/>
    <w:rsid w:val="4A606796"/>
    <w:rsid w:val="4A717D8F"/>
    <w:rsid w:val="4A7D0F83"/>
    <w:rsid w:val="4A834A22"/>
    <w:rsid w:val="4A8815D3"/>
    <w:rsid w:val="4A9454F9"/>
    <w:rsid w:val="4A972DF7"/>
    <w:rsid w:val="4A992274"/>
    <w:rsid w:val="4AA77F21"/>
    <w:rsid w:val="4AAA2276"/>
    <w:rsid w:val="4AB64534"/>
    <w:rsid w:val="4ABD14F2"/>
    <w:rsid w:val="4AC66642"/>
    <w:rsid w:val="4AC87549"/>
    <w:rsid w:val="4AD37353"/>
    <w:rsid w:val="4ADC6651"/>
    <w:rsid w:val="4AE2340C"/>
    <w:rsid w:val="4AE72A13"/>
    <w:rsid w:val="4AFF6999"/>
    <w:rsid w:val="4B0E61F2"/>
    <w:rsid w:val="4B21257E"/>
    <w:rsid w:val="4B290FE3"/>
    <w:rsid w:val="4B322207"/>
    <w:rsid w:val="4B3B5793"/>
    <w:rsid w:val="4B58050B"/>
    <w:rsid w:val="4B5A25F7"/>
    <w:rsid w:val="4B6A0768"/>
    <w:rsid w:val="4B6B0CBD"/>
    <w:rsid w:val="4B705719"/>
    <w:rsid w:val="4B7B47F9"/>
    <w:rsid w:val="4BA563FE"/>
    <w:rsid w:val="4BB77663"/>
    <w:rsid w:val="4BC54DE5"/>
    <w:rsid w:val="4BCB7306"/>
    <w:rsid w:val="4BD52968"/>
    <w:rsid w:val="4BD91D02"/>
    <w:rsid w:val="4BE2600E"/>
    <w:rsid w:val="4BE57820"/>
    <w:rsid w:val="4BF657A1"/>
    <w:rsid w:val="4BFB7B74"/>
    <w:rsid w:val="4C0457A1"/>
    <w:rsid w:val="4C3F2C78"/>
    <w:rsid w:val="4C42244E"/>
    <w:rsid w:val="4C437DCE"/>
    <w:rsid w:val="4C6D3DA8"/>
    <w:rsid w:val="4C727CFA"/>
    <w:rsid w:val="4C88081B"/>
    <w:rsid w:val="4C8872A2"/>
    <w:rsid w:val="4C9C19F3"/>
    <w:rsid w:val="4CA47183"/>
    <w:rsid w:val="4CB7606E"/>
    <w:rsid w:val="4CB91CB1"/>
    <w:rsid w:val="4CF745DE"/>
    <w:rsid w:val="4CFC57E0"/>
    <w:rsid w:val="4D087B01"/>
    <w:rsid w:val="4D0B58BC"/>
    <w:rsid w:val="4D0C050F"/>
    <w:rsid w:val="4D0C2AD5"/>
    <w:rsid w:val="4D2059FA"/>
    <w:rsid w:val="4D2E3574"/>
    <w:rsid w:val="4D451B18"/>
    <w:rsid w:val="4D4D5AFE"/>
    <w:rsid w:val="4D502AF2"/>
    <w:rsid w:val="4D5C07F9"/>
    <w:rsid w:val="4D755736"/>
    <w:rsid w:val="4DAC0A3B"/>
    <w:rsid w:val="4DB92102"/>
    <w:rsid w:val="4DBA3E20"/>
    <w:rsid w:val="4DBC5B64"/>
    <w:rsid w:val="4DC679DB"/>
    <w:rsid w:val="4DE61D12"/>
    <w:rsid w:val="4DF1146E"/>
    <w:rsid w:val="4DF82017"/>
    <w:rsid w:val="4E0E661C"/>
    <w:rsid w:val="4E1E3790"/>
    <w:rsid w:val="4E2E44B5"/>
    <w:rsid w:val="4E4C57ED"/>
    <w:rsid w:val="4E5505A6"/>
    <w:rsid w:val="4E7B0CB2"/>
    <w:rsid w:val="4E820BD8"/>
    <w:rsid w:val="4E8D729C"/>
    <w:rsid w:val="4E8E1C0C"/>
    <w:rsid w:val="4E9609D8"/>
    <w:rsid w:val="4E98004C"/>
    <w:rsid w:val="4EA5208F"/>
    <w:rsid w:val="4EAE617F"/>
    <w:rsid w:val="4EBD702F"/>
    <w:rsid w:val="4EC310A1"/>
    <w:rsid w:val="4EC818B0"/>
    <w:rsid w:val="4ECB59F9"/>
    <w:rsid w:val="4ECE1CAC"/>
    <w:rsid w:val="4EE414BB"/>
    <w:rsid w:val="4EE87B84"/>
    <w:rsid w:val="4EFF65C5"/>
    <w:rsid w:val="4F0052D1"/>
    <w:rsid w:val="4F014784"/>
    <w:rsid w:val="4F0431E6"/>
    <w:rsid w:val="4F1B712F"/>
    <w:rsid w:val="4F1C605F"/>
    <w:rsid w:val="4F254824"/>
    <w:rsid w:val="4F2658BE"/>
    <w:rsid w:val="4F4736A7"/>
    <w:rsid w:val="4F7914EF"/>
    <w:rsid w:val="4F9174FD"/>
    <w:rsid w:val="4F9402D2"/>
    <w:rsid w:val="4F9A6D4E"/>
    <w:rsid w:val="4FB10142"/>
    <w:rsid w:val="4FB82BD0"/>
    <w:rsid w:val="4FC643B6"/>
    <w:rsid w:val="4FD1578E"/>
    <w:rsid w:val="4FE10E76"/>
    <w:rsid w:val="4FEE2189"/>
    <w:rsid w:val="4FF71C3D"/>
    <w:rsid w:val="50016856"/>
    <w:rsid w:val="5008518B"/>
    <w:rsid w:val="500B32A2"/>
    <w:rsid w:val="502B6647"/>
    <w:rsid w:val="502B6EFE"/>
    <w:rsid w:val="50324E90"/>
    <w:rsid w:val="504C1B11"/>
    <w:rsid w:val="505F48A5"/>
    <w:rsid w:val="506472D4"/>
    <w:rsid w:val="50666C7A"/>
    <w:rsid w:val="507460A4"/>
    <w:rsid w:val="5094445D"/>
    <w:rsid w:val="509C0D4E"/>
    <w:rsid w:val="50A23A1E"/>
    <w:rsid w:val="50AC44E3"/>
    <w:rsid w:val="50B57EA9"/>
    <w:rsid w:val="50BC2B26"/>
    <w:rsid w:val="50BE1984"/>
    <w:rsid w:val="50D141C6"/>
    <w:rsid w:val="50D94FDD"/>
    <w:rsid w:val="50F115EA"/>
    <w:rsid w:val="50F72C9C"/>
    <w:rsid w:val="50FC0DB6"/>
    <w:rsid w:val="511107EA"/>
    <w:rsid w:val="511F2007"/>
    <w:rsid w:val="51271E2F"/>
    <w:rsid w:val="51342CAA"/>
    <w:rsid w:val="51366F32"/>
    <w:rsid w:val="51406A38"/>
    <w:rsid w:val="514B4E4E"/>
    <w:rsid w:val="516578E1"/>
    <w:rsid w:val="517174DB"/>
    <w:rsid w:val="518049FF"/>
    <w:rsid w:val="51932FAD"/>
    <w:rsid w:val="51A06E66"/>
    <w:rsid w:val="51AF590D"/>
    <w:rsid w:val="51B475E9"/>
    <w:rsid w:val="51C05FF6"/>
    <w:rsid w:val="51D135DE"/>
    <w:rsid w:val="51DF4444"/>
    <w:rsid w:val="51F65295"/>
    <w:rsid w:val="51F872B4"/>
    <w:rsid w:val="51FD3DB6"/>
    <w:rsid w:val="52097713"/>
    <w:rsid w:val="520C3BB6"/>
    <w:rsid w:val="52252174"/>
    <w:rsid w:val="52295AE6"/>
    <w:rsid w:val="522D0E7F"/>
    <w:rsid w:val="523E4D62"/>
    <w:rsid w:val="5243507E"/>
    <w:rsid w:val="525402A0"/>
    <w:rsid w:val="52554706"/>
    <w:rsid w:val="525F5585"/>
    <w:rsid w:val="527D4695"/>
    <w:rsid w:val="52823400"/>
    <w:rsid w:val="528D41E4"/>
    <w:rsid w:val="52BF5C92"/>
    <w:rsid w:val="52C2167A"/>
    <w:rsid w:val="52C7794C"/>
    <w:rsid w:val="52D279CD"/>
    <w:rsid w:val="52D32ADF"/>
    <w:rsid w:val="52E45ACB"/>
    <w:rsid w:val="52E71802"/>
    <w:rsid w:val="52F47AFB"/>
    <w:rsid w:val="53071B37"/>
    <w:rsid w:val="530A5973"/>
    <w:rsid w:val="531169F3"/>
    <w:rsid w:val="531348FB"/>
    <w:rsid w:val="53275D3D"/>
    <w:rsid w:val="533354CF"/>
    <w:rsid w:val="533407C0"/>
    <w:rsid w:val="53346B96"/>
    <w:rsid w:val="535D5DC8"/>
    <w:rsid w:val="537A3167"/>
    <w:rsid w:val="537D2360"/>
    <w:rsid w:val="53811E50"/>
    <w:rsid w:val="53B22465"/>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B7F7E"/>
    <w:rsid w:val="54501D22"/>
    <w:rsid w:val="546146EB"/>
    <w:rsid w:val="54680D66"/>
    <w:rsid w:val="54685AA1"/>
    <w:rsid w:val="547D06FB"/>
    <w:rsid w:val="547D14B1"/>
    <w:rsid w:val="54857DDB"/>
    <w:rsid w:val="548C678B"/>
    <w:rsid w:val="54905199"/>
    <w:rsid w:val="54914216"/>
    <w:rsid w:val="549273A9"/>
    <w:rsid w:val="549405C7"/>
    <w:rsid w:val="549D6C55"/>
    <w:rsid w:val="54CA07F6"/>
    <w:rsid w:val="54E979F3"/>
    <w:rsid w:val="54EF0774"/>
    <w:rsid w:val="54F2448F"/>
    <w:rsid w:val="54FE2E33"/>
    <w:rsid w:val="550B2DC8"/>
    <w:rsid w:val="5540169E"/>
    <w:rsid w:val="55466588"/>
    <w:rsid w:val="5547793A"/>
    <w:rsid w:val="554C32B2"/>
    <w:rsid w:val="55501E76"/>
    <w:rsid w:val="55701D69"/>
    <w:rsid w:val="55731E3E"/>
    <w:rsid w:val="557A0272"/>
    <w:rsid w:val="557E29D7"/>
    <w:rsid w:val="558F2195"/>
    <w:rsid w:val="55900035"/>
    <w:rsid w:val="55AF798B"/>
    <w:rsid w:val="55CA70E8"/>
    <w:rsid w:val="55ED4967"/>
    <w:rsid w:val="55F350C4"/>
    <w:rsid w:val="561019A5"/>
    <w:rsid w:val="561B14C6"/>
    <w:rsid w:val="561B7A15"/>
    <w:rsid w:val="56247722"/>
    <w:rsid w:val="56342FDD"/>
    <w:rsid w:val="56467B64"/>
    <w:rsid w:val="565626F9"/>
    <w:rsid w:val="565671A2"/>
    <w:rsid w:val="56685CA8"/>
    <w:rsid w:val="56740DC7"/>
    <w:rsid w:val="56753961"/>
    <w:rsid w:val="5677558B"/>
    <w:rsid w:val="569C2904"/>
    <w:rsid w:val="56AA3219"/>
    <w:rsid w:val="56CF2574"/>
    <w:rsid w:val="56CF424D"/>
    <w:rsid w:val="56DE4C00"/>
    <w:rsid w:val="5707525A"/>
    <w:rsid w:val="570847EE"/>
    <w:rsid w:val="573270B5"/>
    <w:rsid w:val="57331689"/>
    <w:rsid w:val="57443B56"/>
    <w:rsid w:val="57614844"/>
    <w:rsid w:val="57664CC0"/>
    <w:rsid w:val="576A00D2"/>
    <w:rsid w:val="576A530D"/>
    <w:rsid w:val="57971A40"/>
    <w:rsid w:val="579E4D2D"/>
    <w:rsid w:val="57A24175"/>
    <w:rsid w:val="57B75717"/>
    <w:rsid w:val="57C470D2"/>
    <w:rsid w:val="57C77E19"/>
    <w:rsid w:val="57CA488B"/>
    <w:rsid w:val="57DB3900"/>
    <w:rsid w:val="57DB47FB"/>
    <w:rsid w:val="580846BB"/>
    <w:rsid w:val="5816050F"/>
    <w:rsid w:val="581D5CC6"/>
    <w:rsid w:val="58205F1A"/>
    <w:rsid w:val="582468CD"/>
    <w:rsid w:val="582840C5"/>
    <w:rsid w:val="583074F9"/>
    <w:rsid w:val="583515AC"/>
    <w:rsid w:val="584B45E2"/>
    <w:rsid w:val="584C2587"/>
    <w:rsid w:val="585127AA"/>
    <w:rsid w:val="585D5314"/>
    <w:rsid w:val="58603D47"/>
    <w:rsid w:val="58743A0C"/>
    <w:rsid w:val="58BB3CCE"/>
    <w:rsid w:val="58CD3249"/>
    <w:rsid w:val="58DE0E81"/>
    <w:rsid w:val="59125866"/>
    <w:rsid w:val="5915352F"/>
    <w:rsid w:val="591B0458"/>
    <w:rsid w:val="59232E69"/>
    <w:rsid w:val="59304651"/>
    <w:rsid w:val="593E2965"/>
    <w:rsid w:val="594856C1"/>
    <w:rsid w:val="59486EBB"/>
    <w:rsid w:val="59493AFE"/>
    <w:rsid w:val="594C38F9"/>
    <w:rsid w:val="594C4A1E"/>
    <w:rsid w:val="59567838"/>
    <w:rsid w:val="595E16C1"/>
    <w:rsid w:val="59700D18"/>
    <w:rsid w:val="5970491E"/>
    <w:rsid w:val="597304CA"/>
    <w:rsid w:val="59794C92"/>
    <w:rsid w:val="597A0373"/>
    <w:rsid w:val="598803B1"/>
    <w:rsid w:val="59A5117A"/>
    <w:rsid w:val="59A937D5"/>
    <w:rsid w:val="59BA6CB3"/>
    <w:rsid w:val="59BA6CC4"/>
    <w:rsid w:val="59DB746A"/>
    <w:rsid w:val="59F2154E"/>
    <w:rsid w:val="59F9691A"/>
    <w:rsid w:val="5A012975"/>
    <w:rsid w:val="5A0233C6"/>
    <w:rsid w:val="5A097A39"/>
    <w:rsid w:val="5A112448"/>
    <w:rsid w:val="5A1A6330"/>
    <w:rsid w:val="5A1E417A"/>
    <w:rsid w:val="5A266C4C"/>
    <w:rsid w:val="5A2D3B53"/>
    <w:rsid w:val="5A3B2434"/>
    <w:rsid w:val="5A6457FD"/>
    <w:rsid w:val="5A645A7F"/>
    <w:rsid w:val="5A653116"/>
    <w:rsid w:val="5A7035CD"/>
    <w:rsid w:val="5A873ECB"/>
    <w:rsid w:val="5A934A0F"/>
    <w:rsid w:val="5A957C98"/>
    <w:rsid w:val="5A9E6D6F"/>
    <w:rsid w:val="5AAC50E0"/>
    <w:rsid w:val="5AAD60EA"/>
    <w:rsid w:val="5AB61DE0"/>
    <w:rsid w:val="5ACB527F"/>
    <w:rsid w:val="5AD7761B"/>
    <w:rsid w:val="5B072DB6"/>
    <w:rsid w:val="5B19492B"/>
    <w:rsid w:val="5B233465"/>
    <w:rsid w:val="5B506B61"/>
    <w:rsid w:val="5B5F0F2E"/>
    <w:rsid w:val="5B667984"/>
    <w:rsid w:val="5B6B796C"/>
    <w:rsid w:val="5B7C0F56"/>
    <w:rsid w:val="5B9808C1"/>
    <w:rsid w:val="5BB10CB2"/>
    <w:rsid w:val="5BC16A09"/>
    <w:rsid w:val="5C012CC6"/>
    <w:rsid w:val="5C3B496D"/>
    <w:rsid w:val="5C503DE0"/>
    <w:rsid w:val="5C5435D1"/>
    <w:rsid w:val="5C5C5BA5"/>
    <w:rsid w:val="5C8005D2"/>
    <w:rsid w:val="5C8C4702"/>
    <w:rsid w:val="5C936557"/>
    <w:rsid w:val="5C943DBC"/>
    <w:rsid w:val="5C997625"/>
    <w:rsid w:val="5CA57080"/>
    <w:rsid w:val="5CA77E21"/>
    <w:rsid w:val="5CAF0BE0"/>
    <w:rsid w:val="5CB458BA"/>
    <w:rsid w:val="5CDC782C"/>
    <w:rsid w:val="5CE23DAC"/>
    <w:rsid w:val="5CE73917"/>
    <w:rsid w:val="5D0A73AF"/>
    <w:rsid w:val="5D120F26"/>
    <w:rsid w:val="5D1F603D"/>
    <w:rsid w:val="5D27178B"/>
    <w:rsid w:val="5D376039"/>
    <w:rsid w:val="5D3E31E9"/>
    <w:rsid w:val="5D436E42"/>
    <w:rsid w:val="5D63667B"/>
    <w:rsid w:val="5D696565"/>
    <w:rsid w:val="5D6F2EDA"/>
    <w:rsid w:val="5D783847"/>
    <w:rsid w:val="5D83037A"/>
    <w:rsid w:val="5D885121"/>
    <w:rsid w:val="5D9941C1"/>
    <w:rsid w:val="5DA92832"/>
    <w:rsid w:val="5DAE502B"/>
    <w:rsid w:val="5DB466F3"/>
    <w:rsid w:val="5DB915F2"/>
    <w:rsid w:val="5DBC60F3"/>
    <w:rsid w:val="5DCB1D21"/>
    <w:rsid w:val="5DCD5A99"/>
    <w:rsid w:val="5DDA5440"/>
    <w:rsid w:val="5DDD5947"/>
    <w:rsid w:val="5DDF393D"/>
    <w:rsid w:val="5DDF6E4E"/>
    <w:rsid w:val="5DFA49E0"/>
    <w:rsid w:val="5E1D0F80"/>
    <w:rsid w:val="5E1F3B6D"/>
    <w:rsid w:val="5E224037"/>
    <w:rsid w:val="5E2B584D"/>
    <w:rsid w:val="5E352C38"/>
    <w:rsid w:val="5E3E40FF"/>
    <w:rsid w:val="5E3F3871"/>
    <w:rsid w:val="5E40706E"/>
    <w:rsid w:val="5E4C1080"/>
    <w:rsid w:val="5E4E1C8A"/>
    <w:rsid w:val="5E5D7A78"/>
    <w:rsid w:val="5E7833A1"/>
    <w:rsid w:val="5E8274BA"/>
    <w:rsid w:val="5EA06D09"/>
    <w:rsid w:val="5EA53C9A"/>
    <w:rsid w:val="5EB822A5"/>
    <w:rsid w:val="5EBC7F37"/>
    <w:rsid w:val="5ECE7D1A"/>
    <w:rsid w:val="5ED36C86"/>
    <w:rsid w:val="5EDA60B0"/>
    <w:rsid w:val="5EDE0F33"/>
    <w:rsid w:val="5EE35A57"/>
    <w:rsid w:val="5F1645A7"/>
    <w:rsid w:val="5F6A54DD"/>
    <w:rsid w:val="5F815969"/>
    <w:rsid w:val="5F8B4FA7"/>
    <w:rsid w:val="5F9B72D1"/>
    <w:rsid w:val="5FAB0A44"/>
    <w:rsid w:val="5FB17C29"/>
    <w:rsid w:val="5FB34738"/>
    <w:rsid w:val="5FB95E1C"/>
    <w:rsid w:val="5FC85F82"/>
    <w:rsid w:val="5FCB3FE5"/>
    <w:rsid w:val="5FD8170F"/>
    <w:rsid w:val="5FDC5EDE"/>
    <w:rsid w:val="5FEB2206"/>
    <w:rsid w:val="5FED772C"/>
    <w:rsid w:val="5FF97EAE"/>
    <w:rsid w:val="60155C27"/>
    <w:rsid w:val="60162D11"/>
    <w:rsid w:val="601A6070"/>
    <w:rsid w:val="60226F8B"/>
    <w:rsid w:val="603B4F3C"/>
    <w:rsid w:val="60477ABF"/>
    <w:rsid w:val="604B06AE"/>
    <w:rsid w:val="60526566"/>
    <w:rsid w:val="607F756F"/>
    <w:rsid w:val="60917251"/>
    <w:rsid w:val="60982996"/>
    <w:rsid w:val="60C53D01"/>
    <w:rsid w:val="60C9018D"/>
    <w:rsid w:val="61012C93"/>
    <w:rsid w:val="61053FC5"/>
    <w:rsid w:val="610C088E"/>
    <w:rsid w:val="614A03E6"/>
    <w:rsid w:val="61531A50"/>
    <w:rsid w:val="61532201"/>
    <w:rsid w:val="61651210"/>
    <w:rsid w:val="61666018"/>
    <w:rsid w:val="616B46BB"/>
    <w:rsid w:val="616E5EB6"/>
    <w:rsid w:val="617526CF"/>
    <w:rsid w:val="618560EB"/>
    <w:rsid w:val="618E3791"/>
    <w:rsid w:val="619B5D77"/>
    <w:rsid w:val="61B10243"/>
    <w:rsid w:val="61BB0889"/>
    <w:rsid w:val="61BB2DD9"/>
    <w:rsid w:val="61C00B2F"/>
    <w:rsid w:val="61C3411F"/>
    <w:rsid w:val="61DD1B9A"/>
    <w:rsid w:val="61E136F6"/>
    <w:rsid w:val="61F4426B"/>
    <w:rsid w:val="61F83805"/>
    <w:rsid w:val="62022776"/>
    <w:rsid w:val="6205764C"/>
    <w:rsid w:val="62256C85"/>
    <w:rsid w:val="623600B0"/>
    <w:rsid w:val="62562501"/>
    <w:rsid w:val="6256299E"/>
    <w:rsid w:val="62574D95"/>
    <w:rsid w:val="62586747"/>
    <w:rsid w:val="626C60B7"/>
    <w:rsid w:val="62746498"/>
    <w:rsid w:val="62922E0D"/>
    <w:rsid w:val="62982A5C"/>
    <w:rsid w:val="62CB6D60"/>
    <w:rsid w:val="62E358B2"/>
    <w:rsid w:val="62EA49F7"/>
    <w:rsid w:val="62F154C5"/>
    <w:rsid w:val="62FD0A5D"/>
    <w:rsid w:val="63162338"/>
    <w:rsid w:val="632036E4"/>
    <w:rsid w:val="63232EB3"/>
    <w:rsid w:val="63267478"/>
    <w:rsid w:val="633D315E"/>
    <w:rsid w:val="63504ABF"/>
    <w:rsid w:val="63517786"/>
    <w:rsid w:val="637052D7"/>
    <w:rsid w:val="6388739F"/>
    <w:rsid w:val="6389099E"/>
    <w:rsid w:val="63954DAA"/>
    <w:rsid w:val="63C74AA3"/>
    <w:rsid w:val="63D87748"/>
    <w:rsid w:val="63DE2EEF"/>
    <w:rsid w:val="63E8362C"/>
    <w:rsid w:val="63F16145"/>
    <w:rsid w:val="64024CFF"/>
    <w:rsid w:val="641D22DD"/>
    <w:rsid w:val="64426DE8"/>
    <w:rsid w:val="645B3151"/>
    <w:rsid w:val="646A170C"/>
    <w:rsid w:val="64701038"/>
    <w:rsid w:val="64722EF6"/>
    <w:rsid w:val="64797A3F"/>
    <w:rsid w:val="647B4B09"/>
    <w:rsid w:val="647B6F79"/>
    <w:rsid w:val="64815AEE"/>
    <w:rsid w:val="648937A8"/>
    <w:rsid w:val="648B1BA9"/>
    <w:rsid w:val="648D0F64"/>
    <w:rsid w:val="649449E8"/>
    <w:rsid w:val="649D5D6D"/>
    <w:rsid w:val="64A9391A"/>
    <w:rsid w:val="64AF7CA6"/>
    <w:rsid w:val="64D77B16"/>
    <w:rsid w:val="64F953C5"/>
    <w:rsid w:val="651B533C"/>
    <w:rsid w:val="651E27DC"/>
    <w:rsid w:val="65206DF6"/>
    <w:rsid w:val="65291D8F"/>
    <w:rsid w:val="65570D94"/>
    <w:rsid w:val="655774EE"/>
    <w:rsid w:val="65795592"/>
    <w:rsid w:val="65A10F4D"/>
    <w:rsid w:val="65A93335"/>
    <w:rsid w:val="65BC5BDE"/>
    <w:rsid w:val="65D3678B"/>
    <w:rsid w:val="65DB69B9"/>
    <w:rsid w:val="65E142CF"/>
    <w:rsid w:val="65F16DEF"/>
    <w:rsid w:val="65FF5B93"/>
    <w:rsid w:val="660540EE"/>
    <w:rsid w:val="66081715"/>
    <w:rsid w:val="661673E0"/>
    <w:rsid w:val="661A1A97"/>
    <w:rsid w:val="661A3845"/>
    <w:rsid w:val="661B00EA"/>
    <w:rsid w:val="661D360B"/>
    <w:rsid w:val="66523C3F"/>
    <w:rsid w:val="66541F53"/>
    <w:rsid w:val="665C126F"/>
    <w:rsid w:val="66604179"/>
    <w:rsid w:val="6660647F"/>
    <w:rsid w:val="66613222"/>
    <w:rsid w:val="66820F47"/>
    <w:rsid w:val="668A782A"/>
    <w:rsid w:val="66AF1795"/>
    <w:rsid w:val="66B07CC1"/>
    <w:rsid w:val="66B14B24"/>
    <w:rsid w:val="66B27D18"/>
    <w:rsid w:val="66D1442C"/>
    <w:rsid w:val="66D47E7F"/>
    <w:rsid w:val="66D64E5B"/>
    <w:rsid w:val="66DD089D"/>
    <w:rsid w:val="66F0016C"/>
    <w:rsid w:val="66FA0812"/>
    <w:rsid w:val="66FB2BD0"/>
    <w:rsid w:val="66FC2971"/>
    <w:rsid w:val="670008EB"/>
    <w:rsid w:val="67103ED9"/>
    <w:rsid w:val="67262B05"/>
    <w:rsid w:val="672C7CD4"/>
    <w:rsid w:val="674E513F"/>
    <w:rsid w:val="674E6BDA"/>
    <w:rsid w:val="67610E75"/>
    <w:rsid w:val="676F0F89"/>
    <w:rsid w:val="677178CC"/>
    <w:rsid w:val="677977BA"/>
    <w:rsid w:val="67797A29"/>
    <w:rsid w:val="679D31F9"/>
    <w:rsid w:val="679D3BF4"/>
    <w:rsid w:val="679D472E"/>
    <w:rsid w:val="67A41618"/>
    <w:rsid w:val="67AE4749"/>
    <w:rsid w:val="67C56A11"/>
    <w:rsid w:val="67DC3A63"/>
    <w:rsid w:val="67E071EA"/>
    <w:rsid w:val="67FC4971"/>
    <w:rsid w:val="68221BAF"/>
    <w:rsid w:val="682D62D9"/>
    <w:rsid w:val="685143BC"/>
    <w:rsid w:val="68542A0A"/>
    <w:rsid w:val="68555296"/>
    <w:rsid w:val="686C1E80"/>
    <w:rsid w:val="689079C3"/>
    <w:rsid w:val="689A2A1B"/>
    <w:rsid w:val="68D46A71"/>
    <w:rsid w:val="68D56910"/>
    <w:rsid w:val="68EF70C5"/>
    <w:rsid w:val="68F22D9F"/>
    <w:rsid w:val="69162C86"/>
    <w:rsid w:val="69180AD7"/>
    <w:rsid w:val="69214083"/>
    <w:rsid w:val="69456B9A"/>
    <w:rsid w:val="69481344"/>
    <w:rsid w:val="695700E3"/>
    <w:rsid w:val="6980516E"/>
    <w:rsid w:val="698B51FD"/>
    <w:rsid w:val="69960468"/>
    <w:rsid w:val="69A109AD"/>
    <w:rsid w:val="69B875FD"/>
    <w:rsid w:val="69D5796F"/>
    <w:rsid w:val="69E00AE8"/>
    <w:rsid w:val="69E2467A"/>
    <w:rsid w:val="69F101EA"/>
    <w:rsid w:val="69F448E4"/>
    <w:rsid w:val="6A0606AA"/>
    <w:rsid w:val="6A090874"/>
    <w:rsid w:val="6A0F6D29"/>
    <w:rsid w:val="6A1231B1"/>
    <w:rsid w:val="6A1B780C"/>
    <w:rsid w:val="6A206086"/>
    <w:rsid w:val="6A3F0B90"/>
    <w:rsid w:val="6A3F71AB"/>
    <w:rsid w:val="6A407F9F"/>
    <w:rsid w:val="6A4620BF"/>
    <w:rsid w:val="6A4D5F32"/>
    <w:rsid w:val="6A5D65D9"/>
    <w:rsid w:val="6A6908F7"/>
    <w:rsid w:val="6A722F0B"/>
    <w:rsid w:val="6A7A4D5B"/>
    <w:rsid w:val="6A7E7518"/>
    <w:rsid w:val="6A825953"/>
    <w:rsid w:val="6A881C38"/>
    <w:rsid w:val="6A8A11E6"/>
    <w:rsid w:val="6A8B2F63"/>
    <w:rsid w:val="6A904811"/>
    <w:rsid w:val="6A9C6F1F"/>
    <w:rsid w:val="6AC034F3"/>
    <w:rsid w:val="6AC31AF5"/>
    <w:rsid w:val="6AC96987"/>
    <w:rsid w:val="6AD24017"/>
    <w:rsid w:val="6AD42C61"/>
    <w:rsid w:val="6AE14092"/>
    <w:rsid w:val="6AEA323D"/>
    <w:rsid w:val="6AF07997"/>
    <w:rsid w:val="6AF5032D"/>
    <w:rsid w:val="6AFB2812"/>
    <w:rsid w:val="6AFF182D"/>
    <w:rsid w:val="6B032C8C"/>
    <w:rsid w:val="6B243303"/>
    <w:rsid w:val="6B3569BE"/>
    <w:rsid w:val="6B3A1CE8"/>
    <w:rsid w:val="6B3E4E41"/>
    <w:rsid w:val="6B4D49EF"/>
    <w:rsid w:val="6B556078"/>
    <w:rsid w:val="6B565CD0"/>
    <w:rsid w:val="6B68013D"/>
    <w:rsid w:val="6B7022D0"/>
    <w:rsid w:val="6B7B5422"/>
    <w:rsid w:val="6B852192"/>
    <w:rsid w:val="6B925A32"/>
    <w:rsid w:val="6B9C4F5E"/>
    <w:rsid w:val="6BA92B5A"/>
    <w:rsid w:val="6BB42760"/>
    <w:rsid w:val="6BD37065"/>
    <w:rsid w:val="6BE13B5E"/>
    <w:rsid w:val="6BE31674"/>
    <w:rsid w:val="6BE95EA9"/>
    <w:rsid w:val="6BEA6094"/>
    <w:rsid w:val="6C114575"/>
    <w:rsid w:val="6C3E2214"/>
    <w:rsid w:val="6C427652"/>
    <w:rsid w:val="6C4D48CD"/>
    <w:rsid w:val="6C8202CD"/>
    <w:rsid w:val="6C8639E2"/>
    <w:rsid w:val="6C961621"/>
    <w:rsid w:val="6C9D5038"/>
    <w:rsid w:val="6CBB7DE1"/>
    <w:rsid w:val="6CC445CB"/>
    <w:rsid w:val="6CCE0EE6"/>
    <w:rsid w:val="6CD042ED"/>
    <w:rsid w:val="6CDA2357"/>
    <w:rsid w:val="6CE8212C"/>
    <w:rsid w:val="6CF01775"/>
    <w:rsid w:val="6CFB62C0"/>
    <w:rsid w:val="6CFD7CAA"/>
    <w:rsid w:val="6D026DE8"/>
    <w:rsid w:val="6D0316B2"/>
    <w:rsid w:val="6D087337"/>
    <w:rsid w:val="6D0E1321"/>
    <w:rsid w:val="6D104BE0"/>
    <w:rsid w:val="6D132371"/>
    <w:rsid w:val="6D1338DD"/>
    <w:rsid w:val="6D153789"/>
    <w:rsid w:val="6D3B4D97"/>
    <w:rsid w:val="6D487B73"/>
    <w:rsid w:val="6D4A2408"/>
    <w:rsid w:val="6D4B1E5A"/>
    <w:rsid w:val="6D5E70E9"/>
    <w:rsid w:val="6D6729D8"/>
    <w:rsid w:val="6D6E09F2"/>
    <w:rsid w:val="6D852386"/>
    <w:rsid w:val="6DA610B2"/>
    <w:rsid w:val="6DBD67AE"/>
    <w:rsid w:val="6DCF3167"/>
    <w:rsid w:val="6DD54C21"/>
    <w:rsid w:val="6DF453C2"/>
    <w:rsid w:val="6DFC1EB9"/>
    <w:rsid w:val="6E25722B"/>
    <w:rsid w:val="6E3363CE"/>
    <w:rsid w:val="6E3C316F"/>
    <w:rsid w:val="6E453429"/>
    <w:rsid w:val="6E456275"/>
    <w:rsid w:val="6E4E36BD"/>
    <w:rsid w:val="6E6127F4"/>
    <w:rsid w:val="6E631ECC"/>
    <w:rsid w:val="6E860D5E"/>
    <w:rsid w:val="6E880670"/>
    <w:rsid w:val="6E9028F6"/>
    <w:rsid w:val="6EB7522E"/>
    <w:rsid w:val="6EC002E5"/>
    <w:rsid w:val="6EC64ECD"/>
    <w:rsid w:val="6EC71F62"/>
    <w:rsid w:val="6ECD2CED"/>
    <w:rsid w:val="6EE1422E"/>
    <w:rsid w:val="6EE449F0"/>
    <w:rsid w:val="6EF14DB2"/>
    <w:rsid w:val="6EFA06B8"/>
    <w:rsid w:val="6F046E40"/>
    <w:rsid w:val="6F1743AC"/>
    <w:rsid w:val="6F3E2352"/>
    <w:rsid w:val="6F46088C"/>
    <w:rsid w:val="6F4656AB"/>
    <w:rsid w:val="6F5C1867"/>
    <w:rsid w:val="6F5C3F48"/>
    <w:rsid w:val="6F61462B"/>
    <w:rsid w:val="6F6D6714"/>
    <w:rsid w:val="6F8561D3"/>
    <w:rsid w:val="6F926B42"/>
    <w:rsid w:val="6F9C2017"/>
    <w:rsid w:val="6FB37BE5"/>
    <w:rsid w:val="6FC2450B"/>
    <w:rsid w:val="6FC7059A"/>
    <w:rsid w:val="6FCA64CD"/>
    <w:rsid w:val="6FE112C4"/>
    <w:rsid w:val="6FF069FB"/>
    <w:rsid w:val="6FF36A80"/>
    <w:rsid w:val="6FFB0619"/>
    <w:rsid w:val="6FFD7D02"/>
    <w:rsid w:val="70020E6A"/>
    <w:rsid w:val="701A60AC"/>
    <w:rsid w:val="702149D3"/>
    <w:rsid w:val="7021684B"/>
    <w:rsid w:val="70217D0F"/>
    <w:rsid w:val="7045295A"/>
    <w:rsid w:val="7047527A"/>
    <w:rsid w:val="704E0CBB"/>
    <w:rsid w:val="7056241A"/>
    <w:rsid w:val="707B2CB1"/>
    <w:rsid w:val="70924B19"/>
    <w:rsid w:val="70952588"/>
    <w:rsid w:val="70A34833"/>
    <w:rsid w:val="70B75478"/>
    <w:rsid w:val="70BA7DE6"/>
    <w:rsid w:val="70BF74C3"/>
    <w:rsid w:val="70D56048"/>
    <w:rsid w:val="70DA3248"/>
    <w:rsid w:val="71027F8C"/>
    <w:rsid w:val="712A4901"/>
    <w:rsid w:val="71391F94"/>
    <w:rsid w:val="7148395C"/>
    <w:rsid w:val="715D7335"/>
    <w:rsid w:val="717159EA"/>
    <w:rsid w:val="71777F8A"/>
    <w:rsid w:val="719340CC"/>
    <w:rsid w:val="71946BA2"/>
    <w:rsid w:val="71A412EF"/>
    <w:rsid w:val="71B106B0"/>
    <w:rsid w:val="71B61A42"/>
    <w:rsid w:val="71BB267E"/>
    <w:rsid w:val="71BE59CD"/>
    <w:rsid w:val="71C32243"/>
    <w:rsid w:val="71D94178"/>
    <w:rsid w:val="71E258E0"/>
    <w:rsid w:val="71E450CA"/>
    <w:rsid w:val="71EA7F5E"/>
    <w:rsid w:val="71EE0EE5"/>
    <w:rsid w:val="71F773F9"/>
    <w:rsid w:val="71FB452B"/>
    <w:rsid w:val="72025ED5"/>
    <w:rsid w:val="720A7322"/>
    <w:rsid w:val="72137E38"/>
    <w:rsid w:val="721E571E"/>
    <w:rsid w:val="721F7D69"/>
    <w:rsid w:val="7225336C"/>
    <w:rsid w:val="722E3E35"/>
    <w:rsid w:val="724A7260"/>
    <w:rsid w:val="724B68D9"/>
    <w:rsid w:val="72541E8D"/>
    <w:rsid w:val="725E62FA"/>
    <w:rsid w:val="72860473"/>
    <w:rsid w:val="7299364D"/>
    <w:rsid w:val="72C16C93"/>
    <w:rsid w:val="72D66A82"/>
    <w:rsid w:val="72D67597"/>
    <w:rsid w:val="72E43D31"/>
    <w:rsid w:val="72FF6E9B"/>
    <w:rsid w:val="73027148"/>
    <w:rsid w:val="7305147C"/>
    <w:rsid w:val="731A30F8"/>
    <w:rsid w:val="733A7EE8"/>
    <w:rsid w:val="734D11ED"/>
    <w:rsid w:val="735A55D3"/>
    <w:rsid w:val="73621B80"/>
    <w:rsid w:val="7375174D"/>
    <w:rsid w:val="73795D83"/>
    <w:rsid w:val="737B6EF7"/>
    <w:rsid w:val="73850D73"/>
    <w:rsid w:val="738B56FD"/>
    <w:rsid w:val="738B5D82"/>
    <w:rsid w:val="73993FFB"/>
    <w:rsid w:val="739F2E93"/>
    <w:rsid w:val="73A60FE9"/>
    <w:rsid w:val="73B8143C"/>
    <w:rsid w:val="73C06788"/>
    <w:rsid w:val="73D813D5"/>
    <w:rsid w:val="73DB1F8F"/>
    <w:rsid w:val="73DE1B70"/>
    <w:rsid w:val="73E6120B"/>
    <w:rsid w:val="741378E4"/>
    <w:rsid w:val="74213FF1"/>
    <w:rsid w:val="743138C9"/>
    <w:rsid w:val="74497E8D"/>
    <w:rsid w:val="744F70D5"/>
    <w:rsid w:val="74542618"/>
    <w:rsid w:val="746B1062"/>
    <w:rsid w:val="74836A59"/>
    <w:rsid w:val="74890514"/>
    <w:rsid w:val="74957A1D"/>
    <w:rsid w:val="74976F8C"/>
    <w:rsid w:val="749C28D6"/>
    <w:rsid w:val="74AC2DBE"/>
    <w:rsid w:val="74B03CF2"/>
    <w:rsid w:val="74B4279D"/>
    <w:rsid w:val="74C959EF"/>
    <w:rsid w:val="74D13C69"/>
    <w:rsid w:val="74D226D8"/>
    <w:rsid w:val="74D951DD"/>
    <w:rsid w:val="74E36253"/>
    <w:rsid w:val="74F273DA"/>
    <w:rsid w:val="74F600B5"/>
    <w:rsid w:val="750C6A4F"/>
    <w:rsid w:val="75102AF5"/>
    <w:rsid w:val="751C1B98"/>
    <w:rsid w:val="752E2E69"/>
    <w:rsid w:val="753F1C14"/>
    <w:rsid w:val="75404D65"/>
    <w:rsid w:val="75410DEE"/>
    <w:rsid w:val="754B45FC"/>
    <w:rsid w:val="754C4FE3"/>
    <w:rsid w:val="75780005"/>
    <w:rsid w:val="75846F2D"/>
    <w:rsid w:val="758E56B6"/>
    <w:rsid w:val="759D26FD"/>
    <w:rsid w:val="75BA7DC9"/>
    <w:rsid w:val="75C158E1"/>
    <w:rsid w:val="75D75BBF"/>
    <w:rsid w:val="75F25C45"/>
    <w:rsid w:val="75F8173D"/>
    <w:rsid w:val="75FE15A4"/>
    <w:rsid w:val="76087EFE"/>
    <w:rsid w:val="762F3987"/>
    <w:rsid w:val="763146BA"/>
    <w:rsid w:val="76373F9F"/>
    <w:rsid w:val="763C17CD"/>
    <w:rsid w:val="7651209F"/>
    <w:rsid w:val="765A396A"/>
    <w:rsid w:val="765B5EE0"/>
    <w:rsid w:val="76625186"/>
    <w:rsid w:val="76694515"/>
    <w:rsid w:val="7671183A"/>
    <w:rsid w:val="76795A9A"/>
    <w:rsid w:val="76850BE3"/>
    <w:rsid w:val="768E7AAD"/>
    <w:rsid w:val="769D37DC"/>
    <w:rsid w:val="76AD1FDF"/>
    <w:rsid w:val="76AF483A"/>
    <w:rsid w:val="76C37C6F"/>
    <w:rsid w:val="76C61386"/>
    <w:rsid w:val="76CF1D13"/>
    <w:rsid w:val="76D56664"/>
    <w:rsid w:val="76E81AE6"/>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B5097"/>
    <w:rsid w:val="777E55F4"/>
    <w:rsid w:val="777F79AC"/>
    <w:rsid w:val="77820DEB"/>
    <w:rsid w:val="7792671F"/>
    <w:rsid w:val="7797445D"/>
    <w:rsid w:val="77986D62"/>
    <w:rsid w:val="77A015C8"/>
    <w:rsid w:val="77A92E90"/>
    <w:rsid w:val="77B650A0"/>
    <w:rsid w:val="77BB5477"/>
    <w:rsid w:val="77CE0481"/>
    <w:rsid w:val="77E43CB3"/>
    <w:rsid w:val="77EC7456"/>
    <w:rsid w:val="77EE7D89"/>
    <w:rsid w:val="77EF0483"/>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B20233"/>
    <w:rsid w:val="78D12FAA"/>
    <w:rsid w:val="78D855C6"/>
    <w:rsid w:val="78FC0536"/>
    <w:rsid w:val="78FE7954"/>
    <w:rsid w:val="79315979"/>
    <w:rsid w:val="79424F4F"/>
    <w:rsid w:val="795831E5"/>
    <w:rsid w:val="796E7E54"/>
    <w:rsid w:val="79756315"/>
    <w:rsid w:val="79765CDA"/>
    <w:rsid w:val="798B6ADC"/>
    <w:rsid w:val="79A47621"/>
    <w:rsid w:val="79AA18D2"/>
    <w:rsid w:val="79AB6836"/>
    <w:rsid w:val="79C56A19"/>
    <w:rsid w:val="79D957CA"/>
    <w:rsid w:val="79DA621C"/>
    <w:rsid w:val="79ED729C"/>
    <w:rsid w:val="7A0A78E3"/>
    <w:rsid w:val="7A2465E9"/>
    <w:rsid w:val="7A364577"/>
    <w:rsid w:val="7A54735F"/>
    <w:rsid w:val="7A5A319C"/>
    <w:rsid w:val="7A5B64AE"/>
    <w:rsid w:val="7A5C5D83"/>
    <w:rsid w:val="7A681FA7"/>
    <w:rsid w:val="7A6963D8"/>
    <w:rsid w:val="7A6B0755"/>
    <w:rsid w:val="7A8D6E37"/>
    <w:rsid w:val="7AA21823"/>
    <w:rsid w:val="7AA7070E"/>
    <w:rsid w:val="7AA900DE"/>
    <w:rsid w:val="7AA936C9"/>
    <w:rsid w:val="7AB12D4C"/>
    <w:rsid w:val="7AD37F76"/>
    <w:rsid w:val="7AF32BF3"/>
    <w:rsid w:val="7AF771AA"/>
    <w:rsid w:val="7B063D79"/>
    <w:rsid w:val="7B095F0A"/>
    <w:rsid w:val="7B116B6D"/>
    <w:rsid w:val="7B190BA4"/>
    <w:rsid w:val="7B334D35"/>
    <w:rsid w:val="7B36137C"/>
    <w:rsid w:val="7B3A2568"/>
    <w:rsid w:val="7B51165F"/>
    <w:rsid w:val="7B6F5B5B"/>
    <w:rsid w:val="7B7415FA"/>
    <w:rsid w:val="7B765886"/>
    <w:rsid w:val="7B7C4D25"/>
    <w:rsid w:val="7B893C25"/>
    <w:rsid w:val="7B8B5C40"/>
    <w:rsid w:val="7B90640C"/>
    <w:rsid w:val="7B922E29"/>
    <w:rsid w:val="7BA15C44"/>
    <w:rsid w:val="7BAB0D70"/>
    <w:rsid w:val="7BBC11CF"/>
    <w:rsid w:val="7BBF79A8"/>
    <w:rsid w:val="7BC24F1F"/>
    <w:rsid w:val="7BE129E3"/>
    <w:rsid w:val="7BE23EB3"/>
    <w:rsid w:val="7BE91898"/>
    <w:rsid w:val="7BF72207"/>
    <w:rsid w:val="7C101909"/>
    <w:rsid w:val="7C161B08"/>
    <w:rsid w:val="7C3A2FA7"/>
    <w:rsid w:val="7C541407"/>
    <w:rsid w:val="7C5840BF"/>
    <w:rsid w:val="7C6D071B"/>
    <w:rsid w:val="7C84107F"/>
    <w:rsid w:val="7C9909ED"/>
    <w:rsid w:val="7C9C2291"/>
    <w:rsid w:val="7CA46921"/>
    <w:rsid w:val="7CA56991"/>
    <w:rsid w:val="7CA71E0B"/>
    <w:rsid w:val="7CB85E09"/>
    <w:rsid w:val="7CFE3A42"/>
    <w:rsid w:val="7CFF1519"/>
    <w:rsid w:val="7D013878"/>
    <w:rsid w:val="7D0F508E"/>
    <w:rsid w:val="7D17450A"/>
    <w:rsid w:val="7D1943FF"/>
    <w:rsid w:val="7D2557AC"/>
    <w:rsid w:val="7D3F099E"/>
    <w:rsid w:val="7D4B01E2"/>
    <w:rsid w:val="7D533A52"/>
    <w:rsid w:val="7D5B43D0"/>
    <w:rsid w:val="7D6243C6"/>
    <w:rsid w:val="7D76523E"/>
    <w:rsid w:val="7D781E69"/>
    <w:rsid w:val="7D7B5075"/>
    <w:rsid w:val="7D832173"/>
    <w:rsid w:val="7D8A3C14"/>
    <w:rsid w:val="7D8C5B06"/>
    <w:rsid w:val="7D934401"/>
    <w:rsid w:val="7D953960"/>
    <w:rsid w:val="7D961406"/>
    <w:rsid w:val="7DA56991"/>
    <w:rsid w:val="7DA623C2"/>
    <w:rsid w:val="7DA737B9"/>
    <w:rsid w:val="7DB639FC"/>
    <w:rsid w:val="7DD32800"/>
    <w:rsid w:val="7DFF0E02"/>
    <w:rsid w:val="7E070C8C"/>
    <w:rsid w:val="7E0800A0"/>
    <w:rsid w:val="7E0C521E"/>
    <w:rsid w:val="7E0E7E19"/>
    <w:rsid w:val="7E1840CC"/>
    <w:rsid w:val="7E1964D0"/>
    <w:rsid w:val="7E303249"/>
    <w:rsid w:val="7E525E1A"/>
    <w:rsid w:val="7E555123"/>
    <w:rsid w:val="7E557656"/>
    <w:rsid w:val="7E7538B7"/>
    <w:rsid w:val="7E841CD2"/>
    <w:rsid w:val="7E844BCE"/>
    <w:rsid w:val="7E8D660B"/>
    <w:rsid w:val="7E9433D2"/>
    <w:rsid w:val="7E992085"/>
    <w:rsid w:val="7EB47F46"/>
    <w:rsid w:val="7EB94600"/>
    <w:rsid w:val="7ECF7C45"/>
    <w:rsid w:val="7ED82860"/>
    <w:rsid w:val="7EF45DB1"/>
    <w:rsid w:val="7EFD2358"/>
    <w:rsid w:val="7EFF5324"/>
    <w:rsid w:val="7F03165A"/>
    <w:rsid w:val="7F077A20"/>
    <w:rsid w:val="7F077BC2"/>
    <w:rsid w:val="7F09267A"/>
    <w:rsid w:val="7F2B23E6"/>
    <w:rsid w:val="7F2B4123"/>
    <w:rsid w:val="7F3426C9"/>
    <w:rsid w:val="7F3E0944"/>
    <w:rsid w:val="7F3E5DC7"/>
    <w:rsid w:val="7F5C2ED4"/>
    <w:rsid w:val="7F5E061E"/>
    <w:rsid w:val="7F643B5C"/>
    <w:rsid w:val="7F8A3D01"/>
    <w:rsid w:val="7F8B6823"/>
    <w:rsid w:val="7F9B25D3"/>
    <w:rsid w:val="7F9C4EBD"/>
    <w:rsid w:val="7FAD310E"/>
    <w:rsid w:val="7FCD6742"/>
    <w:rsid w:val="7FE44850"/>
    <w:rsid w:val="7FE546A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0"/>
    <w:qFormat/>
    <w:uiPriority w:val="0"/>
    <w:pPr>
      <w:keepNext/>
      <w:keepLines/>
      <w:spacing w:line="440" w:lineRule="exact"/>
      <w:jc w:val="center"/>
      <w:outlineLvl w:val="0"/>
    </w:pPr>
    <w:rPr>
      <w:b/>
      <w:bCs/>
      <w:kern w:val="44"/>
      <w:sz w:val="44"/>
      <w:szCs w:val="44"/>
    </w:rPr>
  </w:style>
  <w:style w:type="paragraph" w:styleId="3">
    <w:name w:val="heading 2"/>
    <w:basedOn w:val="1"/>
    <w:next w:val="1"/>
    <w:link w:val="197"/>
    <w:qFormat/>
    <w:uiPriority w:val="0"/>
    <w:pPr>
      <w:keepNext/>
      <w:keepLines/>
      <w:spacing w:line="440" w:lineRule="exact"/>
      <w:jc w:val="left"/>
      <w:outlineLvl w:val="1"/>
    </w:pPr>
    <w:rPr>
      <w:rFonts w:ascii="Arial" w:hAnsi="Arial" w:eastAsia="黑体"/>
      <w:b/>
      <w:bCs/>
      <w:szCs w:val="32"/>
    </w:rPr>
  </w:style>
  <w:style w:type="paragraph" w:styleId="4">
    <w:name w:val="heading 3"/>
    <w:basedOn w:val="1"/>
    <w:next w:val="1"/>
    <w:link w:val="153"/>
    <w:qFormat/>
    <w:uiPriority w:val="0"/>
    <w:pPr>
      <w:keepNext/>
      <w:keepLines/>
      <w:spacing w:line="415" w:lineRule="auto"/>
      <w:outlineLvl w:val="2"/>
    </w:pPr>
    <w:rPr>
      <w:b/>
      <w:bCs/>
      <w:kern w:val="0"/>
      <w:sz w:val="32"/>
      <w:szCs w:val="32"/>
    </w:rPr>
  </w:style>
  <w:style w:type="paragraph" w:styleId="5">
    <w:name w:val="heading 4"/>
    <w:basedOn w:val="1"/>
    <w:next w:val="1"/>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9"/>
    <w:qFormat/>
    <w:uiPriority w:val="0"/>
    <w:pPr>
      <w:keepNext/>
      <w:keepLines/>
      <w:spacing w:line="376" w:lineRule="auto"/>
      <w:outlineLvl w:val="4"/>
    </w:pPr>
    <w:rPr>
      <w:b/>
      <w:bCs/>
      <w:sz w:val="28"/>
      <w:szCs w:val="28"/>
    </w:rPr>
  </w:style>
  <w:style w:type="paragraph" w:styleId="7">
    <w:name w:val="heading 6"/>
    <w:basedOn w:val="1"/>
    <w:next w:val="1"/>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sz w:val="18"/>
      <w:szCs w:val="18"/>
    </w:rPr>
  </w:style>
  <w:style w:type="paragraph" w:styleId="12">
    <w:name w:val="table of authorities"/>
    <w:basedOn w:val="1"/>
    <w:next w:val="1"/>
    <w:unhideWhenUsed/>
    <w:qFormat/>
    <w:uiPriority w:val="0"/>
    <w:pPr>
      <w:ind w:left="420" w:leftChars="200"/>
    </w:pPr>
  </w:style>
  <w:style w:type="paragraph" w:styleId="13">
    <w:name w:val="Normal Indent"/>
    <w:basedOn w:val="1"/>
    <w:next w:val="14"/>
    <w:qFormat/>
    <w:uiPriority w:val="0"/>
    <w:pPr>
      <w:ind w:firstLine="420" w:firstLineChars="200"/>
    </w:pPr>
  </w:style>
  <w:style w:type="paragraph" w:styleId="14">
    <w:name w:val="Body Text First Indent 2"/>
    <w:basedOn w:val="15"/>
    <w:next w:val="1"/>
    <w:qFormat/>
    <w:uiPriority w:val="0"/>
    <w:pPr>
      <w:spacing w:line="360" w:lineRule="auto"/>
      <w:ind w:firstLine="200" w:firstLineChars="200"/>
    </w:pPr>
    <w:rPr>
      <w:rFonts w:ascii="宋体"/>
      <w:szCs w:val="20"/>
    </w:rPr>
  </w:style>
  <w:style w:type="paragraph" w:styleId="15">
    <w:name w:val="Body Text Indent"/>
    <w:basedOn w:val="1"/>
    <w:next w:val="16"/>
    <w:qFormat/>
    <w:uiPriority w:val="0"/>
    <w:pPr>
      <w:ind w:left="420" w:leftChars="200"/>
    </w:pPr>
  </w:style>
  <w:style w:type="paragraph" w:styleId="16">
    <w:name w:val="envelope return"/>
    <w:basedOn w:val="1"/>
    <w:next w:val="11"/>
    <w:qFormat/>
    <w:uiPriority w:val="0"/>
    <w:pPr>
      <w:snapToGrid w:val="0"/>
    </w:pPr>
    <w:rPr>
      <w:rFonts w:ascii="Arial" w:hAnsi="Arial"/>
    </w:rPr>
  </w:style>
  <w:style w:type="paragraph" w:styleId="17">
    <w:name w:val="Document Map"/>
    <w:basedOn w:val="1"/>
    <w:qFormat/>
    <w:uiPriority w:val="0"/>
    <w:pPr>
      <w:shd w:val="clear" w:color="auto" w:fill="000080"/>
    </w:pPr>
  </w:style>
  <w:style w:type="paragraph" w:styleId="18">
    <w:name w:val="annotation text"/>
    <w:basedOn w:val="1"/>
    <w:link w:val="112"/>
    <w:qFormat/>
    <w:uiPriority w:val="0"/>
    <w:pPr>
      <w:jc w:val="left"/>
    </w:pPr>
  </w:style>
  <w:style w:type="paragraph" w:styleId="19">
    <w:name w:val="Body Text 3"/>
    <w:basedOn w:val="1"/>
    <w:qFormat/>
    <w:uiPriority w:val="0"/>
    <w:rPr>
      <w:rFonts w:ascii="宋体"/>
      <w:sz w:val="24"/>
      <w:szCs w:val="20"/>
    </w:rPr>
  </w:style>
  <w:style w:type="paragraph" w:styleId="20">
    <w:name w:val="Body Text"/>
    <w:basedOn w:val="1"/>
    <w:link w:val="142"/>
    <w:qFormat/>
    <w:uiPriority w:val="0"/>
  </w:style>
  <w:style w:type="paragraph" w:styleId="21">
    <w:name w:val="Block Text"/>
    <w:basedOn w:val="1"/>
    <w:qFormat/>
    <w:uiPriority w:val="0"/>
    <w:pPr>
      <w:spacing w:line="400" w:lineRule="exact"/>
      <w:ind w:left="-359" w:leftChars="-171" w:right="31" w:rightChars="15" w:firstLine="980" w:firstLineChars="350"/>
    </w:pPr>
    <w:rPr>
      <w:rFonts w:ascii="宋体" w:hAnsi="宋体"/>
      <w:sz w:val="28"/>
      <w:szCs w:val="32"/>
    </w:rPr>
  </w:style>
  <w:style w:type="paragraph" w:styleId="22">
    <w:name w:val="toc 5"/>
    <w:basedOn w:val="1"/>
    <w:next w:val="1"/>
    <w:qFormat/>
    <w:uiPriority w:val="39"/>
    <w:pPr>
      <w:ind w:left="840"/>
      <w:jc w:val="left"/>
    </w:pPr>
    <w:rPr>
      <w:sz w:val="18"/>
      <w:szCs w:val="18"/>
    </w:rPr>
  </w:style>
  <w:style w:type="paragraph" w:styleId="23">
    <w:name w:val="toc 3"/>
    <w:basedOn w:val="1"/>
    <w:next w:val="1"/>
    <w:qFormat/>
    <w:uiPriority w:val="39"/>
    <w:pPr>
      <w:ind w:left="420"/>
      <w:jc w:val="left"/>
    </w:pPr>
    <w:rPr>
      <w:i/>
      <w:iCs/>
      <w:sz w:val="20"/>
      <w:szCs w:val="20"/>
    </w:rPr>
  </w:style>
  <w:style w:type="paragraph" w:styleId="24">
    <w:name w:val="Plain Text"/>
    <w:basedOn w:val="1"/>
    <w:next w:val="1"/>
    <w:link w:val="136"/>
    <w:qFormat/>
    <w:uiPriority w:val="0"/>
    <w:rPr>
      <w:rFonts w:ascii="Courier New" w:hAnsi="Courier New"/>
      <w:szCs w:val="20"/>
    </w:rPr>
  </w:style>
  <w:style w:type="paragraph" w:styleId="25">
    <w:name w:val="toc 8"/>
    <w:basedOn w:val="1"/>
    <w:next w:val="1"/>
    <w:qFormat/>
    <w:uiPriority w:val="39"/>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line="360" w:lineRule="exact"/>
      <w:ind w:firstLine="600" w:firstLineChars="250"/>
      <w:jc w:val="left"/>
    </w:pPr>
    <w:rPr>
      <w:sz w:val="24"/>
    </w:r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jc w:val="left"/>
    </w:pPr>
    <w:rPr>
      <w:b/>
      <w:bCs/>
      <w:caps/>
      <w:sz w:val="20"/>
      <w:szCs w:val="20"/>
    </w:rPr>
  </w:style>
  <w:style w:type="paragraph" w:styleId="32">
    <w:name w:val="toc 4"/>
    <w:basedOn w:val="1"/>
    <w:next w:val="1"/>
    <w:qFormat/>
    <w:uiPriority w:val="39"/>
    <w:pPr>
      <w:ind w:left="630"/>
      <w:jc w:val="left"/>
    </w:pPr>
    <w:rPr>
      <w:sz w:val="18"/>
      <w:szCs w:val="18"/>
    </w:rPr>
  </w:style>
  <w:style w:type="paragraph" w:styleId="33">
    <w:name w:val="List"/>
    <w:basedOn w:val="1"/>
    <w:qFormat/>
    <w:uiPriority w:val="0"/>
    <w:pPr>
      <w:ind w:left="420" w:hanging="420"/>
    </w:pPr>
  </w:style>
  <w:style w:type="paragraph" w:styleId="34">
    <w:name w:val="footnote text"/>
    <w:basedOn w:val="1"/>
    <w:qFormat/>
    <w:uiPriority w:val="0"/>
    <w:rPr>
      <w:sz w:val="20"/>
      <w:szCs w:val="20"/>
    </w:rPr>
  </w:style>
  <w:style w:type="paragraph" w:styleId="35">
    <w:name w:val="toc 6"/>
    <w:basedOn w:val="1"/>
    <w:next w:val="1"/>
    <w:qFormat/>
    <w:uiPriority w:val="39"/>
    <w:pPr>
      <w:ind w:left="1050"/>
      <w:jc w:val="left"/>
    </w:pPr>
    <w:rPr>
      <w:sz w:val="18"/>
      <w:szCs w:val="18"/>
    </w:rPr>
  </w:style>
  <w:style w:type="paragraph" w:styleId="36">
    <w:name w:val="Body Text Indent 3"/>
    <w:basedOn w:val="1"/>
    <w:qFormat/>
    <w:uiPriority w:val="0"/>
    <w:pPr>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39"/>
    <w:pPr>
      <w:ind w:left="210"/>
      <w:jc w:val="left"/>
    </w:pPr>
    <w:rPr>
      <w:smallCaps/>
      <w:sz w:val="20"/>
      <w:szCs w:val="20"/>
    </w:rPr>
  </w:style>
  <w:style w:type="paragraph" w:styleId="39">
    <w:name w:val="toc 9"/>
    <w:basedOn w:val="1"/>
    <w:next w:val="1"/>
    <w:qFormat/>
    <w:uiPriority w:val="39"/>
    <w:pPr>
      <w:ind w:left="1680"/>
      <w:jc w:val="left"/>
    </w:pPr>
    <w:rPr>
      <w:sz w:val="18"/>
      <w:szCs w:val="18"/>
    </w:rPr>
  </w:style>
  <w:style w:type="paragraph" w:styleId="40">
    <w:name w:val="Body Text 2"/>
    <w:basedOn w:val="1"/>
    <w:qFormat/>
    <w:uiPriority w:val="0"/>
    <w:pPr>
      <w:spacing w:line="440" w:lineRule="exact"/>
    </w:pPr>
    <w:rPr>
      <w:sz w:val="28"/>
    </w:rPr>
  </w:style>
  <w:style w:type="paragraph" w:styleId="41">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next w:val="43"/>
    <w:qFormat/>
    <w:uiPriority w:val="99"/>
    <w:pPr>
      <w:widowControl/>
      <w:spacing w:beforeAutospacing="1" w:afterAutospacing="1"/>
      <w:jc w:val="left"/>
    </w:pPr>
    <w:rPr>
      <w:rFonts w:ascii="宋体" w:hAnsi="宋体" w:cs="宋体"/>
      <w:kern w:val="0"/>
      <w:sz w:val="24"/>
    </w:rPr>
  </w:style>
  <w:style w:type="paragraph" w:customStyle="1" w:styleId="43">
    <w:name w:val="正文文字 8"/>
    <w:basedOn w:val="1"/>
    <w:next w:val="1"/>
    <w:qFormat/>
    <w:uiPriority w:val="0"/>
    <w:pPr>
      <w:ind w:left="240"/>
    </w:pPr>
    <w:rPr>
      <w:sz w:val="16"/>
    </w:rPr>
  </w:style>
  <w:style w:type="paragraph" w:styleId="44">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5">
    <w:name w:val="annotation subject"/>
    <w:basedOn w:val="18"/>
    <w:next w:val="18"/>
    <w:qFormat/>
    <w:uiPriority w:val="0"/>
    <w:rPr>
      <w:b/>
      <w:bCs/>
    </w:rPr>
  </w:style>
  <w:style w:type="paragraph" w:styleId="46">
    <w:name w:val="Body Text First Indent"/>
    <w:basedOn w:val="20"/>
    <w:qFormat/>
    <w:uiPriority w:val="0"/>
    <w:pPr>
      <w:ind w:firstLine="420" w:firstLineChars="100"/>
    </w:p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0"/>
    <w:rPr>
      <w:b/>
      <w:bCs/>
    </w:rPr>
  </w:style>
  <w:style w:type="character" w:styleId="51">
    <w:name w:val="page number"/>
    <w:basedOn w:val="49"/>
    <w:qFormat/>
    <w:uiPriority w:val="0"/>
  </w:style>
  <w:style w:type="character" w:styleId="52">
    <w:name w:val="FollowedHyperlink"/>
    <w:qFormat/>
    <w:uiPriority w:val="0"/>
    <w:rPr>
      <w:color w:val="333333"/>
      <w:u w:val="none"/>
    </w:rPr>
  </w:style>
  <w:style w:type="character" w:styleId="53">
    <w:name w:val="Emphasis"/>
    <w:qFormat/>
    <w:uiPriority w:val="0"/>
    <w:rPr>
      <w:color w:val="CC0033"/>
    </w:rPr>
  </w:style>
  <w:style w:type="character" w:styleId="54">
    <w:name w:val="HTML Definition"/>
    <w:qFormat/>
    <w:uiPriority w:val="0"/>
  </w:style>
  <w:style w:type="character" w:styleId="55">
    <w:name w:val="HTML Typewriter"/>
    <w:qFormat/>
    <w:uiPriority w:val="0"/>
    <w:rPr>
      <w:rFonts w:hint="default" w:ascii="monospace" w:hAnsi="monospace" w:eastAsia="monospace" w:cs="monospace"/>
      <w:sz w:val="20"/>
    </w:rPr>
  </w:style>
  <w:style w:type="character" w:styleId="56">
    <w:name w:val="HTML Acronym"/>
    <w:basedOn w:val="49"/>
    <w:qFormat/>
    <w:uiPriority w:val="0"/>
    <w:rPr>
      <w:bdr w:val="none" w:color="auto" w:sz="0" w:space="0"/>
    </w:rPr>
  </w:style>
  <w:style w:type="character" w:styleId="57">
    <w:name w:val="HTML Variable"/>
    <w:qFormat/>
    <w:uiPriority w:val="0"/>
  </w:style>
  <w:style w:type="character" w:styleId="58">
    <w:name w:val="Hyperlink"/>
    <w:basedOn w:val="49"/>
    <w:qFormat/>
    <w:uiPriority w:val="99"/>
    <w:rPr>
      <w:color w:val="333333"/>
      <w:u w:val="none"/>
    </w:rPr>
  </w:style>
  <w:style w:type="character" w:styleId="59">
    <w:name w:val="HTML Code"/>
    <w:qFormat/>
    <w:uiPriority w:val="0"/>
    <w:rPr>
      <w:rFonts w:hint="default" w:ascii="monospace" w:hAnsi="monospace" w:eastAsia="monospace" w:cs="monospace"/>
      <w:sz w:val="20"/>
    </w:rPr>
  </w:style>
  <w:style w:type="character" w:styleId="60">
    <w:name w:val="annotation reference"/>
    <w:qFormat/>
    <w:uiPriority w:val="0"/>
    <w:rPr>
      <w:sz w:val="21"/>
      <w:szCs w:val="21"/>
    </w:rPr>
  </w:style>
  <w:style w:type="character" w:styleId="61">
    <w:name w:val="HTML Cite"/>
    <w:qFormat/>
    <w:uiPriority w:val="0"/>
  </w:style>
  <w:style w:type="character" w:styleId="62">
    <w:name w:val="footnote reference"/>
    <w:qFormat/>
    <w:uiPriority w:val="0"/>
    <w:rPr>
      <w:vertAlign w:val="superscript"/>
    </w:rPr>
  </w:style>
  <w:style w:type="character" w:styleId="63">
    <w:name w:val="HTML Keyboard"/>
    <w:qFormat/>
    <w:uiPriority w:val="0"/>
    <w:rPr>
      <w:rFonts w:ascii="monospace" w:hAnsi="monospace" w:eastAsia="monospace" w:cs="monospace"/>
      <w:sz w:val="20"/>
    </w:rPr>
  </w:style>
  <w:style w:type="character" w:styleId="64">
    <w:name w:val="HTML Sample"/>
    <w:qFormat/>
    <w:uiPriority w:val="0"/>
    <w:rPr>
      <w:rFonts w:hint="default" w:ascii="monospace" w:hAnsi="monospace" w:eastAsia="monospace" w:cs="monospace"/>
    </w:rPr>
  </w:style>
  <w:style w:type="paragraph" w:styleId="65">
    <w:name w:val="List Paragraph"/>
    <w:basedOn w:val="1"/>
    <w:qFormat/>
    <w:uiPriority w:val="34"/>
    <w:pPr>
      <w:ind w:firstLine="420" w:firstLineChars="200"/>
    </w:pPr>
  </w:style>
  <w:style w:type="paragraph" w:customStyle="1" w:styleId="66">
    <w:name w:val="_Style 62"/>
    <w:basedOn w:val="1"/>
    <w:next w:val="1"/>
    <w:qFormat/>
    <w:uiPriority w:val="0"/>
    <w:pPr>
      <w:pBdr>
        <w:top w:val="single" w:color="auto" w:sz="6" w:space="1"/>
      </w:pBdr>
      <w:jc w:val="center"/>
    </w:pPr>
    <w:rPr>
      <w:rFonts w:ascii="Arial"/>
      <w:vanish/>
      <w:sz w:val="16"/>
    </w:rPr>
  </w:style>
  <w:style w:type="paragraph" w:customStyle="1" w:styleId="67">
    <w:name w:val="Blockquote"/>
    <w:basedOn w:val="1"/>
    <w:qFormat/>
    <w:uiPriority w:val="0"/>
    <w:pPr>
      <w:autoSpaceDE w:val="0"/>
      <w:autoSpaceDN w:val="0"/>
      <w:adjustRightInd w:val="0"/>
      <w:ind w:left="360" w:right="360"/>
      <w:jc w:val="left"/>
    </w:pPr>
    <w:rPr>
      <w:kern w:val="0"/>
      <w:sz w:val="24"/>
      <w:szCs w:val="20"/>
    </w:rPr>
  </w:style>
  <w:style w:type="paragraph" w:customStyle="1" w:styleId="68">
    <w:name w:val="表格"/>
    <w:basedOn w:val="1"/>
    <w:qFormat/>
    <w:uiPriority w:val="0"/>
    <w:pPr>
      <w:jc w:val="center"/>
      <w:textAlignment w:val="center"/>
    </w:pPr>
    <w:rPr>
      <w:rFonts w:ascii="华文细黑" w:hAnsi="华文细黑"/>
      <w:kern w:val="0"/>
      <w:szCs w:val="20"/>
    </w:rPr>
  </w:style>
  <w:style w:type="paragraph" w:customStyle="1" w:styleId="69">
    <w:name w:val="表格文字"/>
    <w:basedOn w:val="1"/>
    <w:qFormat/>
    <w:uiPriority w:val="0"/>
    <w:pPr>
      <w:adjustRightInd w:val="0"/>
      <w:spacing w:line="420" w:lineRule="atLeast"/>
      <w:jc w:val="left"/>
      <w:textAlignment w:val="baseline"/>
    </w:pPr>
    <w:rPr>
      <w:kern w:val="0"/>
      <w:szCs w:val="20"/>
    </w:rPr>
  </w:style>
  <w:style w:type="paragraph" w:customStyle="1" w:styleId="70">
    <w:name w:val="Char"/>
    <w:basedOn w:val="1"/>
    <w:next w:val="1"/>
    <w:qFormat/>
    <w:uiPriority w:val="0"/>
    <w:pPr>
      <w:widowControl/>
      <w:spacing w:line="360" w:lineRule="auto"/>
      <w:jc w:val="left"/>
    </w:pPr>
    <w:rPr>
      <w:kern w:val="0"/>
      <w:szCs w:val="20"/>
      <w:lang w:eastAsia="en-US"/>
    </w:rPr>
  </w:style>
  <w:style w:type="paragraph" w:customStyle="1" w:styleId="7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2">
    <w:name w:val="样式2"/>
    <w:basedOn w:val="4"/>
    <w:qFormat/>
    <w:uiPriority w:val="0"/>
  </w:style>
  <w:style w:type="paragraph" w:customStyle="1" w:styleId="73">
    <w:name w:val="Default Paragraph Char Char Char Char"/>
    <w:basedOn w:val="1"/>
    <w:next w:val="1"/>
    <w:qFormat/>
    <w:uiPriority w:val="0"/>
    <w:pPr>
      <w:spacing w:line="360" w:lineRule="auto"/>
    </w:pPr>
    <w:rPr>
      <w:szCs w:val="20"/>
    </w:rPr>
  </w:style>
  <w:style w:type="paragraph" w:customStyle="1" w:styleId="74">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75">
    <w:name w:val="默认段落字体 Para Char Char Char Char"/>
    <w:basedOn w:val="1"/>
    <w:qFormat/>
    <w:uiPriority w:val="0"/>
  </w:style>
  <w:style w:type="paragraph" w:customStyle="1" w:styleId="76">
    <w:name w:val="样式 标题 1 + 黑体 五号"/>
    <w:basedOn w:val="2"/>
    <w:qFormat/>
    <w:uiPriority w:val="0"/>
    <w:pPr>
      <w:jc w:val="left"/>
    </w:pPr>
    <w:rPr>
      <w:rFonts w:ascii="黑体" w:hAnsi="黑体" w:eastAsia="黑体"/>
      <w:sz w:val="21"/>
    </w:rPr>
  </w:style>
  <w:style w:type="paragraph" w:customStyle="1" w:styleId="77">
    <w:name w:val="样式4"/>
    <w:basedOn w:val="4"/>
    <w:qFormat/>
    <w:uiPriority w:val="0"/>
    <w:rPr>
      <w:rFonts w:eastAsia="Arial"/>
    </w:rPr>
  </w:style>
  <w:style w:type="paragraph" w:customStyle="1" w:styleId="78">
    <w:name w:val="正文1"/>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79">
    <w:name w:val="列出段落1"/>
    <w:basedOn w:val="1"/>
    <w:qFormat/>
    <w:uiPriority w:val="0"/>
    <w:pPr>
      <w:ind w:firstLine="200" w:firstLineChars="200"/>
    </w:pPr>
  </w:style>
  <w:style w:type="paragraph" w:customStyle="1" w:styleId="80">
    <w:name w:val="p0 New"/>
    <w:basedOn w:val="1"/>
    <w:qFormat/>
    <w:uiPriority w:val="0"/>
    <w:pPr>
      <w:widowControl/>
      <w:jc w:val="left"/>
    </w:pPr>
    <w:rPr>
      <w:rFonts w:ascii="宋体" w:hAnsi="宋体" w:cs="宋体"/>
      <w:kern w:val="0"/>
      <w:sz w:val="18"/>
      <w:szCs w:val="18"/>
    </w:rPr>
  </w:style>
  <w:style w:type="paragraph" w:customStyle="1" w:styleId="81">
    <w:name w:val="样式 标题 1 + 黑体 三号 非加粗 居中 段前: 6 磅 段后: 6 磅 行距: 固定值 20 磅"/>
    <w:basedOn w:val="2"/>
    <w:qFormat/>
    <w:uiPriority w:val="0"/>
    <w:pPr>
      <w:spacing w:line="400" w:lineRule="exact"/>
    </w:pPr>
    <w:rPr>
      <w:rFonts w:ascii="黑体" w:hAnsi="黑体" w:eastAsia="黑体" w:cs="宋体"/>
      <w:b w:val="0"/>
      <w:bCs w:val="0"/>
      <w:sz w:val="32"/>
      <w:szCs w:val="20"/>
    </w:rPr>
  </w:style>
  <w:style w:type="paragraph" w:customStyle="1" w:styleId="82">
    <w:name w:val="_Style 78"/>
    <w:basedOn w:val="2"/>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83">
    <w:name w:val="Char1"/>
    <w:basedOn w:val="1"/>
    <w:qFormat/>
    <w:uiPriority w:val="0"/>
    <w:pPr>
      <w:tabs>
        <w:tab w:val="left" w:pos="360"/>
      </w:tabs>
    </w:pPr>
    <w:rPr>
      <w:sz w:val="24"/>
    </w:rPr>
  </w:style>
  <w:style w:type="paragraph" w:customStyle="1" w:styleId="84">
    <w:name w:val="样式1"/>
    <w:basedOn w:val="4"/>
    <w:qFormat/>
    <w:uiPriority w:val="0"/>
    <w:rPr>
      <w:rFonts w:eastAsia="Arial"/>
    </w:rPr>
  </w:style>
  <w:style w:type="paragraph" w:customStyle="1" w:styleId="85">
    <w:name w:val="Char Char Char Char Char Char Char Char Char Char Char Char Char"/>
    <w:basedOn w:val="1"/>
    <w:qFormat/>
    <w:uiPriority w:val="0"/>
  </w:style>
  <w:style w:type="paragraph" w:customStyle="1" w:styleId="86">
    <w:name w:val="p"/>
    <w:basedOn w:val="1"/>
    <w:qFormat/>
    <w:uiPriority w:val="0"/>
    <w:rPr>
      <w:rFonts w:ascii="宋体"/>
      <w:sz w:val="24"/>
    </w:rPr>
  </w:style>
  <w:style w:type="paragraph" w:customStyle="1" w:styleId="87">
    <w:name w:val="Char Char Char Char"/>
    <w:basedOn w:val="1"/>
    <w:qFormat/>
    <w:uiPriority w:val="0"/>
  </w:style>
  <w:style w:type="paragraph" w:customStyle="1" w:styleId="88">
    <w:name w:val="_Style 84"/>
    <w:basedOn w:val="1"/>
    <w:next w:val="1"/>
    <w:qFormat/>
    <w:uiPriority w:val="0"/>
    <w:pPr>
      <w:pBdr>
        <w:bottom w:val="single" w:color="auto" w:sz="6" w:space="1"/>
      </w:pBdr>
      <w:jc w:val="center"/>
    </w:pPr>
    <w:rPr>
      <w:rFonts w:ascii="Arial"/>
      <w:vanish/>
      <w:sz w:val="16"/>
    </w:rPr>
  </w:style>
  <w:style w:type="paragraph" w:customStyle="1" w:styleId="89">
    <w:name w:val="1"/>
    <w:basedOn w:val="1"/>
    <w:next w:val="1"/>
    <w:qFormat/>
    <w:uiPriority w:val="0"/>
  </w:style>
  <w:style w:type="paragraph" w:customStyle="1" w:styleId="90">
    <w:name w:val="p15"/>
    <w:qFormat/>
    <w:uiPriority w:val="0"/>
    <w:pPr>
      <w:jc w:val="both"/>
    </w:pPr>
    <w:rPr>
      <w:rFonts w:ascii="宋体" w:hAnsi="Times New Roman" w:eastAsia="宋体" w:cs="宋体"/>
      <w:sz w:val="21"/>
      <w:szCs w:val="21"/>
      <w:lang w:val="en-US" w:eastAsia="zh-CN" w:bidi="ar-SA"/>
    </w:rPr>
  </w:style>
  <w:style w:type="paragraph" w:customStyle="1" w:styleId="91">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92">
    <w:name w:val="Table Paragraph"/>
    <w:basedOn w:val="1"/>
    <w:qFormat/>
    <w:uiPriority w:val="0"/>
    <w:pPr>
      <w:autoSpaceDE w:val="0"/>
      <w:autoSpaceDN w:val="0"/>
      <w:jc w:val="left"/>
    </w:pPr>
    <w:rPr>
      <w:rFonts w:ascii="宋体" w:hAnsi="宋体" w:cs="宋体"/>
      <w:kern w:val="0"/>
      <w:sz w:val="22"/>
      <w:szCs w:val="22"/>
      <w:lang w:val="zh-CN"/>
    </w:rPr>
  </w:style>
  <w:style w:type="paragraph" w:customStyle="1" w:styleId="93">
    <w:name w:val="p0"/>
    <w:basedOn w:val="1"/>
    <w:qFormat/>
    <w:uiPriority w:val="99"/>
    <w:pPr>
      <w:widowControl/>
    </w:pPr>
    <w:rPr>
      <w:kern w:val="0"/>
      <w:szCs w:val="21"/>
    </w:rPr>
  </w:style>
  <w:style w:type="paragraph" w:customStyle="1" w:styleId="94">
    <w:name w:val="样式3"/>
    <w:basedOn w:val="4"/>
    <w:qFormat/>
    <w:uiPriority w:val="0"/>
    <w:rPr>
      <w:rFonts w:eastAsia="Arial"/>
    </w:rPr>
  </w:style>
  <w:style w:type="paragraph" w:customStyle="1" w:styleId="95">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96">
    <w:name w:val="Char Char Char Char Char Char Char Char Char Char Char Char Char1"/>
    <w:basedOn w:val="1"/>
    <w:qFormat/>
    <w:uiPriority w:val="0"/>
  </w:style>
  <w:style w:type="paragraph" w:customStyle="1" w:styleId="97">
    <w:name w:val="Char4"/>
    <w:basedOn w:val="1"/>
    <w:qFormat/>
    <w:uiPriority w:val="0"/>
    <w:pPr>
      <w:widowControl/>
      <w:spacing w:line="360" w:lineRule="auto"/>
      <w:ind w:firstLine="200" w:firstLineChars="200"/>
      <w:textAlignment w:val="baseline"/>
    </w:pPr>
    <w:rPr>
      <w:color w:val="000000"/>
      <w:kern w:val="0"/>
      <w:szCs w:val="20"/>
      <w:u w:color="000000"/>
    </w:rPr>
  </w:style>
  <w:style w:type="paragraph" w:customStyle="1" w:styleId="98">
    <w:name w:val="正文2"/>
    <w:qFormat/>
    <w:uiPriority w:val="0"/>
    <w:pPr>
      <w:widowControl w:val="0"/>
      <w:jc w:val="both"/>
    </w:pPr>
    <w:rPr>
      <w:rFonts w:ascii="Times New Roman" w:hAnsi="Times New Roman" w:eastAsia="宋体" w:cs="Times New Roman"/>
      <w:lang w:val="en-US" w:eastAsia="zh-CN" w:bidi="ar-SA"/>
    </w:rPr>
  </w:style>
  <w:style w:type="character" w:customStyle="1" w:styleId="99">
    <w:name w:val="first-child"/>
    <w:basedOn w:val="49"/>
    <w:qFormat/>
    <w:uiPriority w:val="0"/>
  </w:style>
  <w:style w:type="character" w:customStyle="1" w:styleId="100">
    <w:name w:val="Char Char Char Char Char Char"/>
    <w:qFormat/>
    <w:uiPriority w:val="0"/>
    <w:rPr>
      <w:rFonts w:ascii="Arial" w:hAnsi="Arial" w:eastAsia="黑体"/>
      <w:b/>
      <w:bCs/>
      <w:kern w:val="2"/>
      <w:sz w:val="32"/>
      <w:szCs w:val="32"/>
      <w:lang w:val="en-US" w:eastAsia="zh-CN" w:bidi="ar-SA"/>
    </w:rPr>
  </w:style>
  <w:style w:type="character" w:customStyle="1" w:styleId="101">
    <w:name w:val="l11"/>
    <w:qFormat/>
    <w:uiPriority w:val="0"/>
    <w:rPr>
      <w:color w:val="999999"/>
    </w:rPr>
  </w:style>
  <w:style w:type="character" w:customStyle="1" w:styleId="102">
    <w:name w:val="Char Char"/>
    <w:qFormat/>
    <w:uiPriority w:val="0"/>
    <w:rPr>
      <w:rFonts w:ascii="Arial" w:hAnsi="Arial" w:eastAsia="黑体"/>
      <w:b/>
      <w:bCs/>
      <w:kern w:val="2"/>
      <w:sz w:val="32"/>
      <w:szCs w:val="32"/>
      <w:lang w:val="en-US" w:eastAsia="zh-CN" w:bidi="ar-SA"/>
    </w:rPr>
  </w:style>
  <w:style w:type="character" w:customStyle="1" w:styleId="103">
    <w:name w:val="Char Char5"/>
    <w:qFormat/>
    <w:uiPriority w:val="0"/>
    <w:rPr>
      <w:rFonts w:ascii="Arial" w:hAnsi="Arial" w:eastAsia="黑体"/>
      <w:b/>
      <w:bCs/>
      <w:kern w:val="2"/>
      <w:sz w:val="32"/>
      <w:szCs w:val="32"/>
    </w:rPr>
  </w:style>
  <w:style w:type="character" w:customStyle="1" w:styleId="104">
    <w:name w:val="msg-box28"/>
    <w:basedOn w:val="49"/>
    <w:qFormat/>
    <w:uiPriority w:val="0"/>
  </w:style>
  <w:style w:type="character" w:customStyle="1" w:styleId="105">
    <w:name w:val="img_title6"/>
    <w:qFormat/>
    <w:uiPriority w:val="0"/>
    <w:rPr>
      <w:vanish/>
    </w:rPr>
  </w:style>
  <w:style w:type="character" w:customStyle="1" w:styleId="106">
    <w:name w:val="tit12"/>
    <w:qFormat/>
    <w:uiPriority w:val="0"/>
    <w:rPr>
      <w:color w:val="04A06C"/>
    </w:rPr>
  </w:style>
  <w:style w:type="character" w:customStyle="1" w:styleId="107">
    <w:name w:val="Char Char2"/>
    <w:qFormat/>
    <w:uiPriority w:val="0"/>
    <w:rPr>
      <w:rFonts w:eastAsia="宋体"/>
      <w:kern w:val="2"/>
      <w:sz w:val="21"/>
      <w:szCs w:val="24"/>
      <w:lang w:val="en-US" w:eastAsia="zh-CN" w:bidi="ar-SA"/>
    </w:rPr>
  </w:style>
  <w:style w:type="character" w:customStyle="1" w:styleId="108">
    <w:name w:val="nostart"/>
    <w:qFormat/>
    <w:uiPriority w:val="0"/>
    <w:rPr>
      <w:color w:val="FF0000"/>
    </w:rPr>
  </w:style>
  <w:style w:type="character" w:customStyle="1" w:styleId="109">
    <w:name w:val="nostart3"/>
    <w:basedOn w:val="49"/>
    <w:qFormat/>
    <w:uiPriority w:val="0"/>
  </w:style>
  <w:style w:type="character" w:customStyle="1" w:styleId="110">
    <w:name w:val="img4"/>
    <w:basedOn w:val="49"/>
    <w:qFormat/>
    <w:uiPriority w:val="0"/>
  </w:style>
  <w:style w:type="character" w:customStyle="1" w:styleId="111">
    <w:name w:val="tit11"/>
    <w:qFormat/>
    <w:uiPriority w:val="0"/>
    <w:rPr>
      <w:color w:val="B60000"/>
    </w:rPr>
  </w:style>
  <w:style w:type="character" w:customStyle="1" w:styleId="112">
    <w:name w:val="批注文字 Char"/>
    <w:link w:val="18"/>
    <w:qFormat/>
    <w:uiPriority w:val="0"/>
    <w:rPr>
      <w:rFonts w:eastAsia="宋体"/>
      <w:kern w:val="2"/>
      <w:sz w:val="21"/>
      <w:szCs w:val="24"/>
      <w:lang w:val="en-US" w:eastAsia="zh-CN" w:bidi="ar-SA"/>
    </w:rPr>
  </w:style>
  <w:style w:type="character" w:customStyle="1" w:styleId="113">
    <w:name w:val="over"/>
    <w:qFormat/>
    <w:uiPriority w:val="0"/>
    <w:rPr>
      <w:color w:val="B60000"/>
    </w:rPr>
  </w:style>
  <w:style w:type="character" w:customStyle="1" w:styleId="114">
    <w:name w:val="HTML 预设格式 Char"/>
    <w:link w:val="41"/>
    <w:qFormat/>
    <w:uiPriority w:val="0"/>
    <w:rPr>
      <w:rFonts w:ascii="宋体" w:hAnsi="宋体" w:cs="宋体"/>
      <w:sz w:val="24"/>
      <w:szCs w:val="24"/>
    </w:rPr>
  </w:style>
  <w:style w:type="character" w:customStyle="1" w:styleId="115">
    <w:name w:val="l6"/>
    <w:qFormat/>
    <w:uiPriority w:val="0"/>
    <w:rPr>
      <w:color w:val="999999"/>
    </w:rPr>
  </w:style>
  <w:style w:type="character" w:customStyle="1" w:styleId="116">
    <w:name w:val="datetime"/>
    <w:qFormat/>
    <w:uiPriority w:val="0"/>
    <w:rPr>
      <w:rFonts w:hint="default" w:ascii="Arial" w:hAnsi="Arial" w:cs="Arial"/>
      <w:color w:val="999999"/>
      <w:sz w:val="21"/>
      <w:szCs w:val="21"/>
    </w:rPr>
  </w:style>
  <w:style w:type="character" w:customStyle="1" w:styleId="117">
    <w:name w:val="txt1"/>
    <w:basedOn w:val="49"/>
    <w:qFormat/>
    <w:uiPriority w:val="0"/>
  </w:style>
  <w:style w:type="character" w:customStyle="1" w:styleId="118">
    <w:name w:val="starting1"/>
    <w:qFormat/>
    <w:uiPriority w:val="0"/>
    <w:rPr>
      <w:color w:val="339900"/>
    </w:rPr>
  </w:style>
  <w:style w:type="character" w:customStyle="1" w:styleId="119">
    <w:name w:val="starting2"/>
    <w:qFormat/>
    <w:uiPriority w:val="0"/>
    <w:rPr>
      <w:color w:val="B60000"/>
    </w:rPr>
  </w:style>
  <w:style w:type="character" w:customStyle="1" w:styleId="120">
    <w:name w:val="标题 1 Char"/>
    <w:link w:val="2"/>
    <w:qFormat/>
    <w:uiPriority w:val="0"/>
    <w:rPr>
      <w:rFonts w:eastAsia="宋体"/>
      <w:b/>
      <w:bCs/>
      <w:kern w:val="44"/>
      <w:sz w:val="44"/>
      <w:szCs w:val="44"/>
      <w:lang w:val="en-US" w:eastAsia="zh-CN" w:bidi="ar-SA"/>
    </w:rPr>
  </w:style>
  <w:style w:type="character" w:customStyle="1" w:styleId="121">
    <w:name w:val="red"/>
    <w:qFormat/>
    <w:uiPriority w:val="0"/>
    <w:rPr>
      <w:rFonts w:hint="default" w:ascii="Arial" w:hAnsi="Arial" w:cs="Arial"/>
      <w:color w:val="E50000"/>
    </w:rPr>
  </w:style>
  <w:style w:type="character" w:customStyle="1" w:styleId="122">
    <w:name w:val="Char Char4"/>
    <w:qFormat/>
    <w:uiPriority w:val="0"/>
    <w:rPr>
      <w:rFonts w:eastAsia="宋体"/>
      <w:b/>
      <w:bCs/>
      <w:kern w:val="44"/>
      <w:sz w:val="44"/>
      <w:szCs w:val="44"/>
      <w:lang w:val="en-US" w:eastAsia="zh-CN" w:bidi="ar-SA"/>
    </w:rPr>
  </w:style>
  <w:style w:type="character" w:customStyle="1" w:styleId="123">
    <w:name w:val="font161"/>
    <w:qFormat/>
    <w:uiPriority w:val="0"/>
    <w:rPr>
      <w:b/>
      <w:bCs/>
      <w:sz w:val="32"/>
      <w:szCs w:val="32"/>
    </w:rPr>
  </w:style>
  <w:style w:type="character" w:customStyle="1" w:styleId="124">
    <w:name w:val="Char Char8"/>
    <w:qFormat/>
    <w:uiPriority w:val="0"/>
    <w:rPr>
      <w:rFonts w:ascii="Arial" w:hAnsi="Arial" w:eastAsia="黑体"/>
      <w:b/>
      <w:bCs/>
      <w:kern w:val="2"/>
      <w:sz w:val="32"/>
      <w:szCs w:val="32"/>
      <w:lang w:val="en-US" w:eastAsia="zh-CN" w:bidi="ar-SA"/>
    </w:rPr>
  </w:style>
  <w:style w:type="character" w:customStyle="1" w:styleId="125">
    <w:name w:val="msg-box29"/>
    <w:basedOn w:val="49"/>
    <w:qFormat/>
    <w:uiPriority w:val="0"/>
  </w:style>
  <w:style w:type="character" w:customStyle="1" w:styleId="126">
    <w:name w:val="over2"/>
    <w:qFormat/>
    <w:uiPriority w:val="0"/>
    <w:rPr>
      <w:color w:val="999999"/>
    </w:rPr>
  </w:style>
  <w:style w:type="character" w:customStyle="1" w:styleId="127">
    <w:name w:val="img_title7"/>
    <w:qFormat/>
    <w:uiPriority w:val="0"/>
    <w:rPr>
      <w:vanish/>
    </w:rPr>
  </w:style>
  <w:style w:type="character" w:customStyle="1" w:styleId="128">
    <w:name w:val="l7"/>
    <w:qFormat/>
    <w:uiPriority w:val="0"/>
    <w:rPr>
      <w:color w:val="999999"/>
    </w:rPr>
  </w:style>
  <w:style w:type="character" w:customStyle="1" w:styleId="129">
    <w:name w:val="标题 5 Char"/>
    <w:link w:val="6"/>
    <w:qFormat/>
    <w:uiPriority w:val="0"/>
    <w:rPr>
      <w:b/>
      <w:bCs/>
      <w:kern w:val="2"/>
      <w:sz w:val="28"/>
      <w:szCs w:val="28"/>
    </w:rPr>
  </w:style>
  <w:style w:type="character" w:customStyle="1" w:styleId="130">
    <w:name w:val="l51"/>
    <w:qFormat/>
    <w:uiPriority w:val="0"/>
    <w:rPr>
      <w:color w:val="999999"/>
    </w:rPr>
  </w:style>
  <w:style w:type="character" w:customStyle="1" w:styleId="131">
    <w:name w:val="num81"/>
    <w:basedOn w:val="49"/>
    <w:qFormat/>
    <w:uiPriority w:val="0"/>
  </w:style>
  <w:style w:type="character" w:customStyle="1" w:styleId="132">
    <w:name w:val="Char Char1"/>
    <w:qFormat/>
    <w:uiPriority w:val="0"/>
    <w:rPr>
      <w:rFonts w:eastAsia="宋体"/>
      <w:kern w:val="2"/>
      <w:sz w:val="21"/>
      <w:szCs w:val="24"/>
      <w:lang w:val="en-US" w:eastAsia="zh-CN" w:bidi="ar-SA"/>
    </w:rPr>
  </w:style>
  <w:style w:type="character" w:customStyle="1" w:styleId="133">
    <w:name w:val="zs"/>
    <w:qFormat/>
    <w:uiPriority w:val="0"/>
    <w:rPr>
      <w:color w:val="8D744B"/>
      <w:sz w:val="18"/>
      <w:szCs w:val="18"/>
    </w:rPr>
  </w:style>
  <w:style w:type="character" w:customStyle="1" w:styleId="134">
    <w:name w:val="bigfont"/>
    <w:basedOn w:val="49"/>
    <w:qFormat/>
    <w:uiPriority w:val="0"/>
  </w:style>
  <w:style w:type="character" w:customStyle="1" w:styleId="135">
    <w:name w:val="txt"/>
    <w:qFormat/>
    <w:uiPriority w:val="0"/>
    <w:rPr>
      <w:color w:val="C0C0C0"/>
    </w:rPr>
  </w:style>
  <w:style w:type="character" w:customStyle="1" w:styleId="136">
    <w:name w:val="纯文本 Char2"/>
    <w:link w:val="24"/>
    <w:qFormat/>
    <w:uiPriority w:val="0"/>
    <w:rPr>
      <w:rFonts w:ascii="Courier New" w:hAnsi="Courier New" w:eastAsia="宋体"/>
      <w:kern w:val="2"/>
      <w:sz w:val="21"/>
      <w:lang w:val="en-US" w:eastAsia="zh-CN" w:bidi="ar-SA"/>
    </w:rPr>
  </w:style>
  <w:style w:type="character" w:customStyle="1" w:styleId="137">
    <w:name w:val="jg"/>
    <w:basedOn w:val="49"/>
    <w:qFormat/>
    <w:uiPriority w:val="0"/>
  </w:style>
  <w:style w:type="character" w:customStyle="1" w:styleId="138">
    <w:name w:val="17"/>
    <w:qFormat/>
    <w:uiPriority w:val="0"/>
    <w:rPr>
      <w:rFonts w:ascii="仿宋_GB2312" w:eastAsia="仿宋_GB2312"/>
      <w:color w:val="auto"/>
      <w:sz w:val="28"/>
      <w:szCs w:val="28"/>
      <w:u w:val="single"/>
    </w:rPr>
  </w:style>
  <w:style w:type="character" w:customStyle="1" w:styleId="139">
    <w:name w:val="job"/>
    <w:basedOn w:val="49"/>
    <w:qFormat/>
    <w:uiPriority w:val="0"/>
  </w:style>
  <w:style w:type="character" w:customStyle="1" w:styleId="140">
    <w:name w:val="job1"/>
    <w:basedOn w:val="49"/>
    <w:qFormat/>
    <w:uiPriority w:val="0"/>
  </w:style>
  <w:style w:type="character" w:customStyle="1" w:styleId="141">
    <w:name w:val="标题 2 Char"/>
    <w:qFormat/>
    <w:uiPriority w:val="0"/>
    <w:rPr>
      <w:rFonts w:ascii="Arial" w:hAnsi="Arial" w:eastAsia="黑体"/>
      <w:b/>
      <w:bCs/>
      <w:kern w:val="2"/>
      <w:sz w:val="21"/>
      <w:szCs w:val="32"/>
      <w:lang w:val="en-US" w:eastAsia="zh-CN" w:bidi="ar-SA"/>
    </w:rPr>
  </w:style>
  <w:style w:type="character" w:customStyle="1" w:styleId="142">
    <w:name w:val="正文文本 Char"/>
    <w:link w:val="20"/>
    <w:qFormat/>
    <w:uiPriority w:val="0"/>
    <w:rPr>
      <w:rFonts w:eastAsia="宋体"/>
      <w:kern w:val="2"/>
      <w:sz w:val="21"/>
      <w:szCs w:val="24"/>
      <w:lang w:val="en-US" w:eastAsia="zh-CN" w:bidi="ar-SA"/>
    </w:rPr>
  </w:style>
  <w:style w:type="character" w:customStyle="1" w:styleId="143">
    <w:name w:val="p05"/>
    <w:basedOn w:val="49"/>
    <w:qFormat/>
    <w:uiPriority w:val="0"/>
  </w:style>
  <w:style w:type="character" w:customStyle="1" w:styleId="144">
    <w:name w:val="Char Char7"/>
    <w:qFormat/>
    <w:uiPriority w:val="0"/>
    <w:rPr>
      <w:rFonts w:ascii="Arial" w:hAnsi="Arial" w:eastAsia="黑体"/>
      <w:b/>
      <w:bCs/>
      <w:kern w:val="2"/>
      <w:sz w:val="32"/>
      <w:szCs w:val="32"/>
      <w:lang w:val="en-US" w:eastAsia="zh-CN" w:bidi="ar-SA"/>
    </w:rPr>
  </w:style>
  <w:style w:type="character" w:customStyle="1" w:styleId="145">
    <w:name w:val="over3"/>
    <w:basedOn w:val="49"/>
    <w:qFormat/>
    <w:uiPriority w:val="0"/>
  </w:style>
  <w:style w:type="character" w:customStyle="1" w:styleId="146">
    <w:name w:val="Char Char3"/>
    <w:qFormat/>
    <w:uiPriority w:val="0"/>
    <w:rPr>
      <w:rFonts w:ascii="Arial" w:hAnsi="Arial" w:eastAsia="黑体"/>
      <w:b/>
      <w:bCs/>
      <w:kern w:val="2"/>
      <w:sz w:val="32"/>
      <w:szCs w:val="32"/>
      <w:lang w:val="en-US" w:eastAsia="zh-CN" w:bidi="ar-SA"/>
    </w:rPr>
  </w:style>
  <w:style w:type="character" w:customStyle="1" w:styleId="147">
    <w:name w:val="Char Char71"/>
    <w:qFormat/>
    <w:uiPriority w:val="0"/>
    <w:rPr>
      <w:rFonts w:ascii="Arial" w:hAnsi="Arial" w:eastAsia="黑体"/>
      <w:b/>
      <w:bCs/>
      <w:kern w:val="2"/>
      <w:sz w:val="32"/>
      <w:szCs w:val="32"/>
      <w:lang w:val="en-US" w:eastAsia="zh-CN" w:bidi="ar-SA"/>
    </w:rPr>
  </w:style>
  <w:style w:type="character" w:customStyle="1" w:styleId="148">
    <w:name w:val="num51"/>
    <w:basedOn w:val="49"/>
    <w:qFormat/>
    <w:uiPriority w:val="0"/>
  </w:style>
  <w:style w:type="character" w:customStyle="1" w:styleId="149">
    <w:name w:val="Char Char Char"/>
    <w:qFormat/>
    <w:uiPriority w:val="0"/>
    <w:rPr>
      <w:rFonts w:eastAsia="宋体"/>
      <w:b/>
      <w:bCs/>
      <w:kern w:val="44"/>
      <w:sz w:val="44"/>
      <w:szCs w:val="44"/>
      <w:lang w:val="en-US" w:eastAsia="zh-CN" w:bidi="ar-SA"/>
    </w:rPr>
  </w:style>
  <w:style w:type="character" w:customStyle="1" w:styleId="150">
    <w:name w:val="msg-box31"/>
    <w:basedOn w:val="49"/>
    <w:qFormat/>
    <w:uiPriority w:val="0"/>
  </w:style>
  <w:style w:type="character" w:customStyle="1" w:styleId="151">
    <w:name w:val="msg-box30"/>
    <w:basedOn w:val="49"/>
    <w:qFormat/>
    <w:uiPriority w:val="0"/>
  </w:style>
  <w:style w:type="character" w:customStyle="1" w:styleId="152">
    <w:name w:val="标题 1 Char Char"/>
    <w:qFormat/>
    <w:uiPriority w:val="0"/>
    <w:rPr>
      <w:rFonts w:eastAsia="宋体"/>
      <w:b/>
      <w:bCs/>
      <w:kern w:val="44"/>
      <w:sz w:val="44"/>
      <w:szCs w:val="44"/>
      <w:lang w:val="en-US" w:eastAsia="zh-CN" w:bidi="ar-SA"/>
    </w:rPr>
  </w:style>
  <w:style w:type="character" w:customStyle="1" w:styleId="153">
    <w:name w:val="标题 3 Char"/>
    <w:link w:val="4"/>
    <w:qFormat/>
    <w:uiPriority w:val="0"/>
    <w:rPr>
      <w:b/>
      <w:bCs/>
      <w:sz w:val="32"/>
      <w:szCs w:val="32"/>
    </w:rPr>
  </w:style>
  <w:style w:type="character" w:customStyle="1" w:styleId="154">
    <w:name w:val="c1"/>
    <w:basedOn w:val="49"/>
    <w:qFormat/>
    <w:uiPriority w:val="0"/>
  </w:style>
  <w:style w:type="character" w:customStyle="1" w:styleId="155">
    <w:name w:val="纯文本 Char1"/>
    <w:qFormat/>
    <w:uiPriority w:val="0"/>
    <w:rPr>
      <w:rFonts w:ascii="Courier New" w:hAnsi="Courier New" w:eastAsia="宋体"/>
      <w:kern w:val="2"/>
      <w:sz w:val="21"/>
      <w:lang w:val="en-US" w:eastAsia="zh-CN" w:bidi="ar-SA"/>
    </w:rPr>
  </w:style>
  <w:style w:type="character" w:customStyle="1" w:styleId="156">
    <w:name w:val="Char Char Char1"/>
    <w:qFormat/>
    <w:uiPriority w:val="0"/>
    <w:rPr>
      <w:rFonts w:ascii="Arial" w:hAnsi="Arial" w:eastAsia="黑体"/>
      <w:b/>
      <w:bCs/>
      <w:kern w:val="2"/>
      <w:sz w:val="32"/>
      <w:szCs w:val="32"/>
      <w:lang w:val="en-US" w:eastAsia="zh-CN" w:bidi="ar-SA"/>
    </w:rPr>
  </w:style>
  <w:style w:type="character" w:customStyle="1" w:styleId="157">
    <w:name w:val="l3"/>
    <w:qFormat/>
    <w:uiPriority w:val="0"/>
    <w:rPr>
      <w:color w:val="999999"/>
    </w:rPr>
  </w:style>
  <w:style w:type="character" w:customStyle="1" w:styleId="158">
    <w:name w:val="tit14"/>
    <w:qFormat/>
    <w:uiPriority w:val="0"/>
    <w:rPr>
      <w:color w:val="B60000"/>
    </w:rPr>
  </w:style>
  <w:style w:type="character" w:customStyle="1" w:styleId="159">
    <w:name w:val="tit10"/>
    <w:qFormat/>
    <w:uiPriority w:val="0"/>
    <w:rPr>
      <w:color w:val="B60000"/>
    </w:rPr>
  </w:style>
  <w:style w:type="character" w:customStyle="1" w:styleId="160">
    <w:name w:val="l21"/>
    <w:qFormat/>
    <w:uiPriority w:val="0"/>
    <w:rPr>
      <w:color w:val="999999"/>
    </w:rPr>
  </w:style>
  <w:style w:type="character" w:customStyle="1" w:styleId="161">
    <w:name w:val="num71"/>
    <w:basedOn w:val="49"/>
    <w:qFormat/>
    <w:uiPriority w:val="0"/>
  </w:style>
  <w:style w:type="character" w:customStyle="1" w:styleId="162">
    <w:name w:val="标题 2 Char Char"/>
    <w:qFormat/>
    <w:uiPriority w:val="0"/>
    <w:rPr>
      <w:rFonts w:ascii="Arial" w:hAnsi="Arial" w:eastAsia="黑体"/>
      <w:b/>
      <w:bCs/>
      <w:kern w:val="2"/>
      <w:sz w:val="32"/>
      <w:szCs w:val="32"/>
      <w:lang w:val="en-US" w:eastAsia="zh-CN" w:bidi="ar-SA"/>
    </w:rPr>
  </w:style>
  <w:style w:type="character" w:customStyle="1" w:styleId="163">
    <w:name w:val="buvis"/>
    <w:qFormat/>
    <w:uiPriority w:val="0"/>
    <w:rPr>
      <w:color w:val="999999"/>
    </w:rPr>
  </w:style>
  <w:style w:type="character" w:customStyle="1" w:styleId="164">
    <w:name w:val="name"/>
    <w:qFormat/>
    <w:uiPriority w:val="0"/>
    <w:rPr>
      <w:color w:val="444444"/>
      <w:sz w:val="21"/>
      <w:szCs w:val="21"/>
    </w:rPr>
  </w:style>
  <w:style w:type="character" w:customStyle="1" w:styleId="165">
    <w:name w:val="layui-this"/>
    <w:qFormat/>
    <w:uiPriority w:val="0"/>
    <w:rPr>
      <w:bdr w:val="single" w:color="EEEEEE" w:sz="6" w:space="0"/>
      <w:shd w:val="clear" w:color="auto" w:fill="FFFFFF"/>
    </w:rPr>
  </w:style>
  <w:style w:type="character" w:customStyle="1" w:styleId="166">
    <w:name w:val="标题 2 Char1"/>
    <w:qFormat/>
    <w:uiPriority w:val="0"/>
    <w:rPr>
      <w:rFonts w:ascii="Arial" w:hAnsi="Arial" w:eastAsia="黑体"/>
      <w:b/>
      <w:bCs/>
      <w:kern w:val="2"/>
      <w:sz w:val="32"/>
      <w:szCs w:val="32"/>
      <w:lang w:val="en-US" w:eastAsia="zh-CN" w:bidi="ar-SA"/>
    </w:rPr>
  </w:style>
  <w:style w:type="character" w:customStyle="1" w:styleId="167">
    <w:name w:val="zw"/>
    <w:qFormat/>
    <w:uiPriority w:val="0"/>
    <w:rPr>
      <w:color w:val="BD1E22"/>
      <w:sz w:val="22"/>
      <w:szCs w:val="22"/>
    </w:rPr>
  </w:style>
  <w:style w:type="character" w:customStyle="1" w:styleId="168">
    <w:name w:val="name1"/>
    <w:qFormat/>
    <w:uiPriority w:val="0"/>
    <w:rPr>
      <w:color w:val="695435"/>
      <w:sz w:val="24"/>
      <w:szCs w:val="24"/>
    </w:rPr>
  </w:style>
  <w:style w:type="character" w:customStyle="1" w:styleId="169">
    <w:name w:val="num61"/>
    <w:basedOn w:val="49"/>
    <w:qFormat/>
    <w:uiPriority w:val="0"/>
  </w:style>
  <w:style w:type="character" w:customStyle="1" w:styleId="170">
    <w:name w:val="mesg-myd"/>
    <w:qFormat/>
    <w:uiPriority w:val="0"/>
    <w:rPr>
      <w:color w:val="EE0000"/>
    </w:rPr>
  </w:style>
  <w:style w:type="character" w:customStyle="1" w:styleId="171">
    <w:name w:val="c2"/>
    <w:basedOn w:val="49"/>
    <w:qFormat/>
    <w:uiPriority w:val="0"/>
  </w:style>
  <w:style w:type="character" w:customStyle="1" w:styleId="172">
    <w:name w:val="c3"/>
    <w:basedOn w:val="49"/>
    <w:qFormat/>
    <w:uiPriority w:val="0"/>
  </w:style>
  <w:style w:type="character" w:customStyle="1" w:styleId="173">
    <w:name w:val="over1"/>
    <w:qFormat/>
    <w:uiPriority w:val="0"/>
    <w:rPr>
      <w:color w:val="B60000"/>
    </w:rPr>
  </w:style>
  <w:style w:type="character" w:customStyle="1" w:styleId="174">
    <w:name w:val="tit13"/>
    <w:qFormat/>
    <w:uiPriority w:val="0"/>
    <w:rPr>
      <w:color w:val="FFFFFF"/>
    </w:rPr>
  </w:style>
  <w:style w:type="character" w:customStyle="1" w:styleId="175">
    <w:name w:val="Char Char21"/>
    <w:qFormat/>
    <w:uiPriority w:val="0"/>
    <w:rPr>
      <w:rFonts w:eastAsia="宋体"/>
      <w:kern w:val="2"/>
      <w:sz w:val="21"/>
      <w:szCs w:val="24"/>
      <w:lang w:val="en-US" w:eastAsia="zh-CN" w:bidi="ar-SA"/>
    </w:rPr>
  </w:style>
  <w:style w:type="character" w:customStyle="1" w:styleId="176">
    <w:name w:val="l41"/>
    <w:qFormat/>
    <w:uiPriority w:val="0"/>
    <w:rPr>
      <w:color w:val="999999"/>
    </w:rPr>
  </w:style>
  <w:style w:type="character" w:customStyle="1" w:styleId="177">
    <w:name w:val="16"/>
    <w:qFormat/>
    <w:uiPriority w:val="0"/>
    <w:rPr>
      <w:rFonts w:ascii="仿宋_GB2312" w:eastAsia="仿宋_GB2312"/>
      <w:color w:val="auto"/>
      <w:sz w:val="28"/>
      <w:szCs w:val="28"/>
    </w:rPr>
  </w:style>
  <w:style w:type="character" w:customStyle="1" w:styleId="178">
    <w:name w:val="num31"/>
    <w:basedOn w:val="49"/>
    <w:qFormat/>
    <w:uiPriority w:val="0"/>
  </w:style>
  <w:style w:type="character" w:customStyle="1" w:styleId="179">
    <w:name w:val="starting4"/>
    <w:basedOn w:val="49"/>
    <w:qFormat/>
    <w:uiPriority w:val="0"/>
  </w:style>
  <w:style w:type="character" w:customStyle="1" w:styleId="180">
    <w:name w:val="bsharetext"/>
    <w:basedOn w:val="49"/>
    <w:qFormat/>
    <w:uiPriority w:val="0"/>
  </w:style>
  <w:style w:type="character" w:customStyle="1" w:styleId="181">
    <w:name w:val="unit"/>
    <w:qFormat/>
    <w:uiPriority w:val="0"/>
    <w:rPr>
      <w:color w:val="999999"/>
    </w:rPr>
  </w:style>
  <w:style w:type="character" w:customStyle="1" w:styleId="182">
    <w:name w:val="nostart2"/>
    <w:qFormat/>
    <w:uiPriority w:val="0"/>
    <w:rPr>
      <w:color w:val="B60000"/>
    </w:rPr>
  </w:style>
  <w:style w:type="character" w:customStyle="1" w:styleId="183">
    <w:name w:val="纯文本 Char"/>
    <w:qFormat/>
    <w:uiPriority w:val="99"/>
    <w:rPr>
      <w:rFonts w:ascii="Courier New" w:hAnsi="Courier New" w:eastAsia="宋体"/>
      <w:kern w:val="2"/>
      <w:sz w:val="21"/>
      <w:lang w:val="en-US" w:eastAsia="zh-CN" w:bidi="ar-SA"/>
    </w:rPr>
  </w:style>
  <w:style w:type="character" w:customStyle="1" w:styleId="184">
    <w:name w:val="Char Char81"/>
    <w:qFormat/>
    <w:uiPriority w:val="0"/>
    <w:rPr>
      <w:rFonts w:ascii="Arial" w:hAnsi="Arial" w:eastAsia="黑体"/>
      <w:b/>
      <w:bCs/>
      <w:kern w:val="2"/>
      <w:sz w:val="32"/>
      <w:szCs w:val="32"/>
      <w:lang w:val="en-US" w:eastAsia="zh-CN" w:bidi="ar-SA"/>
    </w:rPr>
  </w:style>
  <w:style w:type="character" w:customStyle="1" w:styleId="185">
    <w:name w:val="starting"/>
    <w:qFormat/>
    <w:uiPriority w:val="0"/>
    <w:rPr>
      <w:color w:val="339900"/>
    </w:rPr>
  </w:style>
  <w:style w:type="character" w:customStyle="1" w:styleId="186">
    <w:name w:val="nostart1"/>
    <w:qFormat/>
    <w:uiPriority w:val="0"/>
    <w:rPr>
      <w:color w:val="FF0000"/>
    </w:rPr>
  </w:style>
  <w:style w:type="character" w:customStyle="1" w:styleId="187">
    <w:name w:val="num210"/>
    <w:basedOn w:val="49"/>
    <w:qFormat/>
    <w:uiPriority w:val="0"/>
  </w:style>
  <w:style w:type="character" w:customStyle="1" w:styleId="188">
    <w:name w:val="buvis1"/>
    <w:qFormat/>
    <w:uiPriority w:val="0"/>
    <w:rPr>
      <w:color w:val="CC0000"/>
    </w:rPr>
  </w:style>
  <w:style w:type="character" w:customStyle="1" w:styleId="189">
    <w:name w:val="starting3"/>
    <w:basedOn w:val="49"/>
    <w:qFormat/>
    <w:uiPriority w:val="0"/>
  </w:style>
  <w:style w:type="character" w:customStyle="1" w:styleId="190">
    <w:name w:val="textcontents"/>
    <w:basedOn w:val="49"/>
    <w:qFormat/>
    <w:uiPriority w:val="0"/>
  </w:style>
  <w:style w:type="character" w:customStyle="1" w:styleId="191">
    <w:name w:val="num41"/>
    <w:basedOn w:val="49"/>
    <w:qFormat/>
    <w:uiPriority w:val="0"/>
  </w:style>
  <w:style w:type="character" w:customStyle="1" w:styleId="192">
    <w:name w:val="tit9"/>
    <w:qFormat/>
    <w:uiPriority w:val="0"/>
    <w:rPr>
      <w:color w:val="B60000"/>
      <w:sz w:val="27"/>
      <w:szCs w:val="27"/>
      <w:bdr w:val="single" w:color="DFCEB8" w:sz="6" w:space="0"/>
      <w:shd w:val="clear" w:color="auto" w:fill="FFFFFF"/>
    </w:rPr>
  </w:style>
  <w:style w:type="character" w:customStyle="1" w:styleId="193">
    <w:name w:val="name2"/>
    <w:qFormat/>
    <w:uiPriority w:val="0"/>
    <w:rPr>
      <w:color w:val="000000"/>
      <w:sz w:val="39"/>
      <w:szCs w:val="39"/>
    </w:rPr>
  </w:style>
  <w:style w:type="character" w:customStyle="1" w:styleId="194">
    <w:name w:val="img_title8"/>
    <w:qFormat/>
    <w:uiPriority w:val="0"/>
    <w:rPr>
      <w:vanish/>
    </w:rPr>
  </w:style>
  <w:style w:type="character" w:customStyle="1" w:styleId="195">
    <w:name w:val="tit15"/>
    <w:qFormat/>
    <w:uiPriority w:val="0"/>
    <w:rPr>
      <w:b/>
      <w:color w:val="B60000"/>
    </w:rPr>
  </w:style>
  <w:style w:type="character" w:customStyle="1" w:styleId="196">
    <w:name w:val="img_title9"/>
    <w:qFormat/>
    <w:uiPriority w:val="0"/>
    <w:rPr>
      <w:vanish/>
    </w:rPr>
  </w:style>
  <w:style w:type="character" w:customStyle="1" w:styleId="197">
    <w:name w:val="标题 2 Char2"/>
    <w:link w:val="3"/>
    <w:qFormat/>
    <w:uiPriority w:val="0"/>
    <w:rPr>
      <w:rFonts w:ascii="Arial" w:hAnsi="Arial" w:eastAsia="黑体"/>
      <w:b/>
      <w:bCs/>
      <w:kern w:val="2"/>
      <w:sz w:val="21"/>
      <w:szCs w:val="32"/>
      <w:lang w:val="en-US" w:eastAsia="zh-CN" w:bidi="ar-SA"/>
    </w:rPr>
  </w:style>
  <w:style w:type="paragraph" w:customStyle="1" w:styleId="198">
    <w:name w:val="正文 New"/>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199">
    <w:name w:val="font12"/>
    <w:basedOn w:val="49"/>
    <w:qFormat/>
    <w:uiPriority w:val="0"/>
    <w:rPr>
      <w:rFonts w:hint="eastAsia" w:ascii="仿宋" w:hAnsi="仿宋" w:eastAsia="仿宋" w:cs="仿宋"/>
      <w:b/>
      <w:color w:val="000000"/>
      <w:sz w:val="32"/>
      <w:szCs w:val="32"/>
      <w:u w:val="none"/>
    </w:rPr>
  </w:style>
  <w:style w:type="character" w:customStyle="1" w:styleId="200">
    <w:name w:val="font101"/>
    <w:basedOn w:val="49"/>
    <w:qFormat/>
    <w:uiPriority w:val="0"/>
    <w:rPr>
      <w:rFonts w:hint="default" w:ascii="Times New Roman" w:hAnsi="Times New Roman" w:cs="Times New Roman"/>
      <w:color w:val="000000"/>
      <w:sz w:val="24"/>
      <w:szCs w:val="24"/>
      <w:u w:val="none"/>
    </w:rPr>
  </w:style>
  <w:style w:type="character" w:customStyle="1" w:styleId="201">
    <w:name w:val="font111"/>
    <w:basedOn w:val="49"/>
    <w:qFormat/>
    <w:uiPriority w:val="0"/>
    <w:rPr>
      <w:rFonts w:ascii="仿宋_GB2312" w:eastAsia="仿宋_GB2312" w:cs="仿宋_GB2312"/>
      <w:color w:val="000000"/>
      <w:sz w:val="24"/>
      <w:szCs w:val="24"/>
      <w:u w:val="none"/>
    </w:rPr>
  </w:style>
  <w:style w:type="character" w:customStyle="1" w:styleId="202">
    <w:name w:val="font91"/>
    <w:basedOn w:val="49"/>
    <w:qFormat/>
    <w:uiPriority w:val="0"/>
    <w:rPr>
      <w:rFonts w:hint="eastAsia" w:ascii="仿宋" w:hAnsi="仿宋" w:eastAsia="仿宋" w:cs="仿宋"/>
      <w:color w:val="000000"/>
      <w:sz w:val="24"/>
      <w:szCs w:val="24"/>
      <w:u w:val="single"/>
    </w:rPr>
  </w:style>
  <w:style w:type="character" w:customStyle="1" w:styleId="203">
    <w:name w:val="font81"/>
    <w:basedOn w:val="49"/>
    <w:qFormat/>
    <w:uiPriority w:val="0"/>
    <w:rPr>
      <w:rFonts w:hint="default" w:ascii="Times New Roman" w:hAnsi="Times New Roman" w:cs="Times New Roman"/>
      <w:color w:val="000000"/>
      <w:sz w:val="24"/>
      <w:szCs w:val="24"/>
      <w:u w:val="none"/>
    </w:rPr>
  </w:style>
  <w:style w:type="character" w:customStyle="1" w:styleId="204">
    <w:name w:val="font61"/>
    <w:basedOn w:val="49"/>
    <w:qFormat/>
    <w:uiPriority w:val="0"/>
    <w:rPr>
      <w:rFonts w:hint="eastAsia" w:ascii="仿宋_GB2312" w:eastAsia="仿宋_GB2312" w:cs="仿宋_GB2312"/>
      <w:color w:val="000000"/>
      <w:sz w:val="24"/>
      <w:szCs w:val="24"/>
      <w:u w:val="none"/>
    </w:rPr>
  </w:style>
  <w:style w:type="character" w:customStyle="1" w:styleId="205">
    <w:name w:val="font21"/>
    <w:basedOn w:val="49"/>
    <w:qFormat/>
    <w:uiPriority w:val="0"/>
    <w:rPr>
      <w:rFonts w:hint="default" w:ascii="Times New Roman" w:hAnsi="Times New Roman" w:cs="Times New Roman"/>
      <w:color w:val="000000"/>
      <w:sz w:val="24"/>
      <w:szCs w:val="24"/>
      <w:u w:val="none"/>
    </w:rPr>
  </w:style>
  <w:style w:type="character" w:customStyle="1" w:styleId="206">
    <w:name w:val="NormalCharacter"/>
    <w:semiHidden/>
    <w:qFormat/>
    <w:uiPriority w:val="0"/>
    <w:rPr>
      <w:snapToGrid w:val="0"/>
      <w:kern w:val="0"/>
      <w:sz w:val="32"/>
      <w:szCs w:val="32"/>
      <w:lang w:val="en-US" w:eastAsia="zh-CN" w:bidi="ar-SA"/>
    </w:rPr>
  </w:style>
  <w:style w:type="character" w:customStyle="1" w:styleId="207">
    <w:name w:val="first-child1"/>
    <w:basedOn w:val="49"/>
    <w:qFormat/>
    <w:uiPriority w:val="0"/>
  </w:style>
  <w:style w:type="character" w:customStyle="1" w:styleId="208">
    <w:name w:val="hover1"/>
    <w:basedOn w:val="49"/>
    <w:qFormat/>
    <w:uiPriority w:val="0"/>
    <w:rPr>
      <w:color w:val="2590EB"/>
    </w:rPr>
  </w:style>
  <w:style w:type="character" w:customStyle="1" w:styleId="209">
    <w:name w:val="hover2"/>
    <w:basedOn w:val="49"/>
    <w:qFormat/>
    <w:uiPriority w:val="0"/>
  </w:style>
  <w:style w:type="character" w:customStyle="1" w:styleId="210">
    <w:name w:val="hover3"/>
    <w:basedOn w:val="49"/>
    <w:qFormat/>
    <w:uiPriority w:val="0"/>
    <w:rPr>
      <w:color w:val="2590EB"/>
    </w:rPr>
  </w:style>
  <w:style w:type="character" w:customStyle="1" w:styleId="211">
    <w:name w:val="hover4"/>
    <w:basedOn w:val="49"/>
    <w:qFormat/>
    <w:uiPriority w:val="0"/>
    <w:rPr>
      <w:color w:val="2590EB"/>
      <w:shd w:val="clear" w:fill="E9F4FD"/>
    </w:rPr>
  </w:style>
  <w:style w:type="character" w:customStyle="1" w:styleId="212">
    <w:name w:val="mini-outputtext1"/>
    <w:basedOn w:val="49"/>
    <w:qFormat/>
    <w:uiPriority w:val="0"/>
  </w:style>
  <w:style w:type="character" w:customStyle="1" w:styleId="213">
    <w:name w:val="hover"/>
    <w:basedOn w:val="49"/>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103</Pages>
  <Words>15584</Words>
  <Characters>17015</Characters>
  <Lines>411</Lines>
  <Paragraphs>115</Paragraphs>
  <TotalTime>0</TotalTime>
  <ScaleCrop>false</ScaleCrop>
  <LinksUpToDate>false</LinksUpToDate>
  <CharactersWithSpaces>17302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朱启</cp:lastModifiedBy>
  <cp:lastPrinted>2023-06-08T00:43:00Z</cp:lastPrinted>
  <dcterms:modified xsi:type="dcterms:W3CDTF">2026-01-15T07:03:06Z</dcterms:modified>
  <dc:title>标准交易文件</dc:title>
  <cp:revision>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635977EA955D4B57958F98D7C3BCAF13_13</vt:lpwstr>
  </property>
  <property fmtid="{D5CDD505-2E9C-101B-9397-08002B2CF9AE}" pid="4" name="KSOTemplateDocerSaveRecord">
    <vt:lpwstr>eyJoZGlkIjoiZTQ4OTM2MTIyODI3Njc5MTE5MDBiNjA4NzIzYTUzZmEiLCJ1c2VySWQiOiI3MDAwNjg2OTUifQ==</vt:lpwstr>
  </property>
</Properties>
</file>