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F6BD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335485D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63713E5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176611E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1FBC5F30">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354E2B7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C33289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71EB90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42AC7D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1F1FF02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2BDE92B">
      <w:pPr>
        <w:tabs>
          <w:tab w:val="left" w:pos="2410"/>
        </w:tabs>
        <w:autoSpaceDE w:val="0"/>
        <w:autoSpaceDN w:val="0"/>
        <w:adjustRightInd w:val="0"/>
        <w:snapToGrid w:val="0"/>
        <w:spacing w:line="360" w:lineRule="auto"/>
        <w:ind w:left="2444" w:leftChars="304" w:right="-313" w:rightChars="-149" w:hanging="1806" w:hangingChars="5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滁州市中西医结合医院Q开关Nd：YAG（调Q）激光治疗机采购项目</w:t>
      </w:r>
    </w:p>
    <w:p w14:paraId="21C27180">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项目编号：</w:t>
      </w:r>
      <w:r>
        <w:rPr>
          <w:rFonts w:hint="default" w:ascii="宋体" w:hAnsi="宋体" w:eastAsia="宋体"/>
          <w:b/>
          <w:color w:val="auto"/>
          <w:spacing w:val="20"/>
          <w:kern w:val="0"/>
          <w:sz w:val="32"/>
          <w:szCs w:val="32"/>
          <w:highlight w:val="none"/>
          <w:u w:val="single"/>
          <w:lang w:val="en-US" w:eastAsia="zh-CN"/>
        </w:rPr>
        <w:t>czsjcg202609-013</w:t>
      </w:r>
    </w:p>
    <w:p w14:paraId="4374D56E">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滁州市中西医结合医院</w:t>
      </w:r>
    </w:p>
    <w:p w14:paraId="7F72647C">
      <w:pPr>
        <w:tabs>
          <w:tab w:val="left" w:pos="2410"/>
        </w:tabs>
        <w:autoSpaceDE w:val="0"/>
        <w:autoSpaceDN w:val="0"/>
        <w:adjustRightInd w:val="0"/>
        <w:snapToGrid w:val="0"/>
        <w:spacing w:line="360" w:lineRule="auto"/>
        <w:ind w:right="-313" w:rightChars="-149"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滁州市城投工程咨询管理有限公司</w:t>
      </w:r>
    </w:p>
    <w:p w14:paraId="7449241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8C791A2">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09</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23CB911E">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0B3BA70">
      <w:pPr>
        <w:pStyle w:val="22"/>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color w:val="auto"/>
          <w:highlight w:val="none"/>
        </w:rPr>
        <w:t xml:space="preserve">第一章 </w:t>
      </w:r>
      <w:r>
        <w:rPr>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D4EC1F4">
      <w:pPr>
        <w:pStyle w:val="22"/>
        <w:tabs>
          <w:tab w:val="right" w:leader="dot" w:pos="8306"/>
        </w:tabs>
        <w:rPr>
          <w:color w:val="auto"/>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color w:val="auto"/>
          <w:highlight w:val="none"/>
        </w:rPr>
        <w:t>第二章</w:t>
      </w:r>
      <w:r>
        <w:rPr>
          <w:color w:val="auto"/>
          <w:highlight w:val="none"/>
        </w:rPr>
        <w:t xml:space="preserve"> </w:t>
      </w:r>
      <w:r>
        <w:rPr>
          <w:rFonts w:hint="eastAsia"/>
          <w:color w:val="auto"/>
          <w:highlight w:val="none"/>
        </w:rPr>
        <w:t xml:space="preserve"> </w:t>
      </w:r>
      <w:r>
        <w:rPr>
          <w:color w:val="auto"/>
          <w:highlight w:val="none"/>
        </w:rPr>
        <w:t>投标人须知</w:t>
      </w:r>
      <w:r>
        <w:rPr>
          <w:color w:val="auto"/>
          <w:highlight w:val="none"/>
        </w:rPr>
        <w:tab/>
      </w:r>
      <w:r>
        <w:rPr>
          <w:rFonts w:hint="eastAsia"/>
          <w:color w:val="auto"/>
          <w:highlight w:val="none"/>
          <w:lang w:val="en-US" w:eastAsia="zh-CN"/>
        </w:rPr>
        <w:t>4</w:t>
      </w:r>
      <w:r>
        <w:rPr>
          <w:color w:val="auto"/>
          <w:highlight w:val="none"/>
        </w:rPr>
        <w:fldChar w:fldCharType="end"/>
      </w:r>
    </w:p>
    <w:p w14:paraId="5CD39C71">
      <w:pPr>
        <w:pStyle w:val="22"/>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color w:val="auto"/>
          <w:highlight w:val="none"/>
        </w:rPr>
        <w:t>第三章  采购需求</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4</w:t>
      </w:r>
    </w:p>
    <w:p w14:paraId="2329CE7F">
      <w:pPr>
        <w:pStyle w:val="22"/>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color w:val="auto"/>
          <w:highlight w:val="none"/>
        </w:rPr>
        <w:t>第四章  评标方法和标准（综合评分法）</w:t>
      </w:r>
      <w:r>
        <w:rPr>
          <w:color w:val="auto"/>
          <w:highlight w:val="none"/>
        </w:rPr>
        <w:tab/>
      </w:r>
      <w:r>
        <w:rPr>
          <w:rFonts w:hint="eastAsia"/>
          <w:color w:val="auto"/>
          <w:highlight w:val="none"/>
          <w:lang w:val="en-US" w:eastAsia="zh-CN"/>
        </w:rPr>
        <w:t>3</w:t>
      </w:r>
      <w:r>
        <w:rPr>
          <w:color w:val="auto"/>
          <w:highlight w:val="none"/>
        </w:rPr>
        <w:fldChar w:fldCharType="end"/>
      </w:r>
      <w:r>
        <w:rPr>
          <w:rFonts w:hint="eastAsia"/>
          <w:color w:val="auto"/>
          <w:highlight w:val="none"/>
          <w:lang w:val="en-US" w:eastAsia="zh-CN"/>
        </w:rPr>
        <w:t>1</w:t>
      </w:r>
    </w:p>
    <w:p w14:paraId="6CADA58F">
      <w:pPr>
        <w:pStyle w:val="22"/>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color w:val="auto"/>
          <w:highlight w:val="none"/>
        </w:rPr>
        <w:t xml:space="preserve">第五章  </w:t>
      </w:r>
      <w:r>
        <w:rPr>
          <w:color w:val="auto"/>
          <w:highlight w:val="none"/>
        </w:rPr>
        <w:t>政府采购合同</w:t>
      </w:r>
      <w:r>
        <w:rPr>
          <w:color w:val="auto"/>
          <w:highlight w:val="none"/>
        </w:rPr>
        <w:tab/>
      </w:r>
      <w:r>
        <w:rPr>
          <w:rFonts w:hint="eastAsia"/>
          <w:color w:val="auto"/>
          <w:highlight w:val="none"/>
          <w:lang w:val="en-US" w:eastAsia="zh-CN"/>
        </w:rPr>
        <w:t>4</w:t>
      </w:r>
      <w:r>
        <w:rPr>
          <w:color w:val="auto"/>
          <w:highlight w:val="none"/>
        </w:rPr>
        <w:fldChar w:fldCharType="end"/>
      </w:r>
      <w:r>
        <w:rPr>
          <w:rFonts w:hint="eastAsia"/>
          <w:color w:val="auto"/>
          <w:highlight w:val="none"/>
          <w:lang w:val="en-US" w:eastAsia="zh-CN"/>
        </w:rPr>
        <w:t>0</w:t>
      </w:r>
    </w:p>
    <w:p w14:paraId="72C3F5D3">
      <w:pPr>
        <w:pStyle w:val="22"/>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color w:val="auto"/>
          <w:highlight w:val="none"/>
        </w:rPr>
        <w:t>第六章  投标文件格式</w:t>
      </w:r>
      <w:r>
        <w:rPr>
          <w:color w:val="auto"/>
          <w:highlight w:val="none"/>
        </w:rPr>
        <w:tab/>
      </w:r>
      <w:r>
        <w:rPr>
          <w:rFonts w:hint="eastAsia"/>
          <w:color w:val="auto"/>
          <w:highlight w:val="none"/>
          <w:lang w:val="en-US" w:eastAsia="zh-CN"/>
        </w:rPr>
        <w:t>6</w:t>
      </w:r>
      <w:r>
        <w:rPr>
          <w:color w:val="auto"/>
          <w:highlight w:val="none"/>
        </w:rPr>
        <w:fldChar w:fldCharType="end"/>
      </w:r>
      <w:r>
        <w:rPr>
          <w:rFonts w:hint="eastAsia"/>
          <w:color w:val="auto"/>
          <w:highlight w:val="none"/>
          <w:lang w:val="en-US" w:eastAsia="zh-CN"/>
        </w:rPr>
        <w:t>0</w:t>
      </w:r>
    </w:p>
    <w:p w14:paraId="2C44E23C">
      <w:pPr>
        <w:pStyle w:val="22"/>
        <w:tabs>
          <w:tab w:val="right" w:leader="dot" w:pos="8306"/>
        </w:tabs>
        <w:rPr>
          <w:rFonts w:hint="default"/>
          <w:color w:val="auto"/>
          <w:highlight w:val="none"/>
          <w:lang w:val="en-US" w:eastAsia="zh-CN"/>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_Toc18131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rFonts w:hint="eastAsia"/>
          <w:color w:val="auto"/>
          <w:highlight w:val="none"/>
          <w:lang w:val="en-US" w:eastAsia="zh-CN"/>
        </w:rPr>
        <w:t>7</w:t>
      </w:r>
      <w:r>
        <w:rPr>
          <w:rFonts w:asciiTheme="minorEastAsia" w:hAnsiTheme="minorEastAsia" w:eastAsiaTheme="minorEastAsia"/>
          <w:color w:val="auto"/>
          <w:szCs w:val="24"/>
          <w:highlight w:val="none"/>
        </w:rPr>
        <w:fldChar w:fldCharType="end"/>
      </w:r>
      <w:r>
        <w:rPr>
          <w:rFonts w:hint="eastAsia"/>
          <w:color w:val="auto"/>
          <w:highlight w:val="none"/>
          <w:lang w:val="en-US" w:eastAsia="zh-CN"/>
        </w:rPr>
        <w:t>3</w:t>
      </w:r>
    </w:p>
    <w:p w14:paraId="7C257C0E">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69B79FB3">
      <w:pPr>
        <w:pStyle w:val="22"/>
        <w:tabs>
          <w:tab w:val="right" w:leader="dot" w:pos="8306"/>
        </w:tabs>
        <w:rPr>
          <w:rFonts w:hint="eastAsia"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6D13269F">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194DC6B9">
      <w:pPr>
        <w:keepNext/>
        <w:keepLines/>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项目概况</w:t>
      </w:r>
    </w:p>
    <w:p w14:paraId="00690F67">
      <w:pPr>
        <w:keepNext/>
        <w:keepLines/>
        <w:pageBreakBefore w:val="0"/>
        <w:widowControl w:val="0"/>
        <w:suppressLineNumbers w:val="0"/>
        <w:kinsoku/>
        <w:wordWrap w:val="0"/>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val="0"/>
          <w:color w:val="auto"/>
          <w:kern w:val="2"/>
          <w:sz w:val="24"/>
          <w:szCs w:val="24"/>
          <w:highlight w:val="none"/>
          <w:u w:val="single"/>
          <w:lang w:val="en-US" w:eastAsia="zh-CN" w:bidi="ar"/>
        </w:rPr>
        <w:t>滁州市中西医结合医院Q开关Nd：YAG（调Q）激光治疗机采购项目</w:t>
      </w:r>
      <w:r>
        <w:rPr>
          <w:rFonts w:hint="eastAsia" w:ascii="宋体" w:hAnsi="宋体" w:eastAsia="宋体" w:cs="宋体"/>
          <w:color w:val="auto"/>
          <w:kern w:val="2"/>
          <w:sz w:val="24"/>
          <w:szCs w:val="24"/>
          <w:highlight w:val="none"/>
          <w:lang w:val="en-US" w:eastAsia="zh-CN" w:bidi="ar"/>
        </w:rPr>
        <w:t>的潜在投标人应在</w:t>
      </w:r>
      <w:r>
        <w:rPr>
          <w:rFonts w:hint="eastAsia" w:ascii="宋体" w:hAnsi="宋体" w:eastAsia="宋体" w:cs="宋体"/>
          <w:color w:val="auto"/>
          <w:kern w:val="2"/>
          <w:sz w:val="24"/>
          <w:szCs w:val="24"/>
          <w:highlight w:val="none"/>
          <w:u w:val="single"/>
          <w:lang w:val="en-US" w:eastAsia="zh-CN" w:bidi="ar"/>
        </w:rPr>
        <w:t>滁州市公共资源交易中心网（http：//ggzy.chuzhou.gov.cn/）</w:t>
      </w:r>
      <w:r>
        <w:rPr>
          <w:rFonts w:hint="eastAsia" w:ascii="宋体" w:hAnsi="宋体" w:eastAsia="宋体" w:cs="宋体"/>
          <w:color w:val="auto"/>
          <w:kern w:val="2"/>
          <w:sz w:val="24"/>
          <w:szCs w:val="24"/>
          <w:highlight w:val="none"/>
          <w:lang w:val="en-US" w:eastAsia="zh-CN" w:bidi="ar"/>
        </w:rPr>
        <w:t>获取招标文件，并于</w:t>
      </w:r>
      <w:r>
        <w:rPr>
          <w:rFonts w:hint="eastAsia" w:ascii="宋体" w:hAnsi="宋体" w:eastAsia="宋体" w:cs="宋体"/>
          <w:color w:val="auto"/>
          <w:kern w:val="2"/>
          <w:sz w:val="24"/>
          <w:szCs w:val="24"/>
          <w:highlight w:val="none"/>
          <w:u w:val="single"/>
          <w:lang w:val="en-US" w:eastAsia="zh-CN" w:bidi="ar"/>
        </w:rPr>
        <w:t>2026年9月28日8点30分</w:t>
      </w:r>
      <w:r>
        <w:rPr>
          <w:rFonts w:hint="eastAsia" w:ascii="宋体" w:hAnsi="宋体" w:eastAsia="宋体" w:cs="宋体"/>
          <w:color w:val="auto"/>
          <w:kern w:val="2"/>
          <w:sz w:val="24"/>
          <w:szCs w:val="24"/>
          <w:highlight w:val="none"/>
          <w:lang w:val="en-US" w:eastAsia="zh-CN" w:bidi="ar"/>
        </w:rPr>
        <w:t>（北京时间）前递交投标文件。</w:t>
      </w:r>
    </w:p>
    <w:p w14:paraId="4E25CB0E">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一、项目基本情况</w:t>
      </w:r>
    </w:p>
    <w:p w14:paraId="0645DD79">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项目编号：</w:t>
      </w:r>
      <w:r>
        <w:rPr>
          <w:rFonts w:hint="default" w:ascii="宋体" w:hAnsi="宋体" w:eastAsia="宋体" w:cs="宋体"/>
          <w:color w:val="auto"/>
          <w:kern w:val="2"/>
          <w:sz w:val="24"/>
          <w:szCs w:val="24"/>
          <w:highlight w:val="none"/>
          <w:lang w:val="en-US" w:eastAsia="zh-CN" w:bidi="ar"/>
        </w:rPr>
        <w:t>czsjcg202609-013</w:t>
      </w:r>
    </w:p>
    <w:p w14:paraId="02B2611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项目名称：滁州市中西医结合医院Q开关Nd：YAG（调Q）激光治疗机采购项目</w:t>
      </w:r>
    </w:p>
    <w:p w14:paraId="196FDA53">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预算金额：780000.00元</w:t>
      </w:r>
    </w:p>
    <w:p w14:paraId="67BBA7B6">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最高限价：780000.00元，投标报价不得高于最高限价，否则按无效投标处理。</w:t>
      </w:r>
    </w:p>
    <w:p w14:paraId="08AC655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u w:val="none"/>
          <w:lang w:val="en-US" w:eastAsia="zh-CN" w:bidi="ar"/>
        </w:rPr>
      </w:pPr>
      <w:r>
        <w:rPr>
          <w:rFonts w:hint="eastAsia" w:ascii="宋体" w:hAnsi="宋体" w:eastAsia="宋体" w:cs="宋体"/>
          <w:color w:val="auto"/>
          <w:kern w:val="2"/>
          <w:sz w:val="24"/>
          <w:szCs w:val="24"/>
          <w:highlight w:val="none"/>
          <w:lang w:val="en-US" w:eastAsia="zh-CN" w:bidi="ar"/>
        </w:rPr>
        <w:t>采购需求：</w:t>
      </w:r>
      <w:r>
        <w:rPr>
          <w:rFonts w:hint="eastAsia" w:asciiTheme="minorEastAsia" w:hAnsiTheme="minorEastAsia" w:eastAsiaTheme="minorEastAsia"/>
          <w:color w:val="auto"/>
          <w:sz w:val="24"/>
          <w:highlight w:val="none"/>
          <w:u w:val="none"/>
          <w:lang w:val="en-US" w:eastAsia="zh-CN"/>
        </w:rPr>
        <w:t>1台Q开关Nd：YAG（调Q）激光治疗机采购</w:t>
      </w:r>
    </w:p>
    <w:p w14:paraId="7F90AF7F">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合同履行期限：</w:t>
      </w:r>
      <w:r>
        <w:rPr>
          <w:rFonts w:hint="eastAsia" w:asciiTheme="minorEastAsia" w:hAnsiTheme="minorEastAsia" w:eastAsiaTheme="minorEastAsia"/>
          <w:color w:val="auto"/>
          <w:sz w:val="24"/>
          <w:highlight w:val="none"/>
          <w:u w:val="none"/>
        </w:rPr>
        <w:t>自合同签订生效后，接到采购人通知之日起</w:t>
      </w:r>
      <w:r>
        <w:rPr>
          <w:rFonts w:hint="eastAsia" w:asciiTheme="minorEastAsia" w:hAnsiTheme="minorEastAsia" w:eastAsiaTheme="minorEastAsia"/>
          <w:color w:val="auto"/>
          <w:sz w:val="24"/>
          <w:highlight w:val="none"/>
          <w:u w:val="none"/>
          <w:lang w:val="en-US" w:eastAsia="zh-CN"/>
        </w:rPr>
        <w:t>30</w:t>
      </w:r>
      <w:r>
        <w:rPr>
          <w:rFonts w:hint="eastAsia" w:asciiTheme="minorEastAsia" w:hAnsiTheme="minorEastAsia" w:eastAsiaTheme="minorEastAsia"/>
          <w:color w:val="auto"/>
          <w:sz w:val="24"/>
          <w:highlight w:val="none"/>
          <w:u w:val="none"/>
        </w:rPr>
        <w:t>个日历天内完成货物的供货、安装、调试工作，并验收合格交付使用</w:t>
      </w:r>
      <w:r>
        <w:rPr>
          <w:rFonts w:hint="eastAsia" w:ascii="宋体" w:hAnsi="宋体" w:eastAsia="宋体" w:cs="宋体"/>
          <w:color w:val="auto"/>
          <w:kern w:val="2"/>
          <w:sz w:val="24"/>
          <w:szCs w:val="24"/>
          <w:highlight w:val="none"/>
          <w:u w:val="none"/>
          <w:lang w:val="en-US" w:eastAsia="zh-CN" w:bidi="ar"/>
        </w:rPr>
        <w:t>。</w:t>
      </w:r>
    </w:p>
    <w:p w14:paraId="3C0997BF">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本项目不接受联合体投标。</w:t>
      </w:r>
    </w:p>
    <w:p w14:paraId="551A3B09">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二、申请人的资格要求</w:t>
      </w:r>
    </w:p>
    <w:p w14:paraId="586427DA">
      <w:pPr>
        <w:spacing w:line="420" w:lineRule="exact"/>
        <w:ind w:firstLine="435"/>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1.满足《中华人民共和国政府采购法》第二十二条规定；</w:t>
      </w:r>
    </w:p>
    <w:p w14:paraId="3BF0A4AB">
      <w:pPr>
        <w:spacing w:line="420" w:lineRule="exact"/>
        <w:ind w:firstLine="435"/>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34362891">
      <w:pPr>
        <w:spacing w:line="420" w:lineRule="exact"/>
        <w:ind w:firstLine="435"/>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3.本项目的特定资格要求：</w:t>
      </w:r>
    </w:p>
    <w:p w14:paraId="5D938D1A">
      <w:pPr>
        <w:spacing w:line="420" w:lineRule="exact"/>
        <w:ind w:firstLine="435"/>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3.1 投标人为所投产品的生产企业时，所投产品属于第二类、第三类医疗器械时，须具有有效的医疗器械生产许可证；所投产品属于第一类医疗器械时，须在投标文件中提供备案证明材料或承诺函，承诺在合同签订前提供其向所在地设区的市级负责药品监督管理部门完成生产备案的证明材料，若未按规定提供视为自动放弃中标资格；</w:t>
      </w:r>
    </w:p>
    <w:p w14:paraId="4DF1B8C2">
      <w:pPr>
        <w:spacing w:line="420" w:lineRule="exact"/>
        <w:ind w:firstLine="435"/>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 xml:space="preserve">3.2 投标人为经营企业时，所投产品属于第三类医疗器械时，须具有有效的医疗器械经营许可证；所投产品属于第二类医疗器械时，须在投标文件中提供备案证明材料或承诺函，承诺在合同签订前提供其向所在地设区的市级负责药品监督管理部门完成生产备案的证明材料，若未按规定提供视为自动放弃中标资格；如是《医疗器械经营监督管理办法》中提出免于经营许可或备案的情形，无需提供经营许可证或备案凭证（编号），但须在投标文件中进行说明。 </w:t>
      </w:r>
    </w:p>
    <w:p w14:paraId="258DD76A">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三、获取招标文件</w:t>
      </w:r>
    </w:p>
    <w:p w14:paraId="0762409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时间：</w:t>
      </w:r>
      <w:r>
        <w:rPr>
          <w:rFonts w:hint="eastAsia" w:ascii="宋体" w:hAnsi="宋体" w:eastAsia="宋体" w:cs="宋体"/>
          <w:color w:val="auto"/>
          <w:kern w:val="2"/>
          <w:sz w:val="24"/>
          <w:szCs w:val="24"/>
          <w:highlight w:val="none"/>
          <w:u w:val="single"/>
          <w:lang w:val="en-US" w:eastAsia="zh-CN" w:bidi="ar"/>
        </w:rPr>
        <w:t>2026年9月7日</w:t>
      </w:r>
      <w:r>
        <w:rPr>
          <w:rFonts w:hint="eastAsia" w:ascii="宋体" w:hAnsi="宋体" w:eastAsia="宋体" w:cs="宋体"/>
          <w:color w:val="auto"/>
          <w:kern w:val="2"/>
          <w:sz w:val="24"/>
          <w:szCs w:val="24"/>
          <w:highlight w:val="none"/>
          <w:lang w:val="en-US" w:eastAsia="zh-CN" w:bidi="ar"/>
        </w:rPr>
        <w:t>至</w:t>
      </w:r>
      <w:r>
        <w:rPr>
          <w:rFonts w:hint="eastAsia" w:ascii="宋体" w:hAnsi="宋体" w:eastAsia="宋体" w:cs="宋体"/>
          <w:color w:val="auto"/>
          <w:kern w:val="2"/>
          <w:sz w:val="24"/>
          <w:szCs w:val="24"/>
          <w:highlight w:val="none"/>
          <w:u w:val="single"/>
          <w:lang w:val="en-US" w:eastAsia="zh-CN" w:bidi="ar"/>
        </w:rPr>
        <w:t>2026年9月28日（提供期限自本公告发布之日起不得少于5个工作日）</w:t>
      </w:r>
    </w:p>
    <w:p w14:paraId="1DD794F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地点：滁州市公共资源交易中心网</w:t>
      </w:r>
    </w:p>
    <w:p w14:paraId="5B49CD5B">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方式：网上下载</w:t>
      </w:r>
    </w:p>
    <w:p w14:paraId="110C2B8F">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售价：0元</w:t>
      </w:r>
    </w:p>
    <w:p w14:paraId="6312651C">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四、提交投标文件截止时间、开标时间和地点</w:t>
      </w:r>
    </w:p>
    <w:p w14:paraId="2CBE77A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
        </w:rPr>
        <w:t>2026年9月28日8点30分</w:t>
      </w:r>
      <w:r>
        <w:rPr>
          <w:rFonts w:hint="eastAsia" w:ascii="宋体" w:hAnsi="宋体" w:eastAsia="宋体" w:cs="宋体"/>
          <w:color w:val="auto"/>
          <w:kern w:val="0"/>
          <w:sz w:val="24"/>
          <w:szCs w:val="24"/>
          <w:highlight w:val="none"/>
          <w:lang w:val="en-US" w:eastAsia="zh-CN" w:bidi="ar"/>
        </w:rPr>
        <w:t>（北京时间）（自招标文件开始发出之日起至投标人提交投标文件截止之日止，不得少于20日）</w:t>
      </w:r>
    </w:p>
    <w:p w14:paraId="25F93D9D">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地点：</w:t>
      </w:r>
      <w:r>
        <w:rPr>
          <w:rFonts w:hint="eastAsia" w:ascii="宋体" w:hAnsi="宋体" w:eastAsia="宋体" w:cs="宋体"/>
          <w:color w:val="auto"/>
          <w:kern w:val="2"/>
          <w:sz w:val="24"/>
          <w:szCs w:val="24"/>
          <w:highlight w:val="none"/>
          <w:lang w:val="en-US" w:eastAsia="zh-CN" w:bidi="ar"/>
        </w:rPr>
        <w:t>滁州市公共资源交易平台电子交易系统</w:t>
      </w:r>
    </w:p>
    <w:p w14:paraId="1AC60A91">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五、公告期限</w:t>
      </w:r>
    </w:p>
    <w:p w14:paraId="3288B3F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自本公告发布之日起5个工作日。</w:t>
      </w:r>
    </w:p>
    <w:p w14:paraId="3AF9E23F">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六、其他补充事宜</w:t>
      </w:r>
    </w:p>
    <w:p w14:paraId="27C2CD8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w:t>
      </w:r>
      <w:r>
        <w:rPr>
          <w:rFonts w:hint="eastAsia" w:ascii="宋体" w:hAnsi="宋体" w:eastAsia="宋体"/>
          <w:color w:val="auto"/>
          <w:sz w:val="24"/>
          <w:szCs w:val="24"/>
          <w:highlight w:val="none"/>
        </w:rPr>
        <w:t>相关服务电话：（1）安徽省公共资源交易市场主体库使用相关问题（系统登录、信息登记、录入及提交、数字证书关联等）：010-86483801转5-2；（2）CA数字证书有关问题：安徽CA客服400-615-8899、0550-3019013（工作日）,CFCA客服025-66085508、0550-3801669（工作日）；（3）市场主体招标环节和投标环节系统使用问题：0512-58188516（8:00-21:00）、0550-3801701（工作日）</w:t>
      </w:r>
      <w:r>
        <w:rPr>
          <w:rFonts w:hint="eastAsia" w:ascii="宋体" w:hAnsi="宋体" w:eastAsia="宋体" w:cs="宋体"/>
          <w:color w:val="auto"/>
          <w:kern w:val="2"/>
          <w:sz w:val="24"/>
          <w:szCs w:val="24"/>
          <w:highlight w:val="none"/>
          <w:lang w:val="en-US" w:eastAsia="zh-CN" w:bidi="ar"/>
        </w:rPr>
        <w:t>。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10468F2A">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2.请投标人登录滁州市公共资源交易中心网站查看参加本项目的程序。（具体操作步骤和程序请参见服务指南&gt;交易须知&gt;投标人填写投标信息、下载文件及网上提问操作手册）。</w:t>
      </w:r>
    </w:p>
    <w:p w14:paraId="741002C3">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本项目采用不见面开标（远程解密)方式，开标时投标人无须至开标现场进行解密，开标采取远程解密方式解密投标文件，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76754EF3">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p w14:paraId="021A5378">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七、对本次招标提出询问，请按以下方式联系</w:t>
      </w:r>
    </w:p>
    <w:p w14:paraId="3C23B3DA">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1.采购人信息</w:t>
      </w:r>
    </w:p>
    <w:p w14:paraId="40575914">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滁州市中西医结合医院</w:t>
      </w:r>
    </w:p>
    <w:p w14:paraId="7185B6F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滁州市会峰东路788号</w:t>
      </w:r>
    </w:p>
    <w:p w14:paraId="07A18689">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联系人：招标办</w:t>
      </w:r>
    </w:p>
    <w:p w14:paraId="0F78813E">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联系方式：0550-3175359</w:t>
      </w:r>
    </w:p>
    <w:p w14:paraId="0E26A2D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2.采购代理机构信息</w:t>
      </w:r>
    </w:p>
    <w:p w14:paraId="4ED9ABD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滁州市城投工程咨询管理有限公司</w:t>
      </w:r>
    </w:p>
    <w:p w14:paraId="4C23F12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滁州市龙蟠大道109号房产大厦6楼</w:t>
      </w:r>
    </w:p>
    <w:p w14:paraId="6B950416">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联系人：周蓓蕾</w:t>
      </w:r>
    </w:p>
    <w:p w14:paraId="10B1A1A6">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联系方式：0550-3519519、18005505728</w:t>
      </w:r>
    </w:p>
    <w:p w14:paraId="5B5BE9B9">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3.政府采购监督管理部门信息</w:t>
      </w:r>
    </w:p>
    <w:p w14:paraId="10FA0F2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称：滁州市公共资源交易监督管理局</w:t>
      </w:r>
    </w:p>
    <w:p w14:paraId="5C05816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地  址：滁州市龙蟠大道109号房产大厦三楼</w:t>
      </w:r>
    </w:p>
    <w:p w14:paraId="6E206BB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联系方式：0550-3801631</w:t>
      </w:r>
    </w:p>
    <w:p w14:paraId="608B9C38">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18C57B5">
      <w:pPr>
        <w:spacing w:line="360" w:lineRule="auto"/>
        <w:jc w:val="center"/>
        <w:outlineLvl w:val="0"/>
        <w:rPr>
          <w:rFonts w:asciiTheme="minorEastAsia" w:hAnsiTheme="minorEastAsia" w:eastAsiaTheme="minorEastAsia"/>
          <w:b/>
          <w:color w:val="auto"/>
          <w:sz w:val="28"/>
          <w:highlight w:val="none"/>
        </w:rPr>
      </w:pPr>
      <w:bookmarkStart w:id="2"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2"/>
    </w:p>
    <w:p w14:paraId="64B6FEA3">
      <w:pPr>
        <w:spacing w:line="360" w:lineRule="auto"/>
        <w:jc w:val="center"/>
        <w:outlineLvl w:val="1"/>
        <w:rPr>
          <w:rFonts w:asciiTheme="minorEastAsia" w:hAnsiTheme="minorEastAsia" w:eastAsiaTheme="minorEastAsia"/>
          <w:b/>
          <w:color w:val="auto"/>
          <w:sz w:val="24"/>
          <w:highlight w:val="none"/>
        </w:rPr>
      </w:pPr>
      <w:bookmarkStart w:id="3" w:name="_Toc7178"/>
      <w:bookmarkStart w:id="4"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
      <w:bookmarkEnd w:id="4"/>
    </w:p>
    <w:p w14:paraId="5A5844A2">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8"/>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2200"/>
        <w:gridCol w:w="5790"/>
      </w:tblGrid>
      <w:tr w14:paraId="206C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3FFB39D">
            <w:pPr>
              <w:pStyle w:val="47"/>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200" w:type="dxa"/>
            <w:vAlign w:val="center"/>
          </w:tcPr>
          <w:p w14:paraId="19D6320A">
            <w:pPr>
              <w:pStyle w:val="47"/>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790" w:type="dxa"/>
            <w:vAlign w:val="center"/>
          </w:tcPr>
          <w:p w14:paraId="2FB4E373">
            <w:pPr>
              <w:pStyle w:val="47"/>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0161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3A284C04">
            <w:pPr>
              <w:pStyle w:val="48"/>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00" w:type="dxa"/>
            <w:vAlign w:val="center"/>
          </w:tcPr>
          <w:p w14:paraId="3CADCFC5">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5790" w:type="dxa"/>
            <w:vAlign w:val="center"/>
          </w:tcPr>
          <w:p w14:paraId="563595D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737440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7960F10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34DA7AD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5CB1D1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902269E">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0B45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68574295">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2200" w:type="dxa"/>
            <w:vAlign w:val="center"/>
          </w:tcPr>
          <w:p w14:paraId="2E09E2E1">
            <w:pPr>
              <w:pStyle w:val="47"/>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790" w:type="dxa"/>
            <w:vAlign w:val="center"/>
          </w:tcPr>
          <w:p w14:paraId="2BDEABA3">
            <w:pPr>
              <w:pStyle w:val="47"/>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9</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 xml:space="preserve"> 14</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2406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CA98F39">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2200" w:type="dxa"/>
            <w:vAlign w:val="center"/>
          </w:tcPr>
          <w:p w14:paraId="642259BA">
            <w:pPr>
              <w:pStyle w:val="47"/>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790" w:type="dxa"/>
            <w:vAlign w:val="center"/>
          </w:tcPr>
          <w:p w14:paraId="57806FB2">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w:t>
            </w:r>
            <w:r>
              <w:rPr>
                <w:rFonts w:hint="eastAsia" w:ascii="宋体" w:hAnsi="宋体" w:eastAsia="宋体"/>
                <w:b w:val="0"/>
                <w:color w:val="auto"/>
                <w:sz w:val="24"/>
                <w:highlight w:val="none"/>
                <w:lang w:val="en-US" w:eastAsia="zh-CN"/>
              </w:rPr>
              <w:t>/</w:t>
            </w:r>
            <w:r>
              <w:rPr>
                <w:rFonts w:ascii="宋体" w:hAnsi="宋体" w:eastAsia="宋体"/>
                <w:b w:val="0"/>
                <w:color w:val="auto"/>
                <w:sz w:val="24"/>
                <w:highlight w:val="none"/>
              </w:rPr>
              <w:t>个包</w:t>
            </w:r>
          </w:p>
          <w:p w14:paraId="50013DED">
            <w:pPr>
              <w:pStyle w:val="47"/>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lang w:val="en-US" w:eastAsia="zh-CN"/>
              </w:rPr>
              <w:t>/</w:t>
            </w:r>
            <w:r>
              <w:rPr>
                <w:rFonts w:ascii="宋体" w:hAnsi="宋体" w:eastAsia="宋体"/>
                <w:b w:val="0"/>
                <w:bCs w:val="0"/>
                <w:color w:val="auto"/>
                <w:sz w:val="24"/>
                <w:szCs w:val="18"/>
                <w:highlight w:val="none"/>
                <w:u w:val="single"/>
              </w:rPr>
              <w:t xml:space="preserve">    </w:t>
            </w:r>
          </w:p>
        </w:tc>
      </w:tr>
      <w:tr w14:paraId="0B35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190" w:type="dxa"/>
            <w:vAlign w:val="center"/>
          </w:tcPr>
          <w:p w14:paraId="1BC65199">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2200" w:type="dxa"/>
            <w:vAlign w:val="center"/>
          </w:tcPr>
          <w:p w14:paraId="64AAE37F">
            <w:pPr>
              <w:pStyle w:val="47"/>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790" w:type="dxa"/>
            <w:vAlign w:val="center"/>
          </w:tcPr>
          <w:p w14:paraId="57AD57EE">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5E46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38D79604">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2200" w:type="dxa"/>
            <w:vAlign w:val="center"/>
          </w:tcPr>
          <w:p w14:paraId="34FB6B39">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790" w:type="dxa"/>
            <w:vAlign w:val="center"/>
          </w:tcPr>
          <w:p w14:paraId="22923C78">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90 </w:t>
            </w:r>
            <w:r>
              <w:rPr>
                <w:rFonts w:hint="eastAsia" w:ascii="宋体" w:hAnsi="宋体" w:eastAsia="宋体"/>
                <w:b w:val="0"/>
                <w:color w:val="auto"/>
                <w:sz w:val="24"/>
                <w:highlight w:val="none"/>
              </w:rPr>
              <w:t>日历日</w:t>
            </w:r>
          </w:p>
        </w:tc>
      </w:tr>
      <w:tr w14:paraId="0720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10F53FD6">
            <w:pPr>
              <w:pStyle w:val="48"/>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2200" w:type="dxa"/>
            <w:vAlign w:val="center"/>
          </w:tcPr>
          <w:p w14:paraId="046797D8">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790" w:type="dxa"/>
            <w:vAlign w:val="center"/>
          </w:tcPr>
          <w:p w14:paraId="6534AF36">
            <w:pPr>
              <w:pStyle w:val="47"/>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60 </w:t>
            </w:r>
            <w:r>
              <w:rPr>
                <w:rFonts w:hint="eastAsia" w:ascii="宋体" w:hAnsi="宋体" w:eastAsia="宋体"/>
                <w:b w:val="0"/>
                <w:color w:val="auto"/>
                <w:sz w:val="24"/>
                <w:highlight w:val="none"/>
                <w:u w:val="none"/>
              </w:rPr>
              <w:t>分钟内</w:t>
            </w:r>
          </w:p>
        </w:tc>
      </w:tr>
      <w:tr w14:paraId="0822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3C71598">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2200" w:type="dxa"/>
            <w:vAlign w:val="center"/>
          </w:tcPr>
          <w:p w14:paraId="7D28A458">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790" w:type="dxa"/>
            <w:vAlign w:val="center"/>
          </w:tcPr>
          <w:p w14:paraId="3C4B75AB">
            <w:pPr>
              <w:pStyle w:val="47"/>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DB5A2AF">
            <w:pPr>
              <w:pStyle w:val="47"/>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采购人出具委托函委托采购代理机构进行审查</w:t>
            </w:r>
          </w:p>
        </w:tc>
      </w:tr>
      <w:tr w14:paraId="73C6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0F8742D">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2200" w:type="dxa"/>
            <w:vAlign w:val="center"/>
          </w:tcPr>
          <w:p w14:paraId="2728DC43">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790" w:type="dxa"/>
            <w:vAlign w:val="center"/>
          </w:tcPr>
          <w:p w14:paraId="796A6D72">
            <w:pPr>
              <w:pStyle w:val="47"/>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6B920CC7">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58CB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2B32D61">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200" w:type="dxa"/>
            <w:vAlign w:val="center"/>
          </w:tcPr>
          <w:p w14:paraId="26B7C63A">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03357504">
            <w:pPr>
              <w:pStyle w:val="47"/>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790" w:type="dxa"/>
            <w:vAlign w:val="center"/>
          </w:tcPr>
          <w:p w14:paraId="60A2C2D1">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29A251DA">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C425102">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1C011AF">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6D8807C1">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484C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194BFD1">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00" w:type="dxa"/>
            <w:vAlign w:val="center"/>
          </w:tcPr>
          <w:p w14:paraId="6AC3A95A">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5790" w:type="dxa"/>
            <w:vAlign w:val="center"/>
          </w:tcPr>
          <w:p w14:paraId="3D5FE86C">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2C9792C9">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6988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D9866DB">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200" w:type="dxa"/>
            <w:vAlign w:val="center"/>
          </w:tcPr>
          <w:p w14:paraId="7A6A9C24">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790" w:type="dxa"/>
            <w:vAlign w:val="center"/>
          </w:tcPr>
          <w:p w14:paraId="6BA42793">
            <w:pPr>
              <w:pStyle w:val="47"/>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评</w:t>
            </w:r>
            <w:r>
              <w:rPr>
                <w:rFonts w:hint="eastAsia" w:ascii="宋体" w:hAnsi="宋体" w:eastAsia="宋体"/>
                <w:b w:val="0"/>
                <w:color w:val="auto"/>
                <w:sz w:val="24"/>
                <w:highlight w:val="none"/>
                <w:u w:val="none"/>
              </w:rPr>
              <w:t>标委员会推荐3名中标候选人</w:t>
            </w:r>
          </w:p>
        </w:tc>
      </w:tr>
      <w:tr w14:paraId="4FFE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6250783F">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200" w:type="dxa"/>
            <w:vAlign w:val="center"/>
          </w:tcPr>
          <w:p w14:paraId="04CE1A16">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790" w:type="dxa"/>
            <w:vAlign w:val="center"/>
          </w:tcPr>
          <w:p w14:paraId="1FBA94E8">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13220903">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1F0B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26CCC69">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2200" w:type="dxa"/>
            <w:vAlign w:val="center"/>
          </w:tcPr>
          <w:p w14:paraId="67ACE47E">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5790" w:type="dxa"/>
            <w:vAlign w:val="center"/>
          </w:tcPr>
          <w:p w14:paraId="67BA1716">
            <w:pPr>
              <w:pStyle w:val="47"/>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4FC94525">
            <w:pPr>
              <w:pStyle w:val="47"/>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4BF0BC1E">
            <w:pPr>
              <w:pStyle w:val="47"/>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color w:val="auto"/>
                <w:sz w:val="24"/>
                <w:highlight w:val="none"/>
                <w:u w:val="none"/>
                <w:lang w:eastAsia="zh-CN"/>
              </w:rPr>
              <w:t>；</w:t>
            </w:r>
          </w:p>
          <w:p w14:paraId="5F721D45">
            <w:pPr>
              <w:pStyle w:val="47"/>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667A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5BC2906A">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2200" w:type="dxa"/>
            <w:vAlign w:val="center"/>
          </w:tcPr>
          <w:p w14:paraId="5ED11DE2">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790" w:type="dxa"/>
            <w:vAlign w:val="center"/>
          </w:tcPr>
          <w:p w14:paraId="4704AC17">
            <w:pPr>
              <w:pStyle w:val="47"/>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34A1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0830B97B">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2200" w:type="dxa"/>
            <w:vAlign w:val="center"/>
          </w:tcPr>
          <w:p w14:paraId="4FB8E2DE">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790" w:type="dxa"/>
            <w:vAlign w:val="center"/>
          </w:tcPr>
          <w:p w14:paraId="16BC9367">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04779B34">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0406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190" w:type="dxa"/>
            <w:vAlign w:val="center"/>
          </w:tcPr>
          <w:p w14:paraId="5633F95E">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200" w:type="dxa"/>
            <w:vAlign w:val="center"/>
          </w:tcPr>
          <w:p w14:paraId="356326F0">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790" w:type="dxa"/>
          </w:tcPr>
          <w:p w14:paraId="1187F2B0">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7780AC8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4BC1F21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rPr>
              <w:t>%</w:t>
            </w:r>
          </w:p>
          <w:p w14:paraId="7AE1E4C1">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3310F62A">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7A039F8D">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6B08E5BC">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lang w:val="en-US" w:eastAsia="zh-CN"/>
              </w:rPr>
              <w:t>/</w:t>
            </w:r>
            <w:r>
              <w:rPr>
                <w:rFonts w:hint="eastAsia" w:ascii="宋体" w:hAnsi="宋体" w:eastAsia="宋体"/>
                <w:bCs/>
                <w:color w:val="auto"/>
                <w:kern w:val="0"/>
                <w:sz w:val="24"/>
                <w:szCs w:val="28"/>
                <w:highlight w:val="none"/>
              </w:rPr>
              <w:t xml:space="preserve">              </w:t>
            </w:r>
          </w:p>
          <w:p w14:paraId="62D1FDBC">
            <w:pPr>
              <w:spacing w:line="360" w:lineRule="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lang w:val="en-US" w:eastAsia="zh-CN"/>
              </w:rPr>
              <w:t>/</w:t>
            </w:r>
          </w:p>
          <w:p w14:paraId="645E5737">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lang w:val="en-US" w:eastAsia="zh-CN"/>
              </w:rPr>
              <w:t>缴纳</w:t>
            </w:r>
            <w:r>
              <w:rPr>
                <w:rFonts w:hint="eastAsia" w:ascii="宋体" w:hAnsi="宋体" w:eastAsia="宋体"/>
                <w:color w:val="auto"/>
                <w:sz w:val="24"/>
                <w:highlight w:val="none"/>
              </w:rPr>
              <w:t>时间：</w:t>
            </w:r>
            <w:r>
              <w:rPr>
                <w:rFonts w:hint="eastAsia" w:ascii="宋体" w:hAnsi="宋体" w:eastAsia="宋体"/>
                <w:color w:val="auto"/>
                <w:sz w:val="24"/>
                <w:highlight w:val="none"/>
                <w:u w:val="single"/>
                <w:lang w:val="en-US" w:eastAsia="zh-CN"/>
              </w:rPr>
              <w:t>/</w:t>
            </w:r>
          </w:p>
          <w:p w14:paraId="35B46219">
            <w:pPr>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6</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olor w:val="auto"/>
                <w:sz w:val="24"/>
                <w:highlight w:val="none"/>
                <w:u w:val="single"/>
                <w:lang w:val="en-US" w:eastAsia="zh-CN"/>
              </w:rPr>
              <w:t>/</w:t>
            </w:r>
          </w:p>
          <w:p w14:paraId="193E7DA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3C2389BC">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A2180F0">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39D7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190" w:type="dxa"/>
            <w:vAlign w:val="center"/>
          </w:tcPr>
          <w:p w14:paraId="431E17A1">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2200" w:type="dxa"/>
            <w:vAlign w:val="center"/>
          </w:tcPr>
          <w:p w14:paraId="798DBA6D">
            <w:pPr>
              <w:pStyle w:val="47"/>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5790" w:type="dxa"/>
          </w:tcPr>
          <w:p w14:paraId="1FA5F7B6">
            <w:pPr>
              <w:pStyle w:val="2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79A6DADA">
            <w:pPr>
              <w:pStyle w:val="2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78D4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04B4D262">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2200" w:type="dxa"/>
            <w:vAlign w:val="center"/>
          </w:tcPr>
          <w:p w14:paraId="29489B32">
            <w:pPr>
              <w:pStyle w:val="47"/>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5790" w:type="dxa"/>
            <w:vAlign w:val="center"/>
          </w:tcPr>
          <w:p w14:paraId="4C58EA5D">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22E359D9">
            <w:pPr>
              <w:spacing w:before="24" w:line="360" w:lineRule="auto"/>
              <w:rPr>
                <w:rFonts w:hint="eastAsia" w:ascii="宋体" w:hAnsi="宋体" w:eastAsia="宋体"/>
                <w:bCs/>
                <w:color w:val="auto"/>
                <w:kern w:val="0"/>
                <w:sz w:val="24"/>
                <w:szCs w:val="28"/>
                <w:highlight w:val="none"/>
                <w:u w:val="singl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w:t>
            </w:r>
            <w:r>
              <w:rPr>
                <w:rFonts w:hint="eastAsia" w:ascii="宋体" w:hAnsi="宋体" w:eastAsia="宋体" w:cs="宋体"/>
                <w:color w:val="auto"/>
                <w:sz w:val="24"/>
                <w:szCs w:val="24"/>
                <w:highlight w:val="none"/>
                <w:u w:val="single"/>
                <w:lang w:val="en-US" w:eastAsia="zh-CN"/>
              </w:rPr>
              <w:t>中标</w:t>
            </w:r>
            <w:r>
              <w:rPr>
                <w:rFonts w:hint="eastAsia" w:ascii="宋体" w:hAnsi="宋体" w:eastAsia="宋体" w:cs="宋体"/>
                <w:color w:val="auto"/>
                <w:sz w:val="24"/>
                <w:szCs w:val="24"/>
                <w:highlight w:val="none"/>
                <w:u w:val="single"/>
              </w:rPr>
              <w:t>通知书时一次性支付给代理机构。</w:t>
            </w:r>
          </w:p>
          <w:p w14:paraId="095F4565">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color w:val="auto"/>
                <w:sz w:val="24"/>
                <w:szCs w:val="24"/>
                <w:highlight w:val="none"/>
                <w:u w:val="single"/>
                <w:lang w:val="en-US" w:eastAsia="zh-CN"/>
              </w:rPr>
              <w:t>3510元，参考</w:t>
            </w:r>
            <w:r>
              <w:rPr>
                <w:rFonts w:hint="eastAsia" w:ascii="宋体" w:hAnsi="宋体" w:eastAsia="宋体" w:cs="宋体"/>
                <w:b w:val="0"/>
                <w:color w:val="auto"/>
                <w:sz w:val="24"/>
                <w:szCs w:val="24"/>
                <w:highlight w:val="none"/>
                <w:u w:val="single"/>
              </w:rPr>
              <w:t>滁公管综〔2023〕19号《关于进一步明确代理费计取标准的通知》标准，以最高限价计算</w:t>
            </w:r>
            <w:r>
              <w:rPr>
                <w:rFonts w:hint="eastAsia" w:ascii="宋体" w:hAnsi="宋体" w:eastAsia="宋体" w:cs="宋体"/>
                <w:b w:val="0"/>
                <w:bCs w:val="0"/>
                <w:color w:val="auto"/>
                <w:kern w:val="2"/>
                <w:sz w:val="24"/>
                <w:szCs w:val="24"/>
                <w:highlight w:val="none"/>
                <w:u w:val="single"/>
                <w:lang w:eastAsia="zh-CN"/>
              </w:rPr>
              <w:t>。</w:t>
            </w:r>
          </w:p>
        </w:tc>
      </w:tr>
      <w:tr w14:paraId="03E6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729FFCA">
            <w:pPr>
              <w:pStyle w:val="48"/>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2200" w:type="dxa"/>
            <w:vAlign w:val="center"/>
          </w:tcPr>
          <w:p w14:paraId="66F7A880">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790" w:type="dxa"/>
            <w:vAlign w:val="center"/>
          </w:tcPr>
          <w:p w14:paraId="5BEFCF39">
            <w:pPr>
              <w:pStyle w:val="47"/>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供应商</w:t>
            </w:r>
            <w:r>
              <w:rPr>
                <w:rFonts w:hint="eastAsia" w:ascii="宋体" w:hAnsi="宋体" w:eastAsia="宋体"/>
                <w:b w:val="0"/>
                <w:color w:val="auto"/>
                <w:sz w:val="24"/>
                <w:highlight w:val="none"/>
                <w:u w:val="single"/>
                <w:lang w:val="en-US" w:eastAsia="zh-CN"/>
              </w:rPr>
              <w:t>可</w:t>
            </w:r>
            <w:r>
              <w:rPr>
                <w:rFonts w:hint="eastAsia" w:ascii="宋体" w:hAnsi="宋体" w:eastAsia="宋体"/>
                <w:b w:val="0"/>
                <w:color w:val="auto"/>
                <w:sz w:val="24"/>
                <w:highlight w:val="none"/>
                <w:u w:val="single"/>
              </w:rPr>
              <w:t>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711AA64D">
            <w:pPr>
              <w:pStyle w:val="47"/>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b w:val="0"/>
                <w:color w:val="auto"/>
                <w:sz w:val="24"/>
                <w:highlight w:val="none"/>
              </w:rPr>
              <w:t>接收部门：</w:t>
            </w:r>
            <w:r>
              <w:rPr>
                <w:rFonts w:hint="eastAsia" w:ascii="宋体" w:hAnsi="宋体" w:eastAsia="宋体" w:cs="宋体"/>
                <w:b w:val="0"/>
                <w:bCs w:val="0"/>
                <w:color w:val="auto"/>
                <w:sz w:val="24"/>
                <w:szCs w:val="24"/>
                <w:highlight w:val="none"/>
                <w:u w:val="single"/>
                <w:lang w:val="en-US" w:eastAsia="zh-CN"/>
              </w:rPr>
              <w:t>滁州市中西医结合医院、滁州市城投工程咨询管理有限公司</w:t>
            </w:r>
          </w:p>
          <w:p w14:paraId="6EB04F95">
            <w:pPr>
              <w:pStyle w:val="47"/>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cs="宋体"/>
                <w:b w:val="0"/>
                <w:bCs/>
                <w:color w:val="auto"/>
                <w:kern w:val="0"/>
                <w:sz w:val="24"/>
                <w:szCs w:val="24"/>
                <w:highlight w:val="none"/>
                <w:u w:val="single"/>
                <w:lang w:val="en-US" w:eastAsia="zh-CN"/>
              </w:rPr>
              <w:t>0550-3175359、0550-3519519</w:t>
            </w:r>
          </w:p>
          <w:p w14:paraId="358D91FB">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cs="宋体"/>
                <w:b w:val="0"/>
                <w:bCs/>
                <w:color w:val="auto"/>
                <w:kern w:val="0"/>
                <w:sz w:val="24"/>
                <w:szCs w:val="24"/>
                <w:highlight w:val="none"/>
                <w:u w:val="single"/>
                <w:lang w:eastAsia="zh-CN"/>
              </w:rPr>
              <w:t>滁州市会峰东路788号、滁州市龙蟠大道109号房产大厦6楼。</w:t>
            </w:r>
          </w:p>
        </w:tc>
      </w:tr>
      <w:tr w14:paraId="3392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C116B32">
            <w:pPr>
              <w:pStyle w:val="48"/>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2200" w:type="dxa"/>
            <w:vAlign w:val="center"/>
          </w:tcPr>
          <w:p w14:paraId="33374D73">
            <w:pPr>
              <w:pStyle w:val="47"/>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5790" w:type="dxa"/>
            <w:vAlign w:val="center"/>
          </w:tcPr>
          <w:p w14:paraId="5A7B2588">
            <w:pPr>
              <w:pStyle w:val="47"/>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950355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43DCA952">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27104D8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B6EF408">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56B19B9D">
            <w:pPr>
              <w:pStyle w:val="47"/>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645C083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32D8C7AD">
            <w:pPr>
              <w:pStyle w:val="47"/>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4CCE010">
            <w:pPr>
              <w:pStyle w:val="47"/>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4、部分可提供线下政采贷的金融机构</w:t>
            </w:r>
          </w:p>
          <w:p w14:paraId="6A000BF3">
            <w:pPr>
              <w:pStyle w:val="47"/>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市本级</w:t>
            </w:r>
          </w:p>
          <w:p w14:paraId="38C06EC0">
            <w:pPr>
              <w:pStyle w:val="47"/>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金融机构名称：兴业银行滁州分行</w:t>
            </w:r>
          </w:p>
          <w:p w14:paraId="57D1C964">
            <w:pPr>
              <w:pStyle w:val="47"/>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安徽省滁州市琅琊区丰乐大道1090号</w:t>
            </w:r>
          </w:p>
          <w:p w14:paraId="22C343B7">
            <w:pPr>
              <w:pStyle w:val="47"/>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俞冉：18256950224</w:t>
            </w:r>
          </w:p>
          <w:p w14:paraId="5C52AA10">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5</w:t>
            </w:r>
            <w:r>
              <w:rPr>
                <w:rFonts w:hint="eastAsia" w:ascii="宋体" w:hAnsi="宋体" w:eastAsia="宋体" w:cs="宋体"/>
                <w:b w:val="0"/>
                <w:color w:val="auto"/>
                <w:kern w:val="2"/>
                <w:sz w:val="24"/>
                <w:szCs w:val="24"/>
                <w:highlight w:val="none"/>
              </w:rPr>
              <w:t>、特别提示：</w:t>
            </w:r>
          </w:p>
          <w:p w14:paraId="1C81F2D1">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1834C6AE">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3F58681A">
            <w:pPr>
              <w:pStyle w:val="47"/>
              <w:keepNext w:val="0"/>
              <w:keepLines w:val="0"/>
              <w:pageBreakBefore w:val="0"/>
              <w:widowControl w:val="0"/>
              <w:kinsoku/>
              <w:wordWrap w:val="0"/>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r>
              <w:rPr>
                <w:rFonts w:hint="eastAsia" w:ascii="宋体" w:hAnsi="宋体" w:eastAsia="宋体" w:cs="宋体"/>
                <w:b w:val="0"/>
                <w:color w:val="auto"/>
                <w:kern w:val="2"/>
                <w:sz w:val="24"/>
                <w:szCs w:val="24"/>
                <w:highlight w:val="none"/>
                <w:lang w:eastAsia="zh-CN"/>
              </w:rPr>
              <w:t>。</w:t>
            </w:r>
          </w:p>
          <w:p w14:paraId="6ACBEBB2">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A9835C8">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 xml:space="preserve">（4）投标人应当用本单位CA数字证书制作投标文件，制作成功后进行投标文件上传。 </w:t>
            </w:r>
          </w:p>
          <w:p w14:paraId="2D9FCBFD">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3120C32D">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5EDF56C">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0860D574">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1C5EAE69">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1EEAE4F3">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5B749437">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6</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评标过程中的澄清、说明或补正：</w:t>
            </w:r>
          </w:p>
          <w:p w14:paraId="1265C4B7">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52DF9E9F">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685AE56E">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7</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同义词语：</w:t>
            </w:r>
          </w:p>
          <w:p w14:paraId="619283F7">
            <w:pPr>
              <w:pStyle w:val="47"/>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  投标文件格式</w:t>
            </w:r>
            <w:bookmarkStart w:id="75" w:name="_GoBack"/>
            <w:bookmarkEnd w:id="75"/>
            <w:r>
              <w:rPr>
                <w:rFonts w:hint="eastAsia" w:ascii="宋体" w:hAnsi="宋体" w:eastAsia="宋体" w:cs="宋体"/>
                <w:b w:val="0"/>
                <w:color w:val="auto"/>
                <w:kern w:val="2"/>
                <w:sz w:val="24"/>
                <w:szCs w:val="24"/>
                <w:highlight w:val="none"/>
              </w:rPr>
              <w:t>等章节中 “招标人”、“供应商”，等同于“采购人”、“投标人”。</w:t>
            </w:r>
          </w:p>
          <w:p w14:paraId="6A890178">
            <w:pPr>
              <w:pStyle w:val="47"/>
              <w:widowControl w:val="0"/>
              <w:numPr>
                <w:ilvl w:val="0"/>
                <w:numId w:val="2"/>
              </w:numPr>
              <w:spacing w:before="0" w:beforeAutospacing="0" w:after="0" w:afterAutospacing="0" w:line="360" w:lineRule="auto"/>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落实政府采购支持节能产品、环境标志产品政策。</w:t>
            </w:r>
          </w:p>
          <w:p w14:paraId="64177FC7">
            <w:pPr>
              <w:pStyle w:val="47"/>
              <w:widowControl w:val="0"/>
              <w:numPr>
                <w:ilvl w:val="0"/>
                <w:numId w:val="2"/>
              </w:numPr>
              <w:spacing w:before="0" w:beforeAutospacing="0" w:after="0" w:afterAutospacing="0" w:line="360" w:lineRule="auto"/>
              <w:jc w:val="both"/>
              <w:rPr>
                <w:rFonts w:hint="default" w:ascii="宋体" w:hAnsi="宋体" w:eastAsia="宋体" w:cs="宋体"/>
                <w:b w:val="0"/>
                <w:color w:val="auto"/>
                <w:kern w:val="2"/>
                <w:sz w:val="24"/>
                <w:szCs w:val="24"/>
                <w:highlight w:val="none"/>
                <w:lang w:val="en-US" w:eastAsia="zh-CN"/>
              </w:rPr>
            </w:pP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65907217">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 w:name="_Toc24882"/>
      <w:bookmarkStart w:id="6"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5"/>
      <w:bookmarkEnd w:id="6"/>
    </w:p>
    <w:p w14:paraId="4B70FAC4">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35FE1A8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5C75BB3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0DEC814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351E4A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4D51AC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0199B7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4D5BC3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783A180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21813C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4CBB9E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2E9E1CB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78C176F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1F5156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5903D81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73A451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0508061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4A936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516EB354">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3A13F4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74F48D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36ECFFC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27E1F18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FD3C8A9">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3CEF2FD1">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4388D53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69B308BA">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4AD863F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4210A5F7">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B8041DE">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168A7DF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3BAEFF8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47A74B1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AA398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50AF67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2386F3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C9952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50C45233">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101781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2AB185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71D42D9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9372C1B">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6A55596F">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2A5430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2C301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86C6F2F">
      <w:pPr>
        <w:spacing w:line="360" w:lineRule="auto"/>
        <w:ind w:firstLine="435"/>
        <w:rPr>
          <w:rFonts w:asciiTheme="minorEastAsia" w:hAnsiTheme="minorEastAsia" w:eastAsiaTheme="minorEastAsia"/>
          <w:color w:val="auto"/>
          <w:sz w:val="24"/>
          <w:highlight w:val="none"/>
        </w:rPr>
      </w:pPr>
      <w:bookmarkStart w:id="7"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7"/>
    <w:p w14:paraId="0763D6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5874E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B82D16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589888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49CD2ED0">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8" w:name="_Hlk11703583"/>
      <w:r>
        <w:rPr>
          <w:rFonts w:hint="eastAsia" w:asciiTheme="minorEastAsia" w:hAnsiTheme="minorEastAsia" w:eastAsiaTheme="minorEastAsia"/>
          <w:color w:val="auto"/>
          <w:sz w:val="24"/>
          <w:highlight w:val="none"/>
          <w:lang w:val="en-US" w:eastAsia="zh-CN"/>
        </w:rPr>
        <w:t>等。</w:t>
      </w:r>
    </w:p>
    <w:bookmarkEnd w:id="8"/>
    <w:p w14:paraId="473A8A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565A6F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6AB596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6A7B6E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29C253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3B16A1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13D2B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326C3D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30640E7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6DEA75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45AE6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520F61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5179B13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5F107FC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9F45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43A1A82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D61EB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0D007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7F613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6E9BE2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4E56B2DF">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2596BC0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3D8364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1A0F18A2">
      <w:pPr>
        <w:spacing w:line="360" w:lineRule="auto"/>
        <w:ind w:firstLine="435"/>
        <w:rPr>
          <w:rFonts w:hint="eastAsia" w:ascii="宋体" w:hAnsi="宋体" w:eastAsia="宋体" w:cs="宋体"/>
          <w:color w:val="auto"/>
          <w:sz w:val="24"/>
          <w:szCs w:val="24"/>
          <w:highlight w:val="none"/>
        </w:rPr>
      </w:pPr>
      <w:bookmarkStart w:id="9"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84138F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23883C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9"/>
    <w:p w14:paraId="59901E2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038E5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542453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7C7155C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3C9F7B1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C87C34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6E2AC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657E5D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08EBF9D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937766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372619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649250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5282B1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19E05E6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2698F31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A133B5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062700D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731DB01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5BC139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BCAFA5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70BD35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6E6C0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3F0BFA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5C6A63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5792F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53A34C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157D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A00AB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3D56F626">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59C368F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13DA5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64C15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1160514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49F5C35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0380E6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177120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25932C5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61A58CD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655A989">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2E44DFA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A5D5DE2">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634B715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72B508C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7083F901">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3D7B5EA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6DA4EE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116C9E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2157EB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65F6B2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48AC8A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3CA69F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37031B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3EA0D6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052EBDD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30712FE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F6796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4D24AE7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61A00F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3F09D8C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05F520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69EAE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02E4B2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7C06C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D429A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D998D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3C856CD0">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olor w:val="auto"/>
          <w:sz w:val="24"/>
          <w:szCs w:val="18"/>
          <w:highlight w:val="none"/>
          <w:lang w:val="en-US" w:eastAsia="zh-CN"/>
        </w:rPr>
        <w:t>和滁州市公共资源交易中心网（http：//ggzy.chuzhou.gov.cn/）</w:t>
      </w:r>
      <w:r>
        <w:rPr>
          <w:rFonts w:hint="eastAsia" w:ascii="宋体" w:hAnsi="宋体" w:eastAsia="宋体"/>
          <w:color w:val="auto"/>
          <w:sz w:val="24"/>
          <w:szCs w:val="18"/>
          <w:highlight w:val="none"/>
        </w:rPr>
        <w:t>上发布中标结果公告。</w:t>
      </w:r>
    </w:p>
    <w:p w14:paraId="0543D7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F4AB2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5B62D3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507A39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2C0159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76EAB46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5FE8C9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23A9E52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A8EBB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DB2176E">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267899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66D18C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7DEF5F3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1DDB2CA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F7818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1E46B5AE">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0AC70CB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534ACF2D">
      <w:pPr>
        <w:spacing w:line="360" w:lineRule="auto"/>
        <w:ind w:firstLine="437"/>
        <w:outlineLvl w:val="2"/>
        <w:rPr>
          <w:rFonts w:asciiTheme="minorEastAsia" w:hAnsiTheme="minorEastAsia" w:eastAsiaTheme="minorEastAsia"/>
          <w:b/>
          <w:color w:val="auto"/>
          <w:sz w:val="24"/>
          <w:highlight w:val="none"/>
        </w:rPr>
      </w:pPr>
      <w:bookmarkStart w:id="10" w:name="_Toc518923100"/>
      <w:bookmarkStart w:id="11"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10"/>
      <w:bookmarkEnd w:id="11"/>
    </w:p>
    <w:p w14:paraId="57E7E57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66FD08C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0FE3F749">
      <w:pPr>
        <w:spacing w:line="360" w:lineRule="auto"/>
        <w:ind w:firstLine="437"/>
        <w:outlineLvl w:val="2"/>
        <w:rPr>
          <w:rFonts w:asciiTheme="minorEastAsia" w:hAnsiTheme="minorEastAsia" w:eastAsiaTheme="minorEastAsia"/>
          <w:b/>
          <w:color w:val="auto"/>
          <w:sz w:val="24"/>
          <w:highlight w:val="none"/>
        </w:rPr>
      </w:pPr>
      <w:bookmarkStart w:id="12" w:name="_Toc2583662"/>
      <w:bookmarkStart w:id="13"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12"/>
      <w:bookmarkEnd w:id="13"/>
    </w:p>
    <w:p w14:paraId="2C612B59">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5E0A22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24BF9DE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D4281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A12E93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8B9C37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F19AFF4">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32.投诉</w:t>
      </w:r>
    </w:p>
    <w:p w14:paraId="7056A4C1">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7B9B2D09">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2905751F">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32.3政府采购监督管理部门在处理投诉事项期间，可以视具体情况书面通知采购人暂停采购活动，但暂停时间最长不得超过30日。</w:t>
      </w:r>
    </w:p>
    <w:p w14:paraId="646C671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12788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6D22F2D9">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2753E68F">
      <w:pPr>
        <w:spacing w:line="360" w:lineRule="auto"/>
        <w:jc w:val="center"/>
        <w:outlineLvl w:val="0"/>
        <w:rPr>
          <w:rFonts w:hint="eastAsia" w:asciiTheme="minorEastAsia" w:hAnsiTheme="minorEastAsia" w:eastAsiaTheme="minorEastAsia"/>
          <w:b/>
          <w:color w:val="auto"/>
          <w:sz w:val="28"/>
          <w:highlight w:val="none"/>
          <w:lang w:eastAsia="zh-CN"/>
        </w:rPr>
      </w:pPr>
      <w:bookmarkStart w:id="14" w:name="_Toc10891"/>
      <w:r>
        <w:rPr>
          <w:rFonts w:hint="eastAsia" w:asciiTheme="minorEastAsia" w:hAnsiTheme="minorEastAsia" w:eastAsiaTheme="minorEastAsia"/>
          <w:b/>
          <w:color w:val="auto"/>
          <w:sz w:val="28"/>
          <w:highlight w:val="none"/>
        </w:rPr>
        <w:t>第三章  采购需求</w:t>
      </w:r>
      <w:bookmarkEnd w:id="14"/>
    </w:p>
    <w:p w14:paraId="45E7C9AE">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75CFF1C6">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4A89834D">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0BA38769">
      <w:pPr>
        <w:spacing w:line="360" w:lineRule="auto"/>
        <w:ind w:firstLine="43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（1）如属于《节能产品政府采购品目清单》中政府强制采购的节能产品，则在投标文件中提供</w:t>
      </w:r>
      <w:r>
        <w:rPr>
          <w:rFonts w:hint="eastAsia" w:ascii="宋体" w:hAnsi="宋体" w:eastAsia="宋体" w:cs="宋体"/>
          <w:color w:val="auto"/>
          <w:sz w:val="24"/>
          <w:szCs w:val="24"/>
          <w:highlight w:val="none"/>
          <w:lang w:val="en-US" w:eastAsia="zh-CN"/>
        </w:rPr>
        <w:t>所投</w:t>
      </w:r>
      <w:r>
        <w:rPr>
          <w:rFonts w:hint="eastAsia" w:ascii="宋体" w:hAnsi="宋体" w:eastAsia="宋体" w:cs="宋体"/>
          <w:color w:val="auto"/>
          <w:sz w:val="24"/>
          <w:szCs w:val="24"/>
          <w:highlight w:val="none"/>
        </w:rPr>
        <w:t>产品须具有市场监管总局公布的《参与实施政府采购节能产品认证机构目录》中的认证机构出具的、处于有效期内的节能产品认证证书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否则按无效标处理。</w:t>
      </w:r>
    </w:p>
    <w:p w14:paraId="036B463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A109AA0">
      <w:pPr>
        <w:spacing w:line="360" w:lineRule="auto"/>
        <w:ind w:firstLine="435"/>
        <w:rPr>
          <w:rFonts w:hint="eastAsia" w:eastAsia="宋体"/>
          <w:color w:val="auto"/>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r>
        <w:rPr>
          <w:rFonts w:hint="eastAsia" w:ascii="宋体" w:hAnsi="宋体" w:eastAsia="宋体"/>
          <w:color w:val="auto"/>
          <w:sz w:val="24"/>
          <w:szCs w:val="18"/>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52693748">
      <w:pPr>
        <w:spacing w:line="360" w:lineRule="auto"/>
        <w:ind w:firstLine="437"/>
        <w:outlineLvl w:val="1"/>
        <w:rPr>
          <w:rFonts w:ascii="宋体" w:hAnsi="宋体" w:eastAsia="宋体"/>
          <w:b/>
          <w:color w:val="auto"/>
          <w:sz w:val="24"/>
          <w:szCs w:val="18"/>
          <w:highlight w:val="none"/>
        </w:rPr>
      </w:pPr>
      <w:bookmarkStart w:id="15" w:name="_Toc32151"/>
      <w:bookmarkStart w:id="16" w:name="_Toc2554"/>
      <w:r>
        <w:rPr>
          <w:rFonts w:hint="eastAsia" w:ascii="宋体" w:hAnsi="宋体" w:eastAsia="宋体"/>
          <w:b/>
          <w:color w:val="auto"/>
          <w:sz w:val="24"/>
          <w:szCs w:val="18"/>
          <w:highlight w:val="none"/>
        </w:rPr>
        <w:t>一、采购需求前附表</w:t>
      </w:r>
      <w:bookmarkEnd w:id="15"/>
      <w:bookmarkEnd w:id="16"/>
    </w:p>
    <w:tbl>
      <w:tblPr>
        <w:tblStyle w:val="28"/>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026"/>
        <w:gridCol w:w="6592"/>
      </w:tblGrid>
      <w:tr w14:paraId="7163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3362F88C">
            <w:pPr>
              <w:pStyle w:val="48"/>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026" w:type="dxa"/>
            <w:vAlign w:val="center"/>
          </w:tcPr>
          <w:p w14:paraId="4EAB7298">
            <w:pPr>
              <w:pStyle w:val="47"/>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592" w:type="dxa"/>
            <w:vAlign w:val="center"/>
          </w:tcPr>
          <w:p w14:paraId="0B8F7170">
            <w:pPr>
              <w:pStyle w:val="47"/>
              <w:widowControl w:val="0"/>
              <w:spacing w:before="0" w:beforeAutospacing="0" w:after="0" w:afterAutospacing="0" w:line="360" w:lineRule="auto"/>
              <w:rPr>
                <w:rFonts w:ascii="宋体" w:hAnsi="宋体" w:eastAsia="宋体"/>
                <w:bCs w:val="0"/>
                <w:color w:val="auto"/>
                <w:sz w:val="24"/>
                <w:highlight w:val="none"/>
                <w:u w:val="none"/>
              </w:rPr>
            </w:pPr>
            <w:r>
              <w:rPr>
                <w:rFonts w:hint="eastAsia" w:ascii="宋体" w:hAnsi="宋体" w:eastAsia="宋体"/>
                <w:bCs w:val="0"/>
                <w:color w:val="auto"/>
                <w:sz w:val="24"/>
                <w:highlight w:val="none"/>
                <w:u w:val="none"/>
              </w:rPr>
              <w:t>内容、说明与要求</w:t>
            </w:r>
          </w:p>
        </w:tc>
      </w:tr>
      <w:tr w14:paraId="37A2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8E3D92E">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026" w:type="dxa"/>
            <w:vAlign w:val="center"/>
          </w:tcPr>
          <w:p w14:paraId="7371E411">
            <w:pPr>
              <w:pStyle w:val="4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592" w:type="dxa"/>
            <w:vAlign w:val="center"/>
          </w:tcPr>
          <w:p w14:paraId="699CA0EC">
            <w:pPr>
              <w:pStyle w:val="4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合同签订且具备实施条件后，支付合同价的40%预付款（预付款支付前，中标人须提供同等金额的见索即付保函），全部供货安装调试完毕并</w:t>
            </w:r>
            <w:r>
              <w:rPr>
                <w:rFonts w:hint="eastAsia" w:ascii="宋体" w:hAnsi="宋体" w:eastAsia="宋体"/>
                <w:b w:val="0"/>
                <w:color w:val="auto"/>
                <w:sz w:val="24"/>
                <w:highlight w:val="none"/>
                <w:lang w:val="en-US" w:eastAsia="zh-CN"/>
              </w:rPr>
              <w:t>经</w:t>
            </w:r>
            <w:r>
              <w:rPr>
                <w:rFonts w:hint="eastAsia" w:ascii="宋体" w:hAnsi="宋体" w:eastAsia="宋体"/>
                <w:b w:val="0"/>
                <w:color w:val="auto"/>
                <w:sz w:val="24"/>
                <w:highlight w:val="none"/>
              </w:rPr>
              <w:t>验收合格后，</w:t>
            </w:r>
            <w:r>
              <w:rPr>
                <w:rFonts w:hint="eastAsia" w:ascii="宋体" w:hAnsi="宋体" w:eastAsia="宋体"/>
                <w:b w:val="0"/>
                <w:color w:val="auto"/>
                <w:sz w:val="24"/>
                <w:highlight w:val="none"/>
                <w:lang w:val="en-US" w:eastAsia="zh-CN"/>
              </w:rPr>
              <w:t>采购人支付剩余合同价款。</w:t>
            </w:r>
          </w:p>
        </w:tc>
      </w:tr>
      <w:tr w14:paraId="2FE9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6CF0FB8">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026" w:type="dxa"/>
            <w:vAlign w:val="center"/>
          </w:tcPr>
          <w:p w14:paraId="7C09AAA5">
            <w:pPr>
              <w:pStyle w:val="4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6592" w:type="dxa"/>
            <w:vAlign w:val="center"/>
          </w:tcPr>
          <w:p w14:paraId="03C7E1EE">
            <w:pPr>
              <w:pStyle w:val="47"/>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lang w:eastAsia="zh-CN"/>
              </w:rPr>
              <w:t>滁州市</w:t>
            </w:r>
            <w:r>
              <w:rPr>
                <w:rFonts w:hint="eastAsia" w:ascii="宋体" w:hAnsi="宋体" w:eastAsia="宋体"/>
                <w:b w:val="0"/>
                <w:color w:val="auto"/>
                <w:sz w:val="24"/>
                <w:highlight w:val="none"/>
                <w:u w:val="none"/>
                <w:lang w:val="en-US" w:eastAsia="zh-CN"/>
              </w:rPr>
              <w:t>中西医结合医院</w:t>
            </w:r>
            <w:r>
              <w:rPr>
                <w:rFonts w:hint="eastAsia" w:ascii="宋体" w:hAnsi="宋体" w:eastAsia="宋体"/>
                <w:b w:val="0"/>
                <w:color w:val="auto"/>
                <w:sz w:val="24"/>
                <w:highlight w:val="none"/>
                <w:u w:val="none"/>
              </w:rPr>
              <w:t>，采购人指定地点。</w:t>
            </w:r>
          </w:p>
        </w:tc>
      </w:tr>
      <w:tr w14:paraId="6E29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DBBF0FA">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026" w:type="dxa"/>
            <w:vAlign w:val="center"/>
          </w:tcPr>
          <w:p w14:paraId="71F0CE98">
            <w:pPr>
              <w:pStyle w:val="4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6592" w:type="dxa"/>
            <w:vAlign w:val="center"/>
          </w:tcPr>
          <w:p w14:paraId="0898D0A1">
            <w:pPr>
              <w:pStyle w:val="47"/>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rPr>
              <w:t>自合同签订生效后，接到采购人通知之日起</w:t>
            </w:r>
            <w:r>
              <w:rPr>
                <w:rFonts w:hint="eastAsia" w:asciiTheme="minorEastAsia" w:hAnsiTheme="minorEastAsia" w:eastAsiaTheme="minorEastAsia"/>
                <w:b w:val="0"/>
                <w:bCs w:val="0"/>
                <w:color w:val="auto"/>
                <w:sz w:val="24"/>
                <w:highlight w:val="none"/>
                <w:u w:val="none"/>
                <w:lang w:val="en-US" w:eastAsia="zh-CN"/>
              </w:rPr>
              <w:t>30</w:t>
            </w:r>
            <w:r>
              <w:rPr>
                <w:rFonts w:hint="eastAsia" w:asciiTheme="minorEastAsia" w:hAnsiTheme="minorEastAsia" w:eastAsiaTheme="minorEastAsia"/>
                <w:b w:val="0"/>
                <w:bCs w:val="0"/>
                <w:color w:val="auto"/>
                <w:sz w:val="24"/>
                <w:highlight w:val="none"/>
                <w:u w:val="none"/>
              </w:rPr>
              <w:t>个日历天内完成货物的供货、安装、调试工作，并验收合格交付使用</w:t>
            </w:r>
            <w:r>
              <w:rPr>
                <w:rFonts w:hint="eastAsia" w:ascii="宋体" w:hAnsi="宋体" w:eastAsia="宋体" w:cs="宋体"/>
                <w:b w:val="0"/>
                <w:bCs w:val="0"/>
                <w:color w:val="auto"/>
                <w:kern w:val="2"/>
                <w:sz w:val="24"/>
                <w:szCs w:val="24"/>
                <w:highlight w:val="none"/>
                <w:u w:val="none"/>
                <w:lang w:val="en-US" w:eastAsia="zh-CN" w:bidi="ar"/>
              </w:rPr>
              <w:t>。</w:t>
            </w:r>
          </w:p>
        </w:tc>
      </w:tr>
      <w:tr w14:paraId="4A57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6D3B6B55">
            <w:pPr>
              <w:pStyle w:val="4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26" w:type="dxa"/>
            <w:vAlign w:val="center"/>
          </w:tcPr>
          <w:p w14:paraId="27EA7FD1">
            <w:pPr>
              <w:pStyle w:val="4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592" w:type="dxa"/>
            <w:vAlign w:val="center"/>
          </w:tcPr>
          <w:p w14:paraId="35FEB144">
            <w:pPr>
              <w:pStyle w:val="47"/>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rPr>
              <w:t>不少于</w:t>
            </w:r>
            <w:r>
              <w:rPr>
                <w:rFonts w:hint="eastAsia" w:asciiTheme="minorEastAsia" w:hAnsiTheme="minorEastAsia" w:eastAsiaTheme="minorEastAsia"/>
                <w:b w:val="0"/>
                <w:bCs w:val="0"/>
                <w:color w:val="auto"/>
                <w:sz w:val="24"/>
                <w:highlight w:val="none"/>
                <w:u w:val="none"/>
                <w:lang w:val="en-US" w:eastAsia="zh-CN"/>
              </w:rPr>
              <w:t>1</w:t>
            </w:r>
            <w:r>
              <w:rPr>
                <w:rFonts w:hint="eastAsia" w:asciiTheme="minorEastAsia" w:hAnsiTheme="minorEastAsia" w:eastAsiaTheme="minorEastAsia"/>
                <w:b w:val="0"/>
                <w:bCs w:val="0"/>
                <w:color w:val="auto"/>
                <w:sz w:val="24"/>
                <w:highlight w:val="none"/>
                <w:u w:val="none"/>
              </w:rPr>
              <w:t>年的免费质保</w:t>
            </w:r>
            <w:r>
              <w:rPr>
                <w:rFonts w:hint="eastAsia" w:asciiTheme="minorEastAsia" w:hAnsiTheme="minorEastAsia" w:eastAsiaTheme="minorEastAsia"/>
                <w:b w:val="0"/>
                <w:bCs w:val="0"/>
                <w:color w:val="auto"/>
                <w:sz w:val="24"/>
                <w:highlight w:val="none"/>
                <w:u w:val="none"/>
                <w:lang w:val="en-US" w:eastAsia="zh-CN"/>
              </w:rPr>
              <w:t>服务（自验收合格之日起）。</w:t>
            </w:r>
          </w:p>
        </w:tc>
      </w:tr>
    </w:tbl>
    <w:p w14:paraId="785A7983">
      <w:pPr>
        <w:spacing w:line="360" w:lineRule="auto"/>
        <w:ind w:firstLine="437"/>
        <w:outlineLvl w:val="1"/>
        <w:rPr>
          <w:rFonts w:hint="eastAsia" w:ascii="宋体" w:hAnsi="宋体" w:eastAsia="宋体"/>
          <w:b/>
          <w:bCs/>
          <w:color w:val="auto"/>
          <w:sz w:val="24"/>
          <w:szCs w:val="18"/>
          <w:highlight w:val="none"/>
        </w:rPr>
      </w:pPr>
      <w:bookmarkStart w:id="17" w:name="_Toc7671"/>
      <w:bookmarkStart w:id="18" w:name="_Toc5944"/>
    </w:p>
    <w:p w14:paraId="27CC15EC">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17"/>
      <w:bookmarkEnd w:id="18"/>
    </w:p>
    <w:p w14:paraId="702E2EB5">
      <w:pPr>
        <w:keepNext w:val="0"/>
        <w:keepLines w:val="0"/>
        <w:pageBreakBefore w:val="0"/>
        <w:widowControl w:val="0"/>
        <w:kinsoku/>
        <w:wordWrap/>
        <w:overflowPunct/>
        <w:topLinePunct w:val="0"/>
        <w:autoSpaceDE/>
        <w:autoSpaceDN/>
        <w:bidi w:val="0"/>
        <w:adjustRightInd/>
        <w:snapToGrid/>
        <w:spacing w:line="520" w:lineRule="exact"/>
        <w:ind w:firstLine="437"/>
        <w:jc w:val="left"/>
        <w:textAlignment w:val="auto"/>
        <w:rPr>
          <w:rFonts w:hint="eastAsia" w:ascii="宋体" w:hAnsi="宋体" w:eastAsia="宋体"/>
          <w:b/>
          <w:bCs w:val="0"/>
          <w:color w:val="auto"/>
          <w:sz w:val="21"/>
          <w:szCs w:val="21"/>
          <w:highlight w:val="none"/>
          <w:lang w:val="en-US" w:eastAsia="zh-CN"/>
        </w:rPr>
      </w:pPr>
      <w:bookmarkStart w:id="19" w:name="_Toc4843"/>
      <w:bookmarkStart w:id="20" w:name="_Toc7421"/>
      <w:r>
        <w:rPr>
          <w:rFonts w:hint="eastAsia" w:ascii="宋体" w:hAnsi="宋体" w:eastAsia="宋体"/>
          <w:b/>
          <w:bCs w:val="0"/>
          <w:color w:val="auto"/>
          <w:sz w:val="21"/>
          <w:szCs w:val="21"/>
          <w:highlight w:val="none"/>
          <w:lang w:val="en-US" w:eastAsia="zh-CN"/>
        </w:rPr>
        <w:t>1.货物需求一览表</w:t>
      </w:r>
    </w:p>
    <w:tbl>
      <w:tblPr>
        <w:tblStyle w:val="28"/>
        <w:tblW w:w="82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17"/>
        <w:gridCol w:w="1605"/>
        <w:gridCol w:w="1365"/>
        <w:gridCol w:w="1275"/>
        <w:gridCol w:w="1365"/>
        <w:gridCol w:w="885"/>
        <w:gridCol w:w="1260"/>
      </w:tblGrid>
      <w:tr w14:paraId="69F0B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49" w:hRule="atLeast"/>
        </w:trPr>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45419B">
            <w:pPr>
              <w:pStyle w:val="24"/>
              <w:keepNext w:val="0"/>
              <w:keepLines w:val="0"/>
              <w:widowControl/>
              <w:suppressLineNumbers w:val="0"/>
              <w:spacing w:line="240" w:lineRule="auto"/>
              <w:ind w:left="0" w:firstLine="0"/>
              <w:jc w:val="center"/>
              <w:textAlignment w:val="center"/>
              <w:rPr>
                <w:highlight w:val="none"/>
              </w:rPr>
            </w:pPr>
            <w:r>
              <w:rPr>
                <w:rFonts w:hint="eastAsia" w:ascii="宋体" w:hAnsi="宋体" w:eastAsia="宋体" w:cs="宋体"/>
                <w:b/>
                <w:bCs/>
                <w:color w:val="000000"/>
                <w:spacing w:val="0"/>
                <w:position w:val="0"/>
                <w:sz w:val="21"/>
                <w:szCs w:val="21"/>
                <w:highlight w:val="none"/>
              </w:rPr>
              <w:t>序号</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8A576C">
            <w:pPr>
              <w:pStyle w:val="24"/>
              <w:keepNext w:val="0"/>
              <w:keepLines w:val="0"/>
              <w:widowControl/>
              <w:suppressLineNumbers w:val="0"/>
              <w:spacing w:line="240" w:lineRule="auto"/>
              <w:ind w:left="0" w:firstLine="0"/>
              <w:jc w:val="center"/>
              <w:textAlignment w:val="center"/>
              <w:rPr>
                <w:highlight w:val="none"/>
              </w:rPr>
            </w:pPr>
            <w:r>
              <w:rPr>
                <w:rFonts w:hint="eastAsia" w:ascii="宋体" w:hAnsi="宋体" w:eastAsia="宋体" w:cs="宋体"/>
                <w:b/>
                <w:bCs/>
                <w:color w:val="000000"/>
                <w:spacing w:val="0"/>
                <w:position w:val="0"/>
                <w:sz w:val="21"/>
                <w:szCs w:val="21"/>
                <w:highlight w:val="none"/>
              </w:rPr>
              <w:t>货物名称</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37D0B19">
            <w:pPr>
              <w:pStyle w:val="24"/>
              <w:keepNext w:val="0"/>
              <w:keepLines w:val="0"/>
              <w:widowControl/>
              <w:suppressLineNumbers w:val="0"/>
              <w:spacing w:line="289" w:lineRule="auto"/>
              <w:ind w:left="0" w:hanging="104"/>
              <w:jc w:val="center"/>
              <w:textAlignment w:val="center"/>
              <w:rPr>
                <w:highlight w:val="none"/>
              </w:rPr>
            </w:pPr>
            <w:r>
              <w:rPr>
                <w:rFonts w:hint="eastAsia" w:ascii="宋体" w:hAnsi="宋体" w:eastAsia="宋体" w:cs="宋体"/>
                <w:b/>
                <w:bCs/>
                <w:color w:val="000000"/>
                <w:spacing w:val="0"/>
                <w:position w:val="0"/>
                <w:sz w:val="21"/>
                <w:szCs w:val="21"/>
                <w:highlight w:val="none"/>
              </w:rPr>
              <w:t>技术参数及要求</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5D7934">
            <w:pPr>
              <w:pStyle w:val="24"/>
              <w:keepNext w:val="0"/>
              <w:keepLines w:val="0"/>
              <w:widowControl/>
              <w:suppressLineNumbers w:val="0"/>
              <w:spacing w:line="289" w:lineRule="auto"/>
              <w:ind w:left="0" w:firstLine="64"/>
              <w:jc w:val="center"/>
              <w:textAlignment w:val="center"/>
              <w:rPr>
                <w:highlight w:val="none"/>
              </w:rPr>
            </w:pPr>
            <w:r>
              <w:rPr>
                <w:rFonts w:hint="eastAsia" w:ascii="宋体" w:hAnsi="宋体" w:eastAsia="宋体" w:cs="宋体"/>
                <w:b/>
                <w:bCs/>
                <w:color w:val="000000"/>
                <w:spacing w:val="0"/>
                <w:position w:val="0"/>
                <w:sz w:val="21"/>
                <w:szCs w:val="21"/>
                <w:highlight w:val="none"/>
              </w:rPr>
              <w:t>数量（单位）</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489CFD">
            <w:pPr>
              <w:pStyle w:val="24"/>
              <w:keepNext w:val="0"/>
              <w:keepLines w:val="0"/>
              <w:widowControl/>
              <w:suppressLineNumbers w:val="0"/>
              <w:spacing w:line="289" w:lineRule="auto"/>
              <w:ind w:left="0" w:hanging="4"/>
              <w:jc w:val="center"/>
              <w:textAlignment w:val="center"/>
              <w:rPr>
                <w:highlight w:val="none"/>
              </w:rPr>
            </w:pPr>
            <w:r>
              <w:rPr>
                <w:rFonts w:hint="eastAsia" w:ascii="宋体" w:hAnsi="宋体" w:eastAsia="宋体" w:cs="宋体"/>
                <w:b/>
                <w:bCs/>
                <w:color w:val="000000"/>
                <w:spacing w:val="0"/>
                <w:position w:val="0"/>
                <w:sz w:val="21"/>
                <w:szCs w:val="21"/>
                <w:highlight w:val="none"/>
              </w:rPr>
              <w:t>所属行业</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D7BE73">
            <w:pPr>
              <w:pStyle w:val="24"/>
              <w:keepNext w:val="0"/>
              <w:keepLines w:val="0"/>
              <w:widowControl/>
              <w:suppressLineNumbers w:val="0"/>
              <w:spacing w:line="291" w:lineRule="auto"/>
              <w:ind w:left="0" w:firstLine="96"/>
              <w:jc w:val="center"/>
              <w:textAlignment w:val="center"/>
              <w:rPr>
                <w:rFonts w:hint="default" w:eastAsia="@仿宋_GB2312"/>
                <w:highlight w:val="none"/>
                <w:lang w:val="en-US" w:eastAsia="zh-CN"/>
              </w:rPr>
            </w:pPr>
            <w:r>
              <w:rPr>
                <w:rFonts w:hint="eastAsia" w:ascii="宋体" w:hAnsi="宋体" w:eastAsia="宋体" w:cs="宋体"/>
                <w:b/>
                <w:bCs/>
                <w:color w:val="000000"/>
                <w:spacing w:val="0"/>
                <w:position w:val="0"/>
                <w:sz w:val="21"/>
                <w:szCs w:val="21"/>
                <w:highlight w:val="none"/>
                <w:lang w:val="en-US" w:eastAsia="zh-CN"/>
              </w:rPr>
              <w:t>是否为核心产品</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15F8A3">
            <w:pPr>
              <w:pStyle w:val="24"/>
              <w:keepNext w:val="0"/>
              <w:keepLines w:val="0"/>
              <w:widowControl/>
              <w:suppressLineNumbers w:val="0"/>
              <w:spacing w:line="240" w:lineRule="auto"/>
              <w:ind w:left="0" w:firstLine="0"/>
              <w:jc w:val="center"/>
              <w:textAlignment w:val="center"/>
              <w:rPr>
                <w:highlight w:val="none"/>
              </w:rPr>
            </w:pPr>
            <w:r>
              <w:rPr>
                <w:rFonts w:hint="eastAsia" w:ascii="宋体" w:hAnsi="宋体" w:eastAsia="宋体" w:cs="宋体"/>
                <w:b/>
                <w:bCs/>
                <w:color w:val="000000"/>
                <w:spacing w:val="0"/>
                <w:position w:val="0"/>
                <w:sz w:val="21"/>
                <w:szCs w:val="21"/>
                <w:highlight w:val="none"/>
              </w:rPr>
              <w:t>备注</w:t>
            </w:r>
          </w:p>
        </w:tc>
      </w:tr>
      <w:tr w14:paraId="44977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4" w:hRule="atLeast"/>
        </w:trPr>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7ADCCC">
            <w:pPr>
              <w:jc w:val="center"/>
              <w:rPr>
                <w:rFonts w:hint="eastAsia" w:ascii="宋体"/>
                <w:sz w:val="24"/>
                <w:szCs w:val="24"/>
                <w:highlight w:val="none"/>
              </w:rPr>
            </w:pP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11D6BB">
            <w:pPr>
              <w:jc w:val="center"/>
              <w:rPr>
                <w:rFonts w:hint="eastAsia" w:ascii="宋体"/>
                <w:sz w:val="24"/>
                <w:szCs w:val="24"/>
                <w:highlight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9C7004">
            <w:pPr>
              <w:jc w:val="center"/>
              <w:rPr>
                <w:rFonts w:hint="eastAsia" w:ascii="宋体"/>
                <w:sz w:val="24"/>
                <w:szCs w:val="24"/>
                <w:highlight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D3F041">
            <w:pPr>
              <w:jc w:val="center"/>
              <w:rPr>
                <w:rFonts w:hint="eastAsia" w:ascii="宋体"/>
                <w:sz w:val="24"/>
                <w:szCs w:val="24"/>
                <w:highlight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EA3EDA">
            <w:pPr>
              <w:jc w:val="center"/>
              <w:rPr>
                <w:rFonts w:hint="eastAsia" w:ascii="宋体"/>
                <w:sz w:val="24"/>
                <w:szCs w:val="24"/>
                <w:highlight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F10C97">
            <w:pPr>
              <w:jc w:val="center"/>
              <w:rPr>
                <w:rFonts w:hint="eastAsia" w:ascii="宋体"/>
                <w:sz w:val="24"/>
                <w:szCs w:val="24"/>
                <w:highlight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7D179A">
            <w:pPr>
              <w:jc w:val="center"/>
              <w:rPr>
                <w:rFonts w:hint="eastAsia" w:ascii="宋体"/>
                <w:sz w:val="24"/>
                <w:szCs w:val="24"/>
                <w:highlight w:val="none"/>
              </w:rPr>
            </w:pPr>
          </w:p>
        </w:tc>
      </w:tr>
      <w:tr w14:paraId="2DE1F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9" w:hRule="atLeast"/>
        </w:trPr>
        <w:tc>
          <w:tcPr>
            <w:tcW w:w="5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56300">
            <w:pPr>
              <w:pStyle w:val="24"/>
              <w:keepNext w:val="0"/>
              <w:keepLines w:val="0"/>
              <w:widowControl/>
              <w:suppressLineNumbers w:val="0"/>
              <w:spacing w:line="240" w:lineRule="auto"/>
              <w:ind w:left="0" w:firstLine="0"/>
              <w:jc w:val="center"/>
              <w:textAlignment w:val="center"/>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CDD3A">
            <w:pPr>
              <w:pStyle w:val="24"/>
              <w:keepNext w:val="0"/>
              <w:keepLines w:val="0"/>
              <w:widowControl/>
              <w:suppressLineNumbers w:val="0"/>
              <w:spacing w:line="240" w:lineRule="auto"/>
              <w:ind w:left="0" w:firstLine="0"/>
              <w:jc w:val="center"/>
              <w:textAlignment w:val="center"/>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Q开关Nd：YAG（调Q）激光治疗机</w:t>
            </w:r>
          </w:p>
        </w:tc>
        <w:tc>
          <w:tcPr>
            <w:tcW w:w="13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7B61F">
            <w:pPr>
              <w:pStyle w:val="24"/>
              <w:keepNext w:val="0"/>
              <w:keepLines w:val="0"/>
              <w:widowControl/>
              <w:suppressLineNumbers w:val="0"/>
              <w:spacing w:line="240" w:lineRule="auto"/>
              <w:ind w:left="0" w:firstLine="0"/>
              <w:jc w:val="center"/>
              <w:textAlignment w:val="center"/>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附后</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1C7E2">
            <w:pPr>
              <w:pStyle w:val="24"/>
              <w:keepNext w:val="0"/>
              <w:keepLines w:val="0"/>
              <w:widowControl/>
              <w:suppressLineNumbers w:val="0"/>
              <w:spacing w:line="240" w:lineRule="auto"/>
              <w:ind w:left="0" w:firstLine="0"/>
              <w:jc w:val="center"/>
              <w:textAlignment w:val="center"/>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1台</w:t>
            </w:r>
          </w:p>
        </w:tc>
        <w:tc>
          <w:tcPr>
            <w:tcW w:w="13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A3E40">
            <w:pPr>
              <w:pStyle w:val="24"/>
              <w:keepNext w:val="0"/>
              <w:keepLines w:val="0"/>
              <w:widowControl/>
              <w:suppressLineNumbers w:val="0"/>
              <w:spacing w:line="240" w:lineRule="auto"/>
              <w:ind w:left="0" w:firstLine="0"/>
              <w:jc w:val="center"/>
              <w:textAlignment w:val="center"/>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工业</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6B51F">
            <w:pPr>
              <w:pStyle w:val="24"/>
              <w:keepNext w:val="0"/>
              <w:keepLines w:val="0"/>
              <w:widowControl/>
              <w:suppressLineNumbers w:val="0"/>
              <w:spacing w:line="240" w:lineRule="auto"/>
              <w:ind w:left="0" w:firstLine="0"/>
              <w:jc w:val="center"/>
              <w:textAlignment w:val="center"/>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是</w:t>
            </w: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A0DB261">
            <w:pPr>
              <w:pStyle w:val="24"/>
              <w:keepNext w:val="0"/>
              <w:keepLines w:val="0"/>
              <w:widowControl/>
              <w:suppressLineNumbers w:val="0"/>
              <w:spacing w:line="240" w:lineRule="auto"/>
              <w:ind w:left="0" w:firstLine="0"/>
              <w:jc w:val="center"/>
              <w:textAlignment w:val="center"/>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设备具有第三类医疗器械注册证</w:t>
            </w:r>
          </w:p>
        </w:tc>
      </w:tr>
    </w:tbl>
    <w:p w14:paraId="065D5DB8">
      <w:pPr>
        <w:keepNext w:val="0"/>
        <w:keepLines w:val="0"/>
        <w:pageBreakBefore w:val="0"/>
        <w:widowControl w:val="0"/>
        <w:kinsoku/>
        <w:wordWrap/>
        <w:overflowPunct/>
        <w:topLinePunct w:val="0"/>
        <w:autoSpaceDE/>
        <w:autoSpaceDN/>
        <w:bidi w:val="0"/>
        <w:adjustRightInd/>
        <w:snapToGrid/>
        <w:spacing w:line="520" w:lineRule="exact"/>
        <w:ind w:firstLine="437"/>
        <w:jc w:val="left"/>
        <w:textAlignment w:val="auto"/>
        <w:rPr>
          <w:rFonts w:hint="eastAsia" w:ascii="宋体" w:hAnsi="宋体" w:eastAsia="宋体"/>
          <w:b/>
          <w:bCs w:val="0"/>
          <w:color w:val="auto"/>
          <w:sz w:val="21"/>
          <w:szCs w:val="21"/>
          <w:highlight w:val="none"/>
          <w:lang w:val="en-US" w:eastAsia="zh-CN"/>
        </w:rPr>
      </w:pPr>
      <w:r>
        <w:rPr>
          <w:rFonts w:hint="eastAsia" w:ascii="宋体" w:hAnsi="宋体" w:eastAsia="宋体"/>
          <w:b/>
          <w:bCs w:val="0"/>
          <w:color w:val="auto"/>
          <w:sz w:val="21"/>
          <w:szCs w:val="21"/>
          <w:highlight w:val="none"/>
          <w:lang w:val="en-US" w:eastAsia="zh-CN"/>
        </w:rPr>
        <w:t>2.采购范围</w:t>
      </w:r>
    </w:p>
    <w:p w14:paraId="7470A1B2">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 xml:space="preserve">包括所有货物的供货、包装运输（包括卸车及就位至采购人指定的安装地点和安装前货物的的二次转运）、安装、调试、技术服务、培训、售后服务等所有内容。 </w:t>
      </w:r>
    </w:p>
    <w:p w14:paraId="0B4EE1D7">
      <w:pPr>
        <w:keepNext w:val="0"/>
        <w:keepLines w:val="0"/>
        <w:pageBreakBefore w:val="0"/>
        <w:widowControl w:val="0"/>
        <w:kinsoku/>
        <w:wordWrap/>
        <w:overflowPunct/>
        <w:topLinePunct w:val="0"/>
        <w:autoSpaceDE/>
        <w:autoSpaceDN/>
        <w:bidi w:val="0"/>
        <w:adjustRightInd/>
        <w:snapToGrid/>
        <w:spacing w:line="520" w:lineRule="exact"/>
        <w:ind w:firstLine="437"/>
        <w:jc w:val="left"/>
        <w:textAlignment w:val="auto"/>
        <w:rPr>
          <w:rFonts w:hint="eastAsia" w:ascii="宋体" w:hAnsi="宋体" w:eastAsia="宋体"/>
          <w:b/>
          <w:bCs w:val="0"/>
          <w:color w:val="auto"/>
          <w:sz w:val="21"/>
          <w:szCs w:val="21"/>
          <w:highlight w:val="none"/>
          <w:lang w:val="en-US" w:eastAsia="zh-CN"/>
        </w:rPr>
      </w:pPr>
      <w:r>
        <w:rPr>
          <w:rFonts w:hint="eastAsia" w:ascii="宋体" w:hAnsi="宋体" w:eastAsia="宋体"/>
          <w:b/>
          <w:bCs w:val="0"/>
          <w:color w:val="auto"/>
          <w:sz w:val="21"/>
          <w:szCs w:val="21"/>
          <w:highlight w:val="none"/>
          <w:lang w:val="en-US" w:eastAsia="zh-CN"/>
        </w:rPr>
        <w:t xml:space="preserve">3.技术参数及要求 </w:t>
      </w:r>
    </w:p>
    <w:tbl>
      <w:tblPr>
        <w:tblStyle w:val="28"/>
        <w:tblW w:w="87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197"/>
        <w:gridCol w:w="7585"/>
      </w:tblGrid>
      <w:tr w14:paraId="60CF7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58BE249">
            <w:pPr>
              <w:pStyle w:val="24"/>
              <w:keepNext w:val="0"/>
              <w:keepLines w:val="0"/>
              <w:widowControl/>
              <w:suppressLineNumbers w:val="0"/>
              <w:spacing w:line="240" w:lineRule="auto"/>
              <w:ind w:left="0" w:firstLine="0"/>
              <w:jc w:val="center"/>
              <w:textAlignment w:val="center"/>
              <w:rPr>
                <w:highlight w:val="none"/>
              </w:rPr>
            </w:pPr>
            <w:r>
              <w:rPr>
                <w:rFonts w:hint="eastAsia" w:ascii="宋体" w:hAnsi="宋体" w:eastAsia="宋体" w:cs="宋体"/>
                <w:color w:val="000000"/>
                <w:spacing w:val="0"/>
                <w:position w:val="0"/>
                <w:sz w:val="21"/>
                <w:szCs w:val="21"/>
                <w:highlight w:val="none"/>
              </w:rPr>
              <w:t>序号</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2605591">
            <w:pPr>
              <w:pStyle w:val="24"/>
              <w:keepNext w:val="0"/>
              <w:keepLines w:val="0"/>
              <w:widowControl/>
              <w:suppressLineNumbers w:val="0"/>
              <w:spacing w:line="240" w:lineRule="auto"/>
              <w:ind w:left="0" w:firstLine="0"/>
              <w:jc w:val="center"/>
              <w:textAlignment w:val="center"/>
              <w:rPr>
                <w:highlight w:val="none"/>
              </w:rPr>
            </w:pPr>
            <w:r>
              <w:rPr>
                <w:rFonts w:hint="eastAsia" w:ascii="宋体" w:hAnsi="宋体" w:eastAsia="宋体" w:cs="宋体"/>
                <w:color w:val="000000"/>
                <w:spacing w:val="0"/>
                <w:position w:val="0"/>
                <w:sz w:val="21"/>
                <w:szCs w:val="21"/>
                <w:highlight w:val="none"/>
              </w:rPr>
              <w:t>技术参数及要求</w:t>
            </w:r>
          </w:p>
        </w:tc>
      </w:tr>
      <w:tr w14:paraId="47270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DBC50DF">
            <w:pPr>
              <w:pStyle w:val="24"/>
              <w:keepNext w:val="0"/>
              <w:keepLines w:val="0"/>
              <w:widowControl/>
              <w:suppressLineNumbers w:val="0"/>
              <w:spacing w:line="240" w:lineRule="auto"/>
              <w:ind w:left="0" w:firstLine="0"/>
              <w:jc w:val="center"/>
              <w:textAlignment w:val="center"/>
              <w:rPr>
                <w:rFonts w:hint="eastAsia" w:eastAsia="@仿宋_GB2312"/>
                <w:color w:val="auto"/>
                <w:highlight w:val="none"/>
                <w:lang w:eastAsia="zh-CN"/>
              </w:rPr>
            </w:pPr>
            <w:r>
              <w:rPr>
                <w:rFonts w:hint="eastAsia" w:ascii="宋体" w:hAnsi="宋体" w:eastAsia="宋体" w:cs="宋体"/>
                <w:color w:val="auto"/>
                <w:spacing w:val="0"/>
                <w:position w:val="0"/>
                <w:sz w:val="21"/>
                <w:szCs w:val="21"/>
                <w:highlight w:val="none"/>
                <w:lang w:val="en-US" w:eastAsia="zh-CN"/>
              </w:rPr>
              <w:t>一</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45E38C64">
            <w:pPr>
              <w:keepNext w:val="0"/>
              <w:keepLines w:val="0"/>
              <w:widowControl/>
              <w:suppressLineNumbers w:val="0"/>
              <w:jc w:val="left"/>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适用范围：用于去除蓝黑色文身、治疗表皮良性色素增加性皮肤病。</w:t>
            </w:r>
          </w:p>
        </w:tc>
      </w:tr>
      <w:tr w14:paraId="2EFD6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385CBF7">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二</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404BFF6B">
            <w:pPr>
              <w:keepNext w:val="0"/>
              <w:keepLines w:val="0"/>
              <w:widowControl/>
              <w:suppressLineNumbers w:val="0"/>
              <w:jc w:val="left"/>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技术参数</w:t>
            </w:r>
          </w:p>
        </w:tc>
      </w:tr>
      <w:tr w14:paraId="4820D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0A9F79C">
            <w:pPr>
              <w:pStyle w:val="24"/>
              <w:keepNext w:val="0"/>
              <w:keepLines w:val="0"/>
              <w:widowControl/>
              <w:suppressLineNumbers w:val="0"/>
              <w:spacing w:line="240" w:lineRule="auto"/>
              <w:ind w:left="0" w:firstLine="0"/>
              <w:jc w:val="center"/>
              <w:textAlignment w:val="center"/>
              <w:rPr>
                <w:rFonts w:hint="eastAsia" w:eastAsia="@仿宋_GB2312" w:cs="Times New Roman"/>
                <w:color w:val="auto"/>
                <w:highlight w:val="none"/>
                <w:lang w:eastAsia="zh-CN"/>
              </w:rPr>
            </w:pPr>
            <w:r>
              <w:rPr>
                <w:rFonts w:hint="eastAsia" w:eastAsia="@仿宋_GB2312" w:cs="Times New Roman"/>
                <w:color w:val="auto"/>
                <w:highlight w:val="none"/>
                <w:lang w:val="en-US" w:eastAsia="zh-CN"/>
              </w:rPr>
              <w:t>1</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F199BAE">
            <w:pPr>
              <w:keepNext w:val="0"/>
              <w:keepLines w:val="0"/>
              <w:widowControl/>
              <w:suppressLineNumbers w:val="0"/>
              <w:jc w:val="left"/>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激光工作物质：掺钕钇铝石榴石激光器（Nd∶YAG激光器）</w:t>
            </w:r>
          </w:p>
        </w:tc>
      </w:tr>
      <w:tr w14:paraId="28724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581C500">
            <w:pPr>
              <w:pStyle w:val="24"/>
              <w:keepNext w:val="0"/>
              <w:keepLines w:val="0"/>
              <w:widowControl/>
              <w:suppressLineNumbers w:val="0"/>
              <w:spacing w:line="240" w:lineRule="auto"/>
              <w:ind w:left="0" w:firstLine="0"/>
              <w:jc w:val="center"/>
              <w:textAlignment w:val="center"/>
              <w:rPr>
                <w:rFonts w:hint="eastAsia" w:eastAsia="@仿宋_GB2312" w:cs="Times New Roman"/>
                <w:color w:val="auto"/>
                <w:highlight w:val="none"/>
                <w:lang w:eastAsia="zh-CN"/>
              </w:rPr>
            </w:pPr>
            <w:r>
              <w:rPr>
                <w:rFonts w:hint="eastAsia" w:eastAsia="@仿宋_GB2312" w:cs="Times New Roman"/>
                <w:color w:val="auto"/>
                <w:highlight w:val="none"/>
                <w:lang w:val="en-US" w:eastAsia="zh-CN"/>
              </w:rPr>
              <w:t>2</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5840E7C">
            <w:pPr>
              <w:keepNext w:val="0"/>
              <w:keepLines w:val="0"/>
              <w:widowControl/>
              <w:suppressLineNumbers w:val="0"/>
              <w:jc w:val="left"/>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激光波长：1064nm/532nm</w:t>
            </w:r>
          </w:p>
        </w:tc>
      </w:tr>
      <w:tr w14:paraId="7B57D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2250D00">
            <w:pPr>
              <w:pStyle w:val="24"/>
              <w:keepNext w:val="0"/>
              <w:keepLines w:val="0"/>
              <w:widowControl/>
              <w:suppressLineNumbers w:val="0"/>
              <w:spacing w:line="240" w:lineRule="auto"/>
              <w:ind w:left="0" w:firstLine="0"/>
              <w:jc w:val="center"/>
              <w:textAlignment w:val="center"/>
              <w:rPr>
                <w:rFonts w:hint="default" w:eastAsia="@仿宋_GB2312" w:cs="Times New Roman"/>
                <w:color w:val="auto"/>
                <w:highlight w:val="none"/>
                <w:lang w:val="en-US" w:eastAsia="zh-CN"/>
              </w:rPr>
            </w:pPr>
            <w:r>
              <w:rPr>
                <w:rFonts w:hint="eastAsia" w:eastAsia="@仿宋_GB2312" w:cs="Times New Roman"/>
                <w:color w:val="auto"/>
                <w:highlight w:val="none"/>
                <w:lang w:val="en-US" w:eastAsia="zh-CN"/>
              </w:rPr>
              <w:t>3</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CFAFA7E">
            <w:pPr>
              <w:keepNext w:val="0"/>
              <w:keepLines w:val="0"/>
              <w:widowControl/>
              <w:suppressLineNumbers w:val="0"/>
              <w:jc w:val="left"/>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运转方式：光电Q开关激光倍频运转</w:t>
            </w:r>
          </w:p>
        </w:tc>
      </w:tr>
      <w:tr w14:paraId="7F7BB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BC989CF">
            <w:pPr>
              <w:pStyle w:val="24"/>
              <w:keepNext w:val="0"/>
              <w:keepLines w:val="0"/>
              <w:widowControl/>
              <w:suppressLineNumbers w:val="0"/>
              <w:spacing w:line="240" w:lineRule="auto"/>
              <w:ind w:left="0" w:firstLine="0"/>
              <w:jc w:val="center"/>
              <w:textAlignment w:val="center"/>
              <w:rPr>
                <w:rFonts w:hint="eastAsia" w:eastAsia="@仿宋_GB2312" w:cs="Times New Roman"/>
                <w:color w:val="auto"/>
                <w:highlight w:val="none"/>
                <w:lang w:eastAsia="zh-CN"/>
              </w:rPr>
            </w:pPr>
            <w:r>
              <w:rPr>
                <w:rFonts w:hint="eastAsia" w:eastAsia="@仿宋_GB2312" w:cs="Times New Roman"/>
                <w:color w:val="auto"/>
                <w:highlight w:val="none"/>
                <w:lang w:val="en-US" w:eastAsia="zh-CN"/>
              </w:rPr>
              <w:t>4</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0A30B42">
            <w:pPr>
              <w:keepNext w:val="0"/>
              <w:keepLines w:val="0"/>
              <w:widowControl/>
              <w:suppressLineNumbers w:val="0"/>
              <w:jc w:val="left"/>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激光设备操作系统具有中文和外文的自由切换</w:t>
            </w:r>
          </w:p>
        </w:tc>
      </w:tr>
      <w:tr w14:paraId="21D5F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3A7CBF3">
            <w:pPr>
              <w:keepNext w:val="0"/>
              <w:keepLines w:val="0"/>
              <w:widowControl/>
              <w:suppressLineNumbers w:val="0"/>
              <w:jc w:val="center"/>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▲5</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431D7253">
            <w:pPr>
              <w:keepNext w:val="0"/>
              <w:keepLines w:val="0"/>
              <w:widowControl/>
              <w:suppressLineNumbers w:val="0"/>
              <w:jc w:val="left"/>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传输方式：7关节平衡锤式导光臂</w:t>
            </w:r>
          </w:p>
        </w:tc>
      </w:tr>
      <w:tr w14:paraId="04794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3EF6A5D">
            <w:pPr>
              <w:keepNext w:val="0"/>
              <w:keepLines w:val="0"/>
              <w:widowControl/>
              <w:suppressLineNumbers w:val="0"/>
              <w:jc w:val="center"/>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▲6</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38F2E8F">
            <w:pPr>
              <w:keepNext w:val="0"/>
              <w:keepLines w:val="0"/>
              <w:widowControl/>
              <w:suppressLineNumbers w:val="0"/>
              <w:jc w:val="left"/>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手具功能：具有光斑直径、能量密度调节与显示同步调节功能</w:t>
            </w:r>
          </w:p>
        </w:tc>
      </w:tr>
      <w:tr w14:paraId="43A2E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04D4160">
            <w:pPr>
              <w:pStyle w:val="24"/>
              <w:keepNext w:val="0"/>
              <w:keepLines w:val="0"/>
              <w:widowControl/>
              <w:suppressLineNumbers w:val="0"/>
              <w:spacing w:line="240" w:lineRule="auto"/>
              <w:ind w:left="0" w:firstLine="0"/>
              <w:jc w:val="center"/>
              <w:textAlignment w:val="center"/>
              <w:rPr>
                <w:rFonts w:hint="eastAsia" w:eastAsia="@仿宋_GB2312" w:cs="Times New Roman"/>
                <w:color w:val="auto"/>
                <w:highlight w:val="none"/>
                <w:lang w:eastAsia="zh-CN"/>
              </w:rPr>
            </w:pPr>
            <w:r>
              <w:rPr>
                <w:rFonts w:hint="eastAsia" w:eastAsia="@仿宋_GB2312" w:cs="Times New Roman"/>
                <w:color w:val="auto"/>
                <w:highlight w:val="none"/>
                <w:lang w:val="en-US" w:eastAsia="zh-CN"/>
              </w:rPr>
              <w:t>7</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E794C2B">
            <w:pPr>
              <w:keepNext w:val="0"/>
              <w:keepLines w:val="0"/>
              <w:widowControl/>
              <w:suppressLineNumbers w:val="0"/>
              <w:jc w:val="left"/>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1064nm波长临床用于祛蓝、黑纹刺</w:t>
            </w:r>
          </w:p>
        </w:tc>
      </w:tr>
      <w:tr w14:paraId="5294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6BF3411">
            <w:pPr>
              <w:pStyle w:val="24"/>
              <w:keepNext w:val="0"/>
              <w:keepLines w:val="0"/>
              <w:widowControl/>
              <w:suppressLineNumbers w:val="0"/>
              <w:spacing w:line="240" w:lineRule="auto"/>
              <w:ind w:left="0" w:firstLine="0"/>
              <w:jc w:val="center"/>
              <w:textAlignment w:val="center"/>
              <w:rPr>
                <w:rFonts w:hint="eastAsia" w:eastAsia="@仿宋_GB2312" w:cs="Times New Roman"/>
                <w:highlight w:val="none"/>
                <w:lang w:eastAsia="zh-CN"/>
              </w:rPr>
            </w:pPr>
            <w:r>
              <w:rPr>
                <w:rFonts w:hint="eastAsia" w:eastAsia="@仿宋_GB2312" w:cs="Times New Roman"/>
                <w:highlight w:val="none"/>
                <w:lang w:val="en-US" w:eastAsia="zh-CN"/>
              </w:rPr>
              <w:t>8</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26EE749">
            <w:pPr>
              <w:keepNext w:val="0"/>
              <w:keepLines w:val="0"/>
              <w:widowControl/>
              <w:suppressLineNumbers w:val="0"/>
              <w:jc w:val="left"/>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532nmm波长临床用于治疗雀斑</w:t>
            </w:r>
          </w:p>
        </w:tc>
      </w:tr>
      <w:tr w14:paraId="243ED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4D505B4">
            <w:pPr>
              <w:pStyle w:val="24"/>
              <w:keepNext w:val="0"/>
              <w:keepLines w:val="0"/>
              <w:widowControl/>
              <w:suppressLineNumbers w:val="0"/>
              <w:spacing w:line="240" w:lineRule="auto"/>
              <w:ind w:left="0" w:firstLine="0"/>
              <w:jc w:val="center"/>
              <w:textAlignment w:val="center"/>
              <w:rPr>
                <w:rFonts w:hint="eastAsia" w:eastAsia="@仿宋_GB2312" w:cs="Times New Roman"/>
                <w:highlight w:val="none"/>
                <w:lang w:eastAsia="zh-CN"/>
              </w:rPr>
            </w:pPr>
            <w:r>
              <w:rPr>
                <w:rFonts w:hint="eastAsia" w:eastAsia="@仿宋_GB2312" w:cs="Times New Roman"/>
                <w:highlight w:val="none"/>
                <w:lang w:val="en-US" w:eastAsia="zh-CN"/>
              </w:rPr>
              <w:t>9</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468B6218">
            <w:pPr>
              <w:keepNext w:val="0"/>
              <w:keepLines w:val="0"/>
              <w:widowControl/>
              <w:suppressLineNumbers w:val="0"/>
              <w:jc w:val="left"/>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终端输出能量不稳定度为≤±5%</w:t>
            </w:r>
          </w:p>
        </w:tc>
      </w:tr>
      <w:tr w14:paraId="55BB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5BF5B03">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★10</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4CBFD10">
            <w:pPr>
              <w:keepNext w:val="0"/>
              <w:keepLines w:val="0"/>
              <w:widowControl/>
              <w:suppressLineNumbers w:val="0"/>
              <w:jc w:val="left"/>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1064nm波长光斑直径：2mm～8mm可调（8mm 为平行光传输）</w:t>
            </w:r>
          </w:p>
        </w:tc>
      </w:tr>
      <w:tr w14:paraId="693A8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3B2CE4A">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★11</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3B1DF5E">
            <w:pPr>
              <w:keepNext w:val="0"/>
              <w:keepLines w:val="0"/>
              <w:widowControl/>
              <w:suppressLineNumbers w:val="0"/>
              <w:jc w:val="left"/>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532nm波长光斑直径：1.5mm～7mm可调（7mm 为平行光传输）</w:t>
            </w:r>
          </w:p>
        </w:tc>
      </w:tr>
      <w:tr w14:paraId="1D7B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A102BF4">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12</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D19D0C3">
            <w:pPr>
              <w:keepNext w:val="0"/>
              <w:keepLines w:val="0"/>
              <w:widowControl/>
              <w:suppressLineNumbers w:val="0"/>
              <w:jc w:val="left"/>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光束传输：七关节导光臂传导，传输效率≥75%</w:t>
            </w:r>
          </w:p>
        </w:tc>
      </w:tr>
      <w:tr w14:paraId="5F19D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4E5B5F3">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▲13</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94F997F">
            <w:pPr>
              <w:keepNext w:val="0"/>
              <w:keepLines w:val="0"/>
              <w:widowControl/>
              <w:suppressLineNumbers w:val="0"/>
              <w:jc w:val="left"/>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最小脉冲宽度：皮秒模式：≤900ps，纳秒模式：≤4ns</w:t>
            </w:r>
          </w:p>
        </w:tc>
      </w:tr>
      <w:tr w14:paraId="513D5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EDB6B30">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▲14</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C34B1C1">
            <w:pPr>
              <w:keepNext w:val="0"/>
              <w:keepLines w:val="0"/>
              <w:widowControl/>
              <w:suppressLineNumbers w:val="0"/>
              <w:jc w:val="left"/>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1064nm波长最大能量密度≥38J/cm2</w:t>
            </w:r>
          </w:p>
        </w:tc>
      </w:tr>
      <w:tr w14:paraId="670FD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CFF8890">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▲15</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8969D72">
            <w:pPr>
              <w:keepNext w:val="0"/>
              <w:keepLines w:val="0"/>
              <w:widowControl/>
              <w:suppressLineNumbers w:val="0"/>
              <w:jc w:val="left"/>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1064nm波长最小能量密度≤0.26J/cm2</w:t>
            </w:r>
          </w:p>
        </w:tc>
      </w:tr>
      <w:tr w14:paraId="05277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4113486A">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▲16</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1884C33">
            <w:pPr>
              <w:keepNext w:val="0"/>
              <w:keepLines w:val="0"/>
              <w:widowControl/>
              <w:suppressLineNumbers w:val="0"/>
              <w:jc w:val="left"/>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532nm波长最大能量密度≥22J/cm2</w:t>
            </w:r>
          </w:p>
        </w:tc>
      </w:tr>
      <w:tr w14:paraId="31CCE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8112EDD">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▲17</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4F39BE6">
            <w:pPr>
              <w:keepNext w:val="0"/>
              <w:keepLines w:val="0"/>
              <w:widowControl/>
              <w:suppressLineNumbers w:val="0"/>
              <w:jc w:val="left"/>
              <w:rPr>
                <w:rFonts w:hint="eastAsia"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532nm波长最小能量密度≤0.02J/cm2</w:t>
            </w:r>
          </w:p>
        </w:tc>
      </w:tr>
      <w:tr w14:paraId="11E6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6D8111D">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★18</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6E8BBF6">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终端最大输出能量：1064nm≥1200mJ，532nm≥400m</w:t>
            </w:r>
          </w:p>
        </w:tc>
      </w:tr>
      <w:tr w14:paraId="73754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F5CD96C">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19</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B3AA6C9">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治疗手具：光电旋转手具</w:t>
            </w:r>
          </w:p>
        </w:tc>
      </w:tr>
      <w:tr w14:paraId="787DF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D718E8C">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20</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4FF4181C">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配备激光手具治疗头≥2个</w:t>
            </w:r>
          </w:p>
        </w:tc>
      </w:tr>
      <w:tr w14:paraId="2C91E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F26BDED">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21</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2F37F3C">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设备具有温度过高及过低提示</w:t>
            </w:r>
          </w:p>
        </w:tc>
      </w:tr>
      <w:tr w14:paraId="7DB57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714D31E">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22</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04BF394">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设备可以在额定负载下长时间持续运行，直到自身各部分温升达到稳定热平衡状态，且不会超过设备允许的温升限值，无需频繁停机冷却</w:t>
            </w:r>
          </w:p>
        </w:tc>
      </w:tr>
      <w:tr w14:paraId="3F569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F9C5018">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23</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8516A0A">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设备具有水位高度自动检测，当检测到水箱液位过低时，系统则提示给水箱添加冷却水</w:t>
            </w:r>
          </w:p>
        </w:tc>
      </w:tr>
      <w:tr w14:paraId="40F9B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D3307C6">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24</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D6AB1D3">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设备具备冷却水温度显示</w:t>
            </w:r>
          </w:p>
        </w:tc>
      </w:tr>
      <w:tr w14:paraId="3BEB6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2C0E004">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▲25</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5E892BE">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具有≤4ns单脉冲功能</w:t>
            </w:r>
          </w:p>
        </w:tc>
      </w:tr>
      <w:tr w14:paraId="24833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83E28EE">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26</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C1F27EA">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具备单次治疗光斑计数及设备总治疗光斑计数功能</w:t>
            </w:r>
          </w:p>
        </w:tc>
      </w:tr>
      <w:tr w14:paraId="7FB3E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875D608">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27</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70C585B">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具有参数修正功能及升级接口</w:t>
            </w:r>
          </w:p>
        </w:tc>
      </w:tr>
      <w:tr w14:paraId="53F0A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2743FB4">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28</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4B213C97">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具有故障语言显示及声音提示，密码设置等功能</w:t>
            </w:r>
          </w:p>
        </w:tc>
      </w:tr>
      <w:tr w14:paraId="316EB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49470741">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▲29</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A6DB153">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光路系统：采用陶瓷双腔、双棒、双灯泵浦</w:t>
            </w:r>
          </w:p>
        </w:tc>
      </w:tr>
      <w:tr w14:paraId="67D8D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0005EBE">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30</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A948250">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重复频率：1～10Hz，1Hz步进</w:t>
            </w:r>
          </w:p>
        </w:tc>
      </w:tr>
      <w:tr w14:paraId="29E6E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DF27190">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31</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1FE8857">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1064nm波长能量调节范围：800mJ以内每次20mJ步进；1000mJ以上每次100mJ步进</w:t>
            </w:r>
          </w:p>
        </w:tc>
      </w:tr>
      <w:tr w14:paraId="52315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404D8937">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32</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C041295">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532nm波长能量调节范围：10mJ以内每次5mJ步进；100mJ以上每次20mJ步进</w:t>
            </w:r>
          </w:p>
        </w:tc>
      </w:tr>
      <w:tr w14:paraId="3CF6D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57D6B65">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33</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0FD9317">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激光瞄准：650nm波长红色半导体指示光，亮度强弱可调</w:t>
            </w:r>
          </w:p>
        </w:tc>
      </w:tr>
      <w:tr w14:paraId="3B6FC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AC3FB4A">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34</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908E225">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设备正常工作条件：环境温度5℃～40℃；相对湿度≤80%；大气压力500hPa～1060hPa</w:t>
            </w:r>
          </w:p>
        </w:tc>
      </w:tr>
      <w:tr w14:paraId="6066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41B0484">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▲35</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CB792E6">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安全保护功能：激光器具有光闸保护功能</w:t>
            </w:r>
          </w:p>
        </w:tc>
      </w:tr>
      <w:tr w14:paraId="10613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BB502FD">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36</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60768E7">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冷却系统：封闭内循环水制冷，外循环强风冷却</w:t>
            </w:r>
          </w:p>
        </w:tc>
      </w:tr>
      <w:tr w14:paraId="373B7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8729B59">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37</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EBD09F1">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设备内置双过滤洁净装置</w:t>
            </w:r>
          </w:p>
        </w:tc>
      </w:tr>
      <w:tr w14:paraId="7498D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A6D8311">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38</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3831586">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控制系统：彩色触摸屏显示</w:t>
            </w:r>
          </w:p>
        </w:tc>
      </w:tr>
      <w:tr w14:paraId="7626C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D9CF936">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39</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A111594">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设备有开机次数记录功能</w:t>
            </w:r>
          </w:p>
        </w:tc>
      </w:tr>
      <w:tr w14:paraId="13759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9B152F6">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40</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9D6F23F">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设备具有≥5种治疗参数存储功能</w:t>
            </w:r>
          </w:p>
        </w:tc>
      </w:tr>
      <w:tr w14:paraId="64FC3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B3D7191">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41</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FE6514E">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按激光产品辐射安全分类：4类</w:t>
            </w:r>
          </w:p>
        </w:tc>
      </w:tr>
      <w:tr w14:paraId="2E4F0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CDBC36C">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▲42</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2D2250C">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脚踏开关具有智能脚踏识别防误触功能</w:t>
            </w:r>
          </w:p>
        </w:tc>
      </w:tr>
      <w:tr w14:paraId="367A5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10AB9D0">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43</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89F36D9">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具备紧急激光终止按钮</w:t>
            </w:r>
          </w:p>
        </w:tc>
      </w:tr>
      <w:tr w14:paraId="149BB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78CADFA">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44</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E51F89E">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设备具有遥控安全联锁装置</w:t>
            </w:r>
          </w:p>
        </w:tc>
      </w:tr>
      <w:tr w14:paraId="04F01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5516592E">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45</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5C5A864">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电源：AC220V/50Hz</w:t>
            </w:r>
          </w:p>
        </w:tc>
      </w:tr>
      <w:tr w14:paraId="5A149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119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18F710A">
            <w:pPr>
              <w:keepNext w:val="0"/>
              <w:keepLines w:val="0"/>
              <w:widowControl/>
              <w:suppressLineNumbers w:val="0"/>
              <w:jc w:val="center"/>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46</w:t>
            </w:r>
          </w:p>
        </w:tc>
        <w:tc>
          <w:tcPr>
            <w:tcW w:w="758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E01ABE8">
            <w:pPr>
              <w:keepNext w:val="0"/>
              <w:keepLines w:val="0"/>
              <w:widowControl/>
              <w:suppressLineNumbers w:val="0"/>
              <w:jc w:val="left"/>
              <w:rPr>
                <w:rFonts w:hint="default" w:ascii="宋体" w:hAnsi="宋体" w:eastAsia="宋体" w:cs="宋体"/>
                <w:color w:val="000000"/>
                <w:spacing w:val="0"/>
                <w:position w:val="0"/>
                <w:sz w:val="21"/>
                <w:szCs w:val="21"/>
                <w:highlight w:val="none"/>
                <w:lang w:val="en-US" w:eastAsia="zh-CN"/>
              </w:rPr>
            </w:pPr>
            <w:r>
              <w:rPr>
                <w:rFonts w:hint="eastAsia" w:ascii="宋体" w:hAnsi="宋体" w:eastAsia="宋体" w:cs="宋体"/>
                <w:color w:val="000000"/>
                <w:spacing w:val="0"/>
                <w:position w:val="0"/>
                <w:sz w:val="21"/>
                <w:szCs w:val="21"/>
                <w:highlight w:val="none"/>
                <w:lang w:val="en-US" w:eastAsia="zh-CN"/>
              </w:rPr>
              <w:t>设备使用年限≥10年</w:t>
            </w:r>
          </w:p>
        </w:tc>
      </w:tr>
    </w:tbl>
    <w:p w14:paraId="3A29F244">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 xml:space="preserve">注：1.根据投标文件与招标文件要求实质性响应参数（标记“★”的技术参数）的偏离情况进行评审。技术支持资料显示不满足招标文件要求的或未提供技术支持资料的，投标将被否决； </w:t>
      </w:r>
    </w:p>
    <w:p w14:paraId="1A95C7D1">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2.标注“★”和“▲”的参数均需提供有效证明材料，证明材料仅限于产品说明书或产品检验报告（第三方检验报告或注册检验报告或注册检验补充报告） 或注册证明文件或铭牌或实机操作界面，提供其中一项即可。未标注“★”和“▲”的参数除条目标注证明材料的，无需提供证明材料，但需明确是否响应，未明确是否响应视为不响应，投标人需审慎填写，验收时将复核参数。为方便评审，建议投标人对证明材料中的关键技术参数进行标注。</w:t>
      </w:r>
    </w:p>
    <w:p w14:paraId="08BE6EED">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三</w:t>
      </w:r>
      <w:r>
        <w:rPr>
          <w:rFonts w:hint="eastAsia" w:ascii="宋体" w:hAnsi="宋体" w:eastAsia="宋体"/>
          <w:b/>
          <w:bCs/>
          <w:color w:val="auto"/>
          <w:sz w:val="24"/>
          <w:szCs w:val="18"/>
          <w:highlight w:val="none"/>
        </w:rPr>
        <w:t>、报价要求</w:t>
      </w:r>
      <w:bookmarkEnd w:id="19"/>
      <w:bookmarkEnd w:id="20"/>
    </w:p>
    <w:p w14:paraId="28C5B1E4">
      <w:pPr>
        <w:spacing w:line="360" w:lineRule="auto"/>
        <w:ind w:firstLine="437"/>
        <w:rPr>
          <w:rFonts w:hint="eastAsia" w:ascii="宋体" w:hAnsi="宋体" w:eastAsia="宋体"/>
          <w:bCs/>
          <w:color w:val="auto"/>
          <w:sz w:val="24"/>
          <w:szCs w:val="18"/>
          <w:highlight w:val="none"/>
          <w:lang w:val="en-US" w:eastAsia="zh-CN"/>
        </w:rPr>
      </w:pPr>
      <w:bookmarkStart w:id="21" w:name="_Toc14698"/>
      <w:bookmarkStart w:id="22" w:name="_Toc15293"/>
      <w:r>
        <w:rPr>
          <w:rFonts w:hint="eastAsia" w:ascii="宋体" w:hAnsi="宋体" w:eastAsia="宋体"/>
          <w:bCs/>
          <w:color w:val="auto"/>
          <w:sz w:val="24"/>
          <w:szCs w:val="18"/>
          <w:highlight w:val="none"/>
          <w:lang w:val="en-US" w:eastAsia="zh-CN"/>
        </w:rPr>
        <w:t>1.投标人所报价格包含提供以上货物服务所需全部费用，投标人报价包含服务（货物）、培训、利润、税金、政策性文件规定及合同包含的所有风险、责任、义务等，即为完成招标文件要求的服务（货物）内容所包含的一切应有费用。</w:t>
      </w:r>
    </w:p>
    <w:p w14:paraId="17AC8046">
      <w:pPr>
        <w:spacing w:line="360" w:lineRule="auto"/>
        <w:ind w:firstLine="437"/>
        <w:rPr>
          <w:color w:val="auto"/>
          <w:highlight w:val="none"/>
        </w:rPr>
      </w:pPr>
      <w:r>
        <w:rPr>
          <w:rFonts w:hint="eastAsia" w:ascii="宋体" w:hAnsi="宋体" w:eastAsia="宋体"/>
          <w:bCs/>
          <w:color w:val="auto"/>
          <w:sz w:val="24"/>
          <w:szCs w:val="18"/>
          <w:highlight w:val="none"/>
          <w:lang w:val="en-US" w:eastAsia="zh-CN"/>
        </w:rPr>
        <w:t>2.项目服务过程中所出现的任何遗漏，必须由中标人免费提供，采购人将不再支付任何费用，投标人须自行考虑投标风险。除非特别要求，该项目只允许有唯一方案、唯一报价，多方案、多报价的投标文件将不被接受。</w:t>
      </w:r>
    </w:p>
    <w:p w14:paraId="3816FEBF">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四</w:t>
      </w:r>
      <w:r>
        <w:rPr>
          <w:rFonts w:hint="eastAsia" w:ascii="宋体" w:hAnsi="宋体" w:eastAsia="宋体"/>
          <w:b/>
          <w:bCs/>
          <w:color w:val="auto"/>
          <w:sz w:val="24"/>
          <w:szCs w:val="18"/>
          <w:highlight w:val="none"/>
        </w:rPr>
        <w:t>、</w:t>
      </w:r>
      <w:bookmarkEnd w:id="21"/>
      <w:bookmarkEnd w:id="22"/>
      <w:r>
        <w:rPr>
          <w:rFonts w:hint="eastAsia" w:ascii="宋体" w:hAnsi="宋体" w:eastAsia="宋体"/>
          <w:b/>
          <w:bCs/>
          <w:color w:val="auto"/>
          <w:sz w:val="24"/>
          <w:szCs w:val="18"/>
          <w:highlight w:val="none"/>
          <w:lang w:val="en-US" w:eastAsia="zh-CN"/>
        </w:rPr>
        <w:t xml:space="preserve">技术支持和售后服务需求（本项需逐条应答）必须响应 </w:t>
      </w:r>
    </w:p>
    <w:tbl>
      <w:tblPr>
        <w:tblStyle w:val="28"/>
        <w:tblW w:w="82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33"/>
        <w:gridCol w:w="7278"/>
      </w:tblGrid>
      <w:tr w14:paraId="638FD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9"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06488">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b/>
                <w:bCs/>
                <w:color w:val="auto"/>
                <w:spacing w:val="0"/>
                <w:position w:val="0"/>
                <w:sz w:val="21"/>
                <w:szCs w:val="21"/>
                <w:highlight w:val="none"/>
              </w:rPr>
              <w:t>序号</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0B6626">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b/>
                <w:bCs/>
                <w:color w:val="auto"/>
                <w:spacing w:val="0"/>
                <w:position w:val="0"/>
                <w:sz w:val="21"/>
                <w:szCs w:val="21"/>
                <w:highlight w:val="none"/>
              </w:rPr>
              <w:t>说明与要求</w:t>
            </w:r>
          </w:p>
        </w:tc>
      </w:tr>
      <w:tr w14:paraId="09A6A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48"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F3F80">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1</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7BB79">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设备须</w:t>
            </w:r>
            <w:r>
              <w:rPr>
                <w:rFonts w:hint="eastAsia" w:ascii="宋体" w:hAnsi="宋体" w:eastAsia="宋体" w:cs="宋体"/>
                <w:color w:val="auto"/>
                <w:spacing w:val="0"/>
                <w:position w:val="0"/>
                <w:sz w:val="21"/>
                <w:szCs w:val="21"/>
                <w:highlight w:val="none"/>
                <w:lang w:val="en-US" w:eastAsia="zh-CN"/>
              </w:rPr>
              <w:t>为</w:t>
            </w:r>
            <w:r>
              <w:rPr>
                <w:rFonts w:hint="eastAsia" w:ascii="宋体" w:hAnsi="宋体" w:eastAsia="宋体" w:cs="宋体"/>
                <w:color w:val="auto"/>
                <w:spacing w:val="0"/>
                <w:position w:val="0"/>
                <w:sz w:val="21"/>
                <w:szCs w:val="21"/>
                <w:highlight w:val="none"/>
              </w:rPr>
              <w:t>原厂全新正品</w:t>
            </w:r>
            <w:r>
              <w:rPr>
                <w:rFonts w:hint="eastAsia" w:ascii="宋体" w:hAnsi="宋体" w:eastAsia="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rPr>
              <w:t>所有选配功能和部件均须列明清单，并详细说明各选配功能和部件的作用，未列入该清单的均视为标配内容包含在投标</w:t>
            </w:r>
            <w:r>
              <w:rPr>
                <w:rFonts w:hint="eastAsia" w:ascii="宋体" w:hAnsi="宋体" w:eastAsia="宋体" w:cs="宋体"/>
                <w:color w:val="auto"/>
                <w:spacing w:val="0"/>
                <w:position w:val="0"/>
                <w:sz w:val="21"/>
                <w:szCs w:val="21"/>
                <w:highlight w:val="none"/>
                <w:lang w:val="en-US" w:eastAsia="zh-CN"/>
              </w:rPr>
              <w:t>报价</w:t>
            </w:r>
            <w:r>
              <w:rPr>
                <w:rFonts w:hint="eastAsia" w:ascii="宋体" w:hAnsi="宋体" w:eastAsia="宋体" w:cs="宋体"/>
                <w:color w:val="auto"/>
                <w:spacing w:val="0"/>
                <w:position w:val="0"/>
                <w:sz w:val="21"/>
                <w:szCs w:val="21"/>
                <w:highlight w:val="none"/>
              </w:rPr>
              <w:t>内。</w:t>
            </w:r>
          </w:p>
        </w:tc>
      </w:tr>
      <w:tr w14:paraId="04B94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49"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2F089">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2</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77350">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投标文件中的外文内容，须提供内容相同的中文对照版。</w:t>
            </w:r>
          </w:p>
        </w:tc>
      </w:tr>
      <w:tr w14:paraId="52FB8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4"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5133E">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3</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84C4F">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投标文件中提供产品彩色样本图。</w:t>
            </w:r>
          </w:p>
        </w:tc>
      </w:tr>
      <w:tr w14:paraId="3A0B6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78"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46944">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4</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13C58">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承诺</w:t>
            </w:r>
            <w:r>
              <w:rPr>
                <w:rFonts w:hint="eastAsia" w:ascii="宋体" w:hAnsi="宋体" w:eastAsia="宋体" w:cs="宋体"/>
                <w:color w:val="auto"/>
                <w:spacing w:val="0"/>
                <w:position w:val="0"/>
                <w:sz w:val="21"/>
                <w:szCs w:val="21"/>
                <w:highlight w:val="none"/>
              </w:rPr>
              <w:t>免费质保期内，</w:t>
            </w:r>
            <w:r>
              <w:rPr>
                <w:rFonts w:hint="eastAsia" w:ascii="宋体" w:hAnsi="宋体" w:eastAsia="宋体" w:cs="宋体"/>
                <w:color w:val="auto"/>
                <w:spacing w:val="0"/>
                <w:position w:val="0"/>
                <w:sz w:val="21"/>
                <w:szCs w:val="21"/>
                <w:highlight w:val="none"/>
                <w:lang w:val="en-US" w:eastAsia="zh-CN"/>
              </w:rPr>
              <w:t>中标人</w:t>
            </w:r>
            <w:r>
              <w:rPr>
                <w:rFonts w:hint="eastAsia" w:ascii="宋体" w:hAnsi="宋体" w:eastAsia="宋体" w:cs="宋体"/>
                <w:color w:val="auto"/>
                <w:spacing w:val="0"/>
                <w:position w:val="0"/>
                <w:sz w:val="21"/>
                <w:szCs w:val="21"/>
                <w:highlight w:val="none"/>
              </w:rPr>
              <w:t>免费提供不低于4次/年的标准化原厂预防性维护保养服务，包括</w:t>
            </w:r>
            <w:r>
              <w:rPr>
                <w:rFonts w:hint="eastAsia" w:ascii="宋体" w:hAnsi="宋体" w:eastAsia="宋体" w:cs="宋体"/>
                <w:color w:val="auto"/>
                <w:spacing w:val="0"/>
                <w:position w:val="0"/>
                <w:sz w:val="21"/>
                <w:szCs w:val="21"/>
                <w:highlight w:val="none"/>
                <w:lang w:val="en-US" w:eastAsia="zh-CN"/>
              </w:rPr>
              <w:t>中</w:t>
            </w:r>
            <w:r>
              <w:rPr>
                <w:rFonts w:hint="eastAsia" w:ascii="宋体" w:hAnsi="宋体" w:eastAsia="宋体" w:cs="宋体"/>
                <w:color w:val="auto"/>
                <w:spacing w:val="0"/>
                <w:position w:val="0"/>
                <w:sz w:val="21"/>
                <w:szCs w:val="21"/>
                <w:highlight w:val="none"/>
              </w:rPr>
              <w:t>标</w:t>
            </w:r>
            <w:r>
              <w:rPr>
                <w:rFonts w:hint="eastAsia" w:ascii="宋体" w:hAnsi="宋体" w:eastAsia="宋体" w:cs="宋体"/>
                <w:color w:val="auto"/>
                <w:spacing w:val="0"/>
                <w:position w:val="0"/>
                <w:sz w:val="21"/>
                <w:szCs w:val="21"/>
                <w:highlight w:val="none"/>
                <w:lang w:val="en-US" w:eastAsia="zh-CN"/>
              </w:rPr>
              <w:t>人</w:t>
            </w:r>
            <w:r>
              <w:rPr>
                <w:rFonts w:hint="eastAsia" w:ascii="宋体" w:hAnsi="宋体" w:eastAsia="宋体" w:cs="宋体"/>
                <w:color w:val="auto"/>
                <w:spacing w:val="0"/>
                <w:position w:val="0"/>
                <w:sz w:val="21"/>
                <w:szCs w:val="21"/>
                <w:highlight w:val="none"/>
              </w:rPr>
              <w:t>提供的所有设备及附属配套部件，含第三方货物；质保期满后</w:t>
            </w:r>
            <w:r>
              <w:rPr>
                <w:rFonts w:hint="eastAsia" w:ascii="宋体" w:hAnsi="宋体" w:eastAsia="宋体" w:cs="宋体"/>
                <w:color w:val="auto"/>
                <w:spacing w:val="0"/>
                <w:position w:val="0"/>
                <w:sz w:val="21"/>
                <w:szCs w:val="21"/>
                <w:highlight w:val="none"/>
                <w:lang w:val="en-US" w:eastAsia="zh-CN"/>
              </w:rPr>
              <w:t>的</w:t>
            </w:r>
            <w:r>
              <w:rPr>
                <w:rFonts w:hint="eastAsia" w:ascii="宋体" w:hAnsi="宋体" w:eastAsia="宋体" w:cs="宋体"/>
                <w:color w:val="auto"/>
                <w:spacing w:val="0"/>
                <w:position w:val="0"/>
                <w:sz w:val="21"/>
                <w:szCs w:val="21"/>
                <w:highlight w:val="none"/>
              </w:rPr>
              <w:t>整机维保费用单独报价（不得高于投标</w:t>
            </w:r>
            <w:r>
              <w:rPr>
                <w:rFonts w:hint="eastAsia" w:ascii="宋体" w:hAnsi="宋体" w:eastAsia="宋体" w:cs="宋体"/>
                <w:color w:val="auto"/>
                <w:spacing w:val="0"/>
                <w:position w:val="0"/>
                <w:sz w:val="21"/>
                <w:szCs w:val="21"/>
                <w:highlight w:val="none"/>
                <w:lang w:val="en-US" w:eastAsia="zh-CN"/>
              </w:rPr>
              <w:t>总价</w:t>
            </w:r>
            <w:r>
              <w:rPr>
                <w:rFonts w:hint="eastAsia" w:ascii="宋体" w:hAnsi="宋体" w:eastAsia="宋体" w:cs="宋体"/>
                <w:color w:val="auto"/>
                <w:spacing w:val="0"/>
                <w:position w:val="0"/>
                <w:sz w:val="21"/>
                <w:szCs w:val="21"/>
                <w:highlight w:val="none"/>
              </w:rPr>
              <w:t>的5%），质保期满后</w:t>
            </w:r>
            <w:r>
              <w:rPr>
                <w:rFonts w:hint="eastAsia" w:ascii="宋体" w:hAnsi="宋体" w:eastAsia="宋体" w:cs="宋体"/>
                <w:color w:val="auto"/>
                <w:spacing w:val="0"/>
                <w:position w:val="0"/>
                <w:sz w:val="21"/>
                <w:szCs w:val="21"/>
                <w:highlight w:val="none"/>
                <w:lang w:val="en-US" w:eastAsia="zh-CN"/>
              </w:rPr>
              <w:t>的</w:t>
            </w:r>
            <w:r>
              <w:rPr>
                <w:rFonts w:hint="eastAsia" w:ascii="宋体" w:hAnsi="宋体" w:eastAsia="宋体" w:cs="宋体"/>
                <w:color w:val="auto"/>
                <w:spacing w:val="0"/>
                <w:position w:val="0"/>
                <w:sz w:val="21"/>
                <w:szCs w:val="21"/>
                <w:highlight w:val="none"/>
              </w:rPr>
              <w:t>整机维保费用不计入投标总价。</w:t>
            </w:r>
          </w:p>
        </w:tc>
      </w:tr>
      <w:tr w14:paraId="569AB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9"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BF2F4">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5</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top"/>
          </w:tcPr>
          <w:p w14:paraId="0282ED3C">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投标文件中提供质保期满后的单次维修人工费用报价，该报价不计入投标总价。</w:t>
            </w:r>
          </w:p>
        </w:tc>
      </w:tr>
      <w:tr w14:paraId="1948F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4"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5246A">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6</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3CB568">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投标文件中提供所有价格超过1 万元的维修配件清单，清单未提及的维修零配件视为价格低于1万元。</w:t>
            </w:r>
          </w:p>
        </w:tc>
      </w:tr>
      <w:tr w14:paraId="7D411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9"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37187">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7</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top"/>
          </w:tcPr>
          <w:p w14:paraId="5C8630E4">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投标文件中提供本设备工作所需的所有消耗品和配套使用的耗材价格清单，价格清单未提及的消耗品和配套使用的耗材视为免费提供。</w:t>
            </w:r>
          </w:p>
        </w:tc>
      </w:tr>
      <w:tr w14:paraId="3608B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44"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393CF">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8</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32845">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承诺</w:t>
            </w:r>
            <w:r>
              <w:rPr>
                <w:rFonts w:hint="eastAsia" w:ascii="宋体" w:hAnsi="宋体" w:eastAsia="宋体" w:cs="宋体"/>
                <w:color w:val="auto"/>
                <w:spacing w:val="0"/>
                <w:position w:val="0"/>
                <w:sz w:val="21"/>
                <w:szCs w:val="21"/>
                <w:highlight w:val="none"/>
              </w:rPr>
              <w:t>免费提供设备操作使用说明书和维修手册</w:t>
            </w:r>
            <w:r>
              <w:rPr>
                <w:rFonts w:hint="eastAsia" w:ascii="宋体" w:hAnsi="宋体" w:eastAsia="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rPr>
              <w:t>终身开放进入维修模式的密码和其他维修权限</w:t>
            </w:r>
            <w:r>
              <w:rPr>
                <w:rFonts w:hint="eastAsia" w:ascii="宋体" w:hAnsi="宋体" w:eastAsia="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rPr>
              <w:t>免费提供远程维修支持。</w:t>
            </w:r>
          </w:p>
        </w:tc>
      </w:tr>
      <w:tr w14:paraId="6C6BC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2"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F232D">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9</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D5525">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承诺</w:t>
            </w:r>
            <w:r>
              <w:rPr>
                <w:rFonts w:hint="eastAsia" w:ascii="宋体" w:hAnsi="宋体" w:eastAsia="宋体" w:cs="宋体"/>
                <w:color w:val="auto"/>
                <w:spacing w:val="0"/>
                <w:position w:val="0"/>
                <w:sz w:val="21"/>
                <w:szCs w:val="21"/>
                <w:highlight w:val="none"/>
              </w:rPr>
              <w:t>永久免费维护设备所配操作系统和应用软件</w:t>
            </w:r>
            <w:r>
              <w:rPr>
                <w:rFonts w:hint="eastAsia" w:ascii="宋体" w:hAnsi="宋体" w:eastAsia="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rPr>
              <w:t>5年内免费升级应用软件至最新版本。</w:t>
            </w:r>
          </w:p>
        </w:tc>
      </w:tr>
      <w:tr w14:paraId="494FC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44"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B865F">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10</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A6F25">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承诺</w:t>
            </w:r>
            <w:r>
              <w:rPr>
                <w:rFonts w:hint="eastAsia" w:ascii="宋体" w:hAnsi="宋体" w:eastAsia="宋体" w:cs="宋体"/>
                <w:color w:val="auto"/>
                <w:spacing w:val="0"/>
                <w:position w:val="0"/>
                <w:sz w:val="21"/>
                <w:szCs w:val="21"/>
                <w:highlight w:val="none"/>
              </w:rPr>
              <w:t>在免费质保期内确保开机率95%以上，即每年故障和维修时间少于18 天，如超过，则按照1:5顺延保修时间。</w:t>
            </w:r>
          </w:p>
        </w:tc>
      </w:tr>
      <w:tr w14:paraId="2745D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4" w:hRule="atLeast"/>
        </w:trPr>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A31E1">
            <w:pPr>
              <w:pStyle w:val="24"/>
              <w:keepNext w:val="0"/>
              <w:keepLines w:val="0"/>
              <w:widowControl/>
              <w:suppressLineNumbers w:val="0"/>
              <w:spacing w:line="240" w:lineRule="auto"/>
              <w:ind w:left="0" w:firstLine="0"/>
              <w:jc w:val="center"/>
              <w:textAlignment w:val="center"/>
              <w:rPr>
                <w:color w:val="auto"/>
                <w:highlight w:val="none"/>
              </w:rPr>
            </w:pPr>
            <w:r>
              <w:rPr>
                <w:rFonts w:hint="eastAsia" w:ascii="宋体" w:hAnsi="宋体" w:eastAsia="宋体" w:cs="宋体"/>
                <w:color w:val="auto"/>
                <w:spacing w:val="0"/>
                <w:position w:val="0"/>
                <w:sz w:val="21"/>
                <w:szCs w:val="21"/>
                <w:highlight w:val="none"/>
              </w:rPr>
              <w:t>11</w:t>
            </w:r>
          </w:p>
        </w:tc>
        <w:tc>
          <w:tcPr>
            <w:tcW w:w="72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1EF24">
            <w:pPr>
              <w:pStyle w:val="24"/>
              <w:keepNext w:val="0"/>
              <w:keepLines w:val="0"/>
              <w:widowControl/>
              <w:suppressLineNumbers w:val="0"/>
              <w:spacing w:line="289" w:lineRule="auto"/>
              <w:ind w:left="0" w:firstLine="0"/>
              <w:jc w:val="left"/>
              <w:textAlignment w:val="center"/>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承诺</w:t>
            </w:r>
            <w:r>
              <w:rPr>
                <w:rFonts w:hint="eastAsia" w:ascii="宋体" w:hAnsi="宋体" w:eastAsia="宋体" w:cs="宋体"/>
                <w:color w:val="auto"/>
                <w:spacing w:val="0"/>
                <w:position w:val="0"/>
                <w:sz w:val="21"/>
                <w:szCs w:val="21"/>
                <w:highlight w:val="none"/>
              </w:rPr>
              <w:t>免费质保期后的维修费用，先维修后付款；零备件的更换：先更换后付款。</w:t>
            </w:r>
          </w:p>
        </w:tc>
      </w:tr>
    </w:tbl>
    <w:p w14:paraId="772F4F44">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 xml:space="preserve">注：上述表中所列各项，投标人须在投标文件中逐项响应并提供对应证明材料，投标文件中未按照要求响应（或承诺）、未提供相应证明材料或证明材料内容不满足要求的，投标将被否决。 </w:t>
      </w:r>
    </w:p>
    <w:p w14:paraId="3BDC672D">
      <w:pPr>
        <w:spacing w:line="360" w:lineRule="auto"/>
        <w:ind w:firstLine="437"/>
        <w:outlineLvl w:val="1"/>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五、其他要求</w:t>
      </w:r>
    </w:p>
    <w:p w14:paraId="1C8DE8AC">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（一）应急服务要求</w:t>
      </w:r>
    </w:p>
    <w:p w14:paraId="06BD184D">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1.备品备件：中标人提供能够满足质量保证期内的设备维修要求的备品备件，备品备件应是新品。中标人应保证10年以上零部件供应期，并对设备故障等突发状况及时响应。</w:t>
      </w:r>
    </w:p>
    <w:p w14:paraId="6CBE4F60">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2.专用工具：中标人提供设备安装、调试、验收、维修、保养所必要的专用工具、仪器、仪表等工具。</w:t>
      </w:r>
    </w:p>
    <w:p w14:paraId="70C2D467">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3.接到报修后应及时响应，若未及时修复设备故障，应提供备用设备供采购人使用。</w:t>
      </w:r>
    </w:p>
    <w:p w14:paraId="4AB02237">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（二）安装调试、验收试验及质量保证</w:t>
      </w:r>
    </w:p>
    <w:p w14:paraId="1D5DD454">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1.中标人在设备安装地点负责安装、调试。</w:t>
      </w:r>
    </w:p>
    <w:p w14:paraId="13AE3C47">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2.具体设备验收标准和程序按采购人要求执行，下列验收程序可参照执行：</w:t>
      </w:r>
    </w:p>
    <w:p w14:paraId="21CFD6E3">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w:t>
      </w:r>
    </w:p>
    <w:p w14:paraId="50C8E05F">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货物在验收时，中标人应提供发票、制造厂家出具的产品合格证书、装箱清单等；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77CA70A1">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（3）中标人应根据采购人使用单位的技术要求提供相应的产品。由中标人所提供的设备部件间的连线和插接件均应视为设备内部器件，包含在相应的设备之中。</w:t>
      </w:r>
    </w:p>
    <w:p w14:paraId="5ED3029A">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（4）运行测试及验收。在系统安装、调试结束后，采购人对其进行全面的测试，对测试中暴露出来的问题，中标人应及时进行整改，系统最终测试完毕经验收合格后，采购人应向中标人签发验收证明。</w:t>
      </w:r>
    </w:p>
    <w:p w14:paraId="7EBD9FE2">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w:t>
      </w:r>
    </w:p>
    <w:p w14:paraId="1D0AF7BB">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3.如设备在验收时有一个或多个指标未能达到要求而属于中标人责任时，则中标人自费采取有效措施，在规定时间内使之达到保证指标。如在规定的时间内仍达不到合格标准时，则中标人应向采购人赔偿。</w:t>
      </w:r>
    </w:p>
    <w:p w14:paraId="0BE1E9AF">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（三）包装运输</w:t>
      </w:r>
    </w:p>
    <w:p w14:paraId="7419F595">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1.中标人负责设备包装、办理运输和保险，将设备安全运抵交货地点。</w:t>
      </w:r>
    </w:p>
    <w:p w14:paraId="1D1802CA">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2.设备制造完成并通过试验后应及时包装，否则应得到切实的保护，确保其不受污损。</w:t>
      </w:r>
    </w:p>
    <w:p w14:paraId="77A5BA39">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3.在包装箱外应标明采购人的订货号、发货号。</w:t>
      </w:r>
    </w:p>
    <w:p w14:paraId="6ACC67DE">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4.各种包装应能确保各零部件在运输过程中不致遭到损坏、丢失、变形、受潮和腐蚀。</w:t>
      </w:r>
    </w:p>
    <w:p w14:paraId="615FCA63">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5.包装箱上应有明显的包装储运图示标志。</w:t>
      </w:r>
    </w:p>
    <w:p w14:paraId="0C1028BC">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6.整体产品或分别运输的部件都要适应运输和装载的要求。</w:t>
      </w:r>
    </w:p>
    <w:p w14:paraId="3776F9F9">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7.随产品提供的技术资料应完整无缺。</w:t>
      </w:r>
    </w:p>
    <w:p w14:paraId="216D5C98">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 xml:space="preserve">（四）培训要求 </w:t>
      </w:r>
    </w:p>
    <w:p w14:paraId="013A7194">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1.设备使用培训：不少于2 人，直至完全掌握设备应用技术和操作方法；免一切费用(包含交通、食宿、资料、工具材料等所有与培训相关的费用)，且可根据采购人实际需求提供一次免费二次培训服务。</w:t>
      </w:r>
    </w:p>
    <w:p w14:paraId="36A233B5">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（五）质保及售后服务</w:t>
      </w:r>
    </w:p>
    <w:p w14:paraId="573370BA">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w:t>
      </w:r>
      <w:r>
        <w:rPr>
          <w:rFonts w:hint="eastAsia" w:asciiTheme="minorEastAsia" w:hAnsiTheme="minorEastAsia" w:eastAsiaTheme="minorEastAsia"/>
          <w:b w:val="0"/>
          <w:bCs w:val="0"/>
          <w:color w:val="auto"/>
          <w:sz w:val="24"/>
          <w:highlight w:val="none"/>
          <w:u w:val="none"/>
          <w:lang w:val="en-US" w:eastAsia="zh-CN"/>
        </w:rPr>
        <w:t>自验收合格之日</w:t>
      </w:r>
      <w:r>
        <w:rPr>
          <w:rFonts w:hint="eastAsia" w:ascii="宋体" w:hAnsi="宋体" w:eastAsia="宋体"/>
          <w:bCs/>
          <w:color w:val="auto"/>
          <w:sz w:val="24"/>
          <w:szCs w:val="18"/>
          <w:highlight w:val="none"/>
          <w:lang w:val="en-US" w:eastAsia="zh-CN"/>
        </w:rPr>
        <w:t>起进入免费质保期。</w:t>
      </w:r>
    </w:p>
    <w:p w14:paraId="1AB890DA">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072479E9">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（六）其他</w:t>
      </w:r>
    </w:p>
    <w:p w14:paraId="1AE165B3">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 xml:space="preserve">投标人所投产品应为性能稳定、安全的成熟设备，故障率低、维修便利，并在投标文件中针对所投产品技术先进性、设备性能、配置情况、设计等方面进行阐述说明，提供相应证明材料。 </w:t>
      </w:r>
    </w:p>
    <w:p w14:paraId="0371B9F4">
      <w:pPr>
        <w:keepNext w:val="0"/>
        <w:keepLines w:val="0"/>
        <w:widowControl/>
        <w:suppressLineNumbers w:val="0"/>
        <w:jc w:val="left"/>
        <w:rPr>
          <w:color w:val="auto"/>
          <w:highlight w:val="none"/>
        </w:rPr>
      </w:pPr>
    </w:p>
    <w:p w14:paraId="337AB494">
      <w:pPr>
        <w:spacing w:line="360" w:lineRule="auto"/>
        <w:ind w:firstLine="437"/>
        <w:rPr>
          <w:rFonts w:hint="eastAsia" w:ascii="宋体" w:hAnsi="宋体" w:eastAsia="宋体"/>
          <w:bCs/>
          <w:color w:val="auto"/>
          <w:sz w:val="24"/>
          <w:szCs w:val="18"/>
          <w:highlight w:val="none"/>
          <w:lang w:val="en-US" w:eastAsia="zh-CN"/>
        </w:rPr>
      </w:pPr>
    </w:p>
    <w:p w14:paraId="4ABA21D6">
      <w:pPr>
        <w:pStyle w:val="15"/>
        <w:rPr>
          <w:rFonts w:hint="eastAsia"/>
          <w:color w:val="auto"/>
          <w:highlight w:val="none"/>
          <w:lang w:val="en-US" w:eastAsia="zh-CN"/>
        </w:rPr>
      </w:pPr>
    </w:p>
    <w:p w14:paraId="5CDAC164">
      <w:pPr>
        <w:rPr>
          <w:rFonts w:hint="eastAsia" w:asciiTheme="minorEastAsia" w:hAnsiTheme="minorEastAsia" w:eastAsiaTheme="minorEastAsia"/>
          <w:b/>
          <w:color w:val="auto"/>
          <w:sz w:val="28"/>
          <w:highlight w:val="none"/>
        </w:rPr>
      </w:pPr>
      <w:bookmarkStart w:id="23" w:name="_Toc16417"/>
      <w:r>
        <w:rPr>
          <w:rFonts w:hint="eastAsia" w:asciiTheme="minorEastAsia" w:hAnsiTheme="minorEastAsia" w:eastAsiaTheme="minorEastAsia"/>
          <w:b/>
          <w:color w:val="auto"/>
          <w:sz w:val="28"/>
          <w:highlight w:val="none"/>
        </w:rPr>
        <w:br w:type="page"/>
      </w:r>
    </w:p>
    <w:p w14:paraId="0EEB53E6">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评标方法和标准（综合评分法）</w:t>
      </w:r>
      <w:bookmarkEnd w:id="23"/>
    </w:p>
    <w:p w14:paraId="6619C33C">
      <w:pPr>
        <w:spacing w:line="360" w:lineRule="auto"/>
        <w:ind w:firstLine="437"/>
        <w:outlineLvl w:val="1"/>
        <w:rPr>
          <w:rFonts w:asciiTheme="minorEastAsia" w:hAnsiTheme="minorEastAsia" w:eastAsiaTheme="minorEastAsia"/>
          <w:b/>
          <w:color w:val="auto"/>
          <w:sz w:val="24"/>
          <w:highlight w:val="none"/>
        </w:rPr>
      </w:pPr>
      <w:bookmarkStart w:id="24" w:name="_Toc11823"/>
      <w:bookmarkStart w:id="25" w:name="_Toc1246"/>
      <w:r>
        <w:rPr>
          <w:rFonts w:hint="eastAsia" w:asciiTheme="minorEastAsia" w:hAnsiTheme="minorEastAsia" w:eastAsiaTheme="minorEastAsia"/>
          <w:b/>
          <w:color w:val="auto"/>
          <w:sz w:val="24"/>
          <w:highlight w:val="none"/>
        </w:rPr>
        <w:t>一、总则</w:t>
      </w:r>
      <w:bookmarkEnd w:id="24"/>
      <w:bookmarkEnd w:id="25"/>
    </w:p>
    <w:p w14:paraId="50B28F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27AC14F4">
      <w:pPr>
        <w:spacing w:line="360" w:lineRule="auto"/>
        <w:ind w:firstLine="437"/>
        <w:outlineLvl w:val="1"/>
        <w:rPr>
          <w:rFonts w:asciiTheme="minorEastAsia" w:hAnsiTheme="minorEastAsia" w:eastAsiaTheme="minorEastAsia"/>
          <w:b/>
          <w:color w:val="auto"/>
          <w:sz w:val="24"/>
          <w:highlight w:val="none"/>
        </w:rPr>
      </w:pPr>
      <w:bookmarkStart w:id="26" w:name="_Toc13117"/>
      <w:bookmarkStart w:id="27" w:name="_Toc31871"/>
      <w:r>
        <w:rPr>
          <w:rFonts w:hint="eastAsia" w:asciiTheme="minorEastAsia" w:hAnsiTheme="minorEastAsia" w:eastAsiaTheme="minorEastAsia"/>
          <w:b/>
          <w:color w:val="auto"/>
          <w:sz w:val="24"/>
          <w:highlight w:val="none"/>
        </w:rPr>
        <w:t>二、评标方法</w:t>
      </w:r>
      <w:bookmarkEnd w:id="26"/>
      <w:bookmarkEnd w:id="27"/>
    </w:p>
    <w:p w14:paraId="3B86B615">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8"/>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648"/>
        <w:gridCol w:w="4558"/>
        <w:gridCol w:w="2220"/>
      </w:tblGrid>
      <w:tr w14:paraId="250E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083" w:type="dxa"/>
            <w:gridSpan w:val="4"/>
            <w:tcBorders>
              <w:bottom w:val="single" w:color="auto" w:sz="4" w:space="0"/>
            </w:tcBorders>
            <w:vAlign w:val="center"/>
          </w:tcPr>
          <w:p w14:paraId="5D86996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10C6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454A86A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48" w:type="dxa"/>
            <w:tcBorders>
              <w:bottom w:val="single" w:color="auto" w:sz="4" w:space="0"/>
            </w:tcBorders>
            <w:vAlign w:val="center"/>
          </w:tcPr>
          <w:p w14:paraId="32DD83D0">
            <w:pPr>
              <w:pStyle w:val="48"/>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4558" w:type="dxa"/>
            <w:tcBorders>
              <w:bottom w:val="single" w:color="auto" w:sz="4" w:space="0"/>
            </w:tcBorders>
            <w:vAlign w:val="center"/>
          </w:tcPr>
          <w:p w14:paraId="4486D6B6">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2220" w:type="dxa"/>
            <w:tcBorders>
              <w:bottom w:val="single" w:color="auto" w:sz="4" w:space="0"/>
            </w:tcBorders>
            <w:vAlign w:val="center"/>
          </w:tcPr>
          <w:p w14:paraId="74D83E5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263D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7" w:type="dxa"/>
            <w:tcBorders>
              <w:bottom w:val="single" w:color="auto" w:sz="4" w:space="0"/>
            </w:tcBorders>
            <w:vAlign w:val="center"/>
          </w:tcPr>
          <w:p w14:paraId="3926B5BF">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1648" w:type="dxa"/>
            <w:tcBorders>
              <w:bottom w:val="single" w:color="auto" w:sz="4" w:space="0"/>
            </w:tcBorders>
            <w:vAlign w:val="center"/>
          </w:tcPr>
          <w:p w14:paraId="6512097A">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558" w:type="dxa"/>
            <w:tcBorders>
              <w:bottom w:val="single" w:color="auto" w:sz="4" w:space="0"/>
            </w:tcBorders>
            <w:vAlign w:val="center"/>
          </w:tcPr>
          <w:p w14:paraId="2A32AE42">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5E6AA3A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6BCA80C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1D819089">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1FE2015">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2220" w:type="dxa"/>
            <w:vAlign w:val="center"/>
          </w:tcPr>
          <w:p w14:paraId="462D73B4">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090A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7" w:type="dxa"/>
            <w:tcBorders>
              <w:bottom w:val="single" w:color="auto" w:sz="4" w:space="0"/>
            </w:tcBorders>
            <w:vAlign w:val="center"/>
          </w:tcPr>
          <w:p w14:paraId="34896A47">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1648" w:type="dxa"/>
            <w:tcBorders>
              <w:bottom w:val="single" w:color="auto" w:sz="4" w:space="0"/>
            </w:tcBorders>
            <w:vAlign w:val="center"/>
          </w:tcPr>
          <w:p w14:paraId="13CBE10D">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4558" w:type="dxa"/>
            <w:tcBorders>
              <w:bottom w:val="single" w:color="auto" w:sz="4" w:space="0"/>
            </w:tcBorders>
            <w:vAlign w:val="center"/>
          </w:tcPr>
          <w:p w14:paraId="4D0FA4F2">
            <w:pPr>
              <w:spacing w:after="50" w:line="360" w:lineRule="auto"/>
              <w:ind w:right="-1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提</w:t>
            </w:r>
            <w:r>
              <w:rPr>
                <w:rFonts w:ascii="宋体" w:hAnsi="宋体" w:eastAsia="宋体" w:cs="宋体"/>
                <w:color w:val="auto"/>
                <w:spacing w:val="-2"/>
                <w:sz w:val="24"/>
                <w:szCs w:val="24"/>
                <w:highlight w:val="none"/>
              </w:rPr>
              <w:t>供符合招标文件要求的《投标人资格声明书》</w:t>
            </w:r>
            <w:r>
              <w:rPr>
                <w:rFonts w:hint="eastAsia" w:ascii="宋体" w:hAnsi="宋体" w:eastAsia="宋体" w:cs="宋体"/>
                <w:color w:val="auto"/>
                <w:spacing w:val="-2"/>
                <w:sz w:val="24"/>
                <w:szCs w:val="24"/>
                <w:highlight w:val="none"/>
                <w:lang w:eastAsia="zh-CN"/>
              </w:rPr>
              <w:t>。</w:t>
            </w:r>
          </w:p>
        </w:tc>
        <w:tc>
          <w:tcPr>
            <w:tcW w:w="2220" w:type="dxa"/>
            <w:vAlign w:val="center"/>
          </w:tcPr>
          <w:p w14:paraId="13AC71D8">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27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41F6ABCC">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1648" w:type="dxa"/>
            <w:tcBorders>
              <w:bottom w:val="single" w:color="auto" w:sz="4" w:space="0"/>
            </w:tcBorders>
            <w:vAlign w:val="center"/>
          </w:tcPr>
          <w:p w14:paraId="4307EB43">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558" w:type="dxa"/>
            <w:tcBorders>
              <w:bottom w:val="single" w:color="auto" w:sz="4" w:space="0"/>
            </w:tcBorders>
            <w:vAlign w:val="center"/>
          </w:tcPr>
          <w:p w14:paraId="3D61E428">
            <w:pPr>
              <w:spacing w:after="50" w:line="360" w:lineRule="auto"/>
              <w:ind w:right="-10"/>
              <w:jc w:val="left"/>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投标人不得存在投标人须知正文第14.2 条中的不良信用记录情形</w:t>
            </w:r>
          </w:p>
        </w:tc>
        <w:tc>
          <w:tcPr>
            <w:tcW w:w="2220" w:type="dxa"/>
            <w:tcBorders>
              <w:bottom w:val="single" w:color="auto" w:sz="4" w:space="0"/>
            </w:tcBorders>
            <w:vAlign w:val="center"/>
          </w:tcPr>
          <w:p w14:paraId="6BD95C08">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r w14:paraId="63DE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1B8CE4AC">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1648" w:type="dxa"/>
            <w:tcBorders>
              <w:bottom w:val="single" w:color="auto" w:sz="4" w:space="0"/>
            </w:tcBorders>
            <w:vAlign w:val="center"/>
          </w:tcPr>
          <w:p w14:paraId="1A63CDF4">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4558" w:type="dxa"/>
            <w:tcBorders>
              <w:bottom w:val="single" w:color="auto" w:sz="4" w:space="0"/>
            </w:tcBorders>
            <w:vAlign w:val="center"/>
          </w:tcPr>
          <w:p w14:paraId="5C629B8D">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2220" w:type="dxa"/>
            <w:tcBorders>
              <w:bottom w:val="single" w:color="auto" w:sz="4" w:space="0"/>
            </w:tcBorders>
            <w:vAlign w:val="center"/>
          </w:tcPr>
          <w:p w14:paraId="52F1F2A5">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25FD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55CEDC28">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1648" w:type="dxa"/>
            <w:vAlign w:val="center"/>
          </w:tcPr>
          <w:p w14:paraId="29E7F7B6">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4558" w:type="dxa"/>
            <w:vAlign w:val="center"/>
          </w:tcPr>
          <w:p w14:paraId="44504172">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见第一章《投标邀请》</w:t>
            </w:r>
          </w:p>
        </w:tc>
        <w:tc>
          <w:tcPr>
            <w:tcW w:w="2220" w:type="dxa"/>
            <w:vAlign w:val="center"/>
          </w:tcPr>
          <w:p w14:paraId="717378FC">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5E9B5864">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0D0D6195">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E0C845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8"/>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755"/>
        <w:gridCol w:w="4065"/>
        <w:gridCol w:w="3292"/>
      </w:tblGrid>
      <w:tr w14:paraId="6024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880" w:type="dxa"/>
            <w:gridSpan w:val="4"/>
            <w:tcBorders>
              <w:bottom w:val="single" w:color="auto" w:sz="4" w:space="0"/>
            </w:tcBorders>
            <w:vAlign w:val="center"/>
          </w:tcPr>
          <w:p w14:paraId="72075EF5">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4AB1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8" w:type="dxa"/>
            <w:tcBorders>
              <w:bottom w:val="single" w:color="auto" w:sz="4" w:space="0"/>
            </w:tcBorders>
            <w:vAlign w:val="center"/>
          </w:tcPr>
          <w:p w14:paraId="1050B22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755" w:type="dxa"/>
            <w:tcBorders>
              <w:bottom w:val="single" w:color="auto" w:sz="4" w:space="0"/>
            </w:tcBorders>
            <w:vAlign w:val="center"/>
          </w:tcPr>
          <w:p w14:paraId="55720AAD">
            <w:pPr>
              <w:pStyle w:val="48"/>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4065" w:type="dxa"/>
            <w:tcBorders>
              <w:bottom w:val="single" w:color="auto" w:sz="4" w:space="0"/>
            </w:tcBorders>
            <w:vAlign w:val="center"/>
          </w:tcPr>
          <w:p w14:paraId="02688923">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3292" w:type="dxa"/>
            <w:tcBorders>
              <w:bottom w:val="single" w:color="auto" w:sz="4" w:space="0"/>
            </w:tcBorders>
            <w:vAlign w:val="center"/>
          </w:tcPr>
          <w:p w14:paraId="0D00D07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FF1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36D958F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755" w:type="dxa"/>
            <w:vAlign w:val="center"/>
          </w:tcPr>
          <w:p w14:paraId="10BB98D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4065" w:type="dxa"/>
            <w:vAlign w:val="center"/>
          </w:tcPr>
          <w:p w14:paraId="446F814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4C85BD7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645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14CCB1E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755" w:type="dxa"/>
            <w:vAlign w:val="center"/>
          </w:tcPr>
          <w:p w14:paraId="230DA8E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4065" w:type="dxa"/>
            <w:vAlign w:val="center"/>
          </w:tcPr>
          <w:p w14:paraId="13F35D0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5F1DDEF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B5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2A036D3B">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755" w:type="dxa"/>
            <w:vAlign w:val="center"/>
          </w:tcPr>
          <w:p w14:paraId="49EA192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4065" w:type="dxa"/>
            <w:vAlign w:val="center"/>
          </w:tcPr>
          <w:p w14:paraId="754454A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6F2571F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367F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4C5741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755" w:type="dxa"/>
            <w:vAlign w:val="center"/>
          </w:tcPr>
          <w:p w14:paraId="30EBDFF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4065" w:type="dxa"/>
            <w:vAlign w:val="center"/>
          </w:tcPr>
          <w:p w14:paraId="1D92A2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3292" w:type="dxa"/>
            <w:vAlign w:val="center"/>
          </w:tcPr>
          <w:p w14:paraId="43BC0DF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847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9209365">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755" w:type="dxa"/>
            <w:vAlign w:val="center"/>
          </w:tcPr>
          <w:p w14:paraId="224294D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4065" w:type="dxa"/>
            <w:vAlign w:val="center"/>
          </w:tcPr>
          <w:p w14:paraId="4E99DD8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3292" w:type="dxa"/>
            <w:vAlign w:val="center"/>
          </w:tcPr>
          <w:p w14:paraId="7014B2B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24B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5C1F21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755" w:type="dxa"/>
            <w:vAlign w:val="center"/>
          </w:tcPr>
          <w:p w14:paraId="1DD2487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4065" w:type="dxa"/>
            <w:vAlign w:val="center"/>
          </w:tcPr>
          <w:p w14:paraId="08931F2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3292" w:type="dxa"/>
            <w:vAlign w:val="center"/>
          </w:tcPr>
          <w:p w14:paraId="5F72D22E">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156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064B52F4">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755" w:type="dxa"/>
            <w:vAlign w:val="center"/>
          </w:tcPr>
          <w:p w14:paraId="31D1B89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4065" w:type="dxa"/>
            <w:vAlign w:val="center"/>
          </w:tcPr>
          <w:p w14:paraId="4F2F768D">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3292" w:type="dxa"/>
            <w:vAlign w:val="center"/>
          </w:tcPr>
          <w:p w14:paraId="205B171C">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261FD4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EB777C9">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8"/>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450"/>
        <w:gridCol w:w="4438"/>
        <w:gridCol w:w="2260"/>
      </w:tblGrid>
      <w:tr w14:paraId="0575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3" w:type="dxa"/>
            <w:gridSpan w:val="4"/>
            <w:tcBorders>
              <w:bottom w:val="single" w:color="auto" w:sz="4" w:space="0"/>
            </w:tcBorders>
            <w:vAlign w:val="center"/>
          </w:tcPr>
          <w:p w14:paraId="19D6ACEF">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31C5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C5980E2">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30996A0D">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8" w:type="dxa"/>
            <w:tcBorders>
              <w:bottom w:val="single" w:color="auto" w:sz="4" w:space="0"/>
            </w:tcBorders>
            <w:vAlign w:val="center"/>
          </w:tcPr>
          <w:p w14:paraId="2C56D80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0C9A1974">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6AF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D159245">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008FA46E">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8" w:type="dxa"/>
            <w:tcBorders>
              <w:bottom w:val="single" w:color="auto" w:sz="4" w:space="0"/>
            </w:tcBorders>
            <w:vAlign w:val="center"/>
          </w:tcPr>
          <w:p w14:paraId="723CEB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9DF5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983C2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6581ED1F">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0E0CE879">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E41F8C0">
            <w:pPr>
              <w:pStyle w:val="13"/>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5ADBDEF7">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0B46C512">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21120D76">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4628F7E7">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0D9164D9">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635DD8D7">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770E6A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6D270A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8"/>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2"/>
        <w:gridCol w:w="1221"/>
        <w:gridCol w:w="6321"/>
        <w:gridCol w:w="1193"/>
      </w:tblGrid>
      <w:tr w14:paraId="4FBF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22" w:type="dxa"/>
            <w:tcBorders>
              <w:top w:val="single" w:color="auto" w:sz="4" w:space="0"/>
              <w:left w:val="single" w:color="auto" w:sz="4" w:space="0"/>
              <w:bottom w:val="single" w:color="auto" w:sz="4" w:space="0"/>
              <w:right w:val="single" w:color="auto" w:sz="4" w:space="0"/>
            </w:tcBorders>
            <w:vAlign w:val="center"/>
          </w:tcPr>
          <w:p w14:paraId="53B5B67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1221" w:type="dxa"/>
            <w:tcBorders>
              <w:top w:val="single" w:color="auto" w:sz="4" w:space="0"/>
              <w:left w:val="single" w:color="auto" w:sz="4" w:space="0"/>
              <w:bottom w:val="single" w:color="auto" w:sz="4" w:space="0"/>
              <w:right w:val="single" w:color="auto" w:sz="4" w:space="0"/>
            </w:tcBorders>
            <w:vAlign w:val="center"/>
          </w:tcPr>
          <w:p w14:paraId="1FC3310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6321" w:type="dxa"/>
            <w:tcBorders>
              <w:top w:val="single" w:color="auto" w:sz="4" w:space="0"/>
              <w:left w:val="single" w:color="auto" w:sz="4" w:space="0"/>
              <w:bottom w:val="single" w:color="auto" w:sz="4" w:space="0"/>
              <w:right w:val="single" w:color="auto" w:sz="4" w:space="0"/>
            </w:tcBorders>
            <w:vAlign w:val="center"/>
          </w:tcPr>
          <w:p w14:paraId="082FC86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1193" w:type="dxa"/>
            <w:tcBorders>
              <w:top w:val="single" w:color="auto" w:sz="4" w:space="0"/>
              <w:left w:val="single" w:color="auto" w:sz="4" w:space="0"/>
              <w:bottom w:val="single" w:color="auto" w:sz="4" w:space="0"/>
              <w:right w:val="single" w:color="auto" w:sz="4" w:space="0"/>
            </w:tcBorders>
            <w:vAlign w:val="center"/>
          </w:tcPr>
          <w:p w14:paraId="203DB93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2CFA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restart"/>
            <w:tcBorders>
              <w:top w:val="single" w:color="auto" w:sz="4" w:space="0"/>
              <w:left w:val="single" w:color="auto" w:sz="4" w:space="0"/>
              <w:right w:val="single" w:color="auto" w:sz="4" w:space="0"/>
            </w:tcBorders>
            <w:vAlign w:val="center"/>
          </w:tcPr>
          <w:p w14:paraId="2FDE985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1CEE7AE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70</w:t>
            </w:r>
            <w:r>
              <w:rPr>
                <w:rFonts w:hint="eastAsia" w:ascii="宋体" w:hAnsi="宋体" w:eastAsia="宋体" w:cs="宋体"/>
                <w:color w:val="auto"/>
                <w:sz w:val="24"/>
                <w:szCs w:val="24"/>
                <w:highlight w:val="none"/>
              </w:rPr>
              <w:t>分）</w:t>
            </w:r>
          </w:p>
        </w:tc>
        <w:tc>
          <w:tcPr>
            <w:tcW w:w="1221" w:type="dxa"/>
            <w:tcBorders>
              <w:top w:val="single" w:color="auto" w:sz="4" w:space="0"/>
              <w:left w:val="single" w:color="auto" w:sz="4" w:space="0"/>
              <w:bottom w:val="single" w:color="auto" w:sz="4" w:space="0"/>
              <w:right w:val="single" w:color="auto" w:sz="4" w:space="0"/>
            </w:tcBorders>
            <w:vAlign w:val="center"/>
          </w:tcPr>
          <w:p w14:paraId="40626FE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所投产品</w:t>
            </w:r>
            <w:r>
              <w:rPr>
                <w:rFonts w:hint="eastAsia" w:ascii="宋体" w:hAnsi="宋体" w:eastAsia="宋体" w:cs="宋体"/>
                <w:bCs/>
                <w:color w:val="auto"/>
                <w:sz w:val="24"/>
                <w:szCs w:val="24"/>
                <w:highlight w:val="none"/>
              </w:rPr>
              <w:t>业绩</w:t>
            </w:r>
          </w:p>
        </w:tc>
        <w:tc>
          <w:tcPr>
            <w:tcW w:w="6321" w:type="dxa"/>
            <w:tcBorders>
              <w:top w:val="single" w:color="auto" w:sz="4" w:space="0"/>
              <w:left w:val="single" w:color="auto" w:sz="4" w:space="0"/>
              <w:bottom w:val="single" w:color="auto" w:sz="4" w:space="0"/>
              <w:right w:val="single" w:color="auto" w:sz="4" w:space="0"/>
            </w:tcBorders>
            <w:vAlign w:val="center"/>
          </w:tcPr>
          <w:p w14:paraId="54F1224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自202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年1月1日</w:t>
            </w:r>
            <w:r>
              <w:rPr>
                <w:rFonts w:hint="eastAsia" w:ascii="宋体" w:hAnsi="宋体" w:eastAsia="宋体" w:cs="宋体"/>
                <w:color w:val="auto"/>
                <w:sz w:val="24"/>
                <w:szCs w:val="24"/>
                <w:highlight w:val="none"/>
                <w:lang w:val="en-US" w:eastAsia="zh-CN"/>
              </w:rPr>
              <w:t>至投标截止日（以合同签订时间为准）</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具有所投产品的供货业绩</w:t>
            </w:r>
            <w:r>
              <w:rPr>
                <w:rFonts w:hint="eastAsia" w:ascii="宋体" w:hAnsi="宋体" w:eastAsia="宋体" w:cs="宋体"/>
                <w:color w:val="auto"/>
                <w:sz w:val="24"/>
                <w:szCs w:val="24"/>
                <w:highlight w:val="none"/>
                <w:lang w:val="zh-CN" w:eastAsia="zh-CN"/>
              </w:rPr>
              <w:t>，每提供</w:t>
            </w:r>
            <w:r>
              <w:rPr>
                <w:rFonts w:hint="eastAsia" w:ascii="宋体" w:hAnsi="宋体" w:eastAsia="宋体" w:cs="宋体"/>
                <w:color w:val="auto"/>
                <w:sz w:val="24"/>
                <w:szCs w:val="24"/>
                <w:highlight w:val="none"/>
                <w:lang w:val="en-US" w:eastAsia="zh-CN"/>
              </w:rPr>
              <w:t>1个</w:t>
            </w:r>
            <w:r>
              <w:rPr>
                <w:rFonts w:hint="eastAsia" w:ascii="宋体" w:hAnsi="宋体" w:eastAsia="宋体" w:cs="宋体"/>
                <w:color w:val="auto"/>
                <w:sz w:val="24"/>
                <w:szCs w:val="24"/>
                <w:highlight w:val="none"/>
                <w:lang w:val="zh-CN" w:eastAsia="zh-CN"/>
              </w:rPr>
              <w:t>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分，</w:t>
            </w:r>
            <w:r>
              <w:rPr>
                <w:rFonts w:hint="eastAsia" w:ascii="宋体" w:hAnsi="宋体" w:eastAsia="宋体" w:cs="宋体"/>
                <w:color w:val="auto"/>
                <w:sz w:val="24"/>
                <w:szCs w:val="24"/>
                <w:highlight w:val="none"/>
                <w:lang w:val="en-US" w:eastAsia="zh-CN"/>
              </w:rPr>
              <w:t>其他的不得分，满分4分。</w:t>
            </w:r>
          </w:p>
          <w:p w14:paraId="36982F0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注：①投标文件中提供业绩合同扫描件；若合同材料中无法体现签订时间、供货内容等关键评审因素的，须另附业主（合同甲方）出具的证明材料，未提供或提供不全的不得分。</w:t>
            </w:r>
          </w:p>
          <w:p w14:paraId="265B34B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tc>
        <w:tc>
          <w:tcPr>
            <w:tcW w:w="1193" w:type="dxa"/>
            <w:tcBorders>
              <w:top w:val="single" w:color="auto" w:sz="4" w:space="0"/>
              <w:left w:val="single" w:color="auto" w:sz="4" w:space="0"/>
              <w:bottom w:val="single" w:color="auto" w:sz="4" w:space="0"/>
              <w:right w:val="single" w:color="auto" w:sz="4" w:space="0"/>
            </w:tcBorders>
            <w:vAlign w:val="center"/>
          </w:tcPr>
          <w:p w14:paraId="6473618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0-4分</w:t>
            </w:r>
          </w:p>
        </w:tc>
      </w:tr>
      <w:tr w14:paraId="7A4F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11D97DA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top"/>
          </w:tcPr>
          <w:p w14:paraId="3A3DC308">
            <w:pPr>
              <w:spacing w:line="352" w:lineRule="auto"/>
              <w:rPr>
                <w:rFonts w:ascii="Arial"/>
                <w:sz w:val="21"/>
                <w:highlight w:val="none"/>
              </w:rPr>
            </w:pPr>
          </w:p>
          <w:p w14:paraId="0657ADA2">
            <w:pPr>
              <w:spacing w:line="352" w:lineRule="auto"/>
              <w:rPr>
                <w:rFonts w:ascii="Arial"/>
                <w:sz w:val="21"/>
                <w:highlight w:val="none"/>
              </w:rPr>
            </w:pPr>
          </w:p>
          <w:p w14:paraId="73B65EC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免费质保承诺</w:t>
            </w:r>
          </w:p>
        </w:tc>
        <w:tc>
          <w:tcPr>
            <w:tcW w:w="6321" w:type="dxa"/>
            <w:tcBorders>
              <w:top w:val="single" w:color="auto" w:sz="4" w:space="0"/>
              <w:left w:val="single" w:color="auto" w:sz="4" w:space="0"/>
              <w:bottom w:val="single" w:color="auto" w:sz="4" w:space="0"/>
              <w:right w:val="single" w:color="auto" w:sz="4" w:space="0"/>
            </w:tcBorders>
            <w:vAlign w:val="top"/>
          </w:tcPr>
          <w:p w14:paraId="233409A4">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所投产品整机免费质保期，在招标文件要求免费质保期的基础上每增加1年得1分（增加部分部件质保或不足1年的不得分），本项最高得2分。</w:t>
            </w:r>
          </w:p>
          <w:p w14:paraId="5AE7129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注：投标文件中提供承诺书（承诺书格式自拟），未提供或不符合要求的不得分。</w:t>
            </w:r>
          </w:p>
        </w:tc>
        <w:tc>
          <w:tcPr>
            <w:tcW w:w="1193" w:type="dxa"/>
            <w:tcBorders>
              <w:top w:val="single" w:color="auto" w:sz="4" w:space="0"/>
              <w:left w:val="single" w:color="auto" w:sz="4" w:space="0"/>
              <w:bottom w:val="single" w:color="auto" w:sz="4" w:space="0"/>
              <w:right w:val="single" w:color="auto" w:sz="4" w:space="0"/>
            </w:tcBorders>
            <w:vAlign w:val="top"/>
          </w:tcPr>
          <w:p w14:paraId="5B1B3438">
            <w:pPr>
              <w:spacing w:line="352" w:lineRule="auto"/>
              <w:rPr>
                <w:rFonts w:ascii="Arial"/>
                <w:sz w:val="21"/>
                <w:highlight w:val="none"/>
              </w:rPr>
            </w:pPr>
          </w:p>
          <w:p w14:paraId="10EB83FC">
            <w:pPr>
              <w:spacing w:line="352" w:lineRule="auto"/>
              <w:rPr>
                <w:rFonts w:ascii="Arial"/>
                <w:sz w:val="21"/>
                <w:highlight w:val="none"/>
              </w:rPr>
            </w:pPr>
          </w:p>
          <w:p w14:paraId="6F87F7DC">
            <w:pPr>
              <w:pStyle w:val="74"/>
              <w:spacing w:before="78" w:line="351" w:lineRule="auto"/>
              <w:ind w:left="113" w:leftChars="0" w:right="183" w:rightChars="0" w:firstLine="5" w:firstLineChars="0"/>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0-2分</w:t>
            </w:r>
          </w:p>
        </w:tc>
      </w:tr>
      <w:tr w14:paraId="4CF5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3E0169BD">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49CCB2E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rPr>
              <w:t>技术参数响应</w:t>
            </w:r>
          </w:p>
        </w:tc>
        <w:tc>
          <w:tcPr>
            <w:tcW w:w="6321" w:type="dxa"/>
            <w:tcBorders>
              <w:top w:val="single" w:color="auto" w:sz="4" w:space="0"/>
              <w:left w:val="single" w:color="auto" w:sz="4" w:space="0"/>
              <w:bottom w:val="single" w:color="auto" w:sz="4" w:space="0"/>
              <w:right w:val="single" w:color="auto" w:sz="4" w:space="0"/>
            </w:tcBorders>
            <w:vAlign w:val="center"/>
          </w:tcPr>
          <w:p w14:paraId="68F2390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（1）标“★”的技术参数为必须满足内容，以采购需求-技术参数及要求中提供的证明材料作为评审依据，未提供的按无效标处理。 </w:t>
            </w:r>
          </w:p>
          <w:p w14:paraId="271942A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（2）标“</w:t>
            </w:r>
            <w:r>
              <w:rPr>
                <w:rFonts w:hint="eastAsia" w:ascii="宋体" w:hAnsi="宋体" w:eastAsia="宋体" w:cs="宋体"/>
                <w:highlight w:val="none"/>
              </w:rPr>
              <w:t>▲</w:t>
            </w:r>
            <w:r>
              <w:rPr>
                <w:rFonts w:hint="eastAsia" w:ascii="宋体" w:hAnsi="宋体" w:eastAsia="宋体" w:cs="宋体"/>
                <w:color w:val="auto"/>
                <w:sz w:val="24"/>
                <w:szCs w:val="24"/>
                <w:highlight w:val="none"/>
                <w:lang w:val="en-US" w:eastAsia="zh-CN"/>
              </w:rPr>
              <w:t>”的技术参数，以采购需求-技术参数及要求中提供的证明材料作为评审依据，每满足或优于一项得2分，共11项，满分22分；</w:t>
            </w:r>
          </w:p>
          <w:p w14:paraId="70F8E22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（3）未标注“★ ”和“▲ ”的技术参数，以采购需求-技术参数及要求中提供的证明材料作为评审依据，每满足或优于一项得1分，共32项，满分32分； </w:t>
            </w:r>
          </w:p>
          <w:p w14:paraId="411464B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注：①如某项标识中包含多条技术参数或要求，则该项标识所含内容均需满足或优于招标文件要求，否则不予认可。 </w:t>
            </w:r>
          </w:p>
          <w:p w14:paraId="736C294F">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②</w:t>
            </w:r>
            <w:r>
              <w:rPr>
                <w:rFonts w:hint="eastAsia" w:ascii="宋体" w:hAnsi="宋体" w:eastAsia="宋体"/>
                <w:bCs/>
                <w:color w:val="auto"/>
                <w:sz w:val="24"/>
                <w:szCs w:val="18"/>
                <w:highlight w:val="none"/>
                <w:lang w:val="en-US" w:eastAsia="zh-CN"/>
              </w:rPr>
              <w:t>标注“★”和“▲”的参数均需提供有效证明材料，证明材料仅限于产品说明书或产品检验报告（第三方检验报告或注册检验报告或注册检验补充报告） 或注册证明文件或铭牌或实机操作界面，提供其中一项即可。未标注“★”和“▲”的参数除条目标注证明材料的，无需提供证明材料，但需明确是否响应，未明确是否响应视为不响应，投标人需审慎填写，验收时将复核参数。为方便评审，建议投标人对证明材料中的关键技术参数进行标注。</w:t>
            </w:r>
          </w:p>
        </w:tc>
        <w:tc>
          <w:tcPr>
            <w:tcW w:w="1193" w:type="dxa"/>
            <w:tcBorders>
              <w:top w:val="single" w:color="auto" w:sz="4" w:space="0"/>
              <w:left w:val="single" w:color="auto" w:sz="4" w:space="0"/>
              <w:bottom w:val="single" w:color="auto" w:sz="4" w:space="0"/>
              <w:right w:val="single" w:color="auto" w:sz="4" w:space="0"/>
            </w:tcBorders>
            <w:vAlign w:val="center"/>
          </w:tcPr>
          <w:p w14:paraId="47900304">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Cs/>
                <w:sz w:val="24"/>
                <w:highlight w:val="none"/>
              </w:rPr>
              <w:t>0-</w:t>
            </w:r>
            <w:r>
              <w:rPr>
                <w:rFonts w:hint="eastAsia" w:ascii="宋体" w:hAnsi="宋体" w:eastAsia="宋体" w:cs="宋体"/>
                <w:bCs/>
                <w:sz w:val="24"/>
                <w:highlight w:val="none"/>
                <w:lang w:val="en-US" w:eastAsia="zh-CN"/>
              </w:rPr>
              <w:t>54</w:t>
            </w:r>
            <w:r>
              <w:rPr>
                <w:rFonts w:hint="eastAsia" w:ascii="宋体" w:hAnsi="宋体" w:eastAsia="宋体" w:cs="宋体"/>
                <w:bCs/>
                <w:sz w:val="24"/>
                <w:highlight w:val="none"/>
              </w:rPr>
              <w:t>分</w:t>
            </w:r>
          </w:p>
        </w:tc>
      </w:tr>
      <w:tr w14:paraId="34AD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129D8CA7">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006D1BA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供货安装（调试）方案</w:t>
            </w:r>
          </w:p>
          <w:p w14:paraId="25D11884">
            <w:pPr>
              <w:jc w:val="center"/>
              <w:rPr>
                <w:rFonts w:hint="eastAsia" w:ascii="宋体" w:hAnsi="宋体" w:eastAsia="宋体" w:cs="宋体"/>
                <w:bCs/>
                <w:color w:val="auto"/>
                <w:sz w:val="24"/>
                <w:szCs w:val="24"/>
                <w:highlight w:val="none"/>
              </w:rPr>
            </w:pPr>
          </w:p>
        </w:tc>
        <w:tc>
          <w:tcPr>
            <w:tcW w:w="6321" w:type="dxa"/>
            <w:tcBorders>
              <w:top w:val="single" w:color="auto" w:sz="4" w:space="0"/>
              <w:left w:val="single" w:color="auto" w:sz="4" w:space="0"/>
              <w:bottom w:val="single" w:color="auto" w:sz="4" w:space="0"/>
              <w:right w:val="single" w:color="auto" w:sz="4" w:space="0"/>
            </w:tcBorders>
            <w:vAlign w:val="top"/>
          </w:tcPr>
          <w:p w14:paraId="2C60DA83">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根据投标人投标文件中提供的供货安装（调试）方案，方案内容从采购供应、货物配送运输、确保本项目保质保量准时完成、货物安装、调试等方面考虑，由评标委员会根据上述内容进行综合评审： </w:t>
            </w:r>
          </w:p>
          <w:p w14:paraId="00BAAC9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（1）供货安装、验收等实施方案详尽，进度、质量、安全保证方案及措施和协同配合方案完整且符合项目实际情况的，得5分； </w:t>
            </w:r>
          </w:p>
          <w:p w14:paraId="50529DB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（2）供货安装、验收等实施方案齐全，进度、质量、安全保证方案及措施和协同配合方案简单且符合实际情况的，得3分； </w:t>
            </w:r>
          </w:p>
          <w:p w14:paraId="514C74C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（3）供货安装、验收内容简单，进度、质量、安全保证方案及措施和协同配合方案存在缺项，需要进一步完善的，得1分； </w:t>
            </w:r>
          </w:p>
          <w:p w14:paraId="0548B93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（4）未提供的不得分。</w:t>
            </w:r>
          </w:p>
        </w:tc>
        <w:tc>
          <w:tcPr>
            <w:tcW w:w="1193" w:type="dxa"/>
            <w:tcBorders>
              <w:top w:val="single" w:color="auto" w:sz="4" w:space="0"/>
              <w:left w:val="single" w:color="auto" w:sz="4" w:space="0"/>
              <w:bottom w:val="single" w:color="auto" w:sz="4" w:space="0"/>
              <w:right w:val="single" w:color="auto" w:sz="4" w:space="0"/>
            </w:tcBorders>
            <w:vAlign w:val="center"/>
          </w:tcPr>
          <w:p w14:paraId="5F870B11">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highlight w:val="none"/>
              </w:rPr>
              <w:t>0</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5</w:t>
            </w:r>
            <w:r>
              <w:rPr>
                <w:rFonts w:hint="eastAsia" w:ascii="宋体" w:hAnsi="宋体" w:eastAsia="宋体" w:cs="宋体"/>
                <w:sz w:val="24"/>
                <w:highlight w:val="none"/>
              </w:rPr>
              <w:t>分</w:t>
            </w:r>
          </w:p>
        </w:tc>
      </w:tr>
      <w:tr w14:paraId="77BE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39FD11A1">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1877EF0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售后服务方案</w:t>
            </w:r>
          </w:p>
        </w:tc>
        <w:tc>
          <w:tcPr>
            <w:tcW w:w="6321" w:type="dxa"/>
            <w:tcBorders>
              <w:top w:val="single" w:color="auto" w:sz="4" w:space="0"/>
              <w:left w:val="single" w:color="auto" w:sz="4" w:space="0"/>
              <w:bottom w:val="single" w:color="auto" w:sz="4" w:space="0"/>
              <w:right w:val="single" w:color="auto" w:sz="4" w:space="0"/>
            </w:tcBorders>
            <w:vAlign w:val="center"/>
          </w:tcPr>
          <w:p w14:paraId="394866B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方案内容应详实、合理，售后服务响应时间，售后服务人员配备充足，能满足项目后期的维保需要。</w:t>
            </w:r>
          </w:p>
          <w:p w14:paraId="2BA338B3">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（1）售后服务措施详尽、维修响应时间及时、备件供应保障充足、人员售后配置详细、远程报修服务方案全面、实时维修统计详尽，能保障采购人获得高质量售后服务的，得5分。</w:t>
            </w:r>
          </w:p>
          <w:p w14:paraId="01032D06">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（2）售后服务措施完整、维修响应时间及时、具有备件供应保障措施、配置售后人员、具有远程报修服务的，得3分。 </w:t>
            </w:r>
          </w:p>
          <w:p w14:paraId="7CCF1ACE">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（3）售后服务措施、维修响应时间、备件供应保障、配置售后人员、远程报修服务措施不全或存在不足的，得1分。 </w:t>
            </w:r>
          </w:p>
          <w:p w14:paraId="65E922B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（4）方案不能满足项目要求或未提供的不得分。</w:t>
            </w:r>
          </w:p>
        </w:tc>
        <w:tc>
          <w:tcPr>
            <w:tcW w:w="1193" w:type="dxa"/>
            <w:tcBorders>
              <w:top w:val="single" w:color="auto" w:sz="4" w:space="0"/>
              <w:left w:val="single" w:color="auto" w:sz="4" w:space="0"/>
              <w:bottom w:val="single" w:color="auto" w:sz="4" w:space="0"/>
              <w:right w:val="single" w:color="auto" w:sz="4" w:space="0"/>
            </w:tcBorders>
            <w:vAlign w:val="center"/>
          </w:tcPr>
          <w:p w14:paraId="6266D88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0-5分</w:t>
            </w:r>
          </w:p>
        </w:tc>
      </w:tr>
      <w:tr w14:paraId="6CB9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Borders>
              <w:left w:val="single" w:color="auto" w:sz="4" w:space="0"/>
              <w:right w:val="single" w:color="auto" w:sz="4" w:space="0"/>
            </w:tcBorders>
            <w:vAlign w:val="center"/>
          </w:tcPr>
          <w:p w14:paraId="41FCF30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55B8B8D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8735" w:type="dxa"/>
            <w:gridSpan w:val="3"/>
            <w:tcBorders>
              <w:top w:val="single" w:color="auto" w:sz="4" w:space="0"/>
              <w:left w:val="single" w:color="auto" w:sz="4" w:space="0"/>
              <w:bottom w:val="single" w:color="auto" w:sz="4" w:space="0"/>
              <w:right w:val="single" w:color="auto" w:sz="4" w:space="0"/>
            </w:tcBorders>
            <w:vAlign w:val="center"/>
          </w:tcPr>
          <w:p w14:paraId="3CF19459">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分。其他投标人的价格分统一按照下列公式计算：</w:t>
            </w:r>
          </w:p>
          <w:p w14:paraId="1530682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投标报价得分＝（评标基准价/投标报价）×</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％×100</w:t>
            </w:r>
          </w:p>
          <w:p w14:paraId="23891AF5">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rPr>
              <w:t>注:上述价格如有前附表规定的扣除，则按扣除后价格参与评审</w:t>
            </w:r>
            <w:r>
              <w:rPr>
                <w:rFonts w:hint="eastAsia" w:ascii="宋体" w:hAnsi="宋体" w:eastAsia="宋体" w:cs="宋体"/>
                <w:b/>
                <w:bCs/>
                <w:color w:val="auto"/>
                <w:sz w:val="24"/>
                <w:szCs w:val="24"/>
                <w:highlight w:val="none"/>
                <w:lang w:eastAsia="zh-CN"/>
              </w:rPr>
              <w:t>。</w:t>
            </w:r>
          </w:p>
        </w:tc>
      </w:tr>
    </w:tbl>
    <w:p w14:paraId="743D57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674BF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7DC3DA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03445F43">
      <w:pPr>
        <w:spacing w:line="360" w:lineRule="auto"/>
        <w:ind w:firstLine="435"/>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三、无效投标条款</w:t>
      </w:r>
    </w:p>
    <w:p w14:paraId="5A166EB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投标文件有下列情形之一的,其投标文件拒收:</w:t>
      </w:r>
    </w:p>
    <w:p w14:paraId="289E5849">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 未在开标截止时间前通过网上招标投标系统递交有效电子投标文件的，开标系统不予接收，投标将被拒绝。</w:t>
      </w:r>
    </w:p>
    <w:p w14:paraId="23A3319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871DE3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3.2投标人有下列情形之一的,资格审查后其投标作无效投标处理：</w:t>
      </w:r>
    </w:p>
    <w:p w14:paraId="3A188E8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(1)投标人为本项目提供招标代理服务的；</w:t>
      </w:r>
    </w:p>
    <w:p w14:paraId="2D9873A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(2)投标人与在本项目代理机构存在相互任职或工作的；</w:t>
      </w:r>
    </w:p>
    <w:p w14:paraId="424820E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kern w:val="0"/>
          <w:sz w:val="24"/>
          <w:szCs w:val="24"/>
          <w:highlight w:val="none"/>
          <w:lang w:val="en-US" w:eastAsia="zh-CN" w:bidi="ar"/>
        </w:rPr>
        <w:t>与采购人存在利害关系可能影响采购公正性的法人、其他组织或者个人；</w:t>
      </w:r>
    </w:p>
    <w:p w14:paraId="52776B63">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)招标公告写明专门面向中小企业采购，投标人提供的货物非中小企业制造的；</w:t>
      </w:r>
    </w:p>
    <w:p w14:paraId="7455628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)要求供应商以联合体形式参加采购活动，投标人非联合体或者联合协议中中小企业合同金额未达到应当达到的比例；</w:t>
      </w:r>
    </w:p>
    <w:p w14:paraId="05B95DF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)要求获得采购合同的供应商向中小企业分包，投标人未提供分包意向协议或者分包意向协议中中小企业合同金额未达到应当达到的比例；</w:t>
      </w:r>
    </w:p>
    <w:p w14:paraId="65CBEEC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)评标专家无法查看并检验电子投标文件中相关资料的；</w:t>
      </w:r>
    </w:p>
    <w:p w14:paraId="61B296D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)联合体投标未提交联合体协议的；</w:t>
      </w:r>
    </w:p>
    <w:p w14:paraId="0BFF5A0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)责令停产停业的；</w:t>
      </w:r>
    </w:p>
    <w:p w14:paraId="1BFAC61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eastAsia="zh-CN"/>
        </w:rPr>
        <w:t>)暂停或者取消参与政府采购项目资格的；</w:t>
      </w:r>
    </w:p>
    <w:p w14:paraId="4A59E82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lang w:eastAsia="zh-CN"/>
        </w:rPr>
        <w:t>)投标人单位负责人为同一人或者存在直接控股、管理关系的不同单位的；</w:t>
      </w:r>
    </w:p>
    <w:p w14:paraId="48A36ED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)投标人基本资格条件和特定资格条件中有一项及以上不符合要求的；</w:t>
      </w:r>
    </w:p>
    <w:p w14:paraId="3A7E340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lang w:eastAsia="zh-CN"/>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0527831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39D710F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)投标人投标MAC地址</w:t>
      </w:r>
      <w:r>
        <w:rPr>
          <w:rFonts w:hint="eastAsia" w:ascii="宋体" w:hAnsi="宋体" w:eastAsia="宋体" w:cs="宋体"/>
          <w:color w:val="auto"/>
          <w:sz w:val="24"/>
          <w:highlight w:val="none"/>
          <w:lang w:val="en-US" w:eastAsia="zh-CN"/>
        </w:rPr>
        <w:t>一致</w:t>
      </w:r>
      <w:r>
        <w:rPr>
          <w:rFonts w:hint="eastAsia" w:ascii="宋体" w:hAnsi="宋体" w:eastAsia="宋体" w:cs="宋体"/>
          <w:color w:val="auto"/>
          <w:sz w:val="24"/>
          <w:highlight w:val="none"/>
          <w:lang w:eastAsia="zh-CN"/>
        </w:rPr>
        <w:t>，由评标委员会否决其投标；</w:t>
      </w:r>
    </w:p>
    <w:p w14:paraId="0559CF5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)投标人单方面出现其他投标人材料的；</w:t>
      </w:r>
    </w:p>
    <w:p w14:paraId="730487C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投标人联系人或联系电话相同的，</w:t>
      </w:r>
      <w:r>
        <w:rPr>
          <w:rFonts w:hint="eastAsia" w:ascii="宋体" w:hAnsi="宋体" w:eastAsia="宋体" w:cs="宋体"/>
          <w:color w:val="auto"/>
          <w:sz w:val="24"/>
          <w:highlight w:val="none"/>
          <w:lang w:eastAsia="zh-CN"/>
        </w:rPr>
        <w:t>由评标委员会否决其投标</w:t>
      </w:r>
      <w:r>
        <w:rPr>
          <w:rFonts w:hint="eastAsia" w:ascii="宋体" w:hAnsi="宋体" w:eastAsia="宋体" w:cs="宋体"/>
          <w:color w:val="auto"/>
          <w:sz w:val="24"/>
          <w:highlight w:val="none"/>
          <w:lang w:val="en-US" w:eastAsia="zh-CN"/>
        </w:rPr>
        <w:t>，并报告监管部门作不良行为处理和进一步调查；</w:t>
      </w:r>
    </w:p>
    <w:p w14:paraId="3710777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)招标公告未写明允许采购进口产品，投标人所投产品为进口产品的；</w:t>
      </w:r>
    </w:p>
    <w:p w14:paraId="023E1A0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)招标文件规定的其它无效投标情形。</w:t>
      </w:r>
    </w:p>
    <w:p w14:paraId="53746C4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3.3 投标人有下列情形之一的,符合性审查后其投标按无效投标处理：</w:t>
      </w:r>
    </w:p>
    <w:p w14:paraId="339C97C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(1)投标文件签字、盖章不全，经评标委员会一致认定对开评标内容有实质性影响并经公共资源交易监督部门核准的；</w:t>
      </w:r>
    </w:p>
    <w:p w14:paraId="0D05DC4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(2)未按规定的格式填写导致实质性内容不全以及实质上不响应，或者关键字迹模糊、无法辨认； 经公共资源交易监督部门核准的；</w:t>
      </w:r>
    </w:p>
    <w:p w14:paraId="06B691B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(3)同一投标人提交两个以上不同的投标文件或者投标报价，但招标文件规定提交备选方案的除外；</w:t>
      </w:r>
    </w:p>
    <w:p w14:paraId="3AF3BA0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(4)投标文件没有对招标文件的实质性要求和条件作出响应;</w:t>
      </w:r>
    </w:p>
    <w:p w14:paraId="68335D6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(5)投标报价超出规定的投标限价或公布的采购预算的或投标人的投标报价各项单价高于招标文件给定的单价最高限价；</w:t>
      </w:r>
    </w:p>
    <w:p w14:paraId="70C09B4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(6)不按评标委员会要求澄清、说明或补正的，或者评标委员会根据招标文件的规定对投标文件的计算错误进行修正后，投标人不接受修正的投标报价的。</w:t>
      </w:r>
    </w:p>
    <w:p w14:paraId="7A06681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(7)其它情形，经评标委员会委提出按无效投标处理，并经公共资源交易监督部门核准的；</w:t>
      </w:r>
    </w:p>
    <w:p w14:paraId="252C801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(8)投标文件含有采购人不能接受的附加条件的；</w:t>
      </w:r>
    </w:p>
    <w:p w14:paraId="010B50E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(9)招标文件规定的其它无效投标情形。</w:t>
      </w:r>
    </w:p>
    <w:p w14:paraId="2C862A7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3.4 投标人有下列情形之一的, 详细评审后其投标按无效投标处理：</w:t>
      </w:r>
    </w:p>
    <w:p w14:paraId="77FD2D7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(1)投标产品不符合必须强制执行的国家标准的；</w:t>
      </w:r>
    </w:p>
    <w:p w14:paraId="503C04A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(2)投标人有串通投标、弄虚作假、行贿等违法行为；</w:t>
      </w:r>
    </w:p>
    <w:p w14:paraId="74A1EFF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(3)投标文件含有违反国家法律、法规的内容，或附有采购人不能接受的条件的；</w:t>
      </w:r>
    </w:p>
    <w:p w14:paraId="14017A5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)拒不确认评标委员会评审修正的投标无效；</w:t>
      </w:r>
    </w:p>
    <w:p w14:paraId="72DC1A1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72E8B46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)招标文件规定的其它无效投标情形。</w:t>
      </w:r>
      <w:r>
        <w:rPr>
          <w:rFonts w:asciiTheme="minorEastAsia" w:hAnsiTheme="minorEastAsia" w:eastAsiaTheme="minorEastAsia"/>
          <w:color w:val="auto"/>
          <w:sz w:val="24"/>
          <w:highlight w:val="none"/>
        </w:rPr>
        <w:br w:type="page"/>
      </w:r>
    </w:p>
    <w:p w14:paraId="3CC84D76">
      <w:pPr>
        <w:spacing w:line="360" w:lineRule="auto"/>
        <w:jc w:val="center"/>
        <w:outlineLvl w:val="0"/>
        <w:rPr>
          <w:rFonts w:hint="eastAsia" w:asciiTheme="minorEastAsia" w:hAnsiTheme="minorEastAsia" w:eastAsiaTheme="minorEastAsia"/>
          <w:b/>
          <w:color w:val="auto"/>
          <w:sz w:val="28"/>
          <w:highlight w:val="none"/>
          <w:lang w:eastAsia="zh-CN"/>
        </w:rPr>
      </w:pPr>
      <w:bookmarkStart w:id="28"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28"/>
    </w:p>
    <w:p w14:paraId="4D2194E4">
      <w:pPr>
        <w:pStyle w:val="14"/>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74333B52">
      <w:pPr>
        <w:pStyle w:val="14"/>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7901C5A">
      <w:pPr>
        <w:spacing w:line="360" w:lineRule="auto"/>
        <w:jc w:val="center"/>
        <w:outlineLvl w:val="1"/>
        <w:rPr>
          <w:rFonts w:hint="eastAsia" w:ascii="宋体" w:hAnsi="宋体" w:eastAsia="宋体"/>
          <w:b/>
          <w:color w:val="auto"/>
          <w:sz w:val="24"/>
          <w:highlight w:val="none"/>
        </w:rPr>
      </w:pPr>
    </w:p>
    <w:p w14:paraId="73984A86">
      <w:pPr>
        <w:spacing w:line="360" w:lineRule="auto"/>
        <w:jc w:val="center"/>
        <w:outlineLvl w:val="1"/>
        <w:rPr>
          <w:rFonts w:hint="eastAsia" w:ascii="宋体" w:hAnsi="宋体" w:eastAsia="宋体"/>
          <w:b/>
          <w:color w:val="auto"/>
          <w:sz w:val="24"/>
          <w:highlight w:val="none"/>
        </w:rPr>
      </w:pPr>
    </w:p>
    <w:p w14:paraId="0AACEF7C">
      <w:pPr>
        <w:spacing w:line="360" w:lineRule="auto"/>
        <w:jc w:val="center"/>
        <w:outlineLvl w:val="1"/>
        <w:rPr>
          <w:rFonts w:hint="eastAsia" w:ascii="宋体" w:hAnsi="宋体" w:eastAsia="宋体"/>
          <w:b/>
          <w:color w:val="auto"/>
          <w:sz w:val="24"/>
          <w:highlight w:val="none"/>
        </w:rPr>
      </w:pPr>
    </w:p>
    <w:p w14:paraId="26537742">
      <w:pPr>
        <w:spacing w:line="360" w:lineRule="auto"/>
        <w:jc w:val="center"/>
        <w:outlineLvl w:val="1"/>
        <w:rPr>
          <w:rFonts w:ascii="宋体" w:hAnsi="宋体" w:eastAsia="宋体"/>
          <w:b/>
          <w:color w:val="auto"/>
          <w:sz w:val="24"/>
          <w:highlight w:val="none"/>
        </w:rPr>
      </w:pPr>
    </w:p>
    <w:p w14:paraId="1843714D">
      <w:pPr>
        <w:spacing w:line="360" w:lineRule="auto"/>
        <w:jc w:val="center"/>
        <w:outlineLvl w:val="1"/>
        <w:rPr>
          <w:rFonts w:ascii="宋体" w:hAnsi="宋体" w:eastAsia="宋体"/>
          <w:b/>
          <w:color w:val="auto"/>
          <w:sz w:val="24"/>
          <w:highlight w:val="none"/>
        </w:rPr>
      </w:pPr>
    </w:p>
    <w:p w14:paraId="7A5108A8">
      <w:pPr>
        <w:spacing w:line="480" w:lineRule="auto"/>
        <w:jc w:val="center"/>
        <w:rPr>
          <w:rFonts w:ascii="宋体" w:hAnsi="宋体" w:eastAsia="宋体" w:cs="Times New Roman"/>
          <w:b/>
          <w:color w:val="auto"/>
          <w:sz w:val="24"/>
          <w:szCs w:val="24"/>
          <w:highlight w:val="none"/>
        </w:rPr>
      </w:pPr>
    </w:p>
    <w:p w14:paraId="69FAF866">
      <w:pPr>
        <w:spacing w:line="480" w:lineRule="auto"/>
        <w:jc w:val="center"/>
        <w:rPr>
          <w:rFonts w:ascii="宋体" w:hAnsi="宋体" w:eastAsia="宋体" w:cs="Times New Roman"/>
          <w:b/>
          <w:color w:val="auto"/>
          <w:sz w:val="24"/>
          <w:szCs w:val="24"/>
          <w:highlight w:val="none"/>
        </w:rPr>
      </w:pPr>
    </w:p>
    <w:p w14:paraId="07E1466D">
      <w:pPr>
        <w:spacing w:line="480" w:lineRule="auto"/>
        <w:jc w:val="center"/>
        <w:rPr>
          <w:rFonts w:ascii="宋体" w:hAnsi="宋体" w:eastAsia="宋体" w:cs="Times New Roman"/>
          <w:b/>
          <w:color w:val="auto"/>
          <w:sz w:val="24"/>
          <w:szCs w:val="24"/>
          <w:highlight w:val="none"/>
        </w:rPr>
      </w:pPr>
    </w:p>
    <w:p w14:paraId="1356B4D2">
      <w:pPr>
        <w:spacing w:line="480" w:lineRule="auto"/>
        <w:jc w:val="center"/>
        <w:rPr>
          <w:rFonts w:ascii="宋体" w:hAnsi="宋体" w:eastAsia="宋体" w:cs="Times New Roman"/>
          <w:b/>
          <w:color w:val="auto"/>
          <w:sz w:val="24"/>
          <w:szCs w:val="24"/>
          <w:highlight w:val="none"/>
        </w:rPr>
      </w:pPr>
    </w:p>
    <w:p w14:paraId="4E4EE8B3">
      <w:pPr>
        <w:spacing w:line="480" w:lineRule="auto"/>
        <w:jc w:val="center"/>
        <w:rPr>
          <w:rFonts w:ascii="宋体" w:hAnsi="宋体" w:eastAsia="宋体" w:cs="Times New Roman"/>
          <w:b/>
          <w:color w:val="auto"/>
          <w:sz w:val="24"/>
          <w:szCs w:val="24"/>
          <w:highlight w:val="none"/>
        </w:rPr>
      </w:pPr>
    </w:p>
    <w:p w14:paraId="57159716">
      <w:pPr>
        <w:spacing w:line="480" w:lineRule="auto"/>
        <w:jc w:val="center"/>
        <w:rPr>
          <w:rFonts w:ascii="宋体" w:hAnsi="宋体" w:eastAsia="宋体" w:cs="Times New Roman"/>
          <w:b/>
          <w:color w:val="auto"/>
          <w:sz w:val="24"/>
          <w:szCs w:val="24"/>
          <w:highlight w:val="none"/>
        </w:rPr>
      </w:pPr>
    </w:p>
    <w:p w14:paraId="75EBA8D9">
      <w:pPr>
        <w:spacing w:line="480" w:lineRule="auto"/>
        <w:jc w:val="center"/>
        <w:rPr>
          <w:rFonts w:ascii="宋体" w:hAnsi="宋体" w:eastAsia="宋体" w:cs="Times New Roman"/>
          <w:b/>
          <w:color w:val="auto"/>
          <w:sz w:val="24"/>
          <w:szCs w:val="24"/>
          <w:highlight w:val="none"/>
        </w:rPr>
      </w:pPr>
    </w:p>
    <w:p w14:paraId="4FBA8104">
      <w:pPr>
        <w:spacing w:before="120" w:line="480" w:lineRule="auto"/>
        <w:ind w:left="2160" w:leftChars="457" w:hanging="1200" w:hangingChars="5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滁州市中西医结合医院Q开关Nd：YAG（调Q）激光治疗机采购项目</w:t>
      </w:r>
    </w:p>
    <w:p w14:paraId="13D12F7A">
      <w:pPr>
        <w:spacing w:before="120" w:line="480" w:lineRule="auto"/>
        <w:ind w:left="96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520896BB">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rPr>
        <w:t xml:space="preserve">     </w:t>
      </w:r>
      <w:r>
        <w:rPr>
          <w:rFonts w:hint="eastAsia" w:ascii="宋体" w:hAnsi="宋体" w:eastAsia="宋体"/>
          <w:color w:val="auto"/>
          <w:sz w:val="24"/>
          <w:highlight w:val="none"/>
          <w:u w:val="single"/>
          <w:lang w:eastAsia="zh-CN"/>
        </w:rPr>
        <w:t>滁州市中西医结合医院</w:t>
      </w:r>
      <w:r>
        <w:rPr>
          <w:rFonts w:hint="eastAsia" w:ascii="宋体" w:hAnsi="宋体" w:eastAsia="宋体" w:cs="Times New Roman"/>
          <w:color w:val="auto"/>
          <w:sz w:val="24"/>
          <w:szCs w:val="24"/>
          <w:highlight w:val="none"/>
          <w:u w:val="single"/>
        </w:rPr>
        <w:t xml:space="preserve">     </w:t>
      </w:r>
    </w:p>
    <w:p w14:paraId="4BD6B553">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5156B0BB">
      <w:pPr>
        <w:spacing w:before="120" w:line="480" w:lineRule="auto"/>
        <w:ind w:firstLine="960" w:firstLineChars="4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79C463D3">
      <w:pPr>
        <w:spacing w:before="120" w:line="480" w:lineRule="auto"/>
        <w:ind w:firstLine="960" w:firstLineChars="4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114E6149">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39C108CE">
      <w:pPr>
        <w:spacing w:line="360" w:lineRule="auto"/>
        <w:jc w:val="center"/>
        <w:outlineLvl w:val="1"/>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第一节</w:t>
      </w:r>
      <w:r>
        <w:rPr>
          <w:rFonts w:hint="eastAsia" w:ascii="宋体" w:hAnsi="宋体" w:eastAsia="宋体"/>
          <w:b/>
          <w:color w:val="auto"/>
          <w:sz w:val="24"/>
          <w:szCs w:val="24"/>
          <w:highlight w:val="none"/>
          <w:lang w:bidi="ar"/>
        </w:rPr>
        <w:t xml:space="preserve"> </w:t>
      </w:r>
      <w:r>
        <w:rPr>
          <w:rFonts w:hint="eastAsia" w:ascii="宋体" w:hAnsi="宋体" w:eastAsia="宋体" w:cs="宋体"/>
          <w:b/>
          <w:color w:val="auto"/>
          <w:sz w:val="24"/>
          <w:szCs w:val="24"/>
          <w:highlight w:val="none"/>
          <w:lang w:bidi="ar"/>
        </w:rPr>
        <w:t>政府采购合同协议书</w:t>
      </w:r>
    </w:p>
    <w:p w14:paraId="6947C0F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882E926">
      <w:pPr>
        <w:adjustRightInd w:val="0"/>
        <w:snapToGrid w:val="0"/>
        <w:spacing w:line="360" w:lineRule="auto"/>
        <w:ind w:left="4800" w:hanging="4800" w:hangingChars="2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（采购人、受采购人委托签订合同的单位或采购文件约定的合同甲方）</w:t>
      </w:r>
    </w:p>
    <w:p w14:paraId="50E5A7F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乙方1（全称）：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（供应商）</w:t>
      </w:r>
    </w:p>
    <w:p w14:paraId="30DA8FD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乙方2（全称）：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34E9EAF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乙方3（全称）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0458633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6E6D41C">
      <w:pPr>
        <w:pStyle w:val="24"/>
        <w:adjustRightInd w:val="0"/>
        <w:snapToGrid w:val="0"/>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C936840">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项目信息</w:t>
      </w:r>
    </w:p>
    <w:p w14:paraId="6BF42153">
      <w:pPr>
        <w:numPr>
          <w:ilvl w:val="0"/>
          <w:numId w:val="4"/>
        </w:numPr>
        <w:adjustRightInd w:val="0"/>
        <w:snapToGrid w:val="0"/>
        <w:spacing w:line="360" w:lineRule="auto"/>
        <w:ind w:firstLine="480" w:firstLineChars="200"/>
        <w:rPr>
          <w:rFonts w:hint="eastAsia" w:ascii="宋体" w:hAnsi="宋体" w:eastAsia="宋体" w:cs="宋体"/>
          <w:color w:val="auto"/>
          <w:sz w:val="24"/>
          <w:szCs w:val="24"/>
          <w:highlight w:val="none"/>
          <w:u w:val="single"/>
          <w:lang w:bidi="ar"/>
        </w:rPr>
      </w:pPr>
      <w:r>
        <w:rPr>
          <w:rFonts w:hint="eastAsia" w:ascii="宋体" w:hAnsi="宋体" w:eastAsia="宋体" w:cs="宋体"/>
          <w:color w:val="auto"/>
          <w:sz w:val="24"/>
          <w:szCs w:val="24"/>
          <w:highlight w:val="none"/>
          <w:lang w:bidi="ar"/>
        </w:rPr>
        <w:t>采购项目名称：</w:t>
      </w:r>
      <w:r>
        <w:rPr>
          <w:rFonts w:hint="eastAsia" w:ascii="宋体" w:hAnsi="宋体" w:eastAsia="宋体" w:cs="宋体"/>
          <w:color w:val="auto"/>
          <w:sz w:val="24"/>
          <w:szCs w:val="24"/>
          <w:highlight w:val="none"/>
          <w:u w:val="single"/>
          <w:lang w:eastAsia="zh-CN" w:bidi="ar"/>
        </w:rPr>
        <w:t>滁州市中西医结合医院Q开关Nd：YAG（调Q）激光治疗机采购项目</w:t>
      </w:r>
      <w:r>
        <w:rPr>
          <w:rFonts w:hint="eastAsia" w:ascii="宋体" w:hAnsi="宋体" w:eastAsia="宋体" w:cs="宋体"/>
          <w:color w:val="auto"/>
          <w:sz w:val="24"/>
          <w:szCs w:val="24"/>
          <w:highlight w:val="none"/>
          <w:u w:val="single"/>
          <w:lang w:bidi="ar"/>
        </w:rPr>
        <w:t xml:space="preserve"> </w:t>
      </w:r>
    </w:p>
    <w:p w14:paraId="1ACCE6B5">
      <w:pPr>
        <w:numPr>
          <w:ilvl w:val="0"/>
          <w:numId w:val="0"/>
        </w:numPr>
        <w:adjustRightInd w:val="0"/>
        <w:snapToGrid w:val="0"/>
        <w:spacing w:line="360" w:lineRule="auto"/>
        <w:ind w:firstLine="1200" w:firstLineChars="5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采购项目编号：</w:t>
      </w:r>
      <w:r>
        <w:rPr>
          <w:rFonts w:hint="eastAsia" w:ascii="宋体" w:hAnsi="宋体" w:eastAsia="宋体" w:cs="宋体"/>
          <w:color w:val="auto"/>
          <w:sz w:val="24"/>
          <w:szCs w:val="24"/>
          <w:highlight w:val="none"/>
          <w:u w:val="single"/>
          <w:lang w:bidi="ar"/>
        </w:rPr>
        <w:t xml:space="preserve">          </w:t>
      </w:r>
    </w:p>
    <w:p w14:paraId="3EB3B40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（2）采购计划编号：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3CB08BA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（3）项目内容：</w:t>
      </w:r>
    </w:p>
    <w:p w14:paraId="63B09C3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采购标的及数量（台/套/个/架/组等）：</w:t>
      </w:r>
      <w:r>
        <w:rPr>
          <w:rFonts w:hint="eastAsia" w:ascii="宋体" w:hAnsi="宋体" w:eastAsia="宋体" w:cs="宋体"/>
          <w:color w:val="auto"/>
          <w:sz w:val="24"/>
          <w:szCs w:val="24"/>
          <w:highlight w:val="none"/>
          <w:u w:val="single"/>
          <w:lang w:val="en-US" w:eastAsia="zh-CN" w:bidi="ar"/>
        </w:rPr>
        <w:t>数量：1台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32E7399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p>
    <w:p w14:paraId="30425DBF">
      <w:pPr>
        <w:adjustRightInd w:val="0"/>
        <w:snapToGrid w:val="0"/>
        <w:spacing w:line="360" w:lineRule="auto"/>
        <w:ind w:firstLine="1080" w:firstLineChars="45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采购标的的技术要求、商务要求具体见附件。</w:t>
      </w:r>
    </w:p>
    <w:p w14:paraId="43A1E84B">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①涉及信息类产品，请填写该产品关键部件的品牌、型号：</w:t>
      </w:r>
    </w:p>
    <w:p w14:paraId="2A6DDEF7">
      <w:pPr>
        <w:adjustRightInd w:val="0"/>
        <w:snapToGrid w:val="0"/>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lang w:bidi="ar"/>
        </w:rPr>
        <w:t xml:space="preserve">     标的名称：</w:t>
      </w:r>
      <w:r>
        <w:rPr>
          <w:rFonts w:hint="eastAsia" w:ascii="宋体" w:hAnsi="宋体" w:eastAsia="宋体" w:cs="宋体"/>
          <w:color w:val="auto"/>
          <w:kern w:val="0"/>
          <w:sz w:val="24"/>
          <w:szCs w:val="24"/>
          <w:highlight w:val="none"/>
          <w:u w:val="single"/>
          <w:lang w:bidi="ar"/>
        </w:rPr>
        <w:t xml:space="preserve">                         </w:t>
      </w:r>
    </w:p>
    <w:p w14:paraId="7FBC6EC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关键部件：</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color w:val="auto"/>
          <w:sz w:val="24"/>
          <w:szCs w:val="24"/>
          <w:highlight w:val="none"/>
          <w:lang w:bidi="ar"/>
        </w:rPr>
        <w:t>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1D70B41F">
      <w:pPr>
        <w:pStyle w:val="24"/>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关键部件</w:t>
      </w:r>
      <w:r>
        <w:rPr>
          <w:rFonts w:hint="eastAsia" w:ascii="宋体" w:hAnsi="宋体" w:eastAsia="宋体" w:cs="宋体"/>
          <w:color w:val="auto"/>
          <w:szCs w:val="24"/>
          <w:highlight w:val="none"/>
          <w:lang w:bidi="ar"/>
        </w:rPr>
        <w:t>：</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w:t>
      </w:r>
    </w:p>
    <w:p w14:paraId="46D1CB2A">
      <w:pPr>
        <w:pStyle w:val="24"/>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关键部件：</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p>
    <w:p w14:paraId="5C27C847">
      <w:pPr>
        <w:pStyle w:val="24"/>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lang w:bidi="ar"/>
        </w:rPr>
      </w:pPr>
      <w:r>
        <w:rPr>
          <w:rFonts w:hint="eastAsia" w:ascii="宋体" w:hAnsi="宋体" w:eastAsia="宋体" w:cs="宋体"/>
          <w:color w:val="auto"/>
          <w:szCs w:val="24"/>
          <w:highlight w:val="none"/>
          <w:lang w:bidi="ar"/>
        </w:rPr>
        <w:t>（注：关键部件是指财政部会同有关部门发布的政府采购需求标准规定的需要通过国家有关部门指定的测评机构开展的安全可靠测评的软硬件，如CPU芯片、操作系统、数据库等。）</w:t>
      </w:r>
    </w:p>
    <w:p w14:paraId="235A6A29">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w:t>
      </w:r>
      <w:r>
        <w:rPr>
          <w:rFonts w:hint="eastAsia" w:ascii="宋体" w:hAnsi="宋体" w:eastAsia="宋体" w:cs="宋体"/>
          <w:color w:val="auto"/>
          <w:kern w:val="0"/>
          <w:sz w:val="24"/>
          <w:szCs w:val="24"/>
          <w:highlight w:val="none"/>
          <w:lang w:bidi="ar"/>
        </w:rPr>
        <w:t>涉及车辆采购，请填写是否属于新能源汽车：</w:t>
      </w:r>
    </w:p>
    <w:p w14:paraId="6EF5162F">
      <w:pPr>
        <w:pStyle w:val="24"/>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□是，《政府采购品目分类目录》底级品目名称：</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数量：</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金额：</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w:t>
      </w:r>
    </w:p>
    <w:p w14:paraId="07FE5449">
      <w:pPr>
        <w:pStyle w:val="24"/>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szCs w:val="24"/>
          <w:highlight w:val="none"/>
          <w:lang w:eastAsia="zh-CN" w:bidi="ar"/>
        </w:rPr>
        <w:t>□</w:t>
      </w:r>
      <w:r>
        <w:rPr>
          <w:rFonts w:hint="eastAsia" w:ascii="宋体" w:hAnsi="宋体" w:eastAsia="宋体" w:cs="宋体"/>
          <w:color w:val="auto"/>
          <w:szCs w:val="24"/>
          <w:highlight w:val="none"/>
          <w:lang w:bidi="ar"/>
        </w:rPr>
        <w:t>否</w:t>
      </w:r>
    </w:p>
    <w:p w14:paraId="216541D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（4）政府采购组织形式：</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 xml:space="preserve">政府集中采购  □部门集中采购  </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分散采购</w:t>
      </w:r>
    </w:p>
    <w:p w14:paraId="346BAB5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（5）政府采购方式：☑公开招标 □邀请招标 □竞争性谈判 □竞争性磋商</w:t>
      </w:r>
    </w:p>
    <w:p w14:paraId="1D2EA6E0">
      <w:pPr>
        <w:pStyle w:val="24"/>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□询价 □单一来源 □框架协议 □其他：</w:t>
      </w:r>
      <w:r>
        <w:rPr>
          <w:rFonts w:hint="eastAsia" w:ascii="宋体" w:hAnsi="宋体" w:eastAsia="宋体" w:cs="宋体"/>
          <w:color w:val="auto"/>
          <w:szCs w:val="24"/>
          <w:highlight w:val="none"/>
          <w:u w:val="single"/>
          <w:lang w:bidi="ar"/>
        </w:rPr>
        <w:t xml:space="preserve">   /   </w:t>
      </w:r>
    </w:p>
    <w:p w14:paraId="3899463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r>
        <w:rPr>
          <w:rFonts w:hint="eastAsia" w:ascii="宋体" w:hAnsi="宋体" w:eastAsia="宋体" w:cs="宋体"/>
          <w:color w:val="auto"/>
          <w:sz w:val="24"/>
          <w:szCs w:val="24"/>
          <w:highlight w:val="none"/>
          <w:lang w:bidi="ar"/>
        </w:rPr>
        <w:t>中标（成交）采购标的制造商是否为中小企业：</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是      □否</w:t>
      </w:r>
    </w:p>
    <w:p w14:paraId="08900EEF">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本合同是否为专门面向中小企业的采购合同（中小企业预留合同）：</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 xml:space="preserve">是    </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否</w:t>
      </w:r>
    </w:p>
    <w:p w14:paraId="558AC5E3">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若本项目不专门面向中小企业采购，是否给予小微企业评审优惠：</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是   □否</w:t>
      </w:r>
    </w:p>
    <w:p w14:paraId="7445845D">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中标（成交）采购标的制造商是否为残疾人福利性单位：</w:t>
      </w:r>
      <w:r>
        <w:rPr>
          <w:rFonts w:hint="eastAsia" w:ascii="宋体" w:hAnsi="宋体" w:eastAsia="宋体" w:cs="宋体"/>
          <w:iCs/>
          <w:color w:val="auto"/>
          <w:sz w:val="24"/>
          <w:szCs w:val="24"/>
          <w:highlight w:val="none"/>
          <w:lang w:bidi="ar"/>
        </w:rPr>
        <w:t>□是   □否</w:t>
      </w:r>
    </w:p>
    <w:p w14:paraId="329D2914">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中标（成交）采购标的制造商是否为监狱企业：</w:t>
      </w:r>
      <w:r>
        <w:rPr>
          <w:rFonts w:hint="eastAsia" w:ascii="宋体" w:hAnsi="宋体" w:eastAsia="宋体" w:cs="宋体"/>
          <w:iCs/>
          <w:color w:val="auto"/>
          <w:sz w:val="24"/>
          <w:szCs w:val="24"/>
          <w:highlight w:val="none"/>
          <w:lang w:bidi="ar"/>
        </w:rPr>
        <w:t>□是      □否</w:t>
      </w:r>
    </w:p>
    <w:p w14:paraId="363CD15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（7）合同是否分包：</w:t>
      </w:r>
      <w:r>
        <w:rPr>
          <w:rFonts w:hint="eastAsia" w:ascii="宋体" w:hAnsi="宋体" w:eastAsia="宋体" w:cs="宋体"/>
          <w:iCs/>
          <w:color w:val="auto"/>
          <w:sz w:val="24"/>
          <w:szCs w:val="24"/>
          <w:highlight w:val="none"/>
          <w:lang w:bidi="ar"/>
        </w:rPr>
        <w:t>□是       ☑否</w:t>
      </w:r>
    </w:p>
    <w:p w14:paraId="1D73202B">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分包主要内容：</w:t>
      </w:r>
      <w:r>
        <w:rPr>
          <w:rFonts w:hint="eastAsia" w:ascii="宋体" w:hAnsi="宋体" w:eastAsia="宋体" w:cs="宋体"/>
          <w:color w:val="auto"/>
          <w:sz w:val="24"/>
          <w:szCs w:val="24"/>
          <w:highlight w:val="none"/>
          <w:u w:val="single"/>
          <w:lang w:bidi="ar"/>
        </w:rPr>
        <w:t xml:space="preserve">     /                                      </w:t>
      </w:r>
    </w:p>
    <w:p w14:paraId="165A28F4">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分包供应商/制造商名称（如供应商和制造商不同，请分别填写）：</w:t>
      </w:r>
    </w:p>
    <w:p w14:paraId="4A56748E">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 xml:space="preserve">                /                                         </w:t>
      </w:r>
    </w:p>
    <w:p w14:paraId="33CB543A">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分包供应商/制造商类型（如果供应商和制造商不同，只填写制造商类型）：</w:t>
      </w:r>
    </w:p>
    <w:p w14:paraId="5CEDA586">
      <w:pPr>
        <w:adjustRightInd w:val="0"/>
        <w:snapToGrid w:val="0"/>
        <w:spacing w:line="360" w:lineRule="auto"/>
        <w:ind w:firstLine="960" w:firstLineChars="400"/>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□大型企业  □中型企业  □小微型企业  </w:t>
      </w:r>
    </w:p>
    <w:p w14:paraId="470B00B0">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iCs/>
          <w:color w:val="auto"/>
          <w:sz w:val="24"/>
          <w:szCs w:val="24"/>
          <w:highlight w:val="none"/>
          <w:lang w:bidi="ar"/>
        </w:rPr>
        <w:t>□残疾人福利性单位 □监狱企业 □其他</w:t>
      </w:r>
    </w:p>
    <w:p w14:paraId="27777C83">
      <w:pPr>
        <w:adjustRightInd w:val="0"/>
        <w:snapToGrid w:val="0"/>
        <w:spacing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（8）中标（成交）供应商是否为外商投资企业：</w:t>
      </w:r>
      <w:r>
        <w:rPr>
          <w:rFonts w:hint="eastAsia" w:ascii="宋体" w:hAnsi="宋体" w:eastAsia="宋体" w:cs="宋体"/>
          <w:iCs/>
          <w:color w:val="auto"/>
          <w:sz w:val="24"/>
          <w:szCs w:val="24"/>
          <w:highlight w:val="none"/>
          <w:lang w:bidi="ar"/>
        </w:rPr>
        <w:t>□是       □否</w:t>
      </w:r>
    </w:p>
    <w:p w14:paraId="726BE63E">
      <w:pPr>
        <w:pStyle w:val="24"/>
        <w:widowControl/>
        <w:tabs>
          <w:tab w:val="left" w:pos="1340"/>
        </w:tabs>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外商投资企业类型：</w:t>
      </w:r>
      <w:r>
        <w:rPr>
          <w:rFonts w:hint="eastAsia" w:ascii="宋体" w:hAnsi="宋体" w:eastAsia="宋体" w:cs="宋体"/>
          <w:iCs/>
          <w:color w:val="auto"/>
          <w:szCs w:val="24"/>
          <w:highlight w:val="none"/>
          <w:lang w:bidi="ar"/>
        </w:rPr>
        <w:t>□</w:t>
      </w:r>
      <w:r>
        <w:rPr>
          <w:rFonts w:hint="eastAsia" w:ascii="宋体" w:hAnsi="宋体" w:eastAsia="宋体" w:cs="宋体"/>
          <w:color w:val="auto"/>
          <w:szCs w:val="24"/>
          <w:highlight w:val="none"/>
          <w:lang w:bidi="ar"/>
        </w:rPr>
        <w:t xml:space="preserve">全部由外国投资者投资  </w:t>
      </w:r>
      <w:r>
        <w:rPr>
          <w:rFonts w:hint="eastAsia" w:ascii="宋体" w:hAnsi="宋体" w:eastAsia="宋体" w:cs="宋体"/>
          <w:iCs/>
          <w:color w:val="auto"/>
          <w:szCs w:val="24"/>
          <w:highlight w:val="none"/>
          <w:lang w:bidi="ar"/>
        </w:rPr>
        <w:t>□部分由外国投资者投资</w:t>
      </w:r>
    </w:p>
    <w:p w14:paraId="04C413D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（9）是否涉及进口产品：</w:t>
      </w:r>
    </w:p>
    <w:p w14:paraId="40BEF089">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□是，《政府采购品目分类目录》底级品目名称：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金额：</w:t>
      </w:r>
      <w:r>
        <w:rPr>
          <w:rFonts w:hint="eastAsia" w:ascii="宋体" w:hAnsi="宋体" w:eastAsia="宋体" w:cs="宋体"/>
          <w:color w:val="auto"/>
          <w:sz w:val="24"/>
          <w:szCs w:val="24"/>
          <w:highlight w:val="none"/>
          <w:u w:val="single"/>
          <w:lang w:bidi="ar"/>
        </w:rPr>
        <w:t xml:space="preserve">  /     </w:t>
      </w:r>
    </w:p>
    <w:p w14:paraId="2F250239">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国别：</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w:t>
      </w:r>
    </w:p>
    <w:p w14:paraId="65C9A321">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☑否</w:t>
      </w:r>
    </w:p>
    <w:p w14:paraId="45C2E66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（10）是否涉及节能产品：</w:t>
      </w:r>
    </w:p>
    <w:p w14:paraId="3F908880">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□是，《节能产品政府采购品目清单》的底级品目名称：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0F39E52E">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050FA63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否</w:t>
      </w:r>
    </w:p>
    <w:p w14:paraId="1EAE0D7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是否涉及环境标志产品：</w:t>
      </w:r>
    </w:p>
    <w:p w14:paraId="0AEF04D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□是，《环境标志产品政府采购品目清单》的底级品目名称：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47B630FE">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26A71D25">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18DC37B6">
      <w:pPr>
        <w:pStyle w:val="24"/>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 xml:space="preserve">是否涉及绿色产品： </w:t>
      </w:r>
    </w:p>
    <w:p w14:paraId="1D270A35">
      <w:pPr>
        <w:pStyle w:val="24"/>
        <w:widowControl/>
        <w:autoSpaceDE w:val="0"/>
        <w:autoSpaceDN w:val="0"/>
        <w:adjustRightInd w:val="0"/>
        <w:spacing w:before="0" w:beforeAutospacing="0" w:after="0" w:afterAutospacing="0" w:line="360" w:lineRule="auto"/>
        <w:ind w:firstLine="420"/>
        <w:rPr>
          <w:rFonts w:hint="eastAsia" w:ascii="宋体" w:hAnsi="宋体" w:eastAsia="宋体" w:cs="宋体"/>
          <w:color w:val="auto"/>
          <w:szCs w:val="24"/>
          <w:highlight w:val="none"/>
          <w:u w:val="single"/>
        </w:rPr>
      </w:pPr>
      <w:r>
        <w:rPr>
          <w:rFonts w:hint="eastAsia" w:ascii="宋体" w:hAnsi="宋体" w:eastAsia="宋体" w:cs="宋体"/>
          <w:color w:val="auto"/>
          <w:kern w:val="2"/>
          <w:szCs w:val="24"/>
          <w:highlight w:val="none"/>
          <w:lang w:bidi="ar"/>
        </w:rPr>
        <w:t xml:space="preserve">     □是，绿色产品政府采购相关政策确定的底级品目名称：</w:t>
      </w:r>
      <w:r>
        <w:rPr>
          <w:rFonts w:hint="eastAsia" w:ascii="宋体" w:hAnsi="宋体" w:eastAsia="宋体" w:cs="宋体"/>
          <w:color w:val="auto"/>
          <w:szCs w:val="24"/>
          <w:highlight w:val="none"/>
          <w:u w:val="single"/>
          <w:lang w:bidi="ar"/>
        </w:rPr>
        <w:t xml:space="preserve">         </w:t>
      </w:r>
    </w:p>
    <w:p w14:paraId="64FB42AB">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2CFC558B">
      <w:pPr>
        <w:pStyle w:val="24"/>
        <w:widowControl/>
        <w:autoSpaceDE w:val="0"/>
        <w:autoSpaceDN w:val="0"/>
        <w:adjustRightInd w:val="0"/>
        <w:spacing w:before="0" w:beforeAutospacing="0" w:after="0" w:afterAutospacing="0" w:line="360" w:lineRule="auto"/>
        <w:ind w:firstLine="420"/>
        <w:rPr>
          <w:rFonts w:hint="eastAsia" w:ascii="宋体" w:hAnsi="宋体" w:eastAsia="宋体" w:cs="宋体"/>
          <w:color w:val="auto"/>
          <w:kern w:val="2"/>
          <w:szCs w:val="24"/>
          <w:highlight w:val="none"/>
          <w:lang w:bidi="ar"/>
        </w:rPr>
      </w:pPr>
      <w:r>
        <w:rPr>
          <w:rFonts w:hint="eastAsia" w:ascii="宋体" w:hAnsi="宋体" w:eastAsia="宋体" w:cs="宋体"/>
          <w:color w:val="auto"/>
          <w:kern w:val="2"/>
          <w:szCs w:val="24"/>
          <w:highlight w:val="none"/>
          <w:lang w:bidi="ar"/>
        </w:rPr>
        <w:t xml:space="preserve">     □否</w:t>
      </w:r>
    </w:p>
    <w:p w14:paraId="2BCAA38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（11）涉及商品包装和快递包装的，是否参考《商品包装政府采购需求标准（试行）》、《快递包装政府采购需求标准（试行）》明确产品及相关快递服务的具体包装要求：</w:t>
      </w:r>
    </w:p>
    <w:p w14:paraId="602DE332">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☑是       □否      □不涉及</w:t>
      </w:r>
    </w:p>
    <w:p w14:paraId="5F3FA54F">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合同金额</w:t>
      </w:r>
    </w:p>
    <w:p w14:paraId="18A1997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（1）合同金额小写：</w:t>
      </w:r>
      <w:r>
        <w:rPr>
          <w:rFonts w:hint="eastAsia" w:ascii="宋体" w:hAnsi="宋体" w:eastAsia="宋体" w:cs="宋体"/>
          <w:color w:val="auto"/>
          <w:sz w:val="24"/>
          <w:szCs w:val="24"/>
          <w:highlight w:val="none"/>
          <w:u w:val="single"/>
          <w:lang w:bidi="ar"/>
        </w:rPr>
        <w:t xml:space="preserve">                           </w:t>
      </w:r>
    </w:p>
    <w:p w14:paraId="7EC7D079">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w:t>
      </w:r>
    </w:p>
    <w:p w14:paraId="081247D2">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分包金额（如有）小写：</w:t>
      </w:r>
      <w:r>
        <w:rPr>
          <w:rFonts w:hint="eastAsia" w:ascii="宋体" w:hAnsi="宋体" w:eastAsia="宋体" w:cs="宋体"/>
          <w:color w:val="auto"/>
          <w:sz w:val="24"/>
          <w:szCs w:val="24"/>
          <w:highlight w:val="none"/>
          <w:u w:val="single"/>
          <w:lang w:bidi="ar"/>
        </w:rPr>
        <w:t xml:space="preserve">    /              </w:t>
      </w:r>
    </w:p>
    <w:p w14:paraId="1714E358">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               </w:t>
      </w:r>
    </w:p>
    <w:p w14:paraId="3710D7A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（注：固定单价合同应填写单价和最高限价）</w:t>
      </w:r>
    </w:p>
    <w:p w14:paraId="2345231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（2）合同定价方式（采用组合定价方式的，可以勾选多项）：</w:t>
      </w:r>
    </w:p>
    <w:p w14:paraId="6C48FB6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 xml:space="preserve">固定总价 </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固定单价 □固定费率 □成本补偿 □绩效激励 □其他</w:t>
      </w:r>
      <w:r>
        <w:rPr>
          <w:rFonts w:hint="eastAsia" w:ascii="宋体" w:hAnsi="宋体" w:eastAsia="宋体" w:cs="宋体"/>
          <w:color w:val="auto"/>
          <w:sz w:val="24"/>
          <w:szCs w:val="24"/>
          <w:highlight w:val="none"/>
          <w:u w:val="single"/>
          <w:lang w:bidi="ar"/>
        </w:rPr>
        <w:t xml:space="preserve">  /    </w:t>
      </w:r>
    </w:p>
    <w:p w14:paraId="0413C2D6">
      <w:pPr>
        <w:pStyle w:val="24"/>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（3）付款方式（按项目实际勾选填写）：</w:t>
      </w:r>
    </w:p>
    <w:p w14:paraId="4EB6F6E8">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□全额付款：</w:t>
      </w:r>
      <w:r>
        <w:rPr>
          <w:rFonts w:hint="eastAsia" w:ascii="宋体" w:hAnsi="宋体" w:eastAsia="宋体" w:cs="宋体"/>
          <w:color w:val="auto"/>
          <w:sz w:val="24"/>
          <w:szCs w:val="24"/>
          <w:highlight w:val="none"/>
          <w:u w:val="single"/>
          <w:lang w:bidi="ar"/>
        </w:rPr>
        <w:t xml:space="preserve">    /                    </w:t>
      </w:r>
    </w:p>
    <w:p w14:paraId="18037691">
      <w:pPr>
        <w:snapToGrid w:val="0"/>
        <w:spacing w:line="360" w:lineRule="auto"/>
        <w:ind w:firstLine="720" w:firstLineChars="30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bidi="ar"/>
        </w:rPr>
        <w:t>☑分期付款：</w:t>
      </w:r>
      <w:r>
        <w:rPr>
          <w:rFonts w:hint="eastAsia" w:ascii="宋体" w:hAnsi="宋体" w:eastAsia="宋体" w:cs="宋体"/>
          <w:color w:val="auto"/>
          <w:sz w:val="24"/>
          <w:szCs w:val="24"/>
          <w:highlight w:val="none"/>
          <w:u w:val="single"/>
          <w:lang w:eastAsia="zh-CN" w:bidi="ar"/>
        </w:rPr>
        <w:t>合同签订且具备实施条件后，支付合同价的40%预付款（预付款支付前，</w:t>
      </w:r>
      <w:r>
        <w:rPr>
          <w:rFonts w:hint="eastAsia" w:ascii="宋体" w:hAnsi="宋体" w:eastAsia="宋体" w:cs="宋体"/>
          <w:color w:val="auto"/>
          <w:sz w:val="24"/>
          <w:szCs w:val="24"/>
          <w:highlight w:val="none"/>
          <w:u w:val="single"/>
          <w:lang w:val="en-US" w:eastAsia="zh-CN" w:bidi="ar"/>
        </w:rPr>
        <w:t>乙方</w:t>
      </w:r>
      <w:r>
        <w:rPr>
          <w:rFonts w:hint="eastAsia" w:ascii="宋体" w:hAnsi="宋体" w:eastAsia="宋体" w:cs="宋体"/>
          <w:color w:val="auto"/>
          <w:sz w:val="24"/>
          <w:szCs w:val="24"/>
          <w:highlight w:val="none"/>
          <w:u w:val="single"/>
          <w:lang w:eastAsia="zh-CN" w:bidi="ar"/>
        </w:rPr>
        <w:t>须提供同等金额的见索即付保函），全部供货安装调试完毕并经验收合格后，</w:t>
      </w:r>
      <w:r>
        <w:rPr>
          <w:rFonts w:hint="eastAsia" w:ascii="宋体" w:hAnsi="宋体" w:eastAsia="宋体" w:cs="宋体"/>
          <w:color w:val="auto"/>
          <w:sz w:val="24"/>
          <w:szCs w:val="24"/>
          <w:highlight w:val="none"/>
          <w:u w:val="single"/>
          <w:lang w:val="en-US" w:eastAsia="zh-CN" w:bidi="ar"/>
        </w:rPr>
        <w:t>甲方</w:t>
      </w:r>
      <w:r>
        <w:rPr>
          <w:rFonts w:hint="eastAsia" w:ascii="宋体" w:hAnsi="宋体" w:eastAsia="宋体" w:cs="宋体"/>
          <w:color w:val="auto"/>
          <w:sz w:val="24"/>
          <w:szCs w:val="24"/>
          <w:highlight w:val="none"/>
          <w:u w:val="single"/>
          <w:lang w:eastAsia="zh-CN" w:bidi="ar"/>
        </w:rPr>
        <w:t>支付剩余合同价款。</w:t>
      </w:r>
    </w:p>
    <w:p w14:paraId="24059313">
      <w:pPr>
        <w:snapToGrid w:val="0"/>
        <w:spacing w:line="360" w:lineRule="auto"/>
        <w:ind w:firstLine="720" w:firstLineChars="3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bidi="ar"/>
        </w:rPr>
        <w:t>其中涉及预付款的：</w:t>
      </w:r>
      <w:r>
        <w:rPr>
          <w:rFonts w:hint="eastAsia" w:ascii="宋体" w:hAnsi="宋体" w:eastAsia="宋体" w:cs="宋体"/>
          <w:color w:val="auto"/>
          <w:sz w:val="24"/>
          <w:szCs w:val="24"/>
          <w:highlight w:val="none"/>
          <w:u w:val="single"/>
          <w:lang w:bidi="ar"/>
        </w:rPr>
        <w:t xml:space="preserve"> 合同签订且具备实施条件后，支付合同价的40%预付款（预付款支付前，</w:t>
      </w:r>
      <w:r>
        <w:rPr>
          <w:rFonts w:hint="eastAsia" w:ascii="宋体" w:hAnsi="宋体" w:eastAsia="宋体" w:cs="宋体"/>
          <w:color w:val="auto"/>
          <w:sz w:val="24"/>
          <w:szCs w:val="24"/>
          <w:highlight w:val="none"/>
          <w:u w:val="single"/>
          <w:lang w:val="en-US" w:eastAsia="zh-CN" w:bidi="ar"/>
        </w:rPr>
        <w:t>乙方</w:t>
      </w:r>
      <w:r>
        <w:rPr>
          <w:rFonts w:hint="eastAsia" w:ascii="宋体" w:hAnsi="宋体" w:eastAsia="宋体" w:cs="宋体"/>
          <w:color w:val="auto"/>
          <w:sz w:val="24"/>
          <w:szCs w:val="24"/>
          <w:highlight w:val="none"/>
          <w:u w:val="single"/>
          <w:lang w:bidi="ar"/>
        </w:rPr>
        <w:t>须提供同等金额的见索即付保函）</w:t>
      </w:r>
      <w:r>
        <w:rPr>
          <w:rFonts w:hint="eastAsia" w:ascii="宋体" w:hAnsi="宋体" w:eastAsia="宋体" w:cs="宋体"/>
          <w:color w:val="auto"/>
          <w:sz w:val="24"/>
          <w:szCs w:val="24"/>
          <w:highlight w:val="none"/>
          <w:u w:val="single"/>
          <w:lang w:eastAsia="zh-CN" w:bidi="ar"/>
        </w:rPr>
        <w:t>。</w:t>
      </w:r>
    </w:p>
    <w:p w14:paraId="49A32F6D">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□成本补偿：</w:t>
      </w:r>
      <w:r>
        <w:rPr>
          <w:rFonts w:hint="eastAsia" w:ascii="宋体" w:hAnsi="宋体" w:eastAsia="宋体" w:cs="宋体"/>
          <w:color w:val="auto"/>
          <w:sz w:val="24"/>
          <w:szCs w:val="24"/>
          <w:highlight w:val="none"/>
          <w:u w:val="single"/>
          <w:lang w:bidi="ar"/>
        </w:rPr>
        <w:t xml:space="preserve">      /    </w:t>
      </w:r>
    </w:p>
    <w:p w14:paraId="68AFBDEC">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□绩效激励：</w:t>
      </w:r>
      <w:r>
        <w:rPr>
          <w:rFonts w:hint="eastAsia" w:ascii="宋体" w:hAnsi="宋体" w:eastAsia="宋体" w:cs="宋体"/>
          <w:color w:val="auto"/>
          <w:sz w:val="24"/>
          <w:szCs w:val="24"/>
          <w:highlight w:val="none"/>
          <w:u w:val="single"/>
          <w:lang w:bidi="ar"/>
        </w:rPr>
        <w:t xml:space="preserve">      /    </w:t>
      </w:r>
    </w:p>
    <w:p w14:paraId="1E93A81E">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lang w:bidi="ar"/>
        </w:rPr>
        <w:t>合同履行</w:t>
      </w:r>
    </w:p>
    <w:p w14:paraId="7E4D276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（1）起始日期：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日，完成日期：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4E8EF18B">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（2）履约地点</w:t>
      </w:r>
      <w:r>
        <w:rPr>
          <w:rFonts w:hint="eastAsia" w:ascii="宋体" w:hAnsi="宋体" w:eastAsia="宋体" w:cs="宋体"/>
          <w:bCs/>
          <w:color w:val="auto"/>
          <w:sz w:val="24"/>
          <w:szCs w:val="24"/>
          <w:highlight w:val="none"/>
          <w:lang w:bidi="ar"/>
        </w:rPr>
        <w:t>：</w:t>
      </w:r>
      <w:r>
        <w:rPr>
          <w:rFonts w:hint="eastAsia" w:ascii="宋体" w:hAnsi="宋体" w:eastAsia="宋体" w:cs="宋体"/>
          <w:color w:val="auto"/>
          <w:sz w:val="24"/>
          <w:szCs w:val="24"/>
          <w:highlight w:val="none"/>
          <w:u w:val="single"/>
          <w:lang w:bidi="ar"/>
        </w:rPr>
        <w:t xml:space="preserve">  采购人指定地点          </w:t>
      </w:r>
    </w:p>
    <w:p w14:paraId="16FE900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（3）履约担保：</w:t>
      </w:r>
      <w:r>
        <w:rPr>
          <w:rFonts w:hint="eastAsia" w:ascii="宋体" w:hAnsi="宋体" w:eastAsia="宋体" w:cs="宋体"/>
          <w:color w:val="auto"/>
          <w:sz w:val="24"/>
          <w:szCs w:val="24"/>
          <w:highlight w:val="none"/>
          <w:lang w:bidi="ar"/>
        </w:rPr>
        <w:t>是否收取履约保证金：</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是    □否</w:t>
      </w:r>
    </w:p>
    <w:p w14:paraId="1B19695C">
      <w:pPr>
        <w:pStyle w:val="24"/>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lang w:bidi="ar"/>
        </w:rPr>
      </w:pPr>
      <w:r>
        <w:rPr>
          <w:rFonts w:hint="eastAsia" w:ascii="宋体" w:hAnsi="宋体" w:eastAsia="宋体" w:cs="宋体"/>
          <w:bCs/>
          <w:color w:val="auto"/>
          <w:szCs w:val="24"/>
          <w:highlight w:val="none"/>
          <w:lang w:bidi="ar"/>
        </w:rPr>
        <w:t xml:space="preserve">  </w:t>
      </w:r>
      <w:r>
        <w:rPr>
          <w:rFonts w:hint="eastAsia" w:ascii="宋体" w:hAnsi="宋体" w:eastAsia="宋体" w:cs="宋体"/>
          <w:color w:val="auto"/>
          <w:szCs w:val="24"/>
          <w:highlight w:val="none"/>
          <w:lang w:bidi="ar"/>
        </w:rPr>
        <w:t xml:space="preserve">  收取履约保证金形式：</w:t>
      </w:r>
      <w:r>
        <w:rPr>
          <w:rFonts w:hint="eastAsia" w:ascii="宋体" w:hAnsi="宋体" w:eastAsia="宋体" w:cs="宋体"/>
          <w:color w:val="auto"/>
          <w:szCs w:val="24"/>
          <w:highlight w:val="none"/>
          <w:u w:val="single"/>
          <w:lang w:bidi="ar"/>
        </w:rPr>
        <w:t xml:space="preserve">                            </w:t>
      </w:r>
    </w:p>
    <w:p w14:paraId="3A8FB851">
      <w:pPr>
        <w:pStyle w:val="24"/>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lang w:bidi="ar"/>
        </w:rPr>
      </w:pPr>
      <w:r>
        <w:rPr>
          <w:rFonts w:hint="eastAsia" w:ascii="宋体" w:hAnsi="宋体" w:eastAsia="宋体" w:cs="宋体"/>
          <w:color w:val="auto"/>
          <w:szCs w:val="24"/>
          <w:highlight w:val="none"/>
          <w:lang w:bidi="ar"/>
        </w:rPr>
        <w:t xml:space="preserve">    收取履约保证金金额：</w:t>
      </w:r>
      <w:r>
        <w:rPr>
          <w:rFonts w:hint="eastAsia" w:ascii="宋体" w:hAnsi="宋体" w:eastAsia="宋体" w:cs="宋体"/>
          <w:color w:val="auto"/>
          <w:szCs w:val="24"/>
          <w:highlight w:val="none"/>
          <w:u w:val="single"/>
          <w:lang w:bidi="ar"/>
        </w:rPr>
        <w:t xml:space="preserve">                            </w:t>
      </w:r>
    </w:p>
    <w:p w14:paraId="7FC381FD">
      <w:pPr>
        <w:pStyle w:val="24"/>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lang w:bidi="ar"/>
        </w:rPr>
      </w:pPr>
      <w:r>
        <w:rPr>
          <w:rFonts w:hint="eastAsia" w:ascii="宋体" w:hAnsi="宋体" w:eastAsia="宋体" w:cs="宋体"/>
          <w:color w:val="auto"/>
          <w:szCs w:val="24"/>
          <w:highlight w:val="none"/>
          <w:lang w:bidi="ar"/>
        </w:rPr>
        <w:t xml:space="preserve">    履约担保期限：</w:t>
      </w:r>
      <w:r>
        <w:rPr>
          <w:rFonts w:hint="eastAsia" w:ascii="宋体" w:hAnsi="宋体" w:eastAsia="宋体" w:cs="宋体"/>
          <w:color w:val="auto"/>
          <w:szCs w:val="24"/>
          <w:highlight w:val="none"/>
          <w:u w:val="single"/>
          <w:lang w:bidi="ar"/>
        </w:rPr>
        <w:t xml:space="preserve">                                  </w:t>
      </w:r>
    </w:p>
    <w:p w14:paraId="051DECEE">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（4）分期履行要求：</w:t>
      </w:r>
      <w:r>
        <w:rPr>
          <w:rFonts w:hint="eastAsia" w:ascii="宋体" w:hAnsi="宋体" w:eastAsia="宋体" w:cs="宋体"/>
          <w:bCs/>
          <w:color w:val="auto"/>
          <w:sz w:val="24"/>
          <w:szCs w:val="24"/>
          <w:highlight w:val="none"/>
          <w:u w:val="single"/>
          <w:lang w:bidi="ar"/>
        </w:rPr>
        <w:t xml:space="preserve">   /                                                   </w:t>
      </w:r>
    </w:p>
    <w:p w14:paraId="1E8C8F39">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lang w:bidi="ar"/>
        </w:rPr>
        <w:t>（5）风险处置措施和替代方案：</w:t>
      </w:r>
      <w:r>
        <w:rPr>
          <w:rFonts w:hint="eastAsia" w:ascii="宋体" w:hAnsi="宋体" w:eastAsia="宋体" w:cs="宋体"/>
          <w:color w:val="auto"/>
          <w:sz w:val="24"/>
          <w:szCs w:val="24"/>
          <w:highlight w:val="none"/>
          <w:u w:val="single"/>
          <w:lang w:bidi="ar"/>
        </w:rPr>
        <w:t xml:space="preserve">       /                                                      </w:t>
      </w:r>
    </w:p>
    <w:p w14:paraId="65459159">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合同验收</w:t>
      </w:r>
    </w:p>
    <w:p w14:paraId="5C3E9A16">
      <w:pPr>
        <w:numPr>
          <w:ilvl w:val="0"/>
          <w:numId w:val="5"/>
        </w:num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验收组织方式：</w:t>
      </w:r>
      <w:r>
        <w:rPr>
          <w:rFonts w:hint="eastAsia" w:ascii="宋体" w:hAnsi="宋体" w:eastAsia="宋体" w:cs="宋体"/>
          <w:color w:val="auto"/>
          <w:sz w:val="24"/>
          <w:szCs w:val="24"/>
          <w:highlight w:val="none"/>
          <w:lang w:eastAsia="zh-CN" w:bidi="ar"/>
        </w:rPr>
        <w:t>□</w:t>
      </w:r>
      <w:r>
        <w:rPr>
          <w:rFonts w:hint="eastAsia" w:ascii="宋体" w:hAnsi="宋体" w:eastAsia="宋体" w:cs="宋体"/>
          <w:bCs/>
          <w:color w:val="auto"/>
          <w:sz w:val="24"/>
          <w:szCs w:val="24"/>
          <w:highlight w:val="none"/>
          <w:lang w:bidi="ar"/>
        </w:rPr>
        <w:t xml:space="preserve">自行组织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委托第三方组织</w:t>
      </w:r>
    </w:p>
    <w:p w14:paraId="70622D4F">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验收主体：</w:t>
      </w:r>
      <w:r>
        <w:rPr>
          <w:rFonts w:hint="eastAsia" w:ascii="宋体" w:hAnsi="宋体" w:eastAsia="宋体" w:cs="宋体"/>
          <w:bCs/>
          <w:color w:val="auto"/>
          <w:sz w:val="24"/>
          <w:szCs w:val="24"/>
          <w:highlight w:val="none"/>
          <w:u w:val="single"/>
          <w:lang w:bidi="ar"/>
        </w:rPr>
        <w:t xml:space="preserve">   采购人        </w:t>
      </w:r>
    </w:p>
    <w:p w14:paraId="1F1C7590">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是否邀请本项目的其他供应商参加验收：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651BDAA3">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是否邀请专家参加验收：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04E2CDBA">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是否邀请服务对象参加验收：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22D1C9E2">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是否邀请第三方检测机构参加验收：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47E31586">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是否进行抽查检测：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是，抽查比例：</w:t>
      </w:r>
      <w:r>
        <w:rPr>
          <w:rFonts w:hint="eastAsia" w:ascii="宋体" w:hAnsi="宋体" w:eastAsia="宋体" w:cs="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583B7C7E">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是否存在破坏性检测：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w:t>
      </w:r>
      <w:r>
        <w:rPr>
          <w:rFonts w:hint="eastAsia" w:ascii="宋体" w:hAnsi="宋体" w:eastAsia="宋体" w:cs="宋体"/>
          <w:bCs/>
          <w:color w:val="auto"/>
          <w:sz w:val="24"/>
          <w:szCs w:val="24"/>
          <w:highlight w:val="none"/>
          <w:u w:val="single"/>
          <w:lang w:bidi="ar"/>
        </w:rPr>
        <w:t>（应明确对被破坏的检测产品的处理方式）</w:t>
      </w:r>
    </w:p>
    <w:p w14:paraId="09A771F1">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04A713CA">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验收组织的其他事项：</w:t>
      </w:r>
      <w:r>
        <w:rPr>
          <w:rFonts w:hint="eastAsia" w:ascii="宋体" w:hAnsi="宋体" w:eastAsia="宋体" w:cs="宋体"/>
          <w:bCs/>
          <w:color w:val="auto"/>
          <w:sz w:val="24"/>
          <w:szCs w:val="24"/>
          <w:highlight w:val="none"/>
          <w:u w:val="single"/>
          <w:lang w:bidi="ar"/>
        </w:rPr>
        <w:t xml:space="preserve">                </w:t>
      </w:r>
    </w:p>
    <w:p w14:paraId="64B55FEB">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（2）履约验收时间：</w:t>
      </w:r>
      <w:r>
        <w:rPr>
          <w:rFonts w:hint="eastAsia" w:ascii="宋体" w:hAnsi="宋体" w:eastAsia="宋体" w:cs="宋体"/>
          <w:bCs/>
          <w:color w:val="auto"/>
          <w:sz w:val="24"/>
          <w:szCs w:val="24"/>
          <w:highlight w:val="none"/>
          <w:u w:val="single"/>
          <w:lang w:bidi="ar"/>
        </w:rPr>
        <w:t xml:space="preserve"> 供应商提出验收申请之日起5日内组织验收 </w:t>
      </w:r>
    </w:p>
    <w:p w14:paraId="1D6A324A">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（3）履约验收方式：</w:t>
      </w:r>
      <w:r>
        <w:rPr>
          <w:rFonts w:hint="eastAsia" w:ascii="宋体" w:hAnsi="宋体" w:eastAsia="宋体" w:cs="宋体"/>
          <w:color w:val="auto"/>
          <w:sz w:val="24"/>
          <w:szCs w:val="24"/>
          <w:highlight w:val="none"/>
          <w:lang w:eastAsia="zh-CN" w:bidi="ar"/>
        </w:rPr>
        <w:t>□</w:t>
      </w:r>
      <w:r>
        <w:rPr>
          <w:rFonts w:hint="eastAsia" w:ascii="宋体" w:hAnsi="宋体" w:eastAsia="宋体" w:cs="宋体"/>
          <w:bCs/>
          <w:color w:val="auto"/>
          <w:sz w:val="24"/>
          <w:szCs w:val="24"/>
          <w:highlight w:val="none"/>
          <w:lang w:bidi="ar"/>
        </w:rPr>
        <w:t xml:space="preserve">一次性验收         </w:t>
      </w:r>
    </w:p>
    <w:p w14:paraId="318831C9">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分期/分项验收：</w:t>
      </w:r>
      <w:r>
        <w:rPr>
          <w:rFonts w:hint="eastAsia" w:ascii="宋体" w:hAnsi="宋体" w:eastAsia="宋体" w:cs="宋体"/>
          <w:bCs/>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val="en-US" w:eastAsia="zh-CN" w:bidi="ar"/>
        </w:rPr>
        <w:t xml:space="preserve"> </w:t>
      </w:r>
      <w:r>
        <w:rPr>
          <w:rFonts w:hint="eastAsia" w:ascii="宋体" w:hAnsi="宋体" w:eastAsia="宋体" w:cs="宋体"/>
          <w:bCs/>
          <w:color w:val="auto"/>
          <w:sz w:val="24"/>
          <w:szCs w:val="24"/>
          <w:highlight w:val="none"/>
          <w:u w:val="single"/>
          <w:lang w:bidi="ar"/>
        </w:rPr>
        <w:t xml:space="preserve">  </w:t>
      </w:r>
    </w:p>
    <w:p w14:paraId="42950EA4">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（4）履约验收程序：</w:t>
      </w:r>
      <w:r>
        <w:rPr>
          <w:rFonts w:hint="eastAsia" w:ascii="宋体" w:hAnsi="宋体" w:eastAsia="宋体" w:cs="宋体"/>
          <w:bCs/>
          <w:color w:val="auto"/>
          <w:sz w:val="24"/>
          <w:szCs w:val="24"/>
          <w:highlight w:val="none"/>
          <w:u w:val="single"/>
          <w:lang w:bidi="ar"/>
        </w:rPr>
        <w:t xml:space="preserve">                                         </w:t>
      </w:r>
    </w:p>
    <w:p w14:paraId="65093794">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（5）履约验收的内容：</w:t>
      </w:r>
      <w:r>
        <w:rPr>
          <w:rFonts w:hint="eastAsia" w:ascii="宋体" w:hAnsi="宋体" w:eastAsia="宋体" w:cs="宋体"/>
          <w:bCs/>
          <w:color w:val="auto"/>
          <w:sz w:val="24"/>
          <w:szCs w:val="24"/>
          <w:highlight w:val="none"/>
          <w:u w:val="single"/>
          <w:lang w:bidi="ar"/>
        </w:rPr>
        <w:t xml:space="preserve"> （应当包括每一项技术和商务要求的履约情况，特别是落实政府采购扶持中小企业，支持绿色发展和乡村振兴等政策情况）                                      </w:t>
      </w:r>
    </w:p>
    <w:p w14:paraId="00C53F22">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（6）履约验收标准：</w:t>
      </w:r>
      <w:r>
        <w:rPr>
          <w:rFonts w:hint="eastAsia" w:ascii="宋体" w:hAnsi="宋体" w:eastAsia="宋体" w:cs="宋体"/>
          <w:bCs/>
          <w:color w:val="auto"/>
          <w:sz w:val="24"/>
          <w:szCs w:val="24"/>
          <w:highlight w:val="none"/>
          <w:u w:val="single"/>
          <w:lang w:bidi="ar"/>
        </w:rPr>
        <w:t xml:space="preserve">   符合国家标准                     </w:t>
      </w:r>
    </w:p>
    <w:p w14:paraId="29B5C262">
      <w:pPr>
        <w:pStyle w:val="24"/>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（7）是否以采购活动中供应商提供的样品作为参考：</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 xml:space="preserve">是  </w:t>
      </w:r>
      <w:r>
        <w:rPr>
          <w:rFonts w:hint="eastAsia" w:ascii="宋体" w:hAnsi="宋体" w:eastAsia="宋体" w:cs="宋体"/>
          <w:color w:val="auto"/>
          <w:szCs w:val="24"/>
          <w:highlight w:val="none"/>
          <w:lang w:eastAsia="zh-CN" w:bidi="ar"/>
        </w:rPr>
        <w:t>□</w:t>
      </w:r>
      <w:r>
        <w:rPr>
          <w:rFonts w:hint="eastAsia" w:ascii="宋体" w:hAnsi="宋体" w:eastAsia="宋体" w:cs="宋体"/>
          <w:bCs/>
          <w:color w:val="auto"/>
          <w:szCs w:val="24"/>
          <w:highlight w:val="none"/>
          <w:lang w:bidi="ar"/>
        </w:rPr>
        <w:t>否</w:t>
      </w:r>
    </w:p>
    <w:p w14:paraId="37F5A426">
      <w:pPr>
        <w:adjustRightInd w:val="0"/>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bidi="ar"/>
        </w:rPr>
        <w:t>（8）履约验收其他事项：</w:t>
      </w:r>
      <w:r>
        <w:rPr>
          <w:rFonts w:hint="eastAsia" w:ascii="宋体" w:hAnsi="宋体" w:eastAsia="宋体" w:cs="宋体"/>
          <w:bCs/>
          <w:color w:val="auto"/>
          <w:sz w:val="24"/>
          <w:szCs w:val="24"/>
          <w:highlight w:val="none"/>
          <w:u w:val="single"/>
          <w:lang w:bidi="ar"/>
        </w:rPr>
        <w:t>1、乙方交付产品时，应提供《产品合格证明》（如有）、《质量检验报告》（如有）、《产品质量保证书》（如有）、《产品准用证》（如有），如果以上证明材料都没有，则需要提供同等证明材料符合招标文件技术要求，否则甲方有权拒绝接收产品。2、</w:t>
      </w:r>
      <w:r>
        <w:rPr>
          <w:rFonts w:ascii="宋体" w:hAnsi="宋体" w:eastAsia="宋体" w:cs="宋体"/>
          <w:bCs/>
          <w:color w:val="auto"/>
          <w:sz w:val="24"/>
          <w:szCs w:val="24"/>
          <w:highlight w:val="none"/>
          <w:u w:val="single"/>
          <w:lang w:bidi="ar"/>
        </w:rPr>
        <w:t>提供虚假检测报告、材料造假</w:t>
      </w:r>
      <w:r>
        <w:rPr>
          <w:rFonts w:hint="eastAsia" w:ascii="宋体" w:hAnsi="宋体" w:eastAsia="宋体" w:cs="宋体"/>
          <w:bCs/>
          <w:color w:val="auto"/>
          <w:sz w:val="24"/>
          <w:szCs w:val="24"/>
          <w:highlight w:val="none"/>
          <w:u w:val="single"/>
          <w:lang w:bidi="ar"/>
        </w:rPr>
        <w:t>的，采购人有权单方面解除合同</w:t>
      </w:r>
      <w:r>
        <w:rPr>
          <w:rFonts w:hint="eastAsia" w:ascii="宋体" w:hAnsi="宋体" w:eastAsia="宋体" w:cs="宋体"/>
          <w:bCs/>
          <w:color w:val="auto"/>
          <w:sz w:val="24"/>
          <w:szCs w:val="24"/>
          <w:highlight w:val="none"/>
          <w:u w:val="single"/>
          <w:lang w:eastAsia="zh-CN" w:bidi="ar"/>
        </w:rPr>
        <w:t>。</w:t>
      </w:r>
    </w:p>
    <w:p w14:paraId="2238C597">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组成合同的文件</w:t>
      </w:r>
    </w:p>
    <w:p w14:paraId="2DC01DD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本协议书与下列文件一起构成合同文件，如下述文件之间有任何抵触、矛盾或歧义，应按以下顺序解释：</w:t>
      </w:r>
    </w:p>
    <w:p w14:paraId="2BDE088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（1）政府采购合同协议书及其变更、补充协议</w:t>
      </w:r>
    </w:p>
    <w:p w14:paraId="1CA1F76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（2）政府采购合同专用条款</w:t>
      </w:r>
    </w:p>
    <w:p w14:paraId="4390740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（3）政府采购合同通用条款</w:t>
      </w:r>
    </w:p>
    <w:p w14:paraId="2D87E11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（4）中标（成交）通知书</w:t>
      </w:r>
    </w:p>
    <w:p w14:paraId="5533233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（5）投标（响应）文件</w:t>
      </w:r>
    </w:p>
    <w:p w14:paraId="4D47BE8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（6）采购文件</w:t>
      </w:r>
    </w:p>
    <w:p w14:paraId="7F72710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（7）有关技术文件，图纸</w:t>
      </w:r>
    </w:p>
    <w:p w14:paraId="12844831">
      <w:pPr>
        <w:pStyle w:val="24"/>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（8）</w:t>
      </w:r>
      <w:r>
        <w:rPr>
          <w:rFonts w:hint="eastAsia" w:ascii="宋体" w:hAnsi="宋体" w:eastAsia="宋体" w:cs="宋体"/>
          <w:color w:val="auto"/>
          <w:kern w:val="2"/>
          <w:szCs w:val="24"/>
          <w:highlight w:val="none"/>
          <w:lang w:bidi="ar"/>
        </w:rPr>
        <w:t>国家法律、行政法规和规章制度规定或合同约定的作为合同组成部分的其他文件</w:t>
      </w:r>
    </w:p>
    <w:p w14:paraId="6994C9DF">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合同生效</w:t>
      </w:r>
    </w:p>
    <w:p w14:paraId="2A5CC1F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本合同自</w:t>
      </w:r>
      <w:r>
        <w:rPr>
          <w:rFonts w:hint="eastAsia" w:ascii="宋体" w:hAnsi="宋体" w:eastAsia="宋体" w:cs="宋体"/>
          <w:color w:val="auto"/>
          <w:sz w:val="24"/>
          <w:szCs w:val="24"/>
          <w:highlight w:val="none"/>
          <w:u w:val="single"/>
          <w:lang w:bidi="ar"/>
        </w:rPr>
        <w:t xml:space="preserve">     双方加盖印章之后          </w:t>
      </w:r>
      <w:r>
        <w:rPr>
          <w:rFonts w:hint="eastAsia" w:ascii="宋体" w:hAnsi="宋体" w:eastAsia="宋体" w:cs="宋体"/>
          <w:color w:val="auto"/>
          <w:sz w:val="24"/>
          <w:szCs w:val="24"/>
          <w:highlight w:val="none"/>
          <w:lang w:bidi="ar"/>
        </w:rPr>
        <w:t>生效。</w:t>
      </w:r>
    </w:p>
    <w:p w14:paraId="1592E40F">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合同份数</w:t>
      </w:r>
    </w:p>
    <w:p w14:paraId="0AB03B3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本合同一式</w:t>
      </w:r>
      <w:r>
        <w:rPr>
          <w:rFonts w:hint="eastAsia" w:ascii="宋体" w:hAnsi="宋体" w:eastAsia="宋体" w:cs="宋体"/>
          <w:color w:val="auto"/>
          <w:sz w:val="24"/>
          <w:szCs w:val="24"/>
          <w:highlight w:val="none"/>
          <w:u w:val="single"/>
          <w:lang w:bidi="ar"/>
        </w:rPr>
        <w:t xml:space="preserve">  六 </w:t>
      </w:r>
      <w:r>
        <w:rPr>
          <w:rFonts w:hint="eastAsia" w:ascii="宋体" w:hAnsi="宋体" w:eastAsia="宋体" w:cs="宋体"/>
          <w:color w:val="auto"/>
          <w:sz w:val="24"/>
          <w:szCs w:val="24"/>
          <w:highlight w:val="none"/>
          <w:lang w:bidi="ar"/>
        </w:rPr>
        <w:t>份，甲方执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份，乙方执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份，均具有同等法律效力。</w:t>
      </w:r>
    </w:p>
    <w:p w14:paraId="31DBDBE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合同订立时间：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0BE9AD3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合同订立地点：</w:t>
      </w:r>
      <w:r>
        <w:rPr>
          <w:rFonts w:hint="eastAsia" w:ascii="宋体" w:hAnsi="宋体" w:eastAsia="宋体" w:cs="宋体"/>
          <w:color w:val="auto"/>
          <w:sz w:val="24"/>
          <w:szCs w:val="24"/>
          <w:highlight w:val="none"/>
          <w:u w:val="single"/>
          <w:lang w:bidi="ar"/>
        </w:rPr>
        <w:t xml:space="preserve">                          </w:t>
      </w:r>
    </w:p>
    <w:p w14:paraId="601D013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附件：具体标的及其技术要求和商务要求、联合协议、分包意向协议等。</w:t>
      </w:r>
    </w:p>
    <w:p w14:paraId="6DF2512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01189494">
      <w:pPr>
        <w:pStyle w:val="24"/>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tbl>
      <w:tblPr>
        <w:tblStyle w:val="28"/>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7"/>
        <w:gridCol w:w="2118"/>
      </w:tblGrid>
      <w:tr w14:paraId="6AB1EE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top w:val="single" w:color="auto" w:sz="4" w:space="0"/>
              <w:left w:val="single" w:color="auto" w:sz="4" w:space="0"/>
              <w:bottom w:val="single" w:color="auto" w:sz="4" w:space="0"/>
              <w:right w:val="single" w:color="auto" w:sz="4" w:space="0"/>
            </w:tcBorders>
            <w:vAlign w:val="center"/>
          </w:tcPr>
          <w:p w14:paraId="349A13D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甲方（采购人、受采购人委托签订合同的单位或采购文件约定的合同甲方）</w:t>
            </w:r>
          </w:p>
        </w:tc>
        <w:tc>
          <w:tcPr>
            <w:tcW w:w="4095" w:type="dxa"/>
            <w:gridSpan w:val="2"/>
            <w:tcBorders>
              <w:top w:val="single" w:color="auto" w:sz="4" w:space="0"/>
              <w:left w:val="single" w:color="auto" w:sz="4" w:space="0"/>
              <w:bottom w:val="single" w:color="auto" w:sz="2" w:space="0"/>
              <w:right w:val="single" w:color="auto" w:sz="4" w:space="0"/>
            </w:tcBorders>
            <w:vAlign w:val="center"/>
          </w:tcPr>
          <w:p w14:paraId="13D09B9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乙方（供应商）</w:t>
            </w:r>
          </w:p>
        </w:tc>
      </w:tr>
      <w:tr w14:paraId="5EB76B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4" w:space="0"/>
              <w:left w:val="single" w:color="auto" w:sz="4" w:space="0"/>
              <w:bottom w:val="single" w:color="auto" w:sz="4" w:space="0"/>
              <w:right w:val="single" w:color="auto" w:sz="4" w:space="0"/>
            </w:tcBorders>
            <w:vAlign w:val="center"/>
          </w:tcPr>
          <w:p w14:paraId="14C7A99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2412" w:type="dxa"/>
            <w:tcBorders>
              <w:top w:val="single" w:color="auto" w:sz="4" w:space="0"/>
              <w:left w:val="single" w:color="auto" w:sz="4" w:space="0"/>
              <w:bottom w:val="single" w:color="auto" w:sz="4" w:space="0"/>
              <w:right w:val="single" w:color="auto" w:sz="4" w:space="0"/>
            </w:tcBorders>
            <w:vAlign w:val="center"/>
          </w:tcPr>
          <w:p w14:paraId="3CEF648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4" w:space="0"/>
              <w:left w:val="single" w:color="auto" w:sz="4" w:space="0"/>
              <w:bottom w:val="single" w:color="auto" w:sz="2" w:space="0"/>
              <w:right w:val="single" w:color="auto" w:sz="4" w:space="0"/>
            </w:tcBorders>
            <w:vAlign w:val="center"/>
          </w:tcPr>
          <w:p w14:paraId="7816819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2118" w:type="dxa"/>
            <w:tcBorders>
              <w:top w:val="single" w:color="auto" w:sz="2" w:space="0"/>
              <w:left w:val="single" w:color="auto" w:sz="4" w:space="0"/>
              <w:bottom w:val="single" w:color="auto" w:sz="2" w:space="0"/>
              <w:right w:val="single" w:color="auto" w:sz="4" w:space="0"/>
            </w:tcBorders>
            <w:vAlign w:val="center"/>
          </w:tcPr>
          <w:p w14:paraId="08D9E8A6">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B930D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4" w:space="0"/>
              <w:left w:val="single" w:color="auto" w:sz="4" w:space="0"/>
              <w:bottom w:val="single" w:color="auto" w:sz="4" w:space="0"/>
              <w:right w:val="single" w:color="auto" w:sz="4" w:space="0"/>
            </w:tcBorders>
            <w:vAlign w:val="center"/>
          </w:tcPr>
          <w:p w14:paraId="1E9A86D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528FD3F3">
            <w:pPr>
              <w:adjustRightInd w:val="0"/>
              <w:snapToGrid w:val="0"/>
              <w:spacing w:line="360" w:lineRule="auto"/>
              <w:ind w:firstLine="115" w:firstLineChars="4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2412" w:type="dxa"/>
            <w:vMerge w:val="restart"/>
            <w:tcBorders>
              <w:top w:val="single" w:color="auto" w:sz="4" w:space="0"/>
              <w:left w:val="single" w:color="auto" w:sz="4" w:space="0"/>
              <w:bottom w:val="single" w:color="auto" w:sz="4" w:space="0"/>
              <w:right w:val="single" w:color="auto" w:sz="4" w:space="0"/>
            </w:tcBorders>
            <w:vAlign w:val="center"/>
          </w:tcPr>
          <w:p w14:paraId="44A2A7C0">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4" w:space="0"/>
              <w:right w:val="single" w:color="auto" w:sz="4" w:space="0"/>
            </w:tcBorders>
            <w:vAlign w:val="center"/>
          </w:tcPr>
          <w:p w14:paraId="7D3BAD0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7DB8F52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2118" w:type="dxa"/>
            <w:tcBorders>
              <w:top w:val="single" w:color="auto" w:sz="2" w:space="0"/>
              <w:left w:val="single" w:color="auto" w:sz="4" w:space="0"/>
              <w:bottom w:val="single" w:color="auto" w:sz="2" w:space="0"/>
              <w:right w:val="single" w:color="auto" w:sz="4" w:space="0"/>
            </w:tcBorders>
            <w:vAlign w:val="center"/>
          </w:tcPr>
          <w:p w14:paraId="273175DC">
            <w:pPr>
              <w:adjustRightInd w:val="0"/>
              <w:snapToGrid w:val="0"/>
              <w:spacing w:line="360" w:lineRule="auto"/>
              <w:jc w:val="center"/>
              <w:rPr>
                <w:rFonts w:hint="eastAsia" w:ascii="宋体" w:hAnsi="宋体" w:eastAsia="宋体" w:cs="宋体"/>
                <w:color w:val="auto"/>
                <w:sz w:val="24"/>
                <w:szCs w:val="24"/>
                <w:highlight w:val="none"/>
              </w:rPr>
            </w:pPr>
          </w:p>
        </w:tc>
      </w:tr>
      <w:tr w14:paraId="1DC1CB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top w:val="single" w:color="auto" w:sz="4" w:space="0"/>
              <w:left w:val="single" w:color="auto" w:sz="4" w:space="0"/>
              <w:bottom w:val="single" w:color="auto" w:sz="4" w:space="0"/>
              <w:right w:val="single" w:color="auto" w:sz="4" w:space="0"/>
            </w:tcBorders>
            <w:vAlign w:val="center"/>
          </w:tcPr>
          <w:p w14:paraId="463224F5">
            <w:pPr>
              <w:rPr>
                <w:rFonts w:ascii="Times New Roman" w:hAnsi="Times New Roman" w:cs="Times New Roman"/>
                <w:color w:val="auto"/>
                <w:sz w:val="20"/>
                <w:highlight w:val="none"/>
              </w:rPr>
            </w:pPr>
          </w:p>
        </w:tc>
        <w:tc>
          <w:tcPr>
            <w:tcW w:w="2412" w:type="dxa"/>
            <w:vMerge w:val="continue"/>
            <w:tcBorders>
              <w:top w:val="single" w:color="auto" w:sz="4" w:space="0"/>
              <w:left w:val="single" w:color="auto" w:sz="4" w:space="0"/>
              <w:bottom w:val="single" w:color="auto" w:sz="4" w:space="0"/>
              <w:right w:val="single" w:color="auto" w:sz="4" w:space="0"/>
            </w:tcBorders>
            <w:vAlign w:val="center"/>
          </w:tcPr>
          <w:p w14:paraId="372F3073">
            <w:pPr>
              <w:rPr>
                <w:rFonts w:ascii="Times New Roman" w:hAnsi="Times New Roman" w:cs="Times New Roman"/>
                <w:color w:val="auto"/>
                <w:sz w:val="20"/>
                <w:highlight w:val="none"/>
              </w:rPr>
            </w:pPr>
          </w:p>
        </w:tc>
        <w:tc>
          <w:tcPr>
            <w:tcW w:w="1977" w:type="dxa"/>
            <w:tcBorders>
              <w:top w:val="single" w:color="auto" w:sz="4" w:space="0"/>
              <w:left w:val="single" w:color="auto" w:sz="4" w:space="0"/>
              <w:bottom w:val="single" w:color="auto" w:sz="2" w:space="0"/>
              <w:right w:val="single" w:color="auto" w:sz="4" w:space="0"/>
            </w:tcBorders>
            <w:vAlign w:val="center"/>
          </w:tcPr>
          <w:p w14:paraId="7440AB0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拥有者性别</w:t>
            </w:r>
          </w:p>
        </w:tc>
        <w:tc>
          <w:tcPr>
            <w:tcW w:w="2118" w:type="dxa"/>
            <w:tcBorders>
              <w:top w:val="single" w:color="auto" w:sz="2" w:space="0"/>
              <w:left w:val="single" w:color="auto" w:sz="4" w:space="0"/>
              <w:bottom w:val="single" w:color="auto" w:sz="2" w:space="0"/>
              <w:right w:val="single" w:color="auto" w:sz="4" w:space="0"/>
            </w:tcBorders>
            <w:vAlign w:val="center"/>
          </w:tcPr>
          <w:p w14:paraId="61E0848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20602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4" w:space="0"/>
              <w:left w:val="single" w:color="auto" w:sz="4" w:space="0"/>
              <w:bottom w:val="single" w:color="auto" w:sz="2" w:space="0"/>
              <w:right w:val="single" w:color="auto" w:sz="4" w:space="0"/>
            </w:tcBorders>
            <w:vAlign w:val="center"/>
          </w:tcPr>
          <w:p w14:paraId="1A31EEC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2412" w:type="dxa"/>
            <w:tcBorders>
              <w:top w:val="single" w:color="auto" w:sz="4" w:space="0"/>
              <w:left w:val="single" w:color="auto" w:sz="4" w:space="0"/>
              <w:bottom w:val="single" w:color="auto" w:sz="2" w:space="0"/>
              <w:right w:val="single" w:color="auto" w:sz="4" w:space="0"/>
            </w:tcBorders>
            <w:vAlign w:val="center"/>
          </w:tcPr>
          <w:p w14:paraId="2000B83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8B8008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2118" w:type="dxa"/>
            <w:tcBorders>
              <w:top w:val="single" w:color="auto" w:sz="2" w:space="0"/>
              <w:left w:val="single" w:color="auto" w:sz="4" w:space="0"/>
              <w:bottom w:val="single" w:color="auto" w:sz="2" w:space="0"/>
              <w:right w:val="single" w:color="auto" w:sz="4" w:space="0"/>
            </w:tcBorders>
            <w:vAlign w:val="center"/>
          </w:tcPr>
          <w:p w14:paraId="21FCE2E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B4EB2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298E3C5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2412" w:type="dxa"/>
            <w:tcBorders>
              <w:top w:val="single" w:color="auto" w:sz="2" w:space="0"/>
              <w:left w:val="single" w:color="auto" w:sz="4" w:space="0"/>
              <w:bottom w:val="single" w:color="auto" w:sz="2" w:space="0"/>
              <w:right w:val="single" w:color="auto" w:sz="4" w:space="0"/>
            </w:tcBorders>
            <w:vAlign w:val="center"/>
          </w:tcPr>
          <w:p w14:paraId="0D598659">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1DE2B4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2118" w:type="dxa"/>
            <w:tcBorders>
              <w:top w:val="single" w:color="auto" w:sz="2" w:space="0"/>
              <w:left w:val="single" w:color="auto" w:sz="4" w:space="0"/>
              <w:bottom w:val="single" w:color="auto" w:sz="2" w:space="0"/>
              <w:right w:val="single" w:color="auto" w:sz="4" w:space="0"/>
            </w:tcBorders>
            <w:vAlign w:val="center"/>
          </w:tcPr>
          <w:p w14:paraId="243ABD7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4D2E86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518F098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2412" w:type="dxa"/>
            <w:tcBorders>
              <w:top w:val="single" w:color="auto" w:sz="2" w:space="0"/>
              <w:left w:val="single" w:color="auto" w:sz="4" w:space="0"/>
              <w:bottom w:val="single" w:color="auto" w:sz="2" w:space="0"/>
              <w:right w:val="single" w:color="auto" w:sz="4" w:space="0"/>
            </w:tcBorders>
            <w:vAlign w:val="center"/>
          </w:tcPr>
          <w:p w14:paraId="6540E9A1">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13B133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2118" w:type="dxa"/>
            <w:tcBorders>
              <w:top w:val="single" w:color="auto" w:sz="2" w:space="0"/>
              <w:left w:val="single" w:color="auto" w:sz="4" w:space="0"/>
              <w:bottom w:val="single" w:color="auto" w:sz="2" w:space="0"/>
              <w:right w:val="single" w:color="auto" w:sz="4" w:space="0"/>
            </w:tcBorders>
            <w:vAlign w:val="center"/>
          </w:tcPr>
          <w:p w14:paraId="4732BCE0">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24984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DA1508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2412" w:type="dxa"/>
            <w:tcBorders>
              <w:top w:val="single" w:color="auto" w:sz="2" w:space="0"/>
              <w:left w:val="single" w:color="auto" w:sz="4" w:space="0"/>
              <w:bottom w:val="single" w:color="auto" w:sz="2" w:space="0"/>
              <w:right w:val="single" w:color="auto" w:sz="4" w:space="0"/>
            </w:tcBorders>
            <w:vAlign w:val="center"/>
          </w:tcPr>
          <w:p w14:paraId="0E83A368">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9D52B7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2118" w:type="dxa"/>
            <w:tcBorders>
              <w:top w:val="single" w:color="auto" w:sz="2" w:space="0"/>
              <w:left w:val="single" w:color="auto" w:sz="4" w:space="0"/>
              <w:bottom w:val="single" w:color="auto" w:sz="2" w:space="0"/>
              <w:right w:val="single" w:color="auto" w:sz="4" w:space="0"/>
            </w:tcBorders>
            <w:vAlign w:val="center"/>
          </w:tcPr>
          <w:p w14:paraId="33E7414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D3A4F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02CC483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2412" w:type="dxa"/>
            <w:tcBorders>
              <w:top w:val="single" w:color="auto" w:sz="2" w:space="0"/>
              <w:left w:val="single" w:color="auto" w:sz="4" w:space="0"/>
              <w:bottom w:val="single" w:color="auto" w:sz="2" w:space="0"/>
              <w:right w:val="single" w:color="auto" w:sz="4" w:space="0"/>
            </w:tcBorders>
            <w:vAlign w:val="center"/>
          </w:tcPr>
          <w:p w14:paraId="3BAA70A1">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29A6949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2118" w:type="dxa"/>
            <w:tcBorders>
              <w:top w:val="single" w:color="auto" w:sz="2" w:space="0"/>
              <w:left w:val="single" w:color="auto" w:sz="4" w:space="0"/>
              <w:bottom w:val="single" w:color="auto" w:sz="2" w:space="0"/>
              <w:right w:val="single" w:color="auto" w:sz="4" w:space="0"/>
            </w:tcBorders>
            <w:vAlign w:val="center"/>
          </w:tcPr>
          <w:p w14:paraId="6A8E0EC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B3E62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65B6EBC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2412" w:type="dxa"/>
            <w:tcBorders>
              <w:top w:val="single" w:color="auto" w:sz="2" w:space="0"/>
              <w:left w:val="single" w:color="auto" w:sz="4" w:space="0"/>
              <w:bottom w:val="single" w:color="auto" w:sz="2" w:space="0"/>
              <w:right w:val="single" w:color="auto" w:sz="4" w:space="0"/>
            </w:tcBorders>
            <w:vAlign w:val="center"/>
          </w:tcPr>
          <w:p w14:paraId="6F018CE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02EFAD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2118" w:type="dxa"/>
            <w:tcBorders>
              <w:top w:val="single" w:color="auto" w:sz="2" w:space="0"/>
              <w:left w:val="single" w:color="auto" w:sz="4" w:space="0"/>
              <w:bottom w:val="single" w:color="auto" w:sz="2" w:space="0"/>
              <w:right w:val="single" w:color="auto" w:sz="4" w:space="0"/>
            </w:tcBorders>
            <w:vAlign w:val="center"/>
          </w:tcPr>
          <w:p w14:paraId="4165F304">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078DDA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40C67D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2412" w:type="dxa"/>
            <w:tcBorders>
              <w:top w:val="single" w:color="auto" w:sz="2" w:space="0"/>
              <w:left w:val="single" w:color="auto" w:sz="4" w:space="0"/>
              <w:bottom w:val="single" w:color="auto" w:sz="2" w:space="0"/>
              <w:right w:val="single" w:color="auto" w:sz="4" w:space="0"/>
            </w:tcBorders>
            <w:vAlign w:val="center"/>
          </w:tcPr>
          <w:p w14:paraId="02527716">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5978C37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2118" w:type="dxa"/>
            <w:tcBorders>
              <w:top w:val="single" w:color="auto" w:sz="2" w:space="0"/>
              <w:left w:val="single" w:color="auto" w:sz="4" w:space="0"/>
              <w:bottom w:val="single" w:color="auto" w:sz="2" w:space="0"/>
              <w:right w:val="single" w:color="auto" w:sz="4" w:space="0"/>
            </w:tcBorders>
            <w:vAlign w:val="center"/>
          </w:tcPr>
          <w:p w14:paraId="2777533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2FE5A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5CE2F706">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2" w:space="0"/>
              <w:right w:val="single" w:color="auto" w:sz="4" w:space="0"/>
            </w:tcBorders>
            <w:vAlign w:val="center"/>
          </w:tcPr>
          <w:p w14:paraId="4F204A7C">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5C8C728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开户名称</w:t>
            </w:r>
          </w:p>
        </w:tc>
        <w:tc>
          <w:tcPr>
            <w:tcW w:w="2118" w:type="dxa"/>
            <w:tcBorders>
              <w:top w:val="single" w:color="auto" w:sz="2" w:space="0"/>
              <w:left w:val="single" w:color="auto" w:sz="4" w:space="0"/>
              <w:bottom w:val="single" w:color="auto" w:sz="2" w:space="0"/>
              <w:right w:val="single" w:color="auto" w:sz="4" w:space="0"/>
            </w:tcBorders>
            <w:vAlign w:val="center"/>
          </w:tcPr>
          <w:p w14:paraId="39D062AB">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36D343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922FDA2">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2" w:space="0"/>
              <w:right w:val="single" w:color="auto" w:sz="4" w:space="0"/>
            </w:tcBorders>
            <w:vAlign w:val="center"/>
          </w:tcPr>
          <w:p w14:paraId="1982E61E">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9C2939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w:t>
            </w:r>
          </w:p>
        </w:tc>
        <w:tc>
          <w:tcPr>
            <w:tcW w:w="2118" w:type="dxa"/>
            <w:tcBorders>
              <w:top w:val="single" w:color="auto" w:sz="2" w:space="0"/>
              <w:left w:val="single" w:color="auto" w:sz="4" w:space="0"/>
              <w:bottom w:val="single" w:color="auto" w:sz="2" w:space="0"/>
              <w:right w:val="single" w:color="auto" w:sz="4" w:space="0"/>
            </w:tcBorders>
            <w:vAlign w:val="center"/>
          </w:tcPr>
          <w:p w14:paraId="1060B1BC">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1062C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45B34B1A">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4" w:space="0"/>
              <w:right w:val="single" w:color="auto" w:sz="4" w:space="0"/>
            </w:tcBorders>
            <w:vAlign w:val="center"/>
          </w:tcPr>
          <w:p w14:paraId="01944F45">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4" w:space="0"/>
              <w:right w:val="single" w:color="auto" w:sz="4" w:space="0"/>
            </w:tcBorders>
            <w:vAlign w:val="center"/>
          </w:tcPr>
          <w:p w14:paraId="5E29813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银行账号</w:t>
            </w:r>
          </w:p>
        </w:tc>
        <w:tc>
          <w:tcPr>
            <w:tcW w:w="2118" w:type="dxa"/>
            <w:tcBorders>
              <w:top w:val="single" w:color="auto" w:sz="2" w:space="0"/>
              <w:left w:val="single" w:color="auto" w:sz="4" w:space="0"/>
              <w:bottom w:val="single" w:color="auto" w:sz="2" w:space="0"/>
              <w:right w:val="single" w:color="auto" w:sz="4" w:space="0"/>
            </w:tcBorders>
            <w:vAlign w:val="center"/>
          </w:tcPr>
          <w:p w14:paraId="2A7AB3C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11C8E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left w:val="single" w:color="auto" w:sz="4" w:space="0"/>
              <w:bottom w:val="single" w:color="auto" w:sz="4" w:space="0"/>
              <w:right w:val="single" w:color="auto" w:sz="4" w:space="0"/>
            </w:tcBorders>
            <w:vAlign w:val="center"/>
          </w:tcPr>
          <w:p w14:paraId="788BDFE8">
            <w:pPr>
              <w:pStyle w:val="24"/>
              <w:adjustRightInd w:val="0"/>
              <w:snapToGrid w:val="0"/>
              <w:spacing w:before="156" w:beforeLines="50" w:beforeAutospacing="0" w:after="0" w:afterAutospacing="0" w:line="360" w:lineRule="auto"/>
              <w:rPr>
                <w:rFonts w:hint="eastAsia" w:ascii="宋体" w:hAnsi="宋体" w:eastAsia="宋体" w:cs="宋体"/>
                <w:color w:val="auto"/>
                <w:spacing w:val="20"/>
                <w:kern w:val="2"/>
                <w:szCs w:val="24"/>
                <w:highlight w:val="none"/>
              </w:rPr>
            </w:pPr>
            <w:r>
              <w:rPr>
                <w:rFonts w:hint="eastAsia" w:ascii="宋体" w:hAnsi="宋体" w:eastAsia="宋体" w:cs="宋体"/>
                <w:color w:val="auto"/>
                <w:kern w:val="2"/>
                <w:szCs w:val="24"/>
                <w:highlight w:val="none"/>
                <w:lang w:bidi="ar"/>
              </w:rPr>
              <w:t>注：涉及联合体或其他合同主体的信息应按上表格式加列。</w:t>
            </w:r>
          </w:p>
        </w:tc>
      </w:tr>
    </w:tbl>
    <w:p w14:paraId="613AA447">
      <w:pPr>
        <w:spacing w:line="360" w:lineRule="auto"/>
        <w:jc w:val="center"/>
        <w:outlineLvl w:val="1"/>
        <w:rPr>
          <w:rFonts w:hint="eastAsia" w:ascii="宋体" w:hAnsi="宋体" w:eastAsia="宋体" w:cs="宋体"/>
          <w:b/>
          <w:color w:val="auto"/>
          <w:sz w:val="24"/>
          <w:szCs w:val="24"/>
          <w:highlight w:val="none"/>
          <w:lang w:bidi="ar"/>
        </w:rPr>
      </w:pPr>
      <w:r>
        <w:rPr>
          <w:rFonts w:hint="eastAsia"/>
          <w:color w:val="auto"/>
          <w:highlight w:val="none"/>
          <w:u w:val="single"/>
        </w:rPr>
        <w:br w:type="page"/>
      </w:r>
      <w:r>
        <w:rPr>
          <w:rFonts w:hint="eastAsia" w:ascii="宋体" w:hAnsi="宋体" w:eastAsia="宋体" w:cs="宋体"/>
          <w:b/>
          <w:color w:val="auto"/>
          <w:sz w:val="24"/>
          <w:szCs w:val="24"/>
          <w:highlight w:val="none"/>
          <w:lang w:bidi="ar"/>
        </w:rPr>
        <w:t>第二节 政府采购合同通用条款</w:t>
      </w:r>
    </w:p>
    <w:p w14:paraId="4C1D4BCB">
      <w:pPr>
        <w:tabs>
          <w:tab w:val="left" w:pos="8820"/>
          <w:tab w:val="left" w:pos="9345"/>
          <w:tab w:val="left" w:pos="9765"/>
        </w:tabs>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 xml:space="preserve">1. </w:t>
      </w:r>
      <w:r>
        <w:rPr>
          <w:rFonts w:hint="eastAsia" w:ascii="宋体" w:hAnsi="宋体" w:eastAsia="宋体" w:cs="宋体"/>
          <w:b/>
          <w:bCs/>
          <w:color w:val="auto"/>
          <w:sz w:val="24"/>
          <w:szCs w:val="24"/>
          <w:highlight w:val="none"/>
          <w:lang w:bidi="ar"/>
        </w:rPr>
        <w:t>定义</w:t>
      </w:r>
    </w:p>
    <w:p w14:paraId="5AD20D3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1.1合同当事人</w:t>
      </w:r>
    </w:p>
    <w:p w14:paraId="5EC6CB4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（1）采购人（以下称甲方）是指使用财政性资金，通过政府采购方式向供应商购买货物及其相关服务的国家机关、事业单位、团体组织。</w:t>
      </w:r>
    </w:p>
    <w:p w14:paraId="4AAC61A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（2）供应商（以下称乙方）是指参加政府采购活动并且中标（成交），向采购人提供合同约定的货物及其相关服务的法人、非法人组织或者自然人。</w:t>
      </w:r>
    </w:p>
    <w:p w14:paraId="54F4787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（3）其他合同主体是指除采购人和供应商以外，</w:t>
      </w:r>
      <w:r>
        <w:rPr>
          <w:rFonts w:hint="eastAsia" w:ascii="宋体" w:hAnsi="宋体" w:eastAsia="宋体" w:cs="宋体"/>
          <w:bCs/>
          <w:color w:val="auto"/>
          <w:sz w:val="24"/>
          <w:szCs w:val="24"/>
          <w:highlight w:val="none"/>
          <w:lang w:bidi="ar"/>
        </w:rPr>
        <w:t>依法参与合同缔结或履行，享有权利、承担义务的合同当事人</w:t>
      </w:r>
      <w:r>
        <w:rPr>
          <w:rFonts w:hint="eastAsia" w:ascii="宋体" w:hAnsi="宋体" w:eastAsia="宋体" w:cs="宋体"/>
          <w:color w:val="auto"/>
          <w:sz w:val="24"/>
          <w:szCs w:val="24"/>
          <w:highlight w:val="none"/>
          <w:lang w:bidi="ar"/>
        </w:rPr>
        <w:t>。</w:t>
      </w:r>
    </w:p>
    <w:p w14:paraId="57427D1F">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1.2本合同下列术语应解释为：</w:t>
      </w:r>
    </w:p>
    <w:p w14:paraId="19E98F2B">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（1）“合同”系指</w:t>
      </w:r>
      <w:r>
        <w:rPr>
          <w:rFonts w:hint="eastAsia" w:ascii="宋体" w:hAnsi="宋体" w:eastAsia="宋体" w:cs="宋体"/>
          <w:bCs/>
          <w:color w:val="auto"/>
          <w:sz w:val="24"/>
          <w:szCs w:val="24"/>
          <w:highlight w:val="none"/>
          <w:lang w:bidi="ar"/>
        </w:rPr>
        <w:t>合同当事人意思表示达成一致的任何协议，包括签署的</w:t>
      </w:r>
      <w:r>
        <w:rPr>
          <w:rFonts w:hint="eastAsia" w:ascii="宋体" w:hAnsi="宋体" w:eastAsia="宋体" w:cs="宋体"/>
          <w:color w:val="auto"/>
          <w:sz w:val="24"/>
          <w:szCs w:val="24"/>
          <w:highlight w:val="none"/>
          <w:lang w:bidi="ar"/>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8AC39FA">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（2）“合同价款”系指根据本合同规定乙方在全面履行合同义务后甲方应支付给乙方的价款。</w:t>
      </w:r>
    </w:p>
    <w:p w14:paraId="73EBF5FE">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（3）“货物”系指乙方根据本合同规定须向甲方提供的各种形态和种类的物品，包括原材料、设备、产品（包括软件）及相关的其备品备件、工具、手册及其他技术资料和材料等。</w:t>
      </w:r>
    </w:p>
    <w:p w14:paraId="105E3190">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03DE27C1">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（5）“分包”系指中标（成交）供应商按采购文件、投标（响应）文件的规定，根据分包意向协议，将中标（成交）项目中的部分履约内容，分给具有相应资质条件的供应商履行合同的行为。</w:t>
      </w:r>
    </w:p>
    <w:p w14:paraId="229AC2E7">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0E5B68DC">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（7）其他术语解释，见【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646E8064">
      <w:pPr>
        <w:numPr>
          <w:ilvl w:val="0"/>
          <w:numId w:val="6"/>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合同标的及金额</w:t>
      </w:r>
    </w:p>
    <w:p w14:paraId="344454DF">
      <w:pPr>
        <w:autoSpaceDE w:val="0"/>
        <w:autoSpaceDN w:val="0"/>
        <w:adjustRightInd w:val="0"/>
        <w:snapToGrid w:val="0"/>
        <w:spacing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bidi="ar"/>
        </w:rPr>
        <w:t>2.1 合同标的及金额应与中标（成交）结果一致。乙方为履行本合同而发生的所有费用均应包含在合同价款中，甲方不再另行支付其他任何费用。</w:t>
      </w:r>
    </w:p>
    <w:p w14:paraId="6516D62C">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3. 履行合同的时间、地点和方式</w:t>
      </w:r>
    </w:p>
    <w:p w14:paraId="04AE74B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3.1 乙方应当在约定的时间、地点，按照约定方式履行合同。</w:t>
      </w:r>
    </w:p>
    <w:p w14:paraId="5743F8A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4. 甲方的权利和义务</w:t>
      </w:r>
    </w:p>
    <w:p w14:paraId="28BCE1D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4.1 签署合同后，甲方应确定项目负责人（或项目联系人），负责与本合同有关的事务。甲方有权对乙方的履约行为进行检查，并及时确认乙方提交的事项。甲方应当配合乙方完成相关项目实施工作。</w:t>
      </w:r>
    </w:p>
    <w:p w14:paraId="7AF9649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4.2 甲方有权要求乙方按时提交各阶段有关安排计划，并有权定期核对乙方提供货物数量、规格、质量等内容。甲方有权督促乙方工作并要求乙方更换不符合要求的货物。</w:t>
      </w:r>
    </w:p>
    <w:p w14:paraId="31535C6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4.3 甲方有权要求乙方对缺陷部分予以修复，并按合同约定享有货物保修及其他合同约定的权利。</w:t>
      </w:r>
    </w:p>
    <w:p w14:paraId="34BBFE4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4.4 甲方应当按照合同约定及时对交付的货物进行验收，未在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约定的期限内对乙方履约提出任何异议或者向乙方作出任何说明的，视为验收通过。</w:t>
      </w:r>
    </w:p>
    <w:p w14:paraId="51119C3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4.5 甲方应当根据合同约定及时向乙方支付合同价款，不得以内部人员变更、履行内部付款流程等为由，拒绝或迟延支付。</w:t>
      </w:r>
    </w:p>
    <w:p w14:paraId="1EEA701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4.6 国家法律法规规定及</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约定应由甲方承担的其他义务和责任。</w:t>
      </w:r>
    </w:p>
    <w:p w14:paraId="618C1E16">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5. 乙方的权利和义务</w:t>
      </w:r>
    </w:p>
    <w:p w14:paraId="674DC6F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5.1 签署合同后，乙方应确定项目负责人（或项目联系人），负责与本合同有关的事务。</w:t>
      </w:r>
    </w:p>
    <w:p w14:paraId="26AF5A8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03DE505">
      <w:pPr>
        <w:pStyle w:val="24"/>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5.3乙方有权根据合同约定向甲方收取合同价款。</w:t>
      </w:r>
    </w:p>
    <w:p w14:paraId="6E7A43F0">
      <w:pPr>
        <w:pStyle w:val="24"/>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5.4国家法律法规规定及</w:t>
      </w:r>
      <w:r>
        <w:rPr>
          <w:rFonts w:hint="eastAsia" w:ascii="宋体" w:hAnsi="宋体" w:eastAsia="宋体" w:cs="宋体"/>
          <w:b/>
          <w:bCs/>
          <w:color w:val="auto"/>
          <w:kern w:val="2"/>
          <w:szCs w:val="24"/>
          <w:highlight w:val="none"/>
          <w:lang w:bidi="ar"/>
        </w:rPr>
        <w:t>【政府采购合同专用条款】</w:t>
      </w:r>
      <w:r>
        <w:rPr>
          <w:rFonts w:hint="eastAsia" w:ascii="宋体" w:hAnsi="宋体" w:eastAsia="宋体" w:cs="宋体"/>
          <w:color w:val="auto"/>
          <w:kern w:val="2"/>
          <w:szCs w:val="24"/>
          <w:highlight w:val="none"/>
          <w:lang w:bidi="ar"/>
        </w:rPr>
        <w:t>约定应由乙方承担的其他义务和责任。</w:t>
      </w:r>
    </w:p>
    <w:p w14:paraId="636D2384">
      <w:pPr>
        <w:numPr>
          <w:ilvl w:val="0"/>
          <w:numId w:val="7"/>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合同履行</w:t>
      </w:r>
    </w:p>
    <w:p w14:paraId="6F099D0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6.1 甲乙双方应当按照</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约定顺序履行合同义务；如果没有先后顺序的，应当同时履行。</w:t>
      </w:r>
    </w:p>
    <w:p w14:paraId="07C1B1E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6.2 甲乙双方按照合同约定顺序履行合同义务时，应当先履行一方未履行的，后履行一方有权拒绝其履行请求。先履行一方履行不符合约定的，后履行一方有权拒绝其相应的履行请求。</w:t>
      </w:r>
    </w:p>
    <w:p w14:paraId="22096126">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7. 货物包装、运输、保险和交付要求</w:t>
      </w:r>
    </w:p>
    <w:p w14:paraId="4C0593E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7.1 本合同</w:t>
      </w:r>
      <w:r>
        <w:rPr>
          <w:rFonts w:hint="eastAsia" w:ascii="宋体" w:hAnsi="宋体" w:eastAsia="宋体" w:cs="宋体"/>
          <w:bCs/>
          <w:color w:val="auto"/>
          <w:sz w:val="24"/>
          <w:szCs w:val="24"/>
          <w:highlight w:val="none"/>
          <w:lang w:bidi="ar"/>
        </w:rPr>
        <w:t>涉及商品包装、快递包装的，</w:t>
      </w:r>
      <w:r>
        <w:rPr>
          <w:rFonts w:hint="eastAsia" w:ascii="宋体" w:hAnsi="宋体" w:eastAsia="宋体" w:cs="宋体"/>
          <w:color w:val="auto"/>
          <w:sz w:val="24"/>
          <w:szCs w:val="24"/>
          <w:highlight w:val="none"/>
          <w:lang w:bidi="ar"/>
        </w:rPr>
        <w:t>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包装应适应远距离运输、防潮、防震、防锈和防野蛮装卸等要求，确保货物安全无损地运抵</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约定的</w:t>
      </w:r>
      <w:r>
        <w:rPr>
          <w:rFonts w:hint="eastAsia" w:ascii="宋体" w:hAnsi="宋体" w:eastAsia="宋体" w:cs="宋体"/>
          <w:color w:val="auto"/>
          <w:sz w:val="24"/>
          <w:szCs w:val="24"/>
          <w:highlight w:val="none"/>
          <w:lang w:bidi="ar"/>
        </w:rPr>
        <w:t>指定现场。</w:t>
      </w:r>
    </w:p>
    <w:p w14:paraId="392CAAD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7.2 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乙方负责办理将货物运抵本合同规定的交货地点，并装卸、交付至甲方的一切运输事项，相关费用应包含在合同价款中。</w:t>
      </w:r>
    </w:p>
    <w:p w14:paraId="1E16123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7.3 货物保险要求按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规定执行</w:t>
      </w:r>
      <w:r>
        <w:rPr>
          <w:rFonts w:hint="eastAsia" w:ascii="宋体" w:hAnsi="宋体" w:eastAsia="宋体" w:cs="宋体"/>
          <w:color w:val="auto"/>
          <w:sz w:val="24"/>
          <w:szCs w:val="24"/>
          <w:highlight w:val="none"/>
          <w:lang w:bidi="ar"/>
        </w:rPr>
        <w:t>。</w:t>
      </w:r>
    </w:p>
    <w:p w14:paraId="6B1FC73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BD58F4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7.5 乙方在运输到达之前应提前通知甲方，并提示货物运输装卸的注意事项，甲方配合乙方做好货物的接收工作。</w:t>
      </w:r>
    </w:p>
    <w:p w14:paraId="154BF8CB">
      <w:pPr>
        <w:pStyle w:val="24"/>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kern w:val="2"/>
          <w:szCs w:val="24"/>
          <w:highlight w:val="none"/>
          <w:lang w:bidi="ar"/>
        </w:rPr>
        <w:t>7.6 如因包装、运输问题导致货物损毁、丢失或者品质下降，甲方有权要求降价、换货、拒收部分或整批货物，由此产生的费用和损失，均由乙方承担。</w:t>
      </w:r>
    </w:p>
    <w:p w14:paraId="3C4B3DAD">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8. 质量标准和保证</w:t>
      </w:r>
    </w:p>
    <w:p w14:paraId="2BB24901">
      <w:pPr>
        <w:pStyle w:val="24"/>
        <w:adjustRightInd w:val="0"/>
        <w:snapToGrid w:val="0"/>
        <w:spacing w:before="0" w:beforeAutospacing="0" w:after="0" w:afterAutospacing="0" w:line="360" w:lineRule="auto"/>
        <w:ind w:firstLine="480" w:firstLineChars="200"/>
        <w:rPr>
          <w:rFonts w:hint="eastAsia" w:ascii="宋体" w:hAnsi="宋体" w:eastAsia="宋体" w:cs="宋体"/>
          <w:b/>
          <w:color w:val="auto"/>
          <w:kern w:val="2"/>
          <w:szCs w:val="24"/>
          <w:highlight w:val="none"/>
        </w:rPr>
      </w:pPr>
      <w:r>
        <w:rPr>
          <w:rFonts w:hint="eastAsia" w:ascii="宋体" w:hAnsi="宋体" w:eastAsia="宋体" w:cs="宋体"/>
          <w:color w:val="auto"/>
          <w:kern w:val="2"/>
          <w:szCs w:val="24"/>
          <w:highlight w:val="none"/>
          <w:lang w:bidi="ar"/>
        </w:rPr>
        <w:t>8.1 质量标准</w:t>
      </w:r>
    </w:p>
    <w:p w14:paraId="641ED09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D6CDBA6">
      <w:pPr>
        <w:pStyle w:val="24"/>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（2）采用中华人民共和国法定计量单位。</w:t>
      </w:r>
    </w:p>
    <w:p w14:paraId="5266077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（3）乙方所提供的货物应符合国家有关安全、环保、卫生的规定。</w:t>
      </w:r>
    </w:p>
    <w:p w14:paraId="05224C4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（4）乙方应向甲方提交所提供货物的技术文件，包括相应的中文技术文件，如：产品目录、图纸、操作手册、使用说明、维护手册或服务指南等。上述文件应包装好随货物一同发运。</w:t>
      </w:r>
    </w:p>
    <w:p w14:paraId="3417766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8.2 保证</w:t>
      </w:r>
    </w:p>
    <w:p w14:paraId="2004537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规定或乙方书面承诺（两者以较长的为准）的质量保证期内，本保证保持有效。</w:t>
      </w:r>
    </w:p>
    <w:p w14:paraId="4C3F7AF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（2）在质量保证期内所发现的缺陷，甲方应尽快以书面形式通知乙方。</w:t>
      </w:r>
    </w:p>
    <w:p w14:paraId="51D99FC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（3）乙方收到通知后，应在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规定的响应时间内以合理的速度免费维修或更换有缺陷的货物或部件。</w:t>
      </w:r>
    </w:p>
    <w:p w14:paraId="2583B49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（4）在质量保证期内，如果货物的质量或规格与合同不符，或证实货物是有缺陷的，包括潜在的缺陷或使用不符合要求的材料等，甲方可以根据本合同第15.1条规定以书面形式追究乙方的违约责任。</w:t>
      </w:r>
    </w:p>
    <w:p w14:paraId="00B928F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（5）乙方在约定的时间内未能弥补缺陷，甲方可采取必要的补救措施，但其风险和费用将由乙方承担，甲方根据合同约定对乙方行使的其他权利不受影响。</w:t>
      </w:r>
    </w:p>
    <w:p w14:paraId="4CC1AECF">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9. 权利瑕疵担保</w:t>
      </w:r>
    </w:p>
    <w:p w14:paraId="50D1AB9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9.1 乙方保证对其出售的货物享有合法的权利。</w:t>
      </w:r>
    </w:p>
    <w:p w14:paraId="4A4A4BB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9.2 乙方保证在交付的货物上不存在抵押权等担保物权。</w:t>
      </w:r>
    </w:p>
    <w:p w14:paraId="10DFC17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9.3 如甲方使用上述货物构成对第三人侵权的，则由乙方承担全部责任。</w:t>
      </w:r>
    </w:p>
    <w:p w14:paraId="0EB5938C">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10. 知识产权保护</w:t>
      </w:r>
    </w:p>
    <w:p w14:paraId="4632959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63AF2F2C">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11. 保密义务</w:t>
      </w:r>
    </w:p>
    <w:p w14:paraId="1734B7B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2C276AE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12. 合同价款支付</w:t>
      </w:r>
    </w:p>
    <w:p w14:paraId="388617F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12.1 合同价款支付按照国库集中支付制度及财政管理相关规定执行。</w:t>
      </w:r>
    </w:p>
    <w:p w14:paraId="7FD5CE9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039F9F46">
      <w:pPr>
        <w:pStyle w:val="24"/>
        <w:spacing w:before="0" w:after="0" w:afterAutospacing="0" w:line="360" w:lineRule="auto"/>
        <w:jc w:val="both"/>
        <w:rPr>
          <w:rFonts w:hint="eastAsia" w:ascii="宋体" w:hAnsi="宋体" w:eastAsia="宋体" w:cs="宋体"/>
          <w:b/>
          <w:bCs/>
          <w:color w:val="auto"/>
          <w:kern w:val="2"/>
          <w:szCs w:val="24"/>
          <w:highlight w:val="none"/>
        </w:rPr>
      </w:pPr>
      <w:r>
        <w:rPr>
          <w:rFonts w:hint="eastAsia" w:ascii="宋体" w:hAnsi="宋体" w:eastAsia="宋体" w:cs="宋体"/>
          <w:b/>
          <w:bCs/>
          <w:color w:val="auto"/>
          <w:kern w:val="2"/>
          <w:szCs w:val="24"/>
          <w:highlight w:val="none"/>
          <w:lang w:bidi="ar"/>
        </w:rPr>
        <w:t>13. 履约保证金</w:t>
      </w:r>
    </w:p>
    <w:p w14:paraId="2ECAADA0">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13.1 乙方应当以支票、汇票、本票或者金融机构、担保机构出具的保函等非现金形式提交。</w:t>
      </w:r>
    </w:p>
    <w:p w14:paraId="53C8859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13.2 如果乙方出现</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约定情形的，履约保证金不予退还；如果乙方未能按合同约定全面履行义务，甲方有权从履约保证金中取得补偿或赔偿，且不影响甲方要求乙方承担合同约定的超过履约保证金的违约责任的权利。</w:t>
      </w:r>
    </w:p>
    <w:p w14:paraId="5653ED5C">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13.3 甲方在项目通过验收后按照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规定的时间内将履约保证金退还乙方；逾期退还的，乙方可要求甲方支付违约金，违约金按照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规定支付。</w:t>
      </w:r>
    </w:p>
    <w:p w14:paraId="6A45F8CE">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bidi="ar"/>
        </w:rPr>
        <w:t xml:space="preserve">14. </w:t>
      </w:r>
      <w:r>
        <w:rPr>
          <w:rFonts w:hint="eastAsia" w:ascii="宋体" w:hAnsi="宋体" w:eastAsia="宋体" w:cs="宋体"/>
          <w:b/>
          <w:color w:val="auto"/>
          <w:sz w:val="24"/>
          <w:szCs w:val="24"/>
          <w:highlight w:val="none"/>
          <w:lang w:bidi="ar"/>
        </w:rPr>
        <w:t>售后服务</w:t>
      </w:r>
    </w:p>
    <w:p w14:paraId="17471C3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14.1 除项目不涉及或采购活动中明确约定无须承担外，乙方还应提供下列服务：</w:t>
      </w:r>
    </w:p>
    <w:p w14:paraId="0527121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（1）货物的现场移动、安装、调试、启动监督及技术支持；</w:t>
      </w:r>
    </w:p>
    <w:p w14:paraId="086C6A3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（2）提供货物组装和维修所需的专用工具和辅助材料；</w:t>
      </w:r>
    </w:p>
    <w:p w14:paraId="44EB866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约定的期限内对所有的货物实施运行监督、维修，但前提条件是该服务并不能免除乙方在质量保证期内所承担的义务；</w:t>
      </w:r>
    </w:p>
    <w:p w14:paraId="2D81219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（4）在制造商所在地或指定现场就货物的安装、启动、运营、维护、废弃处置等对甲方操作人员进行培训；</w:t>
      </w:r>
    </w:p>
    <w:p w14:paraId="67EBA9CB">
      <w:pPr>
        <w:pStyle w:val="24"/>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（5）依照法律、行政法规的规定或者按照</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约定，货物在有效使用年限届满后应予回收的，乙方负有自行或者委托第三人对货物予以回收的义务；</w:t>
      </w:r>
    </w:p>
    <w:p w14:paraId="6B28EA3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规定由乙方提供的其他服务。</w:t>
      </w:r>
    </w:p>
    <w:p w14:paraId="16B8458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14.2 乙方提供的售后服务的费用已包含在合同价款中，甲方不再另行支付。</w:t>
      </w:r>
    </w:p>
    <w:p w14:paraId="409A3E69">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15. 违约责任</w:t>
      </w:r>
    </w:p>
    <w:p w14:paraId="7584BD73">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15.1质量瑕疵的违约责任</w:t>
      </w:r>
    </w:p>
    <w:p w14:paraId="2A6745C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乙方提供的产品不符合合同约定的质量标准或存在产品质量缺陷，甲方有权要求乙方根据</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要求</w:t>
      </w:r>
      <w:r>
        <w:rPr>
          <w:rFonts w:hint="eastAsia" w:ascii="宋体" w:hAnsi="宋体" w:eastAsia="宋体" w:cs="宋体"/>
          <w:color w:val="auto"/>
          <w:sz w:val="24"/>
          <w:szCs w:val="24"/>
          <w:highlight w:val="none"/>
          <w:lang w:bidi="ar"/>
        </w:rPr>
        <w:t>及时修理、重作、更换，并承担由此给甲方造成的损失。</w:t>
      </w:r>
    </w:p>
    <w:p w14:paraId="31F5B38F">
      <w:pPr>
        <w:autoSpaceDE w:val="0"/>
        <w:autoSpaceDN w:val="0"/>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15.2 迟延交货的违约责任</w:t>
      </w:r>
    </w:p>
    <w:p w14:paraId="5AB95F0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D868C7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规定执行。如果涉及公共利益，且赔偿金额无法弥补公共利益损失，甲方可要求继续履行或者采取其他补救措施。</w:t>
      </w:r>
    </w:p>
    <w:p w14:paraId="4A7D3A5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15.3 迟延支付的违约责任</w:t>
      </w:r>
    </w:p>
    <w:p w14:paraId="36D2277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甲方存在迟延支付乙方合同款项的，应当承担</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规定的逾期付款利息。</w:t>
      </w:r>
    </w:p>
    <w:p w14:paraId="2BAA815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15.4其他违约责任根据项目实际需要按</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w:t>
      </w:r>
    </w:p>
    <w:p w14:paraId="66DEBA71">
      <w:pPr>
        <w:numPr>
          <w:ilvl w:val="0"/>
          <w:numId w:val="8"/>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合同变更、中止与终止</w:t>
      </w:r>
    </w:p>
    <w:p w14:paraId="13FFD99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16.1合同的变更</w:t>
      </w:r>
    </w:p>
    <w:p w14:paraId="742124F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政府采购合同履行中，在不改变合同其他条款的前提下，甲方可以在合同价款10%的范围内追加与合同标的相同的货物，并就此与乙方协商一致后签订补充协议。</w:t>
      </w:r>
    </w:p>
    <w:p w14:paraId="5FC8428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16.2合同的中止</w:t>
      </w:r>
    </w:p>
    <w:p w14:paraId="480C183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（1）合同履行过程中因供应商就采购文件、采购过程或结果提起投诉的，甲方认为有必要的，可以中止合同的履行。</w:t>
      </w:r>
    </w:p>
    <w:p w14:paraId="6114138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6B4E66D">
      <w:pPr>
        <w:pStyle w:val="24"/>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（3）乙方分立、合并或者变更住所的，应当及时以书面形式告知甲方。乙方没有及时告知甲方，致使合同履行发生困难的，甲方可以中止合同履行并要求乙方承担由此给甲方造成的损失。</w:t>
      </w:r>
    </w:p>
    <w:p w14:paraId="548566B9">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（4）甲方不得以行政区划调整、政府换届、机构或者职能调整以及相关责任人更替为由中止合同。</w:t>
      </w:r>
    </w:p>
    <w:p w14:paraId="11020C2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16.3合同的终止</w:t>
      </w:r>
    </w:p>
    <w:p w14:paraId="3340CD3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（1）合同因有效期限届满而终止；</w:t>
      </w:r>
    </w:p>
    <w:p w14:paraId="2282AF3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（2）乙方未按合同约定履行，构成根本性违约的，甲方有权终止合同，并追究乙方的违约责任。</w:t>
      </w:r>
    </w:p>
    <w:p w14:paraId="7FFB74E1">
      <w:pPr>
        <w:pStyle w:val="24"/>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16.4 </w:t>
      </w:r>
      <w:r>
        <w:rPr>
          <w:rFonts w:hint="eastAsia" w:ascii="宋体" w:hAnsi="宋体" w:eastAsia="宋体" w:cs="宋体"/>
          <w:color w:val="auto"/>
          <w:kern w:val="2"/>
          <w:szCs w:val="24"/>
          <w:highlight w:val="none"/>
          <w:lang w:bidi="ar"/>
        </w:rPr>
        <w:t>涉及国家利益、社会公共利益的情形</w:t>
      </w:r>
    </w:p>
    <w:p w14:paraId="0F46BB78">
      <w:pPr>
        <w:pStyle w:val="24"/>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政府采购合同继续履行将损害国家利益和社会公共利益的，双方当事人应当变更、中止或者终止合同。有过错的一方应当承担赔偿责任，双方都有过错的，各自承担相应的责任。</w:t>
      </w:r>
    </w:p>
    <w:p w14:paraId="4F0EF3A5">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17. 合同分包</w:t>
      </w:r>
    </w:p>
    <w:p w14:paraId="6BFEC19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17.1 乙方不得将合同转包给其他供应商。涉及合同分包的，乙方应根据采购文件和投标（响应）文件规定进行合同分包。</w:t>
      </w:r>
    </w:p>
    <w:p w14:paraId="61642B7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17.2 乙方执行政府采购政策向中小企业依法分包的，乙方应当按采购文件和投标（响应）文件签订分包意向协议，分包意向协议属于本合同组成部分。</w:t>
      </w:r>
    </w:p>
    <w:p w14:paraId="57C556BB">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18. 不可抗力</w:t>
      </w:r>
    </w:p>
    <w:p w14:paraId="0875690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18.1 不可抗力是指合同双方不能预见、不能避免且不能克服的客观情况。</w:t>
      </w:r>
    </w:p>
    <w:p w14:paraId="1912D38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18.2 任何一方对由于不可抗力造成的部分或全部不能履行合同不承担违约责任。但迟延履行后发生不可抗力的，不能免除责任。</w:t>
      </w:r>
    </w:p>
    <w:p w14:paraId="4BDF485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DF11E46">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19. 解决争议的方法</w:t>
      </w:r>
    </w:p>
    <w:p w14:paraId="1273729D">
      <w:pPr>
        <w:pStyle w:val="24"/>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19.1 因本合同及合同有关事项发生的争议，由甲乙双方友好协商解决。协商不成时，可以向有关组织申请调解。合同一方或双方不愿调解或调解不成的，可以通过仲裁或诉讼的方式解决争议。</w:t>
      </w:r>
    </w:p>
    <w:p w14:paraId="5FCF7FA7">
      <w:pPr>
        <w:pStyle w:val="24"/>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19.2 选择仲裁的，应在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中明确仲裁机构及仲裁地；通过诉讼方式解决的，可以在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中进一步约定选择与争议有实际联系的地点的人民法院管辖，但管辖法院的约定不得违反级别管辖和专属管辖的规定。</w:t>
      </w:r>
    </w:p>
    <w:p w14:paraId="7783B3FC">
      <w:pPr>
        <w:pStyle w:val="24"/>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19.3 如甲乙双方有争议的事项不影响合同其他部分的履行，在争议解决期间，合同其他部分应当继续履行。</w:t>
      </w:r>
    </w:p>
    <w:p w14:paraId="5C74FF64">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20. 政府采购政策</w:t>
      </w:r>
    </w:p>
    <w:p w14:paraId="3AE46E7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20.1 本合同应当按照规定执行政府采购政策。</w:t>
      </w:r>
    </w:p>
    <w:p w14:paraId="760E814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2E350B96">
      <w:pPr>
        <w:pStyle w:val="24"/>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1A9E648">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21. 法律适用</w:t>
      </w:r>
    </w:p>
    <w:p w14:paraId="431F4F8E">
      <w:pPr>
        <w:pStyle w:val="24"/>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21.1 本合同的订立、生效、解释、履行及与本合同有关的争议解决，均适用法律、行政法规。</w:t>
      </w:r>
    </w:p>
    <w:p w14:paraId="5EFE7302">
      <w:pPr>
        <w:pStyle w:val="24"/>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21.2 本合同条款与法律、行政法规的强制性规定不一致的，双方当事人应按照法律、行政法规的强制性规定修改本合同的相关条款。</w:t>
      </w:r>
    </w:p>
    <w:p w14:paraId="65D86DF5">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22. 通知</w:t>
      </w:r>
    </w:p>
    <w:p w14:paraId="43CE1B1B">
      <w:pPr>
        <w:pStyle w:val="24"/>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22.1 本合同任何一方向对方发出的通知、信件、数据电文等，应当发送至本合同第一部分《政府采购合同协议书》所约定的通讯地址、联系人、联系电话或电子邮箱。</w:t>
      </w:r>
    </w:p>
    <w:p w14:paraId="284DBAC3">
      <w:pPr>
        <w:pStyle w:val="24"/>
        <w:widowControl/>
        <w:autoSpaceDE w:val="0"/>
        <w:autoSpaceDN w:val="0"/>
        <w:adjustRightInd w:val="0"/>
        <w:spacing w:before="0" w:beforeAutospacing="0" w:after="0" w:afterAutospacing="0" w:line="360" w:lineRule="auto"/>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22.2 一方当事人变更名称、住所、联系人、联系电话或电子邮箱等信息的，应当在变更后3日内及时书面通知对方，对方实际收到变更通知前的送达仍为有效送达。</w:t>
      </w:r>
    </w:p>
    <w:p w14:paraId="585B4BA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22.3本合同一方给另一方的通知均应采用书面形式，传真或快递送到本合同中规定的对方的地址和办理签收手续。</w:t>
      </w:r>
    </w:p>
    <w:p w14:paraId="479CC0FF">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22.4通知以送达之日或通知书中规定的生效之日起生效，两者中以较迟之日为准。</w:t>
      </w:r>
    </w:p>
    <w:p w14:paraId="28194A7D">
      <w:pPr>
        <w:numPr>
          <w:ilvl w:val="0"/>
          <w:numId w:val="9"/>
        </w:num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合同未尽事项</w:t>
      </w:r>
    </w:p>
    <w:p w14:paraId="0D50D11E">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23.1合同未尽事项见</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w:t>
      </w:r>
    </w:p>
    <w:p w14:paraId="38C96BD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23.2 合同附件与合同正文具有同等的法律效力。</w:t>
      </w:r>
    </w:p>
    <w:p w14:paraId="55918EF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7B3986A8">
      <w:pPr>
        <w:pStyle w:val="7"/>
        <w:jc w:val="center"/>
        <w:rPr>
          <w:rFonts w:hint="eastAsia" w:cs="@仿宋_GB2312"/>
          <w:color w:val="auto"/>
          <w:highlight w:val="none"/>
        </w:rPr>
      </w:pPr>
      <w:r>
        <w:rPr>
          <w:rFonts w:hint="eastAsia"/>
          <w:color w:val="auto"/>
          <w:highlight w:val="none"/>
        </w:rPr>
        <w:t>第三节</w:t>
      </w:r>
      <w:r>
        <w:rPr>
          <w:rFonts w:hint="eastAsia" w:cs="@仿宋_GB2312"/>
          <w:color w:val="auto"/>
          <w:highlight w:val="none"/>
        </w:rPr>
        <w:t xml:space="preserve"> </w:t>
      </w:r>
      <w:r>
        <w:rPr>
          <w:rFonts w:hint="eastAsia"/>
          <w:color w:val="auto"/>
          <w:highlight w:val="none"/>
        </w:rPr>
        <w:t>政府采购合同专用条款</w:t>
      </w:r>
    </w:p>
    <w:tbl>
      <w:tblPr>
        <w:tblStyle w:val="28"/>
        <w:tblW w:w="8519" w:type="dxa"/>
        <w:tblInd w:w="108"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5687B18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2" w:space="0"/>
              <w:left w:val="double" w:color="auto" w:sz="2" w:space="0"/>
              <w:bottom w:val="single" w:color="auto" w:sz="6" w:space="0"/>
              <w:right w:val="single" w:color="auto" w:sz="6" w:space="0"/>
            </w:tcBorders>
            <w:vAlign w:val="center"/>
          </w:tcPr>
          <w:p w14:paraId="25B4F83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34AB2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第1.2（6）项</w:t>
            </w:r>
          </w:p>
        </w:tc>
        <w:tc>
          <w:tcPr>
            <w:tcW w:w="1742" w:type="dxa"/>
            <w:tcBorders>
              <w:top w:val="double" w:color="auto" w:sz="2" w:space="0"/>
              <w:left w:val="single" w:color="auto" w:sz="6" w:space="0"/>
              <w:bottom w:val="single" w:color="auto" w:sz="6" w:space="0"/>
              <w:right w:val="single" w:color="auto" w:sz="6" w:space="0"/>
            </w:tcBorders>
            <w:vAlign w:val="center"/>
          </w:tcPr>
          <w:p w14:paraId="1E867B0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联合体具体要求</w:t>
            </w:r>
          </w:p>
        </w:tc>
        <w:tc>
          <w:tcPr>
            <w:tcW w:w="5170" w:type="dxa"/>
            <w:tcBorders>
              <w:top w:val="double" w:color="auto" w:sz="2" w:space="0"/>
              <w:left w:val="single" w:color="auto" w:sz="6" w:space="0"/>
              <w:bottom w:val="single" w:color="auto" w:sz="6" w:space="0"/>
              <w:right w:val="double" w:color="auto" w:sz="2" w:space="0"/>
            </w:tcBorders>
            <w:vAlign w:val="center"/>
          </w:tcPr>
          <w:p w14:paraId="62DB7D1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不接受联合体投标</w:t>
            </w:r>
          </w:p>
        </w:tc>
      </w:tr>
      <w:tr w14:paraId="7307F02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2" w:space="0"/>
              <w:bottom w:val="single" w:color="auto" w:sz="6" w:space="0"/>
              <w:right w:val="single" w:color="auto" w:sz="6" w:space="0"/>
            </w:tcBorders>
            <w:vAlign w:val="center"/>
          </w:tcPr>
          <w:p w14:paraId="19811E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60DC83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526BFD3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其他术语解释</w:t>
            </w:r>
          </w:p>
        </w:tc>
        <w:tc>
          <w:tcPr>
            <w:tcW w:w="5170" w:type="dxa"/>
            <w:tcBorders>
              <w:top w:val="single" w:color="auto" w:sz="6" w:space="0"/>
              <w:left w:val="single" w:color="auto" w:sz="6" w:space="0"/>
              <w:bottom w:val="single" w:color="auto" w:sz="6" w:space="0"/>
              <w:right w:val="double" w:color="auto" w:sz="2" w:space="0"/>
            </w:tcBorders>
            <w:vAlign w:val="center"/>
          </w:tcPr>
          <w:p w14:paraId="56D25A5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6E7E3E0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EC36D2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CDE479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1DE1D31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履约验收中甲方提出异议或作出说明的期限</w:t>
            </w:r>
          </w:p>
        </w:tc>
        <w:tc>
          <w:tcPr>
            <w:tcW w:w="5170" w:type="dxa"/>
            <w:tcBorders>
              <w:top w:val="single" w:color="auto" w:sz="6" w:space="0"/>
              <w:left w:val="single" w:color="auto" w:sz="6" w:space="0"/>
              <w:bottom w:val="single" w:color="auto" w:sz="6" w:space="0"/>
              <w:right w:val="double" w:color="auto" w:sz="2" w:space="0"/>
            </w:tcBorders>
            <w:vAlign w:val="center"/>
          </w:tcPr>
          <w:p w14:paraId="67580C3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5个工作日</w:t>
            </w:r>
          </w:p>
        </w:tc>
      </w:tr>
      <w:tr w14:paraId="2A81E20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D5A904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BF8C2C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11534B6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约定甲方承担的其他义务和责任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4BD66D8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(1)在合同生效后，非因产品质量问题，买方要求退货的，应向卖方偿付合同总价款的5%，作为违约金，违约金不足以补偿损失的，卖方有权要求甲方补足。</w:t>
            </w:r>
          </w:p>
          <w:p w14:paraId="1D64332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(2)买方逾期付款的应按照逾期付款金额的每天万分之四支付逾期付款违约金。</w:t>
            </w:r>
          </w:p>
          <w:p w14:paraId="5B3CF0D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(3)买方违反合同规定，无正当理由拒绝接收卖方交付的符合招标文件要求的合格标的物，应当承担卖方由此造成的损失。</w:t>
            </w:r>
          </w:p>
        </w:tc>
      </w:tr>
      <w:tr w14:paraId="28D26C2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87419C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E1CE883">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46CD691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约定乙方承担的其他义务和责任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77DC048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不能交货（逾期超过五天视为不能交货），或交货不合格从而影响甲方按期正常使用的，应向甲方偿付合同总价款5%的违约金，违约金不足以补偿损失的，甲方有权要求乙方补足。此外，若乙方无正当理由逾期交货超过十五个自然日，甲方有权单方面解除本合同。</w:t>
            </w:r>
          </w:p>
          <w:p w14:paraId="7B0B793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p w14:paraId="04BBDAAF">
            <w:pPr>
              <w:adjustRightInd w:val="0"/>
              <w:snapToGrid w:val="0"/>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乙方在收到甲方提出的产品维保或者伴随服务要求之日起24小时内未提供相应的维保或者伴随服务，乙方应按照合同总价款的每天万分之四支付违约金。乙方如不按时提供相应的维保或者伴随服务，甲方有权自行委托第三方进行维保或者提供相应服务，产生的费用应由乙方承担，如乙方不支付该费用，甲方有权向乙方追偿。</w:t>
            </w:r>
          </w:p>
        </w:tc>
      </w:tr>
      <w:tr w14:paraId="5D02AE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EB4230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A965253">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600F21B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履行合同义务的顺序</w:t>
            </w:r>
          </w:p>
        </w:tc>
        <w:tc>
          <w:tcPr>
            <w:tcW w:w="5170" w:type="dxa"/>
            <w:tcBorders>
              <w:top w:val="single" w:color="auto" w:sz="6" w:space="0"/>
              <w:left w:val="single" w:color="auto" w:sz="6" w:space="0"/>
              <w:bottom w:val="single" w:color="auto" w:sz="6" w:space="0"/>
              <w:right w:val="double" w:color="auto" w:sz="2" w:space="0"/>
            </w:tcBorders>
            <w:vAlign w:val="center"/>
          </w:tcPr>
          <w:p w14:paraId="1B29A58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乙方按规定履行合同义务后，甲方再履行合同义务。</w:t>
            </w:r>
          </w:p>
        </w:tc>
      </w:tr>
      <w:tr w14:paraId="5A3A152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2" w:space="0"/>
              <w:bottom w:val="single" w:color="auto" w:sz="6" w:space="0"/>
              <w:right w:val="single" w:color="auto" w:sz="6" w:space="0"/>
            </w:tcBorders>
            <w:vAlign w:val="center"/>
          </w:tcPr>
          <w:p w14:paraId="2D000CF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454EDA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7B20E25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包装特殊要求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003F0CE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44D94FD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2" w:space="0"/>
              <w:bottom w:val="single" w:color="auto" w:sz="6" w:space="0"/>
              <w:right w:val="single" w:color="auto" w:sz="6" w:space="0"/>
            </w:tcBorders>
            <w:vAlign w:val="center"/>
          </w:tcPr>
          <w:p w14:paraId="4B575C62">
            <w:pPr>
              <w:rPr>
                <w:rFonts w:ascii="Times New Roman" w:hAnsi="Times New Roman" w:cs="Times New Roman"/>
                <w:color w:val="auto"/>
                <w:sz w:val="20"/>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2743DD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指定现场</w:t>
            </w:r>
          </w:p>
        </w:tc>
        <w:tc>
          <w:tcPr>
            <w:tcW w:w="5170" w:type="dxa"/>
            <w:tcBorders>
              <w:top w:val="single" w:color="auto" w:sz="6" w:space="0"/>
              <w:left w:val="single" w:color="auto" w:sz="6" w:space="0"/>
              <w:bottom w:val="single" w:color="auto" w:sz="6" w:space="0"/>
              <w:right w:val="double" w:color="auto" w:sz="2" w:space="0"/>
            </w:tcBorders>
            <w:vAlign w:val="center"/>
          </w:tcPr>
          <w:p w14:paraId="6CEBA10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甲方指定地点</w:t>
            </w:r>
          </w:p>
        </w:tc>
      </w:tr>
      <w:tr w14:paraId="7F5DEF5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2" w:space="0"/>
              <w:bottom w:val="single" w:color="auto" w:sz="6" w:space="0"/>
              <w:right w:val="single" w:color="auto" w:sz="6" w:space="0"/>
            </w:tcBorders>
            <w:vAlign w:val="center"/>
          </w:tcPr>
          <w:p w14:paraId="5797932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55A418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373234F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运输特殊要求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4F33F57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6604543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2" w:space="0"/>
              <w:bottom w:val="single" w:color="auto" w:sz="6" w:space="0"/>
              <w:right w:val="single" w:color="auto" w:sz="6" w:space="0"/>
            </w:tcBorders>
            <w:vAlign w:val="center"/>
          </w:tcPr>
          <w:p w14:paraId="3744743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D2717C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203CBC5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保险要求</w:t>
            </w:r>
          </w:p>
        </w:tc>
        <w:tc>
          <w:tcPr>
            <w:tcW w:w="5170" w:type="dxa"/>
            <w:tcBorders>
              <w:top w:val="single" w:color="auto" w:sz="6" w:space="0"/>
              <w:left w:val="single" w:color="auto" w:sz="6" w:space="0"/>
              <w:bottom w:val="single" w:color="auto" w:sz="6" w:space="0"/>
              <w:right w:val="double" w:color="auto" w:sz="2" w:space="0"/>
            </w:tcBorders>
            <w:vAlign w:val="center"/>
          </w:tcPr>
          <w:p w14:paraId="1DDCEC5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按规定购买保险</w:t>
            </w:r>
          </w:p>
        </w:tc>
      </w:tr>
      <w:tr w14:paraId="4A74F06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FDC7DD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BC0CE5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533CEF4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质量保证期</w:t>
            </w:r>
          </w:p>
        </w:tc>
        <w:tc>
          <w:tcPr>
            <w:tcW w:w="5170" w:type="dxa"/>
            <w:tcBorders>
              <w:top w:val="single" w:color="auto" w:sz="6" w:space="0"/>
              <w:left w:val="single" w:color="auto" w:sz="6" w:space="0"/>
              <w:bottom w:val="single" w:color="auto" w:sz="6" w:space="0"/>
              <w:right w:val="double" w:color="auto" w:sz="2" w:space="0"/>
            </w:tcBorders>
            <w:vAlign w:val="center"/>
          </w:tcPr>
          <w:p w14:paraId="6032054A">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乙方书面承诺的期限</w:t>
            </w:r>
          </w:p>
        </w:tc>
      </w:tr>
      <w:tr w14:paraId="093AAFF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36C091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6FC937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567C09D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货物质量缺陷</w:t>
            </w:r>
          </w:p>
          <w:p w14:paraId="7F75165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响应时间</w:t>
            </w:r>
          </w:p>
        </w:tc>
        <w:tc>
          <w:tcPr>
            <w:tcW w:w="5170" w:type="dxa"/>
            <w:tcBorders>
              <w:top w:val="single" w:color="auto" w:sz="6" w:space="0"/>
              <w:left w:val="single" w:color="auto" w:sz="6" w:space="0"/>
              <w:bottom w:val="single" w:color="auto" w:sz="6" w:space="0"/>
              <w:right w:val="double" w:color="auto" w:sz="2" w:space="0"/>
            </w:tcBorders>
            <w:vAlign w:val="center"/>
          </w:tcPr>
          <w:p w14:paraId="0DEB21E2">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乙方应在合同货物出现故障和缺陷时，接到甲方通知后2小时内予以答复，如甲方有要求或必要时，乙方应在接到甲方通知后24小时内，进行维修。因乙方自身产品和安装质量原因而出现的质量问题由乙方负责包修、包换或包退，并承担修理、调换或退货的实际费用；属于人为损坏的由甲方负责。</w:t>
            </w:r>
          </w:p>
        </w:tc>
      </w:tr>
      <w:tr w14:paraId="38377AB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427685A">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F01E027">
            <w:pPr>
              <w:pStyle w:val="24"/>
              <w:widowControl/>
              <w:autoSpaceDE w:val="0"/>
              <w:autoSpaceDN w:val="0"/>
              <w:adjustRightInd w:val="0"/>
              <w:spacing w:before="0" w:beforeAutospacing="0" w:after="0" w:afterAutospacing="0"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22E3D51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其他应当保密的信息</w:t>
            </w:r>
          </w:p>
        </w:tc>
        <w:tc>
          <w:tcPr>
            <w:tcW w:w="5170" w:type="dxa"/>
            <w:tcBorders>
              <w:top w:val="single" w:color="auto" w:sz="6" w:space="0"/>
              <w:left w:val="single" w:color="auto" w:sz="6" w:space="0"/>
              <w:bottom w:val="single" w:color="auto" w:sz="6" w:space="0"/>
              <w:right w:val="double" w:color="auto" w:sz="2" w:space="0"/>
            </w:tcBorders>
            <w:vAlign w:val="center"/>
          </w:tcPr>
          <w:p w14:paraId="74BBC48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0D75D9B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9A7616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B97362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29DC14A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合同价款支付时间</w:t>
            </w:r>
          </w:p>
        </w:tc>
        <w:tc>
          <w:tcPr>
            <w:tcW w:w="5170" w:type="dxa"/>
            <w:tcBorders>
              <w:top w:val="single" w:color="auto" w:sz="6" w:space="0"/>
              <w:left w:val="single" w:color="auto" w:sz="6" w:space="0"/>
              <w:bottom w:val="single" w:color="auto" w:sz="6" w:space="0"/>
              <w:right w:val="double" w:color="auto" w:sz="2" w:space="0"/>
            </w:tcBorders>
            <w:vAlign w:val="center"/>
          </w:tcPr>
          <w:p w14:paraId="6DCB706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按第一节政府采购合同协议书相关内容执行</w:t>
            </w:r>
          </w:p>
        </w:tc>
      </w:tr>
      <w:tr w14:paraId="54CEB53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617CEC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833AF4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7994181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履约保证金不予退还的情形</w:t>
            </w:r>
          </w:p>
        </w:tc>
        <w:tc>
          <w:tcPr>
            <w:tcW w:w="5170" w:type="dxa"/>
            <w:tcBorders>
              <w:top w:val="single" w:color="auto" w:sz="6" w:space="0"/>
              <w:left w:val="single" w:color="auto" w:sz="6" w:space="0"/>
              <w:bottom w:val="single" w:color="auto" w:sz="6" w:space="0"/>
              <w:right w:val="double" w:color="auto" w:sz="2" w:space="0"/>
            </w:tcBorders>
            <w:vAlign w:val="center"/>
          </w:tcPr>
          <w:p w14:paraId="37BFBDA8">
            <w:pPr>
              <w:adjustRightInd w:val="0"/>
              <w:snapToGrid w:val="0"/>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因乙方原因导致合同终止的</w:t>
            </w:r>
          </w:p>
        </w:tc>
      </w:tr>
      <w:tr w14:paraId="5F3EB8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F48E71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9C79B7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164E7BB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履约保证金退还时间及逾期退还的违约金</w:t>
            </w:r>
          </w:p>
        </w:tc>
        <w:tc>
          <w:tcPr>
            <w:tcW w:w="5170" w:type="dxa"/>
            <w:tcBorders>
              <w:top w:val="single" w:color="auto" w:sz="6" w:space="0"/>
              <w:left w:val="single" w:color="auto" w:sz="6" w:space="0"/>
              <w:bottom w:val="single" w:color="auto" w:sz="6" w:space="0"/>
              <w:right w:val="double" w:color="auto" w:sz="2" w:space="0"/>
            </w:tcBorders>
            <w:vAlign w:val="center"/>
          </w:tcPr>
          <w:p w14:paraId="649E21B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按招标文件相关内容执行</w:t>
            </w:r>
          </w:p>
        </w:tc>
      </w:tr>
      <w:tr w14:paraId="092055B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5C386E6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059337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3387AF3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运行监督、维修期限</w:t>
            </w:r>
          </w:p>
        </w:tc>
        <w:tc>
          <w:tcPr>
            <w:tcW w:w="5170" w:type="dxa"/>
            <w:tcBorders>
              <w:top w:val="single" w:color="auto" w:sz="6" w:space="0"/>
              <w:left w:val="single" w:color="auto" w:sz="6" w:space="0"/>
              <w:bottom w:val="single" w:color="auto" w:sz="6" w:space="0"/>
              <w:right w:val="double" w:color="auto" w:sz="2" w:space="0"/>
            </w:tcBorders>
            <w:vAlign w:val="center"/>
          </w:tcPr>
          <w:p w14:paraId="4F6FD42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乙方书面承诺的质保期内</w:t>
            </w:r>
          </w:p>
        </w:tc>
      </w:tr>
      <w:tr w14:paraId="265CFBE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029C8BD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747A33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1262982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货物回收的约定</w:t>
            </w:r>
          </w:p>
        </w:tc>
        <w:tc>
          <w:tcPr>
            <w:tcW w:w="5170" w:type="dxa"/>
            <w:tcBorders>
              <w:top w:val="single" w:color="auto" w:sz="6" w:space="0"/>
              <w:left w:val="single" w:color="auto" w:sz="6" w:space="0"/>
              <w:bottom w:val="single" w:color="auto" w:sz="6" w:space="0"/>
              <w:right w:val="double" w:color="auto" w:sz="2" w:space="0"/>
            </w:tcBorders>
            <w:vAlign w:val="center"/>
          </w:tcPr>
          <w:p w14:paraId="7D9C719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由乙方在规定时间内自行组织回收，相关费用自行承担，甲方不另行支付相关费用。</w:t>
            </w:r>
          </w:p>
        </w:tc>
      </w:tr>
      <w:tr w14:paraId="136BC22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122256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7254BD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57C2F3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乙方提供的其他服务</w:t>
            </w:r>
          </w:p>
        </w:tc>
        <w:tc>
          <w:tcPr>
            <w:tcW w:w="5170" w:type="dxa"/>
            <w:tcBorders>
              <w:top w:val="single" w:color="auto" w:sz="6" w:space="0"/>
              <w:left w:val="single" w:color="auto" w:sz="6" w:space="0"/>
              <w:bottom w:val="single" w:color="auto" w:sz="6" w:space="0"/>
              <w:right w:val="double" w:color="auto" w:sz="2" w:space="0"/>
            </w:tcBorders>
            <w:vAlign w:val="center"/>
          </w:tcPr>
          <w:p w14:paraId="1D82B4E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按甲方要求须提供的其他相关服务</w:t>
            </w:r>
          </w:p>
        </w:tc>
      </w:tr>
      <w:tr w14:paraId="5401804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178A6F3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5C20B0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57802B8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修理、重作、更换相关具体规定</w:t>
            </w:r>
          </w:p>
        </w:tc>
        <w:tc>
          <w:tcPr>
            <w:tcW w:w="5170" w:type="dxa"/>
            <w:tcBorders>
              <w:top w:val="single" w:color="auto" w:sz="6" w:space="0"/>
              <w:left w:val="single" w:color="auto" w:sz="6" w:space="0"/>
              <w:bottom w:val="single" w:color="auto" w:sz="6" w:space="0"/>
              <w:right w:val="double" w:color="auto" w:sz="2" w:space="0"/>
            </w:tcBorders>
            <w:vAlign w:val="center"/>
          </w:tcPr>
          <w:p w14:paraId="605B8D5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保修期内</w:t>
            </w:r>
            <w:r>
              <w:rPr>
                <w:rFonts w:hint="eastAsia" w:ascii="宋体" w:hAnsi="宋体" w:eastAsia="宋体" w:cs="宋体"/>
                <w:color w:val="auto"/>
                <w:sz w:val="24"/>
                <w:szCs w:val="24"/>
                <w:highlight w:val="none"/>
                <w:lang w:val="en-US" w:eastAsia="zh-CN" w:bidi="ar"/>
              </w:rPr>
              <w:t>同一个故障</w:t>
            </w:r>
            <w:r>
              <w:rPr>
                <w:rFonts w:hint="eastAsia" w:ascii="宋体" w:hAnsi="宋体" w:eastAsia="宋体" w:cs="宋体"/>
                <w:color w:val="auto"/>
                <w:sz w:val="24"/>
                <w:szCs w:val="24"/>
                <w:highlight w:val="none"/>
                <w:lang w:bidi="ar"/>
              </w:rPr>
              <w:t>两次修理仍不能正常使用的的必须更换新设备</w:t>
            </w:r>
          </w:p>
        </w:tc>
      </w:tr>
      <w:tr w14:paraId="2A938BE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1D2B2F1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47CA01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6025331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迟延交货赔偿费</w:t>
            </w:r>
          </w:p>
        </w:tc>
        <w:tc>
          <w:tcPr>
            <w:tcW w:w="5170" w:type="dxa"/>
            <w:tcBorders>
              <w:top w:val="single" w:color="auto" w:sz="6" w:space="0"/>
              <w:left w:val="single" w:color="auto" w:sz="6" w:space="0"/>
              <w:bottom w:val="single" w:color="auto" w:sz="6" w:space="0"/>
              <w:right w:val="double" w:color="auto" w:sz="2" w:space="0"/>
            </w:tcBorders>
            <w:vAlign w:val="center"/>
          </w:tcPr>
          <w:p w14:paraId="2B335669">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(1)乙方不能交货（逾期超过五天视为不能交货），或交货不合格从而影响甲方按期正常使用的，应向甲方偿付合同总价款5%的违约金，违约金不足以补偿损失的，甲方有权要求乙方补足。</w:t>
            </w:r>
          </w:p>
          <w:p w14:paraId="0ADB8B65">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tc>
      </w:tr>
      <w:tr w14:paraId="57651C5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6E7785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BBB69C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第15.3款</w:t>
            </w:r>
          </w:p>
        </w:tc>
        <w:tc>
          <w:tcPr>
            <w:tcW w:w="1742" w:type="dxa"/>
            <w:tcBorders>
              <w:top w:val="single" w:color="auto" w:sz="6" w:space="0"/>
              <w:left w:val="single" w:color="auto" w:sz="6" w:space="0"/>
              <w:bottom w:val="single" w:color="auto" w:sz="4" w:space="0"/>
              <w:right w:val="single" w:color="auto" w:sz="6" w:space="0"/>
            </w:tcBorders>
            <w:vAlign w:val="center"/>
          </w:tcPr>
          <w:p w14:paraId="1B4BA2B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逾期付款利息</w:t>
            </w:r>
          </w:p>
        </w:tc>
        <w:tc>
          <w:tcPr>
            <w:tcW w:w="5170" w:type="dxa"/>
            <w:tcBorders>
              <w:top w:val="single" w:color="auto" w:sz="6" w:space="0"/>
              <w:left w:val="single" w:color="auto" w:sz="6" w:space="0"/>
              <w:bottom w:val="single" w:color="auto" w:sz="6" w:space="0"/>
              <w:right w:val="double" w:color="auto" w:sz="2" w:space="0"/>
            </w:tcBorders>
            <w:vAlign w:val="center"/>
          </w:tcPr>
          <w:p w14:paraId="739C0F8B">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w:t>
            </w:r>
          </w:p>
        </w:tc>
      </w:tr>
      <w:tr w14:paraId="068EC2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2" w:space="0"/>
              <w:bottom w:val="single" w:color="auto" w:sz="2" w:space="0"/>
              <w:right w:val="single" w:color="auto" w:sz="4" w:space="0"/>
            </w:tcBorders>
            <w:vAlign w:val="center"/>
          </w:tcPr>
          <w:p w14:paraId="17DFA44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3CB17F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第15.4款</w:t>
            </w:r>
          </w:p>
        </w:tc>
        <w:tc>
          <w:tcPr>
            <w:tcW w:w="1742" w:type="dxa"/>
            <w:tcBorders>
              <w:top w:val="single" w:color="auto" w:sz="4" w:space="0"/>
              <w:left w:val="single" w:color="auto" w:sz="4" w:space="0"/>
              <w:bottom w:val="single" w:color="auto" w:sz="2" w:space="0"/>
              <w:right w:val="single" w:color="auto" w:sz="4" w:space="0"/>
            </w:tcBorders>
            <w:vAlign w:val="center"/>
          </w:tcPr>
          <w:p w14:paraId="37CDCFB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其他违约责任</w:t>
            </w:r>
          </w:p>
        </w:tc>
        <w:tc>
          <w:tcPr>
            <w:tcW w:w="5170" w:type="dxa"/>
            <w:tcBorders>
              <w:top w:val="single" w:color="auto" w:sz="6" w:space="0"/>
              <w:left w:val="single" w:color="auto" w:sz="4" w:space="0"/>
              <w:bottom w:val="single" w:color="auto" w:sz="2" w:space="0"/>
              <w:right w:val="double" w:color="auto" w:sz="2" w:space="0"/>
            </w:tcBorders>
            <w:vAlign w:val="center"/>
          </w:tcPr>
          <w:p w14:paraId="7A0BF44E">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合同一方不履行合同义务或者履行合同义务不符合约定的，应当承担继续履行、采取补救措施或者赔偿损失等违约责任。</w:t>
            </w:r>
          </w:p>
        </w:tc>
      </w:tr>
      <w:tr w14:paraId="53FCA48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2" w:space="0"/>
              <w:bottom w:val="single" w:color="auto" w:sz="6" w:space="0"/>
              <w:right w:val="single" w:color="auto" w:sz="4" w:space="0"/>
            </w:tcBorders>
            <w:vAlign w:val="center"/>
          </w:tcPr>
          <w:p w14:paraId="11B83F5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BAE063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第19.2款</w:t>
            </w:r>
          </w:p>
        </w:tc>
        <w:tc>
          <w:tcPr>
            <w:tcW w:w="1742" w:type="dxa"/>
            <w:tcBorders>
              <w:top w:val="single" w:color="auto" w:sz="2" w:space="0"/>
              <w:left w:val="single" w:color="auto" w:sz="4" w:space="0"/>
              <w:bottom w:val="single" w:color="auto" w:sz="4" w:space="0"/>
              <w:right w:val="single" w:color="auto" w:sz="4" w:space="0"/>
            </w:tcBorders>
            <w:vAlign w:val="center"/>
          </w:tcPr>
          <w:p w14:paraId="4E6B33C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解决争议的方法</w:t>
            </w:r>
          </w:p>
        </w:tc>
        <w:tc>
          <w:tcPr>
            <w:tcW w:w="5170" w:type="dxa"/>
            <w:tcBorders>
              <w:top w:val="single" w:color="auto" w:sz="2" w:space="0"/>
              <w:left w:val="single" w:color="auto" w:sz="4" w:space="0"/>
              <w:bottom w:val="single" w:color="auto" w:sz="6" w:space="0"/>
              <w:right w:val="double" w:color="auto" w:sz="2" w:space="0"/>
            </w:tcBorders>
            <w:vAlign w:val="center"/>
          </w:tcPr>
          <w:p w14:paraId="5A1FDE2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因本合同及合同有关事项发生的争议，按下列第</w:t>
            </w:r>
            <w:r>
              <w:rPr>
                <w:rFonts w:hint="eastAsia" w:ascii="宋体" w:hAnsi="宋体" w:eastAsia="宋体" w:cs="宋体"/>
                <w:iCs/>
                <w:color w:val="auto"/>
                <w:sz w:val="24"/>
                <w:szCs w:val="24"/>
                <w:highlight w:val="none"/>
                <w:u w:val="single"/>
                <w:lang w:bidi="ar"/>
              </w:rPr>
              <w:t xml:space="preserve"> </w:t>
            </w:r>
            <w:r>
              <w:rPr>
                <w:rFonts w:hint="eastAsia" w:ascii="宋体" w:hAnsi="宋体" w:eastAsia="宋体" w:cs="宋体"/>
                <w:iCs/>
                <w:color w:val="auto"/>
                <w:sz w:val="24"/>
                <w:szCs w:val="24"/>
                <w:highlight w:val="none"/>
                <w:u w:val="single"/>
                <w:lang w:val="en-US" w:eastAsia="zh-CN" w:bidi="ar"/>
              </w:rPr>
              <w:t xml:space="preserve"> （2） </w:t>
            </w:r>
            <w:r>
              <w:rPr>
                <w:rFonts w:hint="eastAsia" w:ascii="宋体" w:hAnsi="宋体" w:eastAsia="宋体" w:cs="宋体"/>
                <w:iCs/>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种方式解决：</w:t>
            </w:r>
          </w:p>
          <w:p w14:paraId="06627A04">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（1）向</w:t>
            </w:r>
            <w:r>
              <w:rPr>
                <w:rFonts w:hint="eastAsia" w:ascii="宋体" w:hAnsi="宋体" w:eastAsia="宋体" w:cs="宋体"/>
                <w:iCs/>
                <w:color w:val="auto"/>
                <w:sz w:val="24"/>
                <w:szCs w:val="24"/>
                <w:highlight w:val="none"/>
                <w:u w:val="single"/>
                <w:lang w:bidi="ar"/>
              </w:rPr>
              <w:t xml:space="preserve"> 滁州 </w:t>
            </w:r>
            <w:r>
              <w:rPr>
                <w:rFonts w:hint="eastAsia" w:ascii="宋体" w:hAnsi="宋体" w:eastAsia="宋体" w:cs="宋体"/>
                <w:iCs/>
                <w:color w:val="auto"/>
                <w:sz w:val="24"/>
                <w:szCs w:val="24"/>
                <w:highlight w:val="none"/>
                <w:lang w:bidi="ar"/>
              </w:rPr>
              <w:t>仲裁委员会申请仲裁，仲裁地点为</w:t>
            </w:r>
            <w:r>
              <w:rPr>
                <w:rFonts w:hint="eastAsia" w:ascii="宋体" w:hAnsi="宋体" w:eastAsia="宋体" w:cs="宋体"/>
                <w:iCs/>
                <w:color w:val="auto"/>
                <w:sz w:val="24"/>
                <w:szCs w:val="24"/>
                <w:highlight w:val="none"/>
                <w:u w:val="single"/>
                <w:lang w:bidi="ar"/>
              </w:rPr>
              <w:t xml:space="preserve">  滁州市 </w:t>
            </w:r>
            <w:r>
              <w:rPr>
                <w:rFonts w:hint="eastAsia" w:ascii="宋体" w:hAnsi="宋体" w:eastAsia="宋体" w:cs="宋体"/>
                <w:iCs/>
                <w:color w:val="auto"/>
                <w:sz w:val="24"/>
                <w:szCs w:val="24"/>
                <w:highlight w:val="none"/>
                <w:lang w:bidi="ar"/>
              </w:rPr>
              <w:t>；</w:t>
            </w:r>
          </w:p>
          <w:p w14:paraId="51A00671">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lang w:bidi="ar"/>
              </w:rPr>
              <w:t>（2）向</w:t>
            </w:r>
            <w:r>
              <w:rPr>
                <w:rFonts w:hint="eastAsia" w:ascii="宋体" w:hAnsi="宋体" w:eastAsia="宋体" w:cs="宋体"/>
                <w:iCs/>
                <w:color w:val="auto"/>
                <w:sz w:val="24"/>
                <w:szCs w:val="24"/>
                <w:highlight w:val="none"/>
                <w:u w:val="single"/>
                <w:lang w:bidi="ar"/>
              </w:rPr>
              <w:t xml:space="preserve">  项目所在地  </w:t>
            </w:r>
            <w:r>
              <w:rPr>
                <w:rFonts w:hint="eastAsia" w:ascii="宋体" w:hAnsi="宋体" w:eastAsia="宋体" w:cs="宋体"/>
                <w:iCs/>
                <w:color w:val="auto"/>
                <w:sz w:val="24"/>
                <w:szCs w:val="24"/>
                <w:highlight w:val="none"/>
                <w:lang w:bidi="ar"/>
              </w:rPr>
              <w:t>人民法院起诉。</w:t>
            </w:r>
          </w:p>
        </w:tc>
      </w:tr>
      <w:tr w14:paraId="26C9806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2" w:space="0"/>
              <w:bottom w:val="double" w:color="auto" w:sz="2" w:space="0"/>
              <w:right w:val="single" w:color="auto" w:sz="6" w:space="0"/>
            </w:tcBorders>
            <w:vAlign w:val="center"/>
          </w:tcPr>
          <w:p w14:paraId="6AC6209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A5BA5B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第23.1款</w:t>
            </w:r>
          </w:p>
        </w:tc>
        <w:tc>
          <w:tcPr>
            <w:tcW w:w="1742" w:type="dxa"/>
            <w:tcBorders>
              <w:top w:val="single" w:color="auto" w:sz="4" w:space="0"/>
              <w:left w:val="single" w:color="auto" w:sz="6" w:space="0"/>
              <w:bottom w:val="double" w:color="auto" w:sz="2" w:space="0"/>
              <w:right w:val="single" w:color="auto" w:sz="6" w:space="0"/>
            </w:tcBorders>
            <w:vAlign w:val="center"/>
          </w:tcPr>
          <w:p w14:paraId="6364DC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其他专用条款</w:t>
            </w:r>
          </w:p>
        </w:tc>
        <w:tc>
          <w:tcPr>
            <w:tcW w:w="5170" w:type="dxa"/>
            <w:tcBorders>
              <w:top w:val="single" w:color="auto" w:sz="6" w:space="0"/>
              <w:left w:val="single" w:color="auto" w:sz="6" w:space="0"/>
              <w:bottom w:val="double" w:color="auto" w:sz="2" w:space="0"/>
              <w:right w:val="double" w:color="auto" w:sz="2" w:space="0"/>
            </w:tcBorders>
            <w:vAlign w:val="center"/>
          </w:tcPr>
          <w:p w14:paraId="5DEC014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本合同未尽事宜应按《中华人民共和国政府采购法》、《中华人民共和国民法典》、《中华人民共和国产品质量法》之规定解释或签订合同时补充</w:t>
            </w:r>
          </w:p>
        </w:tc>
      </w:tr>
    </w:tbl>
    <w:p w14:paraId="0DA0625B">
      <w:pPr>
        <w:pStyle w:val="15"/>
        <w:rPr>
          <w:rFonts w:hint="eastAsia"/>
          <w:color w:val="auto"/>
          <w:highlight w:val="none"/>
        </w:rPr>
      </w:pPr>
    </w:p>
    <w:p w14:paraId="1E3D98B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55E1E4D">
      <w:pPr>
        <w:spacing w:line="360" w:lineRule="auto"/>
        <w:jc w:val="center"/>
        <w:outlineLvl w:val="0"/>
        <w:rPr>
          <w:rFonts w:asciiTheme="minorEastAsia" w:hAnsiTheme="minorEastAsia" w:eastAsiaTheme="minorEastAsia"/>
          <w:b/>
          <w:color w:val="auto"/>
          <w:sz w:val="28"/>
          <w:highlight w:val="none"/>
        </w:rPr>
      </w:pPr>
      <w:bookmarkStart w:id="29" w:name="_Toc22492"/>
      <w:r>
        <w:rPr>
          <w:rFonts w:hint="eastAsia" w:asciiTheme="minorEastAsia" w:hAnsiTheme="minorEastAsia" w:eastAsiaTheme="minorEastAsia"/>
          <w:b/>
          <w:color w:val="auto"/>
          <w:sz w:val="28"/>
          <w:highlight w:val="none"/>
        </w:rPr>
        <w:t>第六章  投标文件格式</w:t>
      </w:r>
      <w:bookmarkEnd w:id="29"/>
    </w:p>
    <w:p w14:paraId="041ED1A9">
      <w:pPr>
        <w:spacing w:line="900" w:lineRule="exact"/>
        <w:jc w:val="center"/>
        <w:rPr>
          <w:rFonts w:asciiTheme="minorEastAsia" w:hAnsiTheme="minorEastAsia" w:eastAsiaTheme="minorEastAsia"/>
          <w:b/>
          <w:color w:val="auto"/>
          <w:sz w:val="72"/>
          <w:highlight w:val="none"/>
        </w:rPr>
      </w:pPr>
    </w:p>
    <w:p w14:paraId="04103712">
      <w:pPr>
        <w:spacing w:line="900" w:lineRule="exact"/>
        <w:jc w:val="center"/>
        <w:outlineLvl w:val="1"/>
        <w:rPr>
          <w:rFonts w:asciiTheme="minorEastAsia" w:hAnsiTheme="minorEastAsia" w:eastAsiaTheme="minorEastAsia"/>
          <w:b/>
          <w:color w:val="auto"/>
          <w:sz w:val="72"/>
          <w:highlight w:val="none"/>
        </w:rPr>
      </w:pPr>
      <w:bookmarkStart w:id="30" w:name="_Toc651"/>
      <w:r>
        <w:rPr>
          <w:rFonts w:hint="eastAsia" w:asciiTheme="minorEastAsia" w:hAnsiTheme="minorEastAsia" w:eastAsiaTheme="minorEastAsia"/>
          <w:b/>
          <w:color w:val="auto"/>
          <w:sz w:val="72"/>
          <w:highlight w:val="none"/>
        </w:rPr>
        <w:t>投</w:t>
      </w:r>
      <w:bookmarkEnd w:id="30"/>
    </w:p>
    <w:p w14:paraId="6637A9C7">
      <w:pPr>
        <w:spacing w:line="900" w:lineRule="exact"/>
        <w:jc w:val="center"/>
        <w:rPr>
          <w:rFonts w:asciiTheme="minorEastAsia" w:hAnsiTheme="minorEastAsia" w:eastAsiaTheme="minorEastAsia"/>
          <w:b/>
          <w:color w:val="auto"/>
          <w:sz w:val="72"/>
          <w:highlight w:val="none"/>
        </w:rPr>
      </w:pPr>
    </w:p>
    <w:p w14:paraId="51A0ED41">
      <w:pPr>
        <w:spacing w:line="900" w:lineRule="exact"/>
        <w:jc w:val="center"/>
        <w:outlineLvl w:val="1"/>
        <w:rPr>
          <w:rFonts w:asciiTheme="minorEastAsia" w:hAnsiTheme="minorEastAsia" w:eastAsiaTheme="minorEastAsia"/>
          <w:b/>
          <w:color w:val="auto"/>
          <w:sz w:val="72"/>
          <w:highlight w:val="none"/>
        </w:rPr>
      </w:pPr>
      <w:bookmarkStart w:id="31" w:name="_Toc6148"/>
      <w:r>
        <w:rPr>
          <w:rFonts w:hint="eastAsia" w:asciiTheme="minorEastAsia" w:hAnsiTheme="minorEastAsia" w:eastAsiaTheme="minorEastAsia"/>
          <w:b/>
          <w:color w:val="auto"/>
          <w:sz w:val="72"/>
          <w:highlight w:val="none"/>
        </w:rPr>
        <w:t>标</w:t>
      </w:r>
      <w:bookmarkEnd w:id="31"/>
    </w:p>
    <w:p w14:paraId="7E5CDF01">
      <w:pPr>
        <w:spacing w:line="900" w:lineRule="exact"/>
        <w:jc w:val="center"/>
        <w:rPr>
          <w:rFonts w:asciiTheme="minorEastAsia" w:hAnsiTheme="minorEastAsia" w:eastAsiaTheme="minorEastAsia"/>
          <w:b/>
          <w:color w:val="auto"/>
          <w:sz w:val="72"/>
          <w:highlight w:val="none"/>
        </w:rPr>
      </w:pPr>
    </w:p>
    <w:p w14:paraId="07ED9D90">
      <w:pPr>
        <w:spacing w:line="900" w:lineRule="exact"/>
        <w:jc w:val="center"/>
        <w:outlineLvl w:val="1"/>
        <w:rPr>
          <w:rFonts w:asciiTheme="minorEastAsia" w:hAnsiTheme="minorEastAsia" w:eastAsiaTheme="minorEastAsia"/>
          <w:b/>
          <w:color w:val="auto"/>
          <w:sz w:val="72"/>
          <w:highlight w:val="none"/>
        </w:rPr>
      </w:pPr>
      <w:bookmarkStart w:id="32" w:name="_Toc1338"/>
      <w:r>
        <w:rPr>
          <w:rFonts w:hint="eastAsia" w:asciiTheme="minorEastAsia" w:hAnsiTheme="minorEastAsia" w:eastAsiaTheme="minorEastAsia"/>
          <w:b/>
          <w:color w:val="auto"/>
          <w:sz w:val="72"/>
          <w:highlight w:val="none"/>
        </w:rPr>
        <w:t>文</w:t>
      </w:r>
      <w:bookmarkEnd w:id="32"/>
    </w:p>
    <w:p w14:paraId="787DF300">
      <w:pPr>
        <w:spacing w:line="900" w:lineRule="exact"/>
        <w:jc w:val="center"/>
        <w:rPr>
          <w:rFonts w:asciiTheme="minorEastAsia" w:hAnsiTheme="minorEastAsia" w:eastAsiaTheme="minorEastAsia"/>
          <w:b/>
          <w:color w:val="auto"/>
          <w:sz w:val="72"/>
          <w:highlight w:val="none"/>
        </w:rPr>
      </w:pPr>
    </w:p>
    <w:p w14:paraId="41C116E1">
      <w:pPr>
        <w:jc w:val="center"/>
        <w:outlineLvl w:val="1"/>
        <w:rPr>
          <w:rFonts w:asciiTheme="minorEastAsia" w:hAnsiTheme="minorEastAsia" w:eastAsiaTheme="minorEastAsia"/>
          <w:b/>
          <w:color w:val="auto"/>
          <w:sz w:val="72"/>
          <w:highlight w:val="none"/>
        </w:rPr>
      </w:pPr>
      <w:bookmarkStart w:id="33" w:name="_Toc10796"/>
      <w:r>
        <w:rPr>
          <w:rFonts w:hint="eastAsia" w:asciiTheme="minorEastAsia" w:hAnsiTheme="minorEastAsia" w:eastAsiaTheme="minorEastAsia"/>
          <w:b/>
          <w:color w:val="auto"/>
          <w:sz w:val="72"/>
          <w:highlight w:val="none"/>
        </w:rPr>
        <w:t>件</w:t>
      </w:r>
      <w:bookmarkEnd w:id="33"/>
    </w:p>
    <w:p w14:paraId="281A30AB">
      <w:pPr>
        <w:spacing w:after="156" w:afterLines="50"/>
        <w:jc w:val="center"/>
        <w:rPr>
          <w:rFonts w:asciiTheme="minorEastAsia" w:hAnsiTheme="minorEastAsia" w:eastAsiaTheme="minorEastAsia"/>
          <w:b/>
          <w:color w:val="auto"/>
          <w:sz w:val="72"/>
          <w:highlight w:val="none"/>
        </w:rPr>
      </w:pPr>
    </w:p>
    <w:p w14:paraId="12BA52BA">
      <w:pPr>
        <w:spacing w:before="156" w:beforeLines="50" w:after="156" w:afterLines="50"/>
        <w:jc w:val="center"/>
        <w:outlineLvl w:val="9"/>
        <w:rPr>
          <w:rFonts w:hint="eastAsia" w:asciiTheme="minorEastAsia" w:hAnsiTheme="minorEastAsia" w:eastAsiaTheme="minorEastAsia"/>
          <w:b/>
          <w:color w:val="auto"/>
          <w:sz w:val="32"/>
          <w:szCs w:val="32"/>
          <w:highlight w:val="none"/>
          <w:lang w:eastAsia="zh-CN"/>
        </w:rPr>
      </w:pPr>
      <w:r>
        <w:rPr>
          <w:rFonts w:hint="eastAsia" w:asciiTheme="minorEastAsia" w:hAnsiTheme="minorEastAsia" w:eastAsiaTheme="minorEastAsia"/>
          <w:b/>
          <w:color w:val="auto"/>
          <w:sz w:val="32"/>
          <w:szCs w:val="32"/>
          <w:highlight w:val="none"/>
          <w:lang w:val="en-US" w:eastAsia="zh-CN"/>
        </w:rPr>
        <w:t xml:space="preserve"> </w:t>
      </w:r>
    </w:p>
    <w:p w14:paraId="39F1609C">
      <w:pPr>
        <w:spacing w:after="156" w:afterLines="50" w:line="500" w:lineRule="exact"/>
        <w:jc w:val="center"/>
        <w:rPr>
          <w:rFonts w:asciiTheme="minorEastAsia" w:hAnsiTheme="minorEastAsia" w:eastAsiaTheme="minorEastAsia"/>
          <w:b/>
          <w:color w:val="auto"/>
          <w:sz w:val="28"/>
          <w:szCs w:val="28"/>
          <w:highlight w:val="none"/>
        </w:rPr>
      </w:pPr>
    </w:p>
    <w:p w14:paraId="7E76B4E5">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FAFE52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3918F5">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E8BFCCC">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34" w:name="_Toc9994"/>
      <w:bookmarkStart w:id="35"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34"/>
      <w:bookmarkEnd w:id="35"/>
    </w:p>
    <w:p w14:paraId="563F38C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AA8422D">
      <w:pPr>
        <w:spacing w:line="360" w:lineRule="auto"/>
        <w:jc w:val="center"/>
        <w:outlineLvl w:val="1"/>
        <w:rPr>
          <w:rFonts w:asciiTheme="minorEastAsia" w:hAnsiTheme="minorEastAsia" w:eastAsiaTheme="minorEastAsia"/>
          <w:b/>
          <w:color w:val="auto"/>
          <w:sz w:val="24"/>
          <w:highlight w:val="none"/>
        </w:rPr>
      </w:pPr>
      <w:bookmarkStart w:id="36" w:name="_Toc28960"/>
      <w:bookmarkStart w:id="37" w:name="_Toc5555"/>
      <w:r>
        <w:rPr>
          <w:rFonts w:hint="eastAsia" w:asciiTheme="minorEastAsia" w:hAnsiTheme="minorEastAsia" w:eastAsiaTheme="minorEastAsia"/>
          <w:b/>
          <w:color w:val="auto"/>
          <w:sz w:val="24"/>
          <w:highlight w:val="none"/>
        </w:rPr>
        <w:t>一、开标一览表</w:t>
      </w:r>
      <w:bookmarkEnd w:id="36"/>
      <w:bookmarkEnd w:id="37"/>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5C5F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31778E2A">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27026DAB">
            <w:pPr>
              <w:spacing w:line="360" w:lineRule="exact"/>
              <w:jc w:val="center"/>
              <w:rPr>
                <w:rFonts w:asciiTheme="minorEastAsia" w:hAnsiTheme="minorEastAsia" w:eastAsiaTheme="minorEastAsia"/>
                <w:bCs/>
                <w:color w:val="auto"/>
                <w:sz w:val="24"/>
                <w:highlight w:val="none"/>
                <w:u w:val="single"/>
              </w:rPr>
            </w:pPr>
          </w:p>
        </w:tc>
      </w:tr>
      <w:tr w14:paraId="645A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2109BC96">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4F392F1E">
            <w:pPr>
              <w:spacing w:line="360" w:lineRule="auto"/>
              <w:rPr>
                <w:rFonts w:asciiTheme="minorEastAsia" w:hAnsiTheme="minorEastAsia" w:eastAsiaTheme="minorEastAsia"/>
                <w:color w:val="auto"/>
                <w:sz w:val="24"/>
                <w:highlight w:val="none"/>
              </w:rPr>
            </w:pPr>
          </w:p>
        </w:tc>
      </w:tr>
      <w:tr w14:paraId="270F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405CAFD2">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388DB263">
            <w:pPr>
              <w:keepNext w:val="0"/>
              <w:keepLines w:val="0"/>
              <w:pageBreakBefore w:val="0"/>
              <w:widowControl/>
              <w:kinsoku/>
              <w:wordWrap/>
              <w:overflowPunct/>
              <w:topLinePunct w:val="0"/>
              <w:autoSpaceDE/>
              <w:autoSpaceDN/>
              <w:bidi w:val="0"/>
              <w:adjustRightInd/>
              <w:spacing w:line="360" w:lineRule="auto"/>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szCs w:val="28"/>
                <w:highlight w:val="none"/>
              </w:rPr>
              <w:t>全部</w:t>
            </w:r>
            <w:r>
              <w:rPr>
                <w:rFonts w:hint="eastAsia" w:asciiTheme="minorEastAsia" w:hAnsiTheme="minorEastAsia" w:eastAsiaTheme="minorEastAsia"/>
                <w:color w:val="auto"/>
                <w:sz w:val="24"/>
                <w:szCs w:val="28"/>
                <w:highlight w:val="none"/>
                <w:lang w:val="en-US" w:eastAsia="zh-CN"/>
              </w:rPr>
              <w:t xml:space="preserve"> </w:t>
            </w:r>
          </w:p>
        </w:tc>
      </w:tr>
      <w:tr w14:paraId="75BC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1B2551A4">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63335D6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FAEC934">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41E0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7BBB9020">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613946BB">
            <w:pPr>
              <w:spacing w:line="360" w:lineRule="auto"/>
              <w:jc w:val="left"/>
              <w:rPr>
                <w:rFonts w:asciiTheme="minorEastAsia" w:hAnsiTheme="minorEastAsia" w:eastAsiaTheme="minorEastAsia"/>
                <w:color w:val="auto"/>
                <w:sz w:val="24"/>
                <w:szCs w:val="28"/>
                <w:highlight w:val="none"/>
              </w:rPr>
            </w:pPr>
          </w:p>
        </w:tc>
      </w:tr>
    </w:tbl>
    <w:p w14:paraId="5B6F37CB">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FF5F1C">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816BC2D">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4F0F6389">
      <w:pPr>
        <w:spacing w:line="360" w:lineRule="auto"/>
        <w:ind w:firstLine="360" w:firstLineChars="150"/>
        <w:rPr>
          <w:rFonts w:asciiTheme="minorEastAsia" w:hAnsiTheme="minorEastAsia" w:eastAsiaTheme="minorEastAsia"/>
          <w:color w:val="auto"/>
          <w:sz w:val="24"/>
          <w:highlight w:val="none"/>
        </w:rPr>
      </w:pPr>
    </w:p>
    <w:p w14:paraId="410A4471">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2B8945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22B306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250562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65550E6E">
      <w:pPr>
        <w:spacing w:line="360" w:lineRule="auto"/>
        <w:jc w:val="center"/>
        <w:outlineLvl w:val="1"/>
        <w:rPr>
          <w:rFonts w:asciiTheme="minorEastAsia" w:hAnsiTheme="minorEastAsia" w:eastAsiaTheme="minorEastAsia"/>
          <w:b/>
          <w:color w:val="auto"/>
          <w:sz w:val="24"/>
          <w:highlight w:val="none"/>
        </w:rPr>
      </w:pPr>
      <w:bookmarkStart w:id="38" w:name="_Toc18010"/>
      <w:bookmarkStart w:id="39" w:name="_Toc6441"/>
      <w:r>
        <w:rPr>
          <w:rFonts w:hint="eastAsia" w:asciiTheme="minorEastAsia" w:hAnsiTheme="minorEastAsia" w:eastAsiaTheme="minorEastAsia"/>
          <w:b/>
          <w:color w:val="auto"/>
          <w:sz w:val="24"/>
          <w:highlight w:val="none"/>
        </w:rPr>
        <w:t>二、投标函</w:t>
      </w:r>
      <w:bookmarkEnd w:id="38"/>
      <w:bookmarkEnd w:id="39"/>
    </w:p>
    <w:p w14:paraId="57677EEB">
      <w:pPr>
        <w:pStyle w:val="18"/>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5ABCEF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B68E1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83188D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2BC6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97B14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6F0F71AA">
      <w:pPr>
        <w:spacing w:line="360" w:lineRule="auto"/>
        <w:ind w:firstLine="4800" w:firstLineChars="2000"/>
        <w:rPr>
          <w:rFonts w:ascii="宋体" w:hAnsi="宋体" w:eastAsia="宋体"/>
          <w:color w:val="auto"/>
          <w:sz w:val="24"/>
          <w:highlight w:val="none"/>
        </w:rPr>
      </w:pPr>
    </w:p>
    <w:p w14:paraId="4260FD6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A2B28B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F61ACEA">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47BF7C67">
      <w:pPr>
        <w:spacing w:line="360" w:lineRule="auto"/>
        <w:jc w:val="center"/>
        <w:outlineLvl w:val="1"/>
        <w:rPr>
          <w:rFonts w:hint="eastAsia" w:asciiTheme="minorEastAsia" w:hAnsiTheme="minorEastAsia" w:eastAsiaTheme="minorEastAsia"/>
          <w:b/>
          <w:color w:val="auto"/>
          <w:sz w:val="24"/>
          <w:highlight w:val="none"/>
        </w:rPr>
      </w:pPr>
      <w:bookmarkStart w:id="40" w:name="_Toc1328"/>
      <w:r>
        <w:rPr>
          <w:rFonts w:hint="eastAsia" w:asciiTheme="minorEastAsia" w:hAnsiTheme="minorEastAsia" w:eastAsiaTheme="minorEastAsia"/>
          <w:b/>
          <w:color w:val="auto"/>
          <w:sz w:val="24"/>
          <w:highlight w:val="none"/>
          <w:lang w:val="en-US" w:eastAsia="zh-CN"/>
        </w:rPr>
        <w:t>三．投标人资格声明书</w:t>
      </w:r>
      <w:bookmarkEnd w:id="40"/>
      <w:r>
        <w:rPr>
          <w:rFonts w:hint="eastAsia" w:asciiTheme="minorEastAsia" w:hAnsiTheme="minorEastAsia" w:eastAsiaTheme="minorEastAsia"/>
          <w:b/>
          <w:color w:val="auto"/>
          <w:sz w:val="24"/>
          <w:highlight w:val="none"/>
          <w:lang w:val="en-US" w:eastAsia="zh-CN"/>
        </w:rPr>
        <w:t xml:space="preserve"> </w:t>
      </w:r>
    </w:p>
    <w:p w14:paraId="0EE26206">
      <w:pPr>
        <w:pStyle w:val="18"/>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76CF7B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640801D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DBECA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1F9EE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265F64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4208B5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45CE78F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7681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FFBA982">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63048443">
            <w:pPr>
              <w:pStyle w:val="1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524D61E8">
            <w:pPr>
              <w:pStyle w:val="1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5337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FCB143D">
            <w:pPr>
              <w:pStyle w:val="1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54A9A1A">
            <w:pPr>
              <w:pStyle w:val="1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CB993B8">
            <w:pPr>
              <w:pStyle w:val="1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93D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19E53A1">
            <w:pPr>
              <w:pStyle w:val="1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0F557CCA">
            <w:pPr>
              <w:pStyle w:val="1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201E3E6">
            <w:pPr>
              <w:pStyle w:val="1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EBF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46948ED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7963D2">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1A1C3BA">
      <w:pPr>
        <w:pStyle w:val="14"/>
        <w:rPr>
          <w:rFonts w:hint="eastAsia" w:asciiTheme="minorEastAsia" w:hAnsiTheme="minorEastAsia" w:eastAsiaTheme="minorEastAsia" w:cstheme="minorEastAsia"/>
          <w:color w:val="auto"/>
          <w:kern w:val="0"/>
          <w:sz w:val="24"/>
          <w:szCs w:val="24"/>
          <w:highlight w:val="none"/>
          <w:lang w:val="en-US" w:eastAsia="zh-CN" w:bidi="ar"/>
        </w:rPr>
      </w:pPr>
    </w:p>
    <w:p w14:paraId="65E2F1CF">
      <w:pPr>
        <w:pStyle w:val="14"/>
        <w:rPr>
          <w:rFonts w:hint="eastAsia" w:asciiTheme="minorEastAsia" w:hAnsiTheme="minorEastAsia" w:eastAsiaTheme="minorEastAsia" w:cstheme="minorEastAsia"/>
          <w:color w:val="auto"/>
          <w:kern w:val="0"/>
          <w:sz w:val="24"/>
          <w:szCs w:val="24"/>
          <w:highlight w:val="none"/>
          <w:lang w:val="en-US" w:eastAsia="zh-CN" w:bidi="ar"/>
        </w:rPr>
      </w:pPr>
    </w:p>
    <w:p w14:paraId="60EE0FC3">
      <w:pPr>
        <w:pStyle w:val="14"/>
        <w:rPr>
          <w:rFonts w:hint="eastAsia" w:asciiTheme="minorEastAsia" w:hAnsiTheme="minorEastAsia" w:eastAsiaTheme="minorEastAsia" w:cstheme="minorEastAsia"/>
          <w:color w:val="auto"/>
          <w:kern w:val="0"/>
          <w:sz w:val="24"/>
          <w:szCs w:val="24"/>
          <w:highlight w:val="none"/>
          <w:lang w:val="en-US" w:eastAsia="zh-CN" w:bidi="ar"/>
        </w:rPr>
      </w:pPr>
    </w:p>
    <w:p w14:paraId="49B0ABAD">
      <w:pPr>
        <w:rPr>
          <w:rFonts w:hint="eastAsia" w:asciiTheme="minorEastAsia" w:hAnsiTheme="minorEastAsia" w:eastAsiaTheme="minorEastAsia"/>
          <w:b/>
          <w:color w:val="auto"/>
          <w:sz w:val="24"/>
          <w:highlight w:val="none"/>
        </w:rPr>
      </w:pPr>
      <w:bookmarkStart w:id="41" w:name="_Toc11607"/>
      <w:r>
        <w:rPr>
          <w:rFonts w:hint="eastAsia" w:asciiTheme="minorEastAsia" w:hAnsiTheme="minorEastAsia" w:eastAsiaTheme="minorEastAsia"/>
          <w:b/>
          <w:color w:val="auto"/>
          <w:sz w:val="24"/>
          <w:highlight w:val="none"/>
        </w:rPr>
        <w:br w:type="page"/>
      </w:r>
    </w:p>
    <w:p w14:paraId="03DD6AD0">
      <w:pPr>
        <w:spacing w:line="360" w:lineRule="auto"/>
        <w:jc w:val="center"/>
        <w:outlineLvl w:val="1"/>
        <w:rPr>
          <w:rFonts w:asciiTheme="minorEastAsia" w:hAnsiTheme="minorEastAsia" w:eastAsiaTheme="minorEastAsia"/>
          <w:b/>
          <w:color w:val="auto"/>
          <w:sz w:val="24"/>
          <w:highlight w:val="none"/>
        </w:rPr>
      </w:pPr>
      <w:bookmarkStart w:id="42" w:name="_Toc16960"/>
      <w:r>
        <w:rPr>
          <w:rFonts w:hint="eastAsia" w:asciiTheme="minorEastAsia" w:hAnsiTheme="minorEastAsia" w:eastAsiaTheme="minorEastAsia"/>
          <w:b/>
          <w:color w:val="auto"/>
          <w:sz w:val="24"/>
          <w:highlight w:val="none"/>
        </w:rPr>
        <w:t>四、授权书</w:t>
      </w:r>
      <w:bookmarkEnd w:id="41"/>
      <w:bookmarkEnd w:id="42"/>
    </w:p>
    <w:p w14:paraId="0CB21365">
      <w:pPr>
        <w:pStyle w:val="17"/>
        <w:snapToGrid w:val="0"/>
        <w:spacing w:line="360" w:lineRule="auto"/>
        <w:ind w:firstLine="480" w:firstLineChars="200"/>
        <w:jc w:val="left"/>
        <w:rPr>
          <w:rFonts w:hAnsi="宋体" w:eastAsia="宋体"/>
          <w:color w:val="auto"/>
          <w:sz w:val="24"/>
          <w:szCs w:val="28"/>
          <w:highlight w:val="none"/>
        </w:rPr>
      </w:pPr>
    </w:p>
    <w:p w14:paraId="2A480C7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1A613E31">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ED6431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65817EAF">
      <w:pPr>
        <w:spacing w:line="360" w:lineRule="auto"/>
        <w:ind w:firstLine="435"/>
        <w:rPr>
          <w:rFonts w:asciiTheme="minorEastAsia" w:hAnsiTheme="minorEastAsia" w:eastAsiaTheme="minorEastAsia"/>
          <w:color w:val="auto"/>
          <w:sz w:val="24"/>
          <w:highlight w:val="none"/>
        </w:rPr>
      </w:pPr>
    </w:p>
    <w:p w14:paraId="2AC8621B">
      <w:pPr>
        <w:spacing w:line="360" w:lineRule="auto"/>
        <w:ind w:firstLine="435"/>
        <w:rPr>
          <w:rFonts w:asciiTheme="minorEastAsia" w:hAnsiTheme="minorEastAsia" w:eastAsiaTheme="minorEastAsia"/>
          <w:color w:val="auto"/>
          <w:sz w:val="24"/>
          <w:highlight w:val="none"/>
        </w:rPr>
      </w:pPr>
    </w:p>
    <w:p w14:paraId="58AE91A7">
      <w:pPr>
        <w:spacing w:line="360" w:lineRule="auto"/>
        <w:ind w:firstLine="435"/>
        <w:rPr>
          <w:rFonts w:asciiTheme="minorEastAsia" w:hAnsiTheme="minorEastAsia" w:eastAsiaTheme="minorEastAsia"/>
          <w:color w:val="auto"/>
          <w:sz w:val="24"/>
          <w:highlight w:val="none"/>
        </w:rPr>
      </w:pPr>
    </w:p>
    <w:p w14:paraId="3B6B54DE">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33DCF527">
      <w:pPr>
        <w:spacing w:line="360" w:lineRule="auto"/>
        <w:ind w:firstLine="435"/>
        <w:rPr>
          <w:rFonts w:hAnsi="宋体" w:eastAsia="宋体"/>
          <w:color w:val="auto"/>
          <w:sz w:val="24"/>
          <w:szCs w:val="28"/>
          <w:highlight w:val="none"/>
          <w:lang w:val="zh-CN"/>
        </w:rPr>
      </w:pPr>
    </w:p>
    <w:p w14:paraId="0A633744">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0EECEEE2">
      <w:pPr>
        <w:spacing w:line="360" w:lineRule="auto"/>
        <w:rPr>
          <w:rFonts w:ascii="宋体" w:hAnsi="宋体" w:eastAsia="宋体"/>
          <w:color w:val="auto"/>
          <w:sz w:val="24"/>
          <w:szCs w:val="28"/>
          <w:highlight w:val="none"/>
        </w:rPr>
      </w:pPr>
    </w:p>
    <w:p w14:paraId="4B82FF6D">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5432EAE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11541AA0">
      <w:pPr>
        <w:spacing w:line="360" w:lineRule="auto"/>
        <w:ind w:firstLine="435"/>
        <w:rPr>
          <w:rFonts w:asciiTheme="minorEastAsia" w:hAnsiTheme="minorEastAsia" w:eastAsiaTheme="minorEastAsia"/>
          <w:color w:val="auto"/>
          <w:sz w:val="24"/>
          <w:highlight w:val="none"/>
        </w:rPr>
      </w:pPr>
    </w:p>
    <w:p w14:paraId="13F3FE88">
      <w:pPr>
        <w:spacing w:line="360" w:lineRule="auto"/>
        <w:ind w:firstLine="435"/>
        <w:rPr>
          <w:rFonts w:asciiTheme="minorEastAsia" w:hAnsiTheme="minorEastAsia" w:eastAsiaTheme="minorEastAsia"/>
          <w:color w:val="auto"/>
          <w:sz w:val="24"/>
          <w:highlight w:val="none"/>
        </w:rPr>
      </w:pPr>
    </w:p>
    <w:p w14:paraId="717A133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4CB960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C2E34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32B2081E">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0527F2B">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43" w:name="_Toc6796"/>
      <w:bookmarkStart w:id="44" w:name="_Toc31991"/>
      <w:r>
        <w:rPr>
          <w:rFonts w:hint="eastAsia" w:asciiTheme="minorEastAsia" w:hAnsiTheme="minorEastAsia" w:eastAsiaTheme="minorEastAsia"/>
          <w:b/>
          <w:color w:val="auto"/>
          <w:sz w:val="24"/>
          <w:highlight w:val="none"/>
        </w:rPr>
        <w:t>五、投标分项报价表</w:t>
      </w:r>
      <w:bookmarkEnd w:id="43"/>
      <w:bookmarkEnd w:id="44"/>
    </w:p>
    <w:p w14:paraId="233E5C65">
      <w:pPr>
        <w:pStyle w:val="55"/>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8"/>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70"/>
        <w:gridCol w:w="1169"/>
        <w:gridCol w:w="1316"/>
        <w:gridCol w:w="672"/>
        <w:gridCol w:w="672"/>
        <w:gridCol w:w="940"/>
        <w:gridCol w:w="940"/>
        <w:gridCol w:w="670"/>
      </w:tblGrid>
      <w:tr w14:paraId="21CD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0" w:type="dxa"/>
            <w:noWrap w:val="0"/>
            <w:vAlign w:val="center"/>
          </w:tcPr>
          <w:p w14:paraId="4406F17A">
            <w:pPr>
              <w:pStyle w:val="47"/>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1470" w:type="dxa"/>
            <w:noWrap w:val="0"/>
            <w:vAlign w:val="center"/>
          </w:tcPr>
          <w:p w14:paraId="72998CE2">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1169" w:type="dxa"/>
            <w:noWrap w:val="0"/>
            <w:vAlign w:val="center"/>
          </w:tcPr>
          <w:p w14:paraId="37EAD46E">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6E4D80D9">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1316" w:type="dxa"/>
            <w:noWrap w:val="0"/>
            <w:vAlign w:val="center"/>
          </w:tcPr>
          <w:p w14:paraId="06D1ADBA">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124404C4">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672" w:type="dxa"/>
            <w:noWrap w:val="0"/>
            <w:vAlign w:val="center"/>
          </w:tcPr>
          <w:p w14:paraId="57A88A50">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672" w:type="dxa"/>
            <w:noWrap w:val="0"/>
            <w:vAlign w:val="center"/>
          </w:tcPr>
          <w:p w14:paraId="152D0551">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940" w:type="dxa"/>
            <w:noWrap w:val="0"/>
            <w:vAlign w:val="center"/>
          </w:tcPr>
          <w:p w14:paraId="358CB791">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05AE018B">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940" w:type="dxa"/>
            <w:noWrap w:val="0"/>
            <w:vAlign w:val="center"/>
          </w:tcPr>
          <w:p w14:paraId="041C9DD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42E09765">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670" w:type="dxa"/>
            <w:noWrap w:val="0"/>
            <w:vAlign w:val="center"/>
          </w:tcPr>
          <w:p w14:paraId="0697BC77">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5851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tcBorders>
              <w:bottom w:val="single" w:color="auto" w:sz="4" w:space="0"/>
            </w:tcBorders>
            <w:noWrap w:val="0"/>
            <w:vAlign w:val="center"/>
          </w:tcPr>
          <w:p w14:paraId="0B308941">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1470" w:type="dxa"/>
            <w:noWrap w:val="0"/>
            <w:vAlign w:val="center"/>
          </w:tcPr>
          <w:p w14:paraId="71FB634B">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5C0F7F29">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44D9F68">
            <w:pPr>
              <w:jc w:val="center"/>
              <w:rPr>
                <w:rFonts w:ascii="宋体" w:hAnsi="宋体" w:eastAsia="宋体"/>
                <w:color w:val="auto"/>
                <w:sz w:val="21"/>
                <w:szCs w:val="21"/>
                <w:highlight w:val="none"/>
              </w:rPr>
            </w:pPr>
          </w:p>
        </w:tc>
        <w:tc>
          <w:tcPr>
            <w:tcW w:w="672" w:type="dxa"/>
            <w:noWrap w:val="0"/>
            <w:vAlign w:val="center"/>
          </w:tcPr>
          <w:p w14:paraId="37FAEBFE">
            <w:pPr>
              <w:jc w:val="center"/>
              <w:rPr>
                <w:rFonts w:ascii="宋体" w:hAnsi="宋体" w:eastAsia="宋体"/>
                <w:color w:val="auto"/>
                <w:sz w:val="21"/>
                <w:szCs w:val="21"/>
                <w:highlight w:val="none"/>
              </w:rPr>
            </w:pPr>
          </w:p>
        </w:tc>
        <w:tc>
          <w:tcPr>
            <w:tcW w:w="672" w:type="dxa"/>
            <w:noWrap w:val="0"/>
            <w:vAlign w:val="center"/>
          </w:tcPr>
          <w:p w14:paraId="61492FA0">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760B635">
            <w:pPr>
              <w:rPr>
                <w:rFonts w:ascii="宋体" w:hAnsi="宋体" w:eastAsia="宋体"/>
                <w:color w:val="auto"/>
                <w:sz w:val="24"/>
                <w:highlight w:val="none"/>
              </w:rPr>
            </w:pPr>
          </w:p>
        </w:tc>
        <w:tc>
          <w:tcPr>
            <w:tcW w:w="940" w:type="dxa"/>
            <w:noWrap w:val="0"/>
            <w:vAlign w:val="top"/>
          </w:tcPr>
          <w:p w14:paraId="03B20F3D">
            <w:pPr>
              <w:rPr>
                <w:rFonts w:ascii="宋体" w:hAnsi="宋体" w:eastAsia="宋体"/>
                <w:color w:val="auto"/>
                <w:sz w:val="24"/>
                <w:highlight w:val="none"/>
              </w:rPr>
            </w:pPr>
          </w:p>
        </w:tc>
        <w:tc>
          <w:tcPr>
            <w:tcW w:w="670" w:type="dxa"/>
            <w:noWrap w:val="0"/>
            <w:vAlign w:val="top"/>
          </w:tcPr>
          <w:p w14:paraId="3173878A">
            <w:pPr>
              <w:rPr>
                <w:rFonts w:ascii="宋体" w:hAnsi="宋体" w:eastAsia="宋体"/>
                <w:color w:val="auto"/>
                <w:sz w:val="24"/>
                <w:highlight w:val="none"/>
              </w:rPr>
            </w:pPr>
          </w:p>
        </w:tc>
      </w:tr>
      <w:tr w14:paraId="004C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0" w:type="dxa"/>
            <w:noWrap w:val="0"/>
            <w:vAlign w:val="center"/>
          </w:tcPr>
          <w:p w14:paraId="452098E5">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1470" w:type="dxa"/>
            <w:noWrap w:val="0"/>
            <w:vAlign w:val="center"/>
          </w:tcPr>
          <w:p w14:paraId="1353F9B6">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8B6174E">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3749F839">
            <w:pPr>
              <w:jc w:val="center"/>
              <w:rPr>
                <w:rFonts w:ascii="宋体" w:hAnsi="宋体" w:eastAsia="宋体"/>
                <w:color w:val="auto"/>
                <w:sz w:val="21"/>
                <w:szCs w:val="21"/>
                <w:highlight w:val="none"/>
              </w:rPr>
            </w:pPr>
          </w:p>
        </w:tc>
        <w:tc>
          <w:tcPr>
            <w:tcW w:w="672" w:type="dxa"/>
            <w:noWrap w:val="0"/>
            <w:vAlign w:val="center"/>
          </w:tcPr>
          <w:p w14:paraId="0D8BC5CA">
            <w:pPr>
              <w:jc w:val="center"/>
              <w:rPr>
                <w:rFonts w:ascii="宋体" w:hAnsi="宋体" w:eastAsia="宋体"/>
                <w:color w:val="auto"/>
                <w:sz w:val="21"/>
                <w:szCs w:val="21"/>
                <w:highlight w:val="none"/>
              </w:rPr>
            </w:pPr>
          </w:p>
        </w:tc>
        <w:tc>
          <w:tcPr>
            <w:tcW w:w="672" w:type="dxa"/>
            <w:noWrap w:val="0"/>
            <w:vAlign w:val="center"/>
          </w:tcPr>
          <w:p w14:paraId="30FF89A3">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54E6C63">
            <w:pPr>
              <w:rPr>
                <w:rFonts w:ascii="宋体" w:hAnsi="宋体" w:eastAsia="宋体"/>
                <w:color w:val="auto"/>
                <w:sz w:val="24"/>
                <w:highlight w:val="none"/>
              </w:rPr>
            </w:pPr>
          </w:p>
        </w:tc>
        <w:tc>
          <w:tcPr>
            <w:tcW w:w="940" w:type="dxa"/>
            <w:noWrap w:val="0"/>
            <w:vAlign w:val="top"/>
          </w:tcPr>
          <w:p w14:paraId="7C1B5F0A">
            <w:pPr>
              <w:rPr>
                <w:rFonts w:ascii="宋体" w:hAnsi="宋体" w:eastAsia="宋体"/>
                <w:color w:val="auto"/>
                <w:sz w:val="24"/>
                <w:highlight w:val="none"/>
              </w:rPr>
            </w:pPr>
          </w:p>
        </w:tc>
        <w:tc>
          <w:tcPr>
            <w:tcW w:w="670" w:type="dxa"/>
            <w:noWrap w:val="0"/>
            <w:vAlign w:val="top"/>
          </w:tcPr>
          <w:p w14:paraId="25F6739D">
            <w:pPr>
              <w:rPr>
                <w:rFonts w:ascii="宋体" w:hAnsi="宋体" w:eastAsia="宋体"/>
                <w:color w:val="auto"/>
                <w:sz w:val="24"/>
                <w:highlight w:val="none"/>
              </w:rPr>
            </w:pPr>
          </w:p>
        </w:tc>
      </w:tr>
      <w:tr w14:paraId="59FF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375C9DE9">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1470" w:type="dxa"/>
            <w:noWrap w:val="0"/>
            <w:vAlign w:val="center"/>
          </w:tcPr>
          <w:p w14:paraId="174B81FB">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D117695">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0EBCFBFF">
            <w:pPr>
              <w:jc w:val="center"/>
              <w:rPr>
                <w:rFonts w:ascii="宋体" w:hAnsi="宋体" w:eastAsia="宋体"/>
                <w:color w:val="auto"/>
                <w:sz w:val="21"/>
                <w:szCs w:val="21"/>
                <w:highlight w:val="none"/>
              </w:rPr>
            </w:pPr>
          </w:p>
        </w:tc>
        <w:tc>
          <w:tcPr>
            <w:tcW w:w="672" w:type="dxa"/>
            <w:noWrap w:val="0"/>
            <w:vAlign w:val="center"/>
          </w:tcPr>
          <w:p w14:paraId="16900098">
            <w:pPr>
              <w:jc w:val="center"/>
              <w:rPr>
                <w:rFonts w:ascii="宋体" w:hAnsi="宋体" w:eastAsia="宋体"/>
                <w:color w:val="auto"/>
                <w:sz w:val="21"/>
                <w:szCs w:val="21"/>
                <w:highlight w:val="none"/>
              </w:rPr>
            </w:pPr>
          </w:p>
        </w:tc>
        <w:tc>
          <w:tcPr>
            <w:tcW w:w="672" w:type="dxa"/>
            <w:noWrap w:val="0"/>
            <w:vAlign w:val="center"/>
          </w:tcPr>
          <w:p w14:paraId="44D25880">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4306224D">
            <w:pPr>
              <w:rPr>
                <w:rFonts w:ascii="宋体" w:hAnsi="宋体" w:eastAsia="宋体"/>
                <w:color w:val="auto"/>
                <w:sz w:val="24"/>
                <w:highlight w:val="none"/>
              </w:rPr>
            </w:pPr>
          </w:p>
        </w:tc>
        <w:tc>
          <w:tcPr>
            <w:tcW w:w="940" w:type="dxa"/>
            <w:noWrap w:val="0"/>
            <w:vAlign w:val="top"/>
          </w:tcPr>
          <w:p w14:paraId="2D58D4C9">
            <w:pPr>
              <w:rPr>
                <w:rFonts w:ascii="宋体" w:hAnsi="宋体" w:eastAsia="宋体"/>
                <w:color w:val="auto"/>
                <w:sz w:val="24"/>
                <w:highlight w:val="none"/>
              </w:rPr>
            </w:pPr>
          </w:p>
        </w:tc>
        <w:tc>
          <w:tcPr>
            <w:tcW w:w="670" w:type="dxa"/>
            <w:noWrap w:val="0"/>
            <w:vAlign w:val="top"/>
          </w:tcPr>
          <w:p w14:paraId="03C9A20F">
            <w:pPr>
              <w:rPr>
                <w:rFonts w:ascii="宋体" w:hAnsi="宋体" w:eastAsia="宋体"/>
                <w:color w:val="auto"/>
                <w:sz w:val="24"/>
                <w:highlight w:val="none"/>
              </w:rPr>
            </w:pPr>
          </w:p>
        </w:tc>
      </w:tr>
      <w:tr w14:paraId="5835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66D707BF">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w:t>
            </w:r>
          </w:p>
        </w:tc>
        <w:tc>
          <w:tcPr>
            <w:tcW w:w="1470" w:type="dxa"/>
            <w:noWrap w:val="0"/>
            <w:vAlign w:val="center"/>
          </w:tcPr>
          <w:p w14:paraId="3862BC7E">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8D7B20F">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8F016DB">
            <w:pPr>
              <w:jc w:val="center"/>
              <w:rPr>
                <w:rFonts w:ascii="宋体" w:hAnsi="宋体" w:eastAsia="宋体"/>
                <w:color w:val="auto"/>
                <w:sz w:val="21"/>
                <w:szCs w:val="21"/>
                <w:highlight w:val="none"/>
              </w:rPr>
            </w:pPr>
          </w:p>
        </w:tc>
        <w:tc>
          <w:tcPr>
            <w:tcW w:w="672" w:type="dxa"/>
            <w:noWrap w:val="0"/>
            <w:vAlign w:val="center"/>
          </w:tcPr>
          <w:p w14:paraId="54FD2DF0">
            <w:pPr>
              <w:jc w:val="center"/>
              <w:rPr>
                <w:rFonts w:ascii="宋体" w:hAnsi="宋体" w:eastAsia="宋体"/>
                <w:color w:val="auto"/>
                <w:sz w:val="21"/>
                <w:szCs w:val="21"/>
                <w:highlight w:val="none"/>
              </w:rPr>
            </w:pPr>
          </w:p>
        </w:tc>
        <w:tc>
          <w:tcPr>
            <w:tcW w:w="672" w:type="dxa"/>
            <w:noWrap w:val="0"/>
            <w:vAlign w:val="center"/>
          </w:tcPr>
          <w:p w14:paraId="46F3C5EA">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6F4D24B">
            <w:pPr>
              <w:rPr>
                <w:rFonts w:ascii="宋体" w:hAnsi="宋体" w:eastAsia="宋体"/>
                <w:color w:val="auto"/>
                <w:sz w:val="24"/>
                <w:highlight w:val="none"/>
              </w:rPr>
            </w:pPr>
          </w:p>
        </w:tc>
        <w:tc>
          <w:tcPr>
            <w:tcW w:w="940" w:type="dxa"/>
            <w:noWrap w:val="0"/>
            <w:vAlign w:val="top"/>
          </w:tcPr>
          <w:p w14:paraId="31B6B92F">
            <w:pPr>
              <w:rPr>
                <w:rFonts w:ascii="宋体" w:hAnsi="宋体" w:eastAsia="宋体"/>
                <w:color w:val="auto"/>
                <w:sz w:val="24"/>
                <w:highlight w:val="none"/>
              </w:rPr>
            </w:pPr>
          </w:p>
        </w:tc>
        <w:tc>
          <w:tcPr>
            <w:tcW w:w="670" w:type="dxa"/>
            <w:noWrap w:val="0"/>
            <w:vAlign w:val="top"/>
          </w:tcPr>
          <w:p w14:paraId="24036402">
            <w:pPr>
              <w:rPr>
                <w:rFonts w:ascii="宋体" w:hAnsi="宋体" w:eastAsia="宋体"/>
                <w:color w:val="auto"/>
                <w:sz w:val="24"/>
                <w:highlight w:val="none"/>
              </w:rPr>
            </w:pPr>
          </w:p>
        </w:tc>
      </w:tr>
      <w:tr w14:paraId="0799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07EDAB93">
            <w:pPr>
              <w:jc w:val="center"/>
              <w:rPr>
                <w:rFonts w:hint="eastAsia" w:ascii="宋体" w:hAnsi="宋体" w:eastAsia="宋体"/>
                <w:color w:val="auto"/>
                <w:sz w:val="21"/>
                <w:szCs w:val="21"/>
                <w:highlight w:val="none"/>
              </w:rPr>
            </w:pPr>
          </w:p>
        </w:tc>
        <w:tc>
          <w:tcPr>
            <w:tcW w:w="1470" w:type="dxa"/>
            <w:noWrap w:val="0"/>
            <w:vAlign w:val="center"/>
          </w:tcPr>
          <w:p w14:paraId="1A64985A">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5A611429">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7FD8A80A">
            <w:pPr>
              <w:jc w:val="center"/>
              <w:rPr>
                <w:rFonts w:ascii="宋体" w:hAnsi="宋体" w:eastAsia="宋体"/>
                <w:color w:val="auto"/>
                <w:sz w:val="21"/>
                <w:szCs w:val="21"/>
                <w:highlight w:val="none"/>
              </w:rPr>
            </w:pPr>
          </w:p>
        </w:tc>
        <w:tc>
          <w:tcPr>
            <w:tcW w:w="672" w:type="dxa"/>
            <w:noWrap w:val="0"/>
            <w:vAlign w:val="center"/>
          </w:tcPr>
          <w:p w14:paraId="69EF4342">
            <w:pPr>
              <w:jc w:val="center"/>
              <w:rPr>
                <w:rFonts w:ascii="宋体" w:hAnsi="宋体" w:eastAsia="宋体"/>
                <w:color w:val="auto"/>
                <w:sz w:val="21"/>
                <w:szCs w:val="21"/>
                <w:highlight w:val="none"/>
              </w:rPr>
            </w:pPr>
          </w:p>
        </w:tc>
        <w:tc>
          <w:tcPr>
            <w:tcW w:w="672" w:type="dxa"/>
            <w:noWrap w:val="0"/>
            <w:vAlign w:val="center"/>
          </w:tcPr>
          <w:p w14:paraId="01A81082">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3BDA0F2C">
            <w:pPr>
              <w:rPr>
                <w:rFonts w:ascii="宋体" w:hAnsi="宋体" w:eastAsia="宋体"/>
                <w:color w:val="auto"/>
                <w:sz w:val="24"/>
                <w:highlight w:val="none"/>
              </w:rPr>
            </w:pPr>
          </w:p>
        </w:tc>
        <w:tc>
          <w:tcPr>
            <w:tcW w:w="940" w:type="dxa"/>
            <w:noWrap w:val="0"/>
            <w:vAlign w:val="top"/>
          </w:tcPr>
          <w:p w14:paraId="0254E4D3">
            <w:pPr>
              <w:rPr>
                <w:rFonts w:ascii="宋体" w:hAnsi="宋体" w:eastAsia="宋体"/>
                <w:color w:val="auto"/>
                <w:sz w:val="24"/>
                <w:highlight w:val="none"/>
              </w:rPr>
            </w:pPr>
          </w:p>
        </w:tc>
        <w:tc>
          <w:tcPr>
            <w:tcW w:w="670" w:type="dxa"/>
            <w:noWrap w:val="0"/>
            <w:vAlign w:val="top"/>
          </w:tcPr>
          <w:p w14:paraId="524EB088">
            <w:pPr>
              <w:rPr>
                <w:rFonts w:ascii="宋体" w:hAnsi="宋体" w:eastAsia="宋体"/>
                <w:color w:val="auto"/>
                <w:sz w:val="24"/>
                <w:highlight w:val="none"/>
              </w:rPr>
            </w:pPr>
          </w:p>
        </w:tc>
      </w:tr>
      <w:tr w14:paraId="6663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106EAE7E">
            <w:pPr>
              <w:jc w:val="center"/>
              <w:rPr>
                <w:rFonts w:hint="eastAsia" w:ascii="宋体" w:hAnsi="宋体" w:eastAsia="宋体"/>
                <w:color w:val="auto"/>
                <w:sz w:val="21"/>
                <w:szCs w:val="21"/>
                <w:highlight w:val="none"/>
              </w:rPr>
            </w:pPr>
          </w:p>
        </w:tc>
        <w:tc>
          <w:tcPr>
            <w:tcW w:w="1470" w:type="dxa"/>
            <w:noWrap w:val="0"/>
            <w:vAlign w:val="center"/>
          </w:tcPr>
          <w:p w14:paraId="636F18BD">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CB2CF6E">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69CFBCE">
            <w:pPr>
              <w:jc w:val="center"/>
              <w:rPr>
                <w:rFonts w:ascii="宋体" w:hAnsi="宋体" w:eastAsia="宋体"/>
                <w:color w:val="auto"/>
                <w:sz w:val="21"/>
                <w:szCs w:val="21"/>
                <w:highlight w:val="none"/>
              </w:rPr>
            </w:pPr>
          </w:p>
        </w:tc>
        <w:tc>
          <w:tcPr>
            <w:tcW w:w="672" w:type="dxa"/>
            <w:noWrap w:val="0"/>
            <w:vAlign w:val="center"/>
          </w:tcPr>
          <w:p w14:paraId="70FC1ECA">
            <w:pPr>
              <w:jc w:val="center"/>
              <w:rPr>
                <w:rFonts w:ascii="宋体" w:hAnsi="宋体" w:eastAsia="宋体"/>
                <w:color w:val="auto"/>
                <w:sz w:val="21"/>
                <w:szCs w:val="21"/>
                <w:highlight w:val="none"/>
              </w:rPr>
            </w:pPr>
          </w:p>
        </w:tc>
        <w:tc>
          <w:tcPr>
            <w:tcW w:w="672" w:type="dxa"/>
            <w:noWrap w:val="0"/>
            <w:vAlign w:val="center"/>
          </w:tcPr>
          <w:p w14:paraId="2762FB23">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9013C04">
            <w:pPr>
              <w:rPr>
                <w:rFonts w:ascii="宋体" w:hAnsi="宋体" w:eastAsia="宋体"/>
                <w:color w:val="auto"/>
                <w:sz w:val="24"/>
                <w:highlight w:val="none"/>
              </w:rPr>
            </w:pPr>
          </w:p>
        </w:tc>
        <w:tc>
          <w:tcPr>
            <w:tcW w:w="940" w:type="dxa"/>
            <w:noWrap w:val="0"/>
            <w:vAlign w:val="top"/>
          </w:tcPr>
          <w:p w14:paraId="2B695C1C">
            <w:pPr>
              <w:rPr>
                <w:rFonts w:ascii="宋体" w:hAnsi="宋体" w:eastAsia="宋体"/>
                <w:color w:val="auto"/>
                <w:sz w:val="24"/>
                <w:highlight w:val="none"/>
              </w:rPr>
            </w:pPr>
          </w:p>
        </w:tc>
        <w:tc>
          <w:tcPr>
            <w:tcW w:w="670" w:type="dxa"/>
            <w:noWrap w:val="0"/>
            <w:vAlign w:val="top"/>
          </w:tcPr>
          <w:p w14:paraId="2ACBA1AF">
            <w:pPr>
              <w:rPr>
                <w:rFonts w:ascii="宋体" w:hAnsi="宋体" w:eastAsia="宋体"/>
                <w:color w:val="auto"/>
                <w:sz w:val="24"/>
                <w:highlight w:val="none"/>
              </w:rPr>
            </w:pPr>
          </w:p>
        </w:tc>
      </w:tr>
      <w:tr w14:paraId="4FCE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909" w:type="dxa"/>
            <w:gridSpan w:val="7"/>
            <w:noWrap w:val="0"/>
            <w:vAlign w:val="center"/>
          </w:tcPr>
          <w:p w14:paraId="37613190">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1610" w:type="dxa"/>
            <w:gridSpan w:val="2"/>
            <w:noWrap w:val="0"/>
            <w:vAlign w:val="top"/>
          </w:tcPr>
          <w:p w14:paraId="7DDBDF68">
            <w:pPr>
              <w:rPr>
                <w:rFonts w:ascii="宋体" w:hAnsi="宋体" w:eastAsia="宋体"/>
                <w:color w:val="auto"/>
                <w:sz w:val="24"/>
                <w:highlight w:val="none"/>
              </w:rPr>
            </w:pPr>
          </w:p>
        </w:tc>
      </w:tr>
    </w:tbl>
    <w:p w14:paraId="76AE1991">
      <w:pPr>
        <w:pStyle w:val="55"/>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8"/>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53BF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90" w:type="dxa"/>
            <w:noWrap w:val="0"/>
            <w:vAlign w:val="center"/>
          </w:tcPr>
          <w:p w14:paraId="1ACC116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3109" w:type="dxa"/>
            <w:noWrap w:val="0"/>
            <w:vAlign w:val="center"/>
          </w:tcPr>
          <w:p w14:paraId="1668ED8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1357" w:type="dxa"/>
            <w:noWrap w:val="0"/>
            <w:vAlign w:val="center"/>
          </w:tcPr>
          <w:p w14:paraId="00F3C06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1698" w:type="dxa"/>
            <w:noWrap w:val="0"/>
            <w:vAlign w:val="center"/>
          </w:tcPr>
          <w:p w14:paraId="0D68B68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1566" w:type="dxa"/>
            <w:noWrap w:val="0"/>
            <w:vAlign w:val="center"/>
          </w:tcPr>
          <w:p w14:paraId="30A9774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2F54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tcBorders>
              <w:bottom w:val="single" w:color="auto" w:sz="4" w:space="0"/>
            </w:tcBorders>
            <w:noWrap w:val="0"/>
            <w:vAlign w:val="center"/>
          </w:tcPr>
          <w:p w14:paraId="3103581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3109" w:type="dxa"/>
            <w:noWrap w:val="0"/>
            <w:vAlign w:val="center"/>
          </w:tcPr>
          <w:p w14:paraId="11CC037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1F821DF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744CDCD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6D7AD7D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02F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2AB64DF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3109" w:type="dxa"/>
            <w:noWrap w:val="0"/>
            <w:vAlign w:val="center"/>
          </w:tcPr>
          <w:p w14:paraId="5499661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73B9BA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3C919FA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32AA0E4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F9B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68D137A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3109" w:type="dxa"/>
            <w:noWrap w:val="0"/>
            <w:vAlign w:val="center"/>
          </w:tcPr>
          <w:p w14:paraId="0A8D7F6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7093D43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1FE4F3C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05FB6A1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727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4670211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3109" w:type="dxa"/>
            <w:noWrap w:val="0"/>
            <w:vAlign w:val="center"/>
          </w:tcPr>
          <w:p w14:paraId="5B25C27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1B9CE42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4BC01E6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338D9A7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F6A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54" w:type="dxa"/>
            <w:gridSpan w:val="4"/>
            <w:noWrap w:val="0"/>
            <w:vAlign w:val="center"/>
          </w:tcPr>
          <w:p w14:paraId="302CB83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1566" w:type="dxa"/>
            <w:noWrap w:val="0"/>
            <w:vAlign w:val="center"/>
          </w:tcPr>
          <w:p w14:paraId="2292EEE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1D430343">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6F80F203">
      <w:pPr>
        <w:pStyle w:val="55"/>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2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10A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7EC9E67">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47619CF2">
            <w:pPr>
              <w:spacing w:line="360" w:lineRule="auto"/>
              <w:rPr>
                <w:rFonts w:hint="eastAsia" w:ascii="宋体" w:hAnsi="宋体" w:eastAsia="宋体" w:cs="宋体"/>
                <w:color w:val="auto"/>
                <w:sz w:val="24"/>
                <w:szCs w:val="24"/>
                <w:highlight w:val="none"/>
                <w:u w:val="single"/>
                <w:lang w:val="en-US" w:eastAsia="zh-CN"/>
              </w:rPr>
            </w:pPr>
          </w:p>
          <w:p w14:paraId="5AD48516">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524C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20D7FF44">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4221F804">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7FE55E2">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3FC93B6D">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6FACFA89">
      <w:pPr>
        <w:spacing w:line="360" w:lineRule="auto"/>
        <w:rPr>
          <w:rFonts w:hint="eastAsia" w:ascii="宋体" w:hAnsi="宋体" w:eastAsia="宋体"/>
          <w:b/>
          <w:bCs/>
          <w:color w:val="auto"/>
          <w:sz w:val="21"/>
          <w:szCs w:val="21"/>
          <w:highlight w:val="none"/>
          <w:lang w:eastAsia="zh-CN"/>
        </w:rPr>
      </w:pPr>
    </w:p>
    <w:p w14:paraId="56597AF8">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81DE009">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DA1272C">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277B5076">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5F179795">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4DD4057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1484DE3">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45" w:name="_Toc11940"/>
      <w:bookmarkStart w:id="46" w:name="_Toc20329"/>
      <w:r>
        <w:rPr>
          <w:rFonts w:hint="eastAsia" w:asciiTheme="minorEastAsia" w:hAnsiTheme="minorEastAsia" w:eastAsiaTheme="minorEastAsia"/>
          <w:b/>
          <w:color w:val="auto"/>
          <w:sz w:val="24"/>
          <w:highlight w:val="none"/>
        </w:rPr>
        <w:t>六、投标响应表</w:t>
      </w:r>
      <w:bookmarkEnd w:id="45"/>
      <w:bookmarkEnd w:id="46"/>
    </w:p>
    <w:p w14:paraId="342E98B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15B6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180EF3FD">
            <w:pPr>
              <w:pStyle w:val="17"/>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06BC00FE">
            <w:pPr>
              <w:pStyle w:val="17"/>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67E4E639">
            <w:pPr>
              <w:pStyle w:val="17"/>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62F2D0BD">
            <w:pPr>
              <w:pStyle w:val="17"/>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5DC4408C">
            <w:pPr>
              <w:pStyle w:val="17"/>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B17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C5E7B6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3816B6C1">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7A5C9D08">
            <w:pPr>
              <w:jc w:val="center"/>
              <w:rPr>
                <w:rFonts w:asciiTheme="minorEastAsia" w:hAnsiTheme="minorEastAsia" w:eastAsiaTheme="minorEastAsia"/>
                <w:color w:val="auto"/>
                <w:sz w:val="24"/>
                <w:highlight w:val="none"/>
              </w:rPr>
            </w:pPr>
          </w:p>
        </w:tc>
        <w:tc>
          <w:tcPr>
            <w:tcW w:w="2575" w:type="dxa"/>
            <w:vAlign w:val="center"/>
          </w:tcPr>
          <w:p w14:paraId="760F75AF">
            <w:pPr>
              <w:jc w:val="center"/>
              <w:rPr>
                <w:rFonts w:asciiTheme="minorEastAsia" w:hAnsiTheme="minorEastAsia" w:eastAsiaTheme="minorEastAsia"/>
                <w:color w:val="auto"/>
                <w:sz w:val="24"/>
                <w:highlight w:val="none"/>
              </w:rPr>
            </w:pPr>
          </w:p>
        </w:tc>
        <w:tc>
          <w:tcPr>
            <w:tcW w:w="810" w:type="dxa"/>
            <w:vAlign w:val="center"/>
          </w:tcPr>
          <w:p w14:paraId="09587900">
            <w:pPr>
              <w:jc w:val="center"/>
              <w:rPr>
                <w:rFonts w:asciiTheme="minorEastAsia" w:hAnsiTheme="minorEastAsia" w:eastAsiaTheme="minorEastAsia"/>
                <w:color w:val="auto"/>
                <w:sz w:val="24"/>
                <w:highlight w:val="none"/>
              </w:rPr>
            </w:pPr>
          </w:p>
        </w:tc>
      </w:tr>
      <w:tr w14:paraId="6DF9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2C1C2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282E0815">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73682512">
            <w:pPr>
              <w:jc w:val="center"/>
              <w:rPr>
                <w:rFonts w:asciiTheme="minorEastAsia" w:hAnsiTheme="minorEastAsia" w:eastAsiaTheme="minorEastAsia"/>
                <w:color w:val="auto"/>
                <w:sz w:val="24"/>
                <w:highlight w:val="none"/>
              </w:rPr>
            </w:pPr>
          </w:p>
        </w:tc>
        <w:tc>
          <w:tcPr>
            <w:tcW w:w="2575" w:type="dxa"/>
            <w:vAlign w:val="center"/>
          </w:tcPr>
          <w:p w14:paraId="2FD3A480">
            <w:pPr>
              <w:jc w:val="center"/>
              <w:rPr>
                <w:rFonts w:asciiTheme="minorEastAsia" w:hAnsiTheme="minorEastAsia" w:eastAsiaTheme="minorEastAsia"/>
                <w:color w:val="auto"/>
                <w:sz w:val="24"/>
                <w:highlight w:val="none"/>
              </w:rPr>
            </w:pPr>
          </w:p>
        </w:tc>
        <w:tc>
          <w:tcPr>
            <w:tcW w:w="810" w:type="dxa"/>
            <w:vAlign w:val="center"/>
          </w:tcPr>
          <w:p w14:paraId="693EBAC5">
            <w:pPr>
              <w:jc w:val="center"/>
              <w:rPr>
                <w:rFonts w:asciiTheme="minorEastAsia" w:hAnsiTheme="minorEastAsia" w:eastAsiaTheme="minorEastAsia"/>
                <w:color w:val="auto"/>
                <w:sz w:val="24"/>
                <w:highlight w:val="none"/>
              </w:rPr>
            </w:pPr>
          </w:p>
        </w:tc>
      </w:tr>
      <w:tr w14:paraId="7DB5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7246FC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535C8E97">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16E15594">
            <w:pPr>
              <w:jc w:val="center"/>
              <w:rPr>
                <w:rFonts w:asciiTheme="minorEastAsia" w:hAnsiTheme="minorEastAsia" w:eastAsiaTheme="minorEastAsia"/>
                <w:color w:val="auto"/>
                <w:sz w:val="24"/>
                <w:highlight w:val="none"/>
              </w:rPr>
            </w:pPr>
          </w:p>
        </w:tc>
        <w:tc>
          <w:tcPr>
            <w:tcW w:w="2575" w:type="dxa"/>
            <w:vAlign w:val="center"/>
          </w:tcPr>
          <w:p w14:paraId="0A6E99A8">
            <w:pPr>
              <w:pStyle w:val="55"/>
              <w:jc w:val="center"/>
              <w:rPr>
                <w:rFonts w:asciiTheme="minorEastAsia" w:hAnsiTheme="minorEastAsia" w:eastAsiaTheme="minorEastAsia"/>
                <w:color w:val="auto"/>
                <w:highlight w:val="none"/>
              </w:rPr>
            </w:pPr>
          </w:p>
        </w:tc>
        <w:tc>
          <w:tcPr>
            <w:tcW w:w="810" w:type="dxa"/>
            <w:vAlign w:val="center"/>
          </w:tcPr>
          <w:p w14:paraId="24EC522D">
            <w:pPr>
              <w:jc w:val="center"/>
              <w:rPr>
                <w:rFonts w:asciiTheme="minorEastAsia" w:hAnsiTheme="minorEastAsia" w:eastAsiaTheme="minorEastAsia"/>
                <w:color w:val="auto"/>
                <w:sz w:val="24"/>
                <w:highlight w:val="none"/>
              </w:rPr>
            </w:pPr>
          </w:p>
        </w:tc>
      </w:tr>
      <w:tr w14:paraId="7C25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19F1A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3243C536">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2A2CCDA9">
            <w:pPr>
              <w:jc w:val="center"/>
              <w:rPr>
                <w:rFonts w:asciiTheme="minorEastAsia" w:hAnsiTheme="minorEastAsia" w:eastAsiaTheme="minorEastAsia"/>
                <w:color w:val="auto"/>
                <w:sz w:val="24"/>
                <w:highlight w:val="none"/>
              </w:rPr>
            </w:pPr>
          </w:p>
        </w:tc>
        <w:tc>
          <w:tcPr>
            <w:tcW w:w="2575" w:type="dxa"/>
            <w:vAlign w:val="center"/>
          </w:tcPr>
          <w:p w14:paraId="790E4F53">
            <w:pPr>
              <w:jc w:val="center"/>
              <w:rPr>
                <w:rFonts w:asciiTheme="minorEastAsia" w:hAnsiTheme="minorEastAsia" w:eastAsiaTheme="minorEastAsia"/>
                <w:color w:val="auto"/>
                <w:sz w:val="24"/>
                <w:highlight w:val="none"/>
              </w:rPr>
            </w:pPr>
          </w:p>
        </w:tc>
        <w:tc>
          <w:tcPr>
            <w:tcW w:w="810" w:type="dxa"/>
            <w:vAlign w:val="center"/>
          </w:tcPr>
          <w:p w14:paraId="3A2FD2EB">
            <w:pPr>
              <w:jc w:val="center"/>
              <w:rPr>
                <w:rFonts w:asciiTheme="minorEastAsia" w:hAnsiTheme="minorEastAsia" w:eastAsiaTheme="minorEastAsia"/>
                <w:color w:val="auto"/>
                <w:sz w:val="24"/>
                <w:highlight w:val="none"/>
              </w:rPr>
            </w:pPr>
          </w:p>
        </w:tc>
      </w:tr>
      <w:tr w14:paraId="56E8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7E4A2D7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405ABE04">
            <w:pPr>
              <w:jc w:val="center"/>
              <w:rPr>
                <w:rFonts w:ascii="宋体" w:hAnsi="宋体" w:eastAsia="宋体"/>
                <w:color w:val="auto"/>
                <w:sz w:val="24"/>
                <w:highlight w:val="none"/>
              </w:rPr>
            </w:pPr>
          </w:p>
        </w:tc>
        <w:tc>
          <w:tcPr>
            <w:tcW w:w="2498" w:type="dxa"/>
            <w:vAlign w:val="center"/>
          </w:tcPr>
          <w:p w14:paraId="48D6350C">
            <w:pPr>
              <w:jc w:val="center"/>
              <w:rPr>
                <w:rFonts w:asciiTheme="minorEastAsia" w:hAnsiTheme="minorEastAsia" w:eastAsiaTheme="minorEastAsia"/>
                <w:color w:val="auto"/>
                <w:sz w:val="24"/>
                <w:highlight w:val="none"/>
              </w:rPr>
            </w:pPr>
          </w:p>
        </w:tc>
        <w:tc>
          <w:tcPr>
            <w:tcW w:w="2575" w:type="dxa"/>
            <w:vAlign w:val="center"/>
          </w:tcPr>
          <w:p w14:paraId="596F4EBE">
            <w:pPr>
              <w:jc w:val="center"/>
              <w:rPr>
                <w:rFonts w:asciiTheme="minorEastAsia" w:hAnsiTheme="minorEastAsia" w:eastAsiaTheme="minorEastAsia"/>
                <w:color w:val="auto"/>
                <w:sz w:val="24"/>
                <w:highlight w:val="none"/>
              </w:rPr>
            </w:pPr>
          </w:p>
        </w:tc>
        <w:tc>
          <w:tcPr>
            <w:tcW w:w="810" w:type="dxa"/>
            <w:vAlign w:val="center"/>
          </w:tcPr>
          <w:p w14:paraId="101A22DD">
            <w:pPr>
              <w:jc w:val="center"/>
              <w:rPr>
                <w:rFonts w:asciiTheme="minorEastAsia" w:hAnsiTheme="minorEastAsia" w:eastAsiaTheme="minorEastAsia"/>
                <w:color w:val="auto"/>
                <w:sz w:val="24"/>
                <w:highlight w:val="none"/>
              </w:rPr>
            </w:pPr>
          </w:p>
        </w:tc>
      </w:tr>
    </w:tbl>
    <w:p w14:paraId="5AF34384">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0B0B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0" w:type="dxa"/>
            <w:vAlign w:val="center"/>
          </w:tcPr>
          <w:p w14:paraId="1CEA3F8B">
            <w:pPr>
              <w:pStyle w:val="17"/>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7B839DF1">
            <w:pPr>
              <w:pStyle w:val="17"/>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274F4036">
            <w:pPr>
              <w:pStyle w:val="17"/>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3E6A277A">
            <w:pPr>
              <w:pStyle w:val="17"/>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21BCA3EB">
            <w:pPr>
              <w:pStyle w:val="17"/>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19F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173E6F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6BB4E9FC">
            <w:pPr>
              <w:jc w:val="center"/>
              <w:rPr>
                <w:rFonts w:asciiTheme="minorEastAsia" w:hAnsiTheme="minorEastAsia" w:eastAsiaTheme="minorEastAsia"/>
                <w:color w:val="auto"/>
                <w:sz w:val="24"/>
                <w:highlight w:val="none"/>
              </w:rPr>
            </w:pPr>
          </w:p>
        </w:tc>
        <w:tc>
          <w:tcPr>
            <w:tcW w:w="2864" w:type="dxa"/>
            <w:vAlign w:val="center"/>
          </w:tcPr>
          <w:p w14:paraId="0AB86D8B">
            <w:pPr>
              <w:jc w:val="center"/>
              <w:rPr>
                <w:rFonts w:asciiTheme="minorEastAsia" w:hAnsiTheme="minorEastAsia" w:eastAsiaTheme="minorEastAsia"/>
                <w:color w:val="auto"/>
                <w:sz w:val="24"/>
                <w:highlight w:val="none"/>
              </w:rPr>
            </w:pPr>
          </w:p>
        </w:tc>
        <w:tc>
          <w:tcPr>
            <w:tcW w:w="2482" w:type="dxa"/>
            <w:vAlign w:val="center"/>
          </w:tcPr>
          <w:p w14:paraId="722B6A23">
            <w:pPr>
              <w:jc w:val="center"/>
              <w:rPr>
                <w:rFonts w:asciiTheme="minorEastAsia" w:hAnsiTheme="minorEastAsia" w:eastAsiaTheme="minorEastAsia"/>
                <w:color w:val="auto"/>
                <w:sz w:val="24"/>
                <w:highlight w:val="none"/>
              </w:rPr>
            </w:pPr>
          </w:p>
        </w:tc>
        <w:tc>
          <w:tcPr>
            <w:tcW w:w="856" w:type="dxa"/>
            <w:vAlign w:val="center"/>
          </w:tcPr>
          <w:p w14:paraId="4B6F6CB6">
            <w:pPr>
              <w:jc w:val="center"/>
              <w:rPr>
                <w:rFonts w:asciiTheme="minorEastAsia" w:hAnsiTheme="minorEastAsia" w:eastAsiaTheme="minorEastAsia"/>
                <w:color w:val="auto"/>
                <w:sz w:val="24"/>
                <w:highlight w:val="none"/>
              </w:rPr>
            </w:pPr>
          </w:p>
        </w:tc>
      </w:tr>
      <w:tr w14:paraId="2B98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592E8BE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39D6DC37">
            <w:pPr>
              <w:jc w:val="center"/>
              <w:rPr>
                <w:rFonts w:asciiTheme="minorEastAsia" w:hAnsiTheme="minorEastAsia" w:eastAsiaTheme="minorEastAsia"/>
                <w:color w:val="auto"/>
                <w:sz w:val="24"/>
                <w:highlight w:val="none"/>
              </w:rPr>
            </w:pPr>
          </w:p>
        </w:tc>
        <w:tc>
          <w:tcPr>
            <w:tcW w:w="2864" w:type="dxa"/>
            <w:vAlign w:val="center"/>
          </w:tcPr>
          <w:p w14:paraId="2A9F4844">
            <w:pPr>
              <w:jc w:val="center"/>
              <w:rPr>
                <w:rFonts w:asciiTheme="minorEastAsia" w:hAnsiTheme="minorEastAsia" w:eastAsiaTheme="minorEastAsia"/>
                <w:color w:val="auto"/>
                <w:sz w:val="24"/>
                <w:highlight w:val="none"/>
              </w:rPr>
            </w:pPr>
          </w:p>
        </w:tc>
        <w:tc>
          <w:tcPr>
            <w:tcW w:w="2482" w:type="dxa"/>
            <w:vAlign w:val="center"/>
          </w:tcPr>
          <w:p w14:paraId="38E243D8">
            <w:pPr>
              <w:jc w:val="center"/>
              <w:rPr>
                <w:rFonts w:asciiTheme="minorEastAsia" w:hAnsiTheme="minorEastAsia" w:eastAsiaTheme="minorEastAsia"/>
                <w:color w:val="auto"/>
                <w:sz w:val="24"/>
                <w:highlight w:val="none"/>
              </w:rPr>
            </w:pPr>
          </w:p>
        </w:tc>
        <w:tc>
          <w:tcPr>
            <w:tcW w:w="856" w:type="dxa"/>
            <w:vAlign w:val="center"/>
          </w:tcPr>
          <w:p w14:paraId="2B796F23">
            <w:pPr>
              <w:jc w:val="center"/>
              <w:rPr>
                <w:rFonts w:asciiTheme="minorEastAsia" w:hAnsiTheme="minorEastAsia" w:eastAsiaTheme="minorEastAsia"/>
                <w:color w:val="auto"/>
                <w:sz w:val="24"/>
                <w:highlight w:val="none"/>
              </w:rPr>
            </w:pPr>
          </w:p>
        </w:tc>
      </w:tr>
      <w:tr w14:paraId="7C47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AC80AF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607950EC">
            <w:pPr>
              <w:jc w:val="center"/>
              <w:rPr>
                <w:rFonts w:asciiTheme="minorEastAsia" w:hAnsiTheme="minorEastAsia" w:eastAsiaTheme="minorEastAsia"/>
                <w:color w:val="auto"/>
                <w:sz w:val="24"/>
                <w:highlight w:val="none"/>
              </w:rPr>
            </w:pPr>
          </w:p>
        </w:tc>
        <w:tc>
          <w:tcPr>
            <w:tcW w:w="2864" w:type="dxa"/>
            <w:vAlign w:val="center"/>
          </w:tcPr>
          <w:p w14:paraId="5E2B1CD2">
            <w:pPr>
              <w:jc w:val="center"/>
              <w:rPr>
                <w:rFonts w:asciiTheme="minorEastAsia" w:hAnsiTheme="minorEastAsia" w:eastAsiaTheme="minorEastAsia"/>
                <w:color w:val="auto"/>
                <w:sz w:val="24"/>
                <w:highlight w:val="none"/>
              </w:rPr>
            </w:pPr>
          </w:p>
        </w:tc>
        <w:tc>
          <w:tcPr>
            <w:tcW w:w="2482" w:type="dxa"/>
            <w:vAlign w:val="center"/>
          </w:tcPr>
          <w:p w14:paraId="3C4E806A">
            <w:pPr>
              <w:pStyle w:val="55"/>
              <w:jc w:val="center"/>
              <w:rPr>
                <w:rFonts w:asciiTheme="minorEastAsia" w:hAnsiTheme="minorEastAsia" w:eastAsiaTheme="minorEastAsia"/>
                <w:color w:val="auto"/>
                <w:highlight w:val="none"/>
              </w:rPr>
            </w:pPr>
          </w:p>
        </w:tc>
        <w:tc>
          <w:tcPr>
            <w:tcW w:w="856" w:type="dxa"/>
            <w:vAlign w:val="center"/>
          </w:tcPr>
          <w:p w14:paraId="14279F1A">
            <w:pPr>
              <w:jc w:val="center"/>
              <w:rPr>
                <w:rFonts w:asciiTheme="minorEastAsia" w:hAnsiTheme="minorEastAsia" w:eastAsiaTheme="minorEastAsia"/>
                <w:color w:val="auto"/>
                <w:sz w:val="24"/>
                <w:highlight w:val="none"/>
              </w:rPr>
            </w:pPr>
          </w:p>
        </w:tc>
      </w:tr>
      <w:tr w14:paraId="22F6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A37C38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06794CB8">
            <w:pPr>
              <w:jc w:val="center"/>
              <w:rPr>
                <w:rFonts w:asciiTheme="minorEastAsia" w:hAnsiTheme="minorEastAsia" w:eastAsiaTheme="minorEastAsia"/>
                <w:color w:val="auto"/>
                <w:sz w:val="24"/>
                <w:highlight w:val="none"/>
              </w:rPr>
            </w:pPr>
          </w:p>
        </w:tc>
        <w:tc>
          <w:tcPr>
            <w:tcW w:w="2864" w:type="dxa"/>
            <w:vAlign w:val="center"/>
          </w:tcPr>
          <w:p w14:paraId="3348FE41">
            <w:pPr>
              <w:jc w:val="center"/>
              <w:rPr>
                <w:rFonts w:asciiTheme="minorEastAsia" w:hAnsiTheme="minorEastAsia" w:eastAsiaTheme="minorEastAsia"/>
                <w:color w:val="auto"/>
                <w:sz w:val="24"/>
                <w:highlight w:val="none"/>
              </w:rPr>
            </w:pPr>
          </w:p>
        </w:tc>
        <w:tc>
          <w:tcPr>
            <w:tcW w:w="2482" w:type="dxa"/>
            <w:vAlign w:val="center"/>
          </w:tcPr>
          <w:p w14:paraId="306B336E">
            <w:pPr>
              <w:pStyle w:val="55"/>
              <w:jc w:val="center"/>
              <w:rPr>
                <w:rFonts w:asciiTheme="minorEastAsia" w:hAnsiTheme="minorEastAsia" w:eastAsiaTheme="minorEastAsia"/>
                <w:color w:val="auto"/>
                <w:highlight w:val="none"/>
              </w:rPr>
            </w:pPr>
          </w:p>
        </w:tc>
        <w:tc>
          <w:tcPr>
            <w:tcW w:w="856" w:type="dxa"/>
            <w:vAlign w:val="center"/>
          </w:tcPr>
          <w:p w14:paraId="7EC46C61">
            <w:pPr>
              <w:jc w:val="center"/>
              <w:rPr>
                <w:rFonts w:asciiTheme="minorEastAsia" w:hAnsiTheme="minorEastAsia" w:eastAsiaTheme="minorEastAsia"/>
                <w:color w:val="auto"/>
                <w:sz w:val="24"/>
                <w:highlight w:val="none"/>
              </w:rPr>
            </w:pPr>
          </w:p>
        </w:tc>
      </w:tr>
      <w:tr w14:paraId="12C7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6682F1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7E5BAD4C">
            <w:pPr>
              <w:jc w:val="center"/>
              <w:rPr>
                <w:rFonts w:asciiTheme="minorEastAsia" w:hAnsiTheme="minorEastAsia" w:eastAsiaTheme="minorEastAsia"/>
                <w:color w:val="auto"/>
                <w:sz w:val="24"/>
                <w:highlight w:val="none"/>
              </w:rPr>
            </w:pPr>
          </w:p>
        </w:tc>
        <w:tc>
          <w:tcPr>
            <w:tcW w:w="2864" w:type="dxa"/>
            <w:vAlign w:val="center"/>
          </w:tcPr>
          <w:p w14:paraId="7B91BD94">
            <w:pPr>
              <w:jc w:val="center"/>
              <w:rPr>
                <w:rFonts w:asciiTheme="minorEastAsia" w:hAnsiTheme="minorEastAsia" w:eastAsiaTheme="minorEastAsia"/>
                <w:color w:val="auto"/>
                <w:sz w:val="24"/>
                <w:highlight w:val="none"/>
              </w:rPr>
            </w:pPr>
          </w:p>
        </w:tc>
        <w:tc>
          <w:tcPr>
            <w:tcW w:w="2482" w:type="dxa"/>
            <w:vAlign w:val="center"/>
          </w:tcPr>
          <w:p w14:paraId="38CFC33D">
            <w:pPr>
              <w:jc w:val="center"/>
              <w:rPr>
                <w:rFonts w:asciiTheme="minorEastAsia" w:hAnsiTheme="minorEastAsia" w:eastAsiaTheme="minorEastAsia"/>
                <w:color w:val="auto"/>
                <w:sz w:val="24"/>
                <w:highlight w:val="none"/>
              </w:rPr>
            </w:pPr>
          </w:p>
        </w:tc>
        <w:tc>
          <w:tcPr>
            <w:tcW w:w="856" w:type="dxa"/>
            <w:vAlign w:val="center"/>
          </w:tcPr>
          <w:p w14:paraId="2CF77B88">
            <w:pPr>
              <w:jc w:val="center"/>
              <w:rPr>
                <w:rFonts w:asciiTheme="minorEastAsia" w:hAnsiTheme="minorEastAsia" w:eastAsiaTheme="minorEastAsia"/>
                <w:color w:val="auto"/>
                <w:sz w:val="24"/>
                <w:highlight w:val="none"/>
              </w:rPr>
            </w:pPr>
          </w:p>
        </w:tc>
      </w:tr>
    </w:tbl>
    <w:p w14:paraId="24D1648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6E55673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1A5967A">
      <w:pPr>
        <w:pStyle w:val="18"/>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2D5D22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47" w:name="_Toc31244"/>
      <w:bookmarkStart w:id="48" w:name="_Toc9573"/>
      <w:bookmarkStart w:id="49" w:name="OLE_LINK14"/>
      <w:bookmarkStart w:id="50" w:name="OLE_LINK13"/>
      <w:r>
        <w:rPr>
          <w:rFonts w:hint="eastAsia" w:asciiTheme="minorEastAsia" w:hAnsiTheme="minorEastAsia" w:eastAsiaTheme="minorEastAsia"/>
          <w:b/>
          <w:color w:val="auto"/>
          <w:sz w:val="24"/>
          <w:highlight w:val="none"/>
          <w:lang w:val="en-US" w:eastAsia="zh-CN"/>
        </w:rPr>
        <w:t>七、中小企业声明函</w:t>
      </w:r>
      <w:bookmarkEnd w:id="47"/>
      <w:bookmarkEnd w:id="48"/>
    </w:p>
    <w:p w14:paraId="33108839">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5F21775">
      <w:pPr>
        <w:rPr>
          <w:rFonts w:asciiTheme="minorEastAsia" w:hAnsiTheme="minorEastAsia" w:eastAsiaTheme="minorEastAsia"/>
          <w:color w:val="auto"/>
          <w:sz w:val="24"/>
          <w:szCs w:val="24"/>
          <w:highlight w:val="none"/>
        </w:rPr>
      </w:pPr>
    </w:p>
    <w:p w14:paraId="7614628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61D95F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0AE5D9F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8E53A2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5CD36B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05D449DB">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5CD87021">
      <w:pPr>
        <w:spacing w:line="360" w:lineRule="auto"/>
        <w:ind w:firstLine="435"/>
        <w:rPr>
          <w:rFonts w:asciiTheme="minorEastAsia" w:hAnsiTheme="minorEastAsia" w:eastAsiaTheme="minorEastAsia"/>
          <w:color w:val="auto"/>
          <w:sz w:val="24"/>
          <w:szCs w:val="24"/>
          <w:highlight w:val="none"/>
        </w:rPr>
      </w:pPr>
    </w:p>
    <w:p w14:paraId="3C7834FA">
      <w:pPr>
        <w:spacing w:line="360" w:lineRule="auto"/>
        <w:ind w:firstLine="435"/>
        <w:rPr>
          <w:rFonts w:asciiTheme="minorEastAsia" w:hAnsiTheme="minorEastAsia" w:eastAsiaTheme="minorEastAsia"/>
          <w:color w:val="auto"/>
          <w:sz w:val="24"/>
          <w:szCs w:val="24"/>
          <w:highlight w:val="none"/>
        </w:rPr>
      </w:pPr>
    </w:p>
    <w:p w14:paraId="512E280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B04A7F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893B970">
      <w:pPr>
        <w:tabs>
          <w:tab w:val="left" w:pos="4620"/>
        </w:tabs>
        <w:spacing w:line="360" w:lineRule="auto"/>
        <w:jc w:val="left"/>
        <w:rPr>
          <w:rFonts w:asciiTheme="minorEastAsia" w:hAnsiTheme="minorEastAsia" w:eastAsiaTheme="minorEastAsia"/>
          <w:color w:val="auto"/>
          <w:sz w:val="24"/>
          <w:szCs w:val="24"/>
          <w:highlight w:val="none"/>
        </w:rPr>
      </w:pPr>
    </w:p>
    <w:p w14:paraId="6841EAF5">
      <w:pPr>
        <w:tabs>
          <w:tab w:val="left" w:pos="4620"/>
        </w:tabs>
        <w:spacing w:line="360" w:lineRule="auto"/>
        <w:jc w:val="left"/>
        <w:rPr>
          <w:rFonts w:asciiTheme="minorEastAsia" w:hAnsiTheme="minorEastAsia" w:eastAsiaTheme="minorEastAsia"/>
          <w:color w:val="auto"/>
          <w:sz w:val="24"/>
          <w:szCs w:val="24"/>
          <w:highlight w:val="none"/>
        </w:rPr>
      </w:pPr>
    </w:p>
    <w:p w14:paraId="3FF09521">
      <w:pPr>
        <w:tabs>
          <w:tab w:val="left" w:pos="4620"/>
        </w:tabs>
        <w:spacing w:line="360" w:lineRule="auto"/>
        <w:jc w:val="left"/>
        <w:rPr>
          <w:rFonts w:asciiTheme="minorEastAsia" w:hAnsiTheme="minorEastAsia" w:eastAsiaTheme="minorEastAsia"/>
          <w:color w:val="auto"/>
          <w:sz w:val="24"/>
          <w:szCs w:val="24"/>
          <w:highlight w:val="none"/>
        </w:rPr>
      </w:pPr>
    </w:p>
    <w:p w14:paraId="0304AD69">
      <w:pPr>
        <w:tabs>
          <w:tab w:val="left" w:pos="4620"/>
        </w:tabs>
        <w:spacing w:line="360" w:lineRule="auto"/>
        <w:jc w:val="left"/>
        <w:rPr>
          <w:rFonts w:asciiTheme="minorEastAsia" w:hAnsiTheme="minorEastAsia" w:eastAsiaTheme="minorEastAsia"/>
          <w:color w:val="auto"/>
          <w:sz w:val="24"/>
          <w:szCs w:val="24"/>
          <w:highlight w:val="none"/>
        </w:rPr>
      </w:pPr>
    </w:p>
    <w:p w14:paraId="723F41B7">
      <w:pPr>
        <w:tabs>
          <w:tab w:val="left" w:pos="4620"/>
        </w:tabs>
        <w:spacing w:line="360" w:lineRule="auto"/>
        <w:jc w:val="left"/>
        <w:rPr>
          <w:rFonts w:asciiTheme="minorEastAsia" w:hAnsiTheme="minorEastAsia" w:eastAsiaTheme="minorEastAsia"/>
          <w:color w:val="auto"/>
          <w:sz w:val="24"/>
          <w:szCs w:val="24"/>
          <w:highlight w:val="none"/>
        </w:rPr>
      </w:pPr>
    </w:p>
    <w:p w14:paraId="1143E743">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699AE35D">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8895E89">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C4DD45A">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BFE5916">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0D9EC8E">
      <w:pPr>
        <w:tabs>
          <w:tab w:val="left" w:pos="4620"/>
        </w:tabs>
        <w:spacing w:line="360" w:lineRule="auto"/>
        <w:jc w:val="left"/>
        <w:rPr>
          <w:rFonts w:hint="eastAsia" w:asciiTheme="minorEastAsia" w:hAnsiTheme="minorEastAsia" w:eastAsiaTheme="minorEastAsia"/>
          <w:b/>
          <w:bCs/>
          <w:color w:val="auto"/>
          <w:szCs w:val="24"/>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bookmarkEnd w:id="49"/>
      <w:bookmarkEnd w:id="50"/>
    </w:p>
    <w:p w14:paraId="6B100B5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51" w:name="_Toc16713"/>
      <w:bookmarkStart w:id="52" w:name="_Toc24563"/>
    </w:p>
    <w:p w14:paraId="206F028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p>
    <w:p w14:paraId="520FBC2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p>
    <w:p w14:paraId="5AD252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八、残疾人福利性单位声明函</w:t>
      </w:r>
      <w:bookmarkEnd w:id="51"/>
      <w:bookmarkEnd w:id="52"/>
    </w:p>
    <w:p w14:paraId="06B3C93D">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4D501B8F">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6F04FBBF">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3492ED3">
      <w:pPr>
        <w:spacing w:line="360" w:lineRule="auto"/>
        <w:ind w:firstLine="4228" w:firstLineChars="1762"/>
        <w:rPr>
          <w:rFonts w:asciiTheme="minorEastAsia" w:hAnsiTheme="minorEastAsia" w:eastAsiaTheme="minorEastAsia"/>
          <w:color w:val="auto"/>
          <w:sz w:val="24"/>
          <w:szCs w:val="24"/>
          <w:highlight w:val="none"/>
        </w:rPr>
      </w:pPr>
    </w:p>
    <w:p w14:paraId="22A4F44E">
      <w:pPr>
        <w:spacing w:line="360" w:lineRule="auto"/>
        <w:ind w:firstLine="4228" w:firstLineChars="1762"/>
        <w:rPr>
          <w:rFonts w:asciiTheme="minorEastAsia" w:hAnsiTheme="minorEastAsia" w:eastAsiaTheme="minorEastAsia"/>
          <w:color w:val="auto"/>
          <w:sz w:val="24"/>
          <w:szCs w:val="24"/>
          <w:highlight w:val="none"/>
        </w:rPr>
      </w:pPr>
    </w:p>
    <w:p w14:paraId="51D9AC4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2875973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CAF14F8">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5A704F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bookmarkStart w:id="53" w:name="_Toc457768004"/>
      <w:bookmarkStart w:id="54" w:name="_Toc300210382"/>
      <w:bookmarkStart w:id="55" w:name="_Toc520299348"/>
      <w:bookmarkStart w:id="56" w:name="_Toc26536"/>
      <w:bookmarkStart w:id="57" w:name="_Toc25813"/>
      <w:bookmarkStart w:id="58" w:name="_Hlk11701496"/>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2D3AED9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17FF3EA1">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151408C">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057B6393">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C9405A1">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14117FB6">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2807F3F3">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5E946156">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0982786E">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3609A6DD">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402DC7B0">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2A5BBB7B">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5C5C72E7">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066E5710">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287808">
      <w:pPr>
        <w:tabs>
          <w:tab w:val="left" w:pos="4620"/>
        </w:tabs>
        <w:spacing w:line="360" w:lineRule="auto"/>
        <w:jc w:val="left"/>
        <w:rPr>
          <w:rFonts w:hint="eastAsia" w:asciiTheme="minorEastAsia" w:hAnsiTheme="minorEastAsia" w:eastAsiaTheme="minorEastAsia"/>
          <w:b/>
          <w:color w:val="auto"/>
          <w:sz w:val="24"/>
          <w:highlight w:val="none"/>
          <w:lang w:val="en-US" w:eastAsia="zh-CN"/>
        </w:rPr>
      </w:pPr>
    </w:p>
    <w:p w14:paraId="3E37D978">
      <w:pPr>
        <w:pStyle w:val="27"/>
        <w:rPr>
          <w:rFonts w:hint="eastAsia" w:asciiTheme="minorEastAsia" w:hAnsiTheme="minorEastAsia" w:eastAsiaTheme="minorEastAsia"/>
          <w:b/>
          <w:color w:val="auto"/>
          <w:sz w:val="24"/>
          <w:highlight w:val="none"/>
          <w:lang w:val="en-US" w:eastAsia="zh-CN"/>
        </w:rPr>
      </w:pPr>
    </w:p>
    <w:p w14:paraId="0D14954E">
      <w:pPr>
        <w:pStyle w:val="27"/>
        <w:rPr>
          <w:rFonts w:hint="eastAsia" w:asciiTheme="minorEastAsia" w:hAnsiTheme="minorEastAsia" w:eastAsiaTheme="minorEastAsia"/>
          <w:b/>
          <w:color w:val="auto"/>
          <w:sz w:val="24"/>
          <w:highlight w:val="none"/>
          <w:lang w:val="en-US" w:eastAsia="zh-CN"/>
        </w:rPr>
      </w:pPr>
    </w:p>
    <w:p w14:paraId="5C626E37">
      <w:pPr>
        <w:pStyle w:val="27"/>
        <w:rPr>
          <w:rFonts w:hint="eastAsia" w:asciiTheme="minorEastAsia" w:hAnsiTheme="minorEastAsia" w:eastAsiaTheme="minorEastAsia"/>
          <w:b/>
          <w:color w:val="auto"/>
          <w:sz w:val="24"/>
          <w:highlight w:val="none"/>
          <w:lang w:val="en-US" w:eastAsia="zh-CN"/>
        </w:rPr>
      </w:pPr>
    </w:p>
    <w:p w14:paraId="69804DD7">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w:t>
      </w:r>
      <w:bookmarkEnd w:id="53"/>
      <w:bookmarkEnd w:id="54"/>
      <w:bookmarkEnd w:id="55"/>
      <w:r>
        <w:rPr>
          <w:rFonts w:hint="eastAsia" w:asciiTheme="minorEastAsia" w:hAnsiTheme="minorEastAsia" w:eastAsiaTheme="minorEastAsia"/>
          <w:b/>
          <w:color w:val="auto"/>
          <w:sz w:val="24"/>
          <w:highlight w:val="none"/>
          <w:lang w:val="en-US" w:eastAsia="zh-CN"/>
        </w:rPr>
        <w:t>诚信履约承诺函</w:t>
      </w:r>
      <w:bookmarkEnd w:id="56"/>
      <w:bookmarkEnd w:id="57"/>
    </w:p>
    <w:p w14:paraId="7FF5928E">
      <w:pPr>
        <w:spacing w:line="360" w:lineRule="auto"/>
        <w:rPr>
          <w:rFonts w:asciiTheme="minorEastAsia" w:hAnsiTheme="minorEastAsia" w:eastAsiaTheme="minorEastAsia"/>
          <w:b/>
          <w:bCs/>
          <w:color w:val="auto"/>
          <w:sz w:val="24"/>
          <w:highlight w:val="none"/>
        </w:rPr>
      </w:pPr>
    </w:p>
    <w:p w14:paraId="4FF5F4BB">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922BFE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1DC97F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5E42E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09B6746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093476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6E616D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23E4068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67D871E">
      <w:pPr>
        <w:spacing w:line="360" w:lineRule="auto"/>
        <w:rPr>
          <w:rFonts w:asciiTheme="minorEastAsia" w:hAnsiTheme="minorEastAsia" w:eastAsiaTheme="minorEastAsia"/>
          <w:bCs/>
          <w:color w:val="auto"/>
          <w:sz w:val="24"/>
          <w:highlight w:val="none"/>
        </w:rPr>
      </w:pPr>
    </w:p>
    <w:p w14:paraId="7139EF48">
      <w:pPr>
        <w:spacing w:line="360" w:lineRule="auto"/>
        <w:rPr>
          <w:rFonts w:asciiTheme="minorEastAsia" w:hAnsiTheme="minorEastAsia" w:eastAsiaTheme="minorEastAsia"/>
          <w:bCs/>
          <w:color w:val="auto"/>
          <w:sz w:val="24"/>
          <w:highlight w:val="none"/>
        </w:rPr>
      </w:pPr>
    </w:p>
    <w:p w14:paraId="02E3A517">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F31A9A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5010D10E">
      <w:pPr>
        <w:rPr>
          <w:rFonts w:ascii="宋体" w:hAnsi="宋体" w:eastAsia="宋体" w:cs="Arial"/>
          <w:color w:val="auto"/>
          <w:sz w:val="24"/>
          <w:highlight w:val="none"/>
        </w:rPr>
      </w:pPr>
      <w:r>
        <w:rPr>
          <w:rFonts w:ascii="宋体" w:hAnsi="宋体" w:eastAsia="宋体" w:cs="Arial"/>
          <w:color w:val="auto"/>
          <w:sz w:val="24"/>
          <w:highlight w:val="none"/>
        </w:rPr>
        <w:br w:type="page"/>
      </w:r>
    </w:p>
    <w:bookmarkEnd w:id="58"/>
    <w:p w14:paraId="70DA9434">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59" w:name="_Toc2683"/>
      <w:bookmarkStart w:id="60" w:name="_Toc32633"/>
      <w:r>
        <w:rPr>
          <w:rFonts w:hint="eastAsia" w:asciiTheme="minorEastAsia" w:hAnsiTheme="minorEastAsia" w:eastAsiaTheme="minorEastAsia"/>
          <w:b/>
          <w:color w:val="auto"/>
          <w:sz w:val="24"/>
          <w:highlight w:val="none"/>
          <w:lang w:val="en-US" w:eastAsia="zh-CN"/>
        </w:rPr>
        <w:t>十一、其他相关证明材料</w:t>
      </w:r>
      <w:bookmarkEnd w:id="59"/>
      <w:bookmarkEnd w:id="60"/>
    </w:p>
    <w:p w14:paraId="275E12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282E64A3">
      <w:pPr>
        <w:spacing w:line="360" w:lineRule="auto"/>
        <w:ind w:firstLine="480" w:firstLineChars="200"/>
        <w:rPr>
          <w:rFonts w:asciiTheme="minorEastAsia" w:hAnsiTheme="minorEastAsia" w:eastAsiaTheme="minorEastAsia"/>
          <w:color w:val="auto"/>
          <w:sz w:val="24"/>
          <w:highlight w:val="none"/>
        </w:rPr>
      </w:pPr>
    </w:p>
    <w:p w14:paraId="58C31D6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B8C2C0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3FE013C2">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2BDDBA02">
      <w:pPr>
        <w:spacing w:line="360" w:lineRule="auto"/>
        <w:jc w:val="center"/>
        <w:outlineLvl w:val="0"/>
        <w:rPr>
          <w:rFonts w:ascii="宋体" w:hAnsi="宋体" w:eastAsia="宋体"/>
          <w:b/>
          <w:bCs/>
          <w:color w:val="auto"/>
          <w:sz w:val="28"/>
          <w:highlight w:val="none"/>
        </w:rPr>
      </w:pPr>
      <w:bookmarkStart w:id="61" w:name="_Toc18131"/>
      <w:bookmarkStart w:id="62"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61"/>
      <w:bookmarkEnd w:id="62"/>
    </w:p>
    <w:p w14:paraId="2EF78C07">
      <w:pPr>
        <w:spacing w:line="360" w:lineRule="auto"/>
        <w:jc w:val="center"/>
        <w:outlineLvl w:val="1"/>
        <w:rPr>
          <w:rFonts w:ascii="仿宋" w:hAnsi="仿宋" w:eastAsia="仿宋" w:cs="仿宋"/>
          <w:b/>
          <w:bCs/>
          <w:color w:val="auto"/>
          <w:sz w:val="32"/>
          <w:szCs w:val="44"/>
          <w:highlight w:val="none"/>
        </w:rPr>
      </w:pPr>
      <w:bookmarkStart w:id="63" w:name="_Toc27159"/>
      <w:bookmarkStart w:id="64" w:name="_Toc27489"/>
      <w:r>
        <w:rPr>
          <w:rFonts w:hint="eastAsia" w:ascii="仿宋" w:hAnsi="仿宋" w:eastAsia="仿宋" w:cs="仿宋"/>
          <w:b/>
          <w:bCs/>
          <w:color w:val="auto"/>
          <w:sz w:val="32"/>
          <w:szCs w:val="44"/>
          <w:highlight w:val="none"/>
        </w:rPr>
        <w:t>询问函范本</w:t>
      </w:r>
      <w:bookmarkEnd w:id="63"/>
      <w:bookmarkEnd w:id="64"/>
    </w:p>
    <w:p w14:paraId="13432A65">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3D64EE81">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2DC072D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727589D">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5" w:name="_Toc13899"/>
      <w:r>
        <w:rPr>
          <w:rFonts w:hint="eastAsia" w:cs="仿宋" w:asciiTheme="minorEastAsia" w:hAnsiTheme="minorEastAsia" w:eastAsiaTheme="minorEastAsia"/>
          <w:color w:val="auto"/>
          <w:sz w:val="24"/>
          <w:szCs w:val="24"/>
          <w:highlight w:val="none"/>
        </w:rPr>
        <w:t>一、(事项一)</w:t>
      </w:r>
      <w:bookmarkEnd w:id="65"/>
    </w:p>
    <w:p w14:paraId="4BD714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AB943E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1E628C5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4070DA1D">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6" w:name="_Toc3352"/>
      <w:r>
        <w:rPr>
          <w:rFonts w:hint="eastAsia" w:cs="仿宋" w:asciiTheme="minorEastAsia" w:hAnsiTheme="minorEastAsia" w:eastAsiaTheme="minorEastAsia"/>
          <w:color w:val="auto"/>
          <w:sz w:val="24"/>
          <w:szCs w:val="24"/>
          <w:highlight w:val="none"/>
        </w:rPr>
        <w:t>二、(事项二)</w:t>
      </w:r>
      <w:bookmarkEnd w:id="66"/>
    </w:p>
    <w:p w14:paraId="3FD69F4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A7762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3CF836D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578F33E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BF817CF">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1C3A26CB">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068309B">
      <w:pPr>
        <w:jc w:val="center"/>
        <w:outlineLvl w:val="1"/>
        <w:rPr>
          <w:rFonts w:ascii="仿宋" w:hAnsi="仿宋" w:eastAsia="仿宋" w:cs="仿宋"/>
          <w:b/>
          <w:bCs/>
          <w:color w:val="auto"/>
          <w:sz w:val="32"/>
          <w:szCs w:val="44"/>
          <w:highlight w:val="none"/>
        </w:rPr>
      </w:pPr>
      <w:bookmarkStart w:id="67" w:name="_Toc1575"/>
      <w:bookmarkStart w:id="68" w:name="_Toc3245"/>
      <w:r>
        <w:rPr>
          <w:rFonts w:hint="eastAsia" w:ascii="仿宋" w:hAnsi="仿宋" w:eastAsia="仿宋" w:cs="仿宋"/>
          <w:b/>
          <w:bCs/>
          <w:color w:val="auto"/>
          <w:sz w:val="32"/>
          <w:szCs w:val="44"/>
          <w:highlight w:val="none"/>
        </w:rPr>
        <w:t>质疑函范本</w:t>
      </w:r>
      <w:bookmarkEnd w:id="67"/>
      <w:bookmarkEnd w:id="68"/>
    </w:p>
    <w:p w14:paraId="770F2C24">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69" w:name="_Toc21381"/>
      <w:r>
        <w:rPr>
          <w:rFonts w:hint="eastAsia" w:cs="仿宋" w:asciiTheme="minorEastAsia" w:hAnsiTheme="minorEastAsia" w:eastAsiaTheme="minorEastAsia"/>
          <w:b/>
          <w:bCs/>
          <w:color w:val="auto"/>
          <w:sz w:val="24"/>
          <w:szCs w:val="24"/>
          <w:highlight w:val="none"/>
        </w:rPr>
        <w:t>一、质疑供应商基本信息</w:t>
      </w:r>
      <w:bookmarkEnd w:id="69"/>
    </w:p>
    <w:p w14:paraId="689E530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0E315A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046811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28EB31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24562F9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5E44BF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0BC7915">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0" w:name="_Toc28415"/>
      <w:r>
        <w:rPr>
          <w:rFonts w:hint="eastAsia" w:cs="仿宋" w:asciiTheme="minorEastAsia" w:hAnsiTheme="minorEastAsia" w:eastAsiaTheme="minorEastAsia"/>
          <w:b/>
          <w:bCs/>
          <w:color w:val="auto"/>
          <w:sz w:val="24"/>
          <w:szCs w:val="24"/>
          <w:highlight w:val="none"/>
        </w:rPr>
        <w:t>二、质疑项目基本情况</w:t>
      </w:r>
      <w:bookmarkEnd w:id="70"/>
    </w:p>
    <w:p w14:paraId="68A8C44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CA56C7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772CAEC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01F77C5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FC29F4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1" w:name="_Toc19014"/>
      <w:r>
        <w:rPr>
          <w:rFonts w:hint="eastAsia" w:cs="仿宋" w:asciiTheme="minorEastAsia" w:hAnsiTheme="minorEastAsia" w:eastAsiaTheme="minorEastAsia"/>
          <w:b/>
          <w:bCs/>
          <w:color w:val="auto"/>
          <w:sz w:val="24"/>
          <w:szCs w:val="24"/>
          <w:highlight w:val="none"/>
        </w:rPr>
        <w:t>三、质疑事项具体内容</w:t>
      </w:r>
      <w:bookmarkEnd w:id="71"/>
    </w:p>
    <w:p w14:paraId="4A51B71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78BAB5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5B3612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BD8593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E6176D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6BF6DA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88171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936CD86">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2" w:name="_Toc17919"/>
      <w:r>
        <w:rPr>
          <w:rFonts w:hint="eastAsia" w:cs="仿宋" w:asciiTheme="minorEastAsia" w:hAnsiTheme="minorEastAsia" w:eastAsiaTheme="minorEastAsia"/>
          <w:b/>
          <w:bCs/>
          <w:color w:val="auto"/>
          <w:sz w:val="24"/>
          <w:szCs w:val="24"/>
          <w:highlight w:val="none"/>
        </w:rPr>
        <w:t>四、与质疑事项相关的质疑请求</w:t>
      </w:r>
      <w:bookmarkEnd w:id="72"/>
    </w:p>
    <w:p w14:paraId="7B2274A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4B270B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64272A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D782F0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592FCFA">
      <w:pPr>
        <w:outlineLvl w:val="0"/>
        <w:rPr>
          <w:rFonts w:asciiTheme="minorEastAsia" w:hAnsiTheme="minorEastAsia" w:eastAsiaTheme="minorEastAsia"/>
          <w:b/>
          <w:color w:val="auto"/>
          <w:sz w:val="28"/>
          <w:szCs w:val="32"/>
          <w:highlight w:val="none"/>
        </w:rPr>
      </w:pPr>
      <w:bookmarkStart w:id="73" w:name="_Toc26836"/>
      <w:bookmarkStart w:id="74" w:name="_Toc9754"/>
      <w:r>
        <w:rPr>
          <w:rFonts w:hint="eastAsia" w:asciiTheme="minorEastAsia" w:hAnsiTheme="minorEastAsia" w:eastAsiaTheme="minorEastAsia"/>
          <w:b/>
          <w:color w:val="auto"/>
          <w:sz w:val="28"/>
          <w:szCs w:val="32"/>
          <w:highlight w:val="none"/>
        </w:rPr>
        <w:t>质疑函制作说明：</w:t>
      </w:r>
      <w:bookmarkEnd w:id="73"/>
      <w:bookmarkEnd w:id="74"/>
    </w:p>
    <w:p w14:paraId="6E3303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BF39C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399CE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1431D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DA3CB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DAC49B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6C25623E">
      <w:pPr>
        <w:rPr>
          <w:color w:val="auto"/>
          <w:highlight w:val="none"/>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2020503050405090304"/>
    <w:charset w:val="00"/>
    <w:family w:val="roman"/>
    <w:pitch w:val="default"/>
    <w:sig w:usb0="00000000" w:usb1="00000000" w:usb2="00000001" w:usb3="00000000" w:csb0="400001BF" w:csb1="DFF70000"/>
  </w:font>
  <w:font w:name="Sylfaen">
    <w:panose1 w:val="010A0502050306030303"/>
    <w:charset w:val="00"/>
    <w:family w:val="roman"/>
    <w:pitch w:val="default"/>
    <w:sig w:usb0="04000687" w:usb1="00000000" w:usb2="00000000" w:usb3="00000000" w:csb0="2000009F" w:csb1="0000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A00002BF" w:usb1="78CF7CFB" w:usb2="00000016" w:usb3="00000000" w:csb0="6006009F" w:csb1="DFD7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33C1B">
    <w:pPr>
      <w:pStyle w:val="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F9FBA">
    <w:pPr>
      <w:pStyle w:val="2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95337">
                          <w:pPr>
                            <w:pStyle w:val="20"/>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lang w:val="en-US" w:eastAsia="zh-CN"/>
                            </w:rPr>
                            <w:t>75</w:t>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095337">
                    <w:pPr>
                      <w:pStyle w:val="20"/>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lang w:val="en-US" w:eastAsia="zh-CN"/>
                      </w:rPr>
                      <w:t>75</w:t>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98195">
    <w:pPr>
      <w:pStyle w:val="21"/>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E18FE"/>
    <w:multiLevelType w:val="multilevel"/>
    <w:tmpl w:val="AC7E18FE"/>
    <w:lvl w:ilvl="0" w:tentative="0">
      <w:start w:val="1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BACA0508"/>
    <w:multiLevelType w:val="multilevel"/>
    <w:tmpl w:val="BACA0508"/>
    <w:lvl w:ilvl="0" w:tentative="0">
      <w:start w:val="2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C54EA2A8"/>
    <w:multiLevelType w:val="singleLevel"/>
    <w:tmpl w:val="C54EA2A8"/>
    <w:lvl w:ilvl="0" w:tentative="0">
      <w:start w:val="1"/>
      <w:numFmt w:val="decimal"/>
      <w:pStyle w:val="11"/>
      <w:lvlText w:val="%1."/>
      <w:lvlJc w:val="left"/>
      <w:pPr>
        <w:tabs>
          <w:tab w:val="left" w:pos="360"/>
        </w:tabs>
        <w:ind w:left="360" w:hanging="360"/>
      </w:pPr>
    </w:lvl>
  </w:abstractNum>
  <w:abstractNum w:abstractNumId="3">
    <w:nsid w:val="C666EA50"/>
    <w:multiLevelType w:val="multilevel"/>
    <w:tmpl w:val="C666EA50"/>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D6500D40"/>
    <w:multiLevelType w:val="multilevel"/>
    <w:tmpl w:val="D6500D40"/>
    <w:lvl w:ilvl="0" w:tentative="0">
      <w:start w:val="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FC9A424E"/>
    <w:multiLevelType w:val="singleLevel"/>
    <w:tmpl w:val="FC9A424E"/>
    <w:lvl w:ilvl="0" w:tentative="0">
      <w:start w:val="1"/>
      <w:numFmt w:val="decimal"/>
      <w:suff w:val="nothing"/>
      <w:lvlText w:val="（%1）"/>
      <w:lvlJc w:val="left"/>
    </w:lvl>
  </w:abstractNum>
  <w:abstractNum w:abstractNumId="6">
    <w:nsid w:val="09649FA8"/>
    <w:multiLevelType w:val="multilevel"/>
    <w:tmpl w:val="09649FA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0614EA9"/>
    <w:multiLevelType w:val="singleLevel"/>
    <w:tmpl w:val="50614EA9"/>
    <w:lvl w:ilvl="0" w:tentative="0">
      <w:start w:val="8"/>
      <w:numFmt w:val="decimal"/>
      <w:suff w:val="nothing"/>
      <w:lvlText w:val="%1、"/>
      <w:lvlJc w:val="left"/>
    </w:lvl>
  </w:abstractNum>
  <w:abstractNum w:abstractNumId="8">
    <w:nsid w:val="65FEA4A1"/>
    <w:multiLevelType w:val="multilevel"/>
    <w:tmpl w:val="65FEA4A1"/>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7"/>
  </w:num>
  <w:num w:numId="3">
    <w:abstractNumId w:val="8"/>
  </w:num>
  <w:num w:numId="4">
    <w:abstractNumId w:val="5"/>
  </w:num>
  <w:num w:numId="5">
    <w:abstractNumId w:val="6"/>
  </w:num>
  <w:num w:numId="6">
    <w:abstractNumId w:val="3"/>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lNzQ4MzcxNzg2OWFlODZiZmQ0MDE5ZTViOTE5MT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6E0"/>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10A1"/>
    <w:rsid w:val="00556D4C"/>
    <w:rsid w:val="005614B4"/>
    <w:rsid w:val="005616B5"/>
    <w:rsid w:val="00571315"/>
    <w:rsid w:val="00582075"/>
    <w:rsid w:val="00584A63"/>
    <w:rsid w:val="00585EB3"/>
    <w:rsid w:val="00591688"/>
    <w:rsid w:val="00592509"/>
    <w:rsid w:val="00594986"/>
    <w:rsid w:val="00597B15"/>
    <w:rsid w:val="005A044C"/>
    <w:rsid w:val="005B5C95"/>
    <w:rsid w:val="005B636A"/>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70C6"/>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872593"/>
    <w:rsid w:val="01A84053"/>
    <w:rsid w:val="01E054EB"/>
    <w:rsid w:val="01E93A1B"/>
    <w:rsid w:val="0214602E"/>
    <w:rsid w:val="02442844"/>
    <w:rsid w:val="03486B27"/>
    <w:rsid w:val="03C2134C"/>
    <w:rsid w:val="040A094E"/>
    <w:rsid w:val="056F201D"/>
    <w:rsid w:val="05B664D4"/>
    <w:rsid w:val="064B485A"/>
    <w:rsid w:val="068C65C4"/>
    <w:rsid w:val="07076C01"/>
    <w:rsid w:val="071C12AC"/>
    <w:rsid w:val="07A934B3"/>
    <w:rsid w:val="07BA4A57"/>
    <w:rsid w:val="07EB6287"/>
    <w:rsid w:val="0806421B"/>
    <w:rsid w:val="08BE076E"/>
    <w:rsid w:val="0980799C"/>
    <w:rsid w:val="09944B8E"/>
    <w:rsid w:val="09951550"/>
    <w:rsid w:val="0A0E19EA"/>
    <w:rsid w:val="0A241C65"/>
    <w:rsid w:val="0A6A18DB"/>
    <w:rsid w:val="0A825391"/>
    <w:rsid w:val="0A975B48"/>
    <w:rsid w:val="0AB17C0E"/>
    <w:rsid w:val="0AEF3828"/>
    <w:rsid w:val="0B406381"/>
    <w:rsid w:val="0B7744C9"/>
    <w:rsid w:val="0BB452AA"/>
    <w:rsid w:val="0BBB665B"/>
    <w:rsid w:val="0BDC700F"/>
    <w:rsid w:val="0C595C85"/>
    <w:rsid w:val="0D3B1FC6"/>
    <w:rsid w:val="0EEA6FC1"/>
    <w:rsid w:val="0F632A4B"/>
    <w:rsid w:val="0F790928"/>
    <w:rsid w:val="10CD72BB"/>
    <w:rsid w:val="115F7DC2"/>
    <w:rsid w:val="12197477"/>
    <w:rsid w:val="131B5CD3"/>
    <w:rsid w:val="133E02C4"/>
    <w:rsid w:val="13776448"/>
    <w:rsid w:val="14263231"/>
    <w:rsid w:val="1466407E"/>
    <w:rsid w:val="14834E28"/>
    <w:rsid w:val="148E7D65"/>
    <w:rsid w:val="14FB5A54"/>
    <w:rsid w:val="15231BF9"/>
    <w:rsid w:val="156373EE"/>
    <w:rsid w:val="15C4546D"/>
    <w:rsid w:val="18A97DFA"/>
    <w:rsid w:val="18CC7773"/>
    <w:rsid w:val="191173C1"/>
    <w:rsid w:val="191A3096"/>
    <w:rsid w:val="19735F8E"/>
    <w:rsid w:val="19DD2D01"/>
    <w:rsid w:val="1A064976"/>
    <w:rsid w:val="1A3B68AA"/>
    <w:rsid w:val="1A3E1C1E"/>
    <w:rsid w:val="1B5A4701"/>
    <w:rsid w:val="1B6F4F40"/>
    <w:rsid w:val="1C141836"/>
    <w:rsid w:val="1C76537D"/>
    <w:rsid w:val="1D24052A"/>
    <w:rsid w:val="1DEF28E6"/>
    <w:rsid w:val="1E6B6A14"/>
    <w:rsid w:val="1F6115C2"/>
    <w:rsid w:val="1FE80168"/>
    <w:rsid w:val="20202956"/>
    <w:rsid w:val="20550D9A"/>
    <w:rsid w:val="205545EA"/>
    <w:rsid w:val="215F7913"/>
    <w:rsid w:val="218458B2"/>
    <w:rsid w:val="218E2416"/>
    <w:rsid w:val="21B75E11"/>
    <w:rsid w:val="21C31F1F"/>
    <w:rsid w:val="226915FE"/>
    <w:rsid w:val="229273EC"/>
    <w:rsid w:val="23153BCD"/>
    <w:rsid w:val="238854D1"/>
    <w:rsid w:val="23BC656D"/>
    <w:rsid w:val="241804A5"/>
    <w:rsid w:val="24595680"/>
    <w:rsid w:val="24B97929"/>
    <w:rsid w:val="24D632D7"/>
    <w:rsid w:val="2621364C"/>
    <w:rsid w:val="27323351"/>
    <w:rsid w:val="27D65DBA"/>
    <w:rsid w:val="285F40CA"/>
    <w:rsid w:val="28916BFF"/>
    <w:rsid w:val="289E1AF0"/>
    <w:rsid w:val="28C01ECB"/>
    <w:rsid w:val="290275F9"/>
    <w:rsid w:val="296138D0"/>
    <w:rsid w:val="29BF71E3"/>
    <w:rsid w:val="29D6387F"/>
    <w:rsid w:val="29FF7C47"/>
    <w:rsid w:val="2A127B63"/>
    <w:rsid w:val="2A451A6C"/>
    <w:rsid w:val="2A990D4C"/>
    <w:rsid w:val="2AAA4765"/>
    <w:rsid w:val="2AC21606"/>
    <w:rsid w:val="2AD63D42"/>
    <w:rsid w:val="2B3060CD"/>
    <w:rsid w:val="2B7E7608"/>
    <w:rsid w:val="2B7F04E9"/>
    <w:rsid w:val="2B8B554A"/>
    <w:rsid w:val="2C35726F"/>
    <w:rsid w:val="2CDA07B4"/>
    <w:rsid w:val="2D496D68"/>
    <w:rsid w:val="2E7A48DE"/>
    <w:rsid w:val="2EBA5177"/>
    <w:rsid w:val="2EDC3ED8"/>
    <w:rsid w:val="2F104B00"/>
    <w:rsid w:val="2F6351B4"/>
    <w:rsid w:val="2FC86126"/>
    <w:rsid w:val="2FCF199E"/>
    <w:rsid w:val="2FE34275"/>
    <w:rsid w:val="2FE760BA"/>
    <w:rsid w:val="30483E83"/>
    <w:rsid w:val="30BF3991"/>
    <w:rsid w:val="310315DB"/>
    <w:rsid w:val="3111619A"/>
    <w:rsid w:val="319775DB"/>
    <w:rsid w:val="31B139DC"/>
    <w:rsid w:val="320A7E41"/>
    <w:rsid w:val="32497AF3"/>
    <w:rsid w:val="326C6473"/>
    <w:rsid w:val="327F1E1E"/>
    <w:rsid w:val="33D3220B"/>
    <w:rsid w:val="343C0775"/>
    <w:rsid w:val="34AB36B6"/>
    <w:rsid w:val="352063E6"/>
    <w:rsid w:val="356C50EC"/>
    <w:rsid w:val="3594780B"/>
    <w:rsid w:val="35DC5B0E"/>
    <w:rsid w:val="36137E45"/>
    <w:rsid w:val="363132B3"/>
    <w:rsid w:val="36376E0A"/>
    <w:rsid w:val="3700166C"/>
    <w:rsid w:val="37857B97"/>
    <w:rsid w:val="37985945"/>
    <w:rsid w:val="379A1012"/>
    <w:rsid w:val="37B94602"/>
    <w:rsid w:val="38694EE9"/>
    <w:rsid w:val="38E069CE"/>
    <w:rsid w:val="399F5AA7"/>
    <w:rsid w:val="3A6818FA"/>
    <w:rsid w:val="3AEC238A"/>
    <w:rsid w:val="3B365CC9"/>
    <w:rsid w:val="3B9A7B88"/>
    <w:rsid w:val="3C5F4C83"/>
    <w:rsid w:val="3CBF0D06"/>
    <w:rsid w:val="3D2C7AC8"/>
    <w:rsid w:val="3D855D12"/>
    <w:rsid w:val="3D8B42FF"/>
    <w:rsid w:val="3DE86C4C"/>
    <w:rsid w:val="3DF36A6E"/>
    <w:rsid w:val="3EBA1EE9"/>
    <w:rsid w:val="3F792F1E"/>
    <w:rsid w:val="40824826"/>
    <w:rsid w:val="40E63923"/>
    <w:rsid w:val="433E2CDB"/>
    <w:rsid w:val="43A91E5B"/>
    <w:rsid w:val="449E0D39"/>
    <w:rsid w:val="45E32B26"/>
    <w:rsid w:val="463A3650"/>
    <w:rsid w:val="46461627"/>
    <w:rsid w:val="469F0116"/>
    <w:rsid w:val="46E0714F"/>
    <w:rsid w:val="47315BD2"/>
    <w:rsid w:val="47421C51"/>
    <w:rsid w:val="475259B7"/>
    <w:rsid w:val="47561C04"/>
    <w:rsid w:val="476A1010"/>
    <w:rsid w:val="47A32BE0"/>
    <w:rsid w:val="488302AE"/>
    <w:rsid w:val="48831CF9"/>
    <w:rsid w:val="49024C9C"/>
    <w:rsid w:val="49A52016"/>
    <w:rsid w:val="49B1408D"/>
    <w:rsid w:val="4A7D4FD2"/>
    <w:rsid w:val="4A913C9A"/>
    <w:rsid w:val="4B1F70AC"/>
    <w:rsid w:val="4B240F94"/>
    <w:rsid w:val="4C0832E5"/>
    <w:rsid w:val="4C3C565C"/>
    <w:rsid w:val="4C3E2B07"/>
    <w:rsid w:val="4CC254E6"/>
    <w:rsid w:val="4CCC79C7"/>
    <w:rsid w:val="4D7555C7"/>
    <w:rsid w:val="4EAE6DA0"/>
    <w:rsid w:val="4ECF79AE"/>
    <w:rsid w:val="4F8B1BBF"/>
    <w:rsid w:val="4FE617D9"/>
    <w:rsid w:val="4FE92737"/>
    <w:rsid w:val="5016514B"/>
    <w:rsid w:val="50BD4329"/>
    <w:rsid w:val="50BD4DF3"/>
    <w:rsid w:val="50BE23A7"/>
    <w:rsid w:val="50FC1A26"/>
    <w:rsid w:val="51723664"/>
    <w:rsid w:val="51CB1C78"/>
    <w:rsid w:val="51D35A9F"/>
    <w:rsid w:val="51FD6A51"/>
    <w:rsid w:val="522D0BD9"/>
    <w:rsid w:val="526B680A"/>
    <w:rsid w:val="52836F71"/>
    <w:rsid w:val="52BE04FE"/>
    <w:rsid w:val="52D26B02"/>
    <w:rsid w:val="53EE1E81"/>
    <w:rsid w:val="541A5D30"/>
    <w:rsid w:val="55C1559C"/>
    <w:rsid w:val="55F068CD"/>
    <w:rsid w:val="55F11861"/>
    <w:rsid w:val="566C3136"/>
    <w:rsid w:val="568D04F2"/>
    <w:rsid w:val="56E9141C"/>
    <w:rsid w:val="57C37CE3"/>
    <w:rsid w:val="58D04AE7"/>
    <w:rsid w:val="59D653D9"/>
    <w:rsid w:val="5A526582"/>
    <w:rsid w:val="5A5F5C77"/>
    <w:rsid w:val="5A711A0D"/>
    <w:rsid w:val="5B1613E4"/>
    <w:rsid w:val="5B50604C"/>
    <w:rsid w:val="5B78003B"/>
    <w:rsid w:val="5BC11A60"/>
    <w:rsid w:val="5C197149"/>
    <w:rsid w:val="5C7A4D54"/>
    <w:rsid w:val="5CD23B73"/>
    <w:rsid w:val="5F00691E"/>
    <w:rsid w:val="5F127819"/>
    <w:rsid w:val="60350ED3"/>
    <w:rsid w:val="60B72AEE"/>
    <w:rsid w:val="61025188"/>
    <w:rsid w:val="61057D5F"/>
    <w:rsid w:val="6126068F"/>
    <w:rsid w:val="614D4977"/>
    <w:rsid w:val="61D4389A"/>
    <w:rsid w:val="62FD1A73"/>
    <w:rsid w:val="630F091B"/>
    <w:rsid w:val="63133D14"/>
    <w:rsid w:val="63C60FC0"/>
    <w:rsid w:val="64BA3D7A"/>
    <w:rsid w:val="64F179BC"/>
    <w:rsid w:val="65DF0A5F"/>
    <w:rsid w:val="662E109F"/>
    <w:rsid w:val="665704D3"/>
    <w:rsid w:val="666D151C"/>
    <w:rsid w:val="67C065A4"/>
    <w:rsid w:val="67D359C9"/>
    <w:rsid w:val="68042537"/>
    <w:rsid w:val="68FE36DD"/>
    <w:rsid w:val="694E60FC"/>
    <w:rsid w:val="69E95A08"/>
    <w:rsid w:val="6A162E38"/>
    <w:rsid w:val="6A256904"/>
    <w:rsid w:val="6AEE1907"/>
    <w:rsid w:val="6B656832"/>
    <w:rsid w:val="6BD66471"/>
    <w:rsid w:val="6BF743D3"/>
    <w:rsid w:val="6C675CE6"/>
    <w:rsid w:val="6D4F4321"/>
    <w:rsid w:val="6DF41B82"/>
    <w:rsid w:val="6DFF7360"/>
    <w:rsid w:val="6E7A5F73"/>
    <w:rsid w:val="6E873A42"/>
    <w:rsid w:val="6EE90F9D"/>
    <w:rsid w:val="6FD74228"/>
    <w:rsid w:val="7021106F"/>
    <w:rsid w:val="71633091"/>
    <w:rsid w:val="718801FD"/>
    <w:rsid w:val="72734A09"/>
    <w:rsid w:val="73081CA5"/>
    <w:rsid w:val="74201F7D"/>
    <w:rsid w:val="7487762D"/>
    <w:rsid w:val="74C33AA4"/>
    <w:rsid w:val="75210D7A"/>
    <w:rsid w:val="75385498"/>
    <w:rsid w:val="75B57DF2"/>
    <w:rsid w:val="75F37776"/>
    <w:rsid w:val="76BC207F"/>
    <w:rsid w:val="76EB4904"/>
    <w:rsid w:val="77645DCD"/>
    <w:rsid w:val="777378F5"/>
    <w:rsid w:val="777A2D3C"/>
    <w:rsid w:val="78474930"/>
    <w:rsid w:val="79074B81"/>
    <w:rsid w:val="792F0F5E"/>
    <w:rsid w:val="794F0939"/>
    <w:rsid w:val="79AF0FCA"/>
    <w:rsid w:val="7A9D05C5"/>
    <w:rsid w:val="7AF9279C"/>
    <w:rsid w:val="7B870811"/>
    <w:rsid w:val="7CC51958"/>
    <w:rsid w:val="7CD53DF9"/>
    <w:rsid w:val="7D097C86"/>
    <w:rsid w:val="7E2936C3"/>
    <w:rsid w:val="7E587E26"/>
    <w:rsid w:val="7E6411B9"/>
    <w:rsid w:val="7EB46836"/>
    <w:rsid w:val="B7EAF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6">
    <w:name w:val="heading 1"/>
    <w:basedOn w:val="1"/>
    <w:next w:val="1"/>
    <w:link w:val="62"/>
    <w:qFormat/>
    <w:uiPriority w:val="9"/>
    <w:pPr>
      <w:keepNext/>
      <w:keepLines/>
      <w:spacing w:before="340" w:after="330" w:line="578" w:lineRule="auto"/>
      <w:outlineLvl w:val="0"/>
    </w:pPr>
    <w:rPr>
      <w:b/>
      <w:bCs/>
      <w:kern w:val="44"/>
      <w:sz w:val="44"/>
      <w:szCs w:val="44"/>
    </w:rPr>
  </w:style>
  <w:style w:type="paragraph" w:styleId="7">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8">
    <w:name w:val="heading 3"/>
    <w:basedOn w:val="1"/>
    <w:next w:val="1"/>
    <w:link w:val="64"/>
    <w:semiHidden/>
    <w:unhideWhenUsed/>
    <w:qFormat/>
    <w:uiPriority w:val="9"/>
    <w:pPr>
      <w:keepNext/>
      <w:keepLines/>
      <w:spacing w:before="260" w:after="260" w:line="416" w:lineRule="auto"/>
      <w:outlineLvl w:val="2"/>
    </w:pPr>
    <w:rPr>
      <w:b/>
      <w:bCs/>
      <w:sz w:val="32"/>
      <w:szCs w:val="32"/>
    </w:rPr>
  </w:style>
  <w:style w:type="paragraph" w:styleId="9">
    <w:name w:val="heading 4"/>
    <w:basedOn w:val="1"/>
    <w:next w:val="1"/>
    <w:link w:val="69"/>
    <w:qFormat/>
    <w:uiPriority w:val="0"/>
    <w:pPr>
      <w:keepNext/>
      <w:keepLines/>
      <w:spacing w:before="280" w:after="290" w:line="376" w:lineRule="auto"/>
      <w:outlineLvl w:val="3"/>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spacing w:line="360" w:lineRule="auto"/>
      <w:ind w:firstLine="200"/>
    </w:pPr>
    <w:rPr>
      <w:sz w:val="21"/>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List"/>
    <w:basedOn w:val="1"/>
    <w:qFormat/>
    <w:uiPriority w:val="0"/>
    <w:pPr>
      <w:ind w:left="420" w:hanging="420"/>
    </w:pPr>
  </w:style>
  <w:style w:type="paragraph" w:styleId="10">
    <w:name w:val="toc 7"/>
    <w:basedOn w:val="1"/>
    <w:next w:val="1"/>
    <w:unhideWhenUsed/>
    <w:qFormat/>
    <w:uiPriority w:val="39"/>
    <w:pPr>
      <w:ind w:left="1260"/>
      <w:jc w:val="left"/>
    </w:pPr>
    <w:rPr>
      <w:rFonts w:ascii="Calibri" w:hAnsi="Calibri" w:cs="Calibri"/>
      <w:kern w:val="2"/>
      <w:sz w:val="18"/>
      <w:szCs w:val="18"/>
    </w:rPr>
  </w:style>
  <w:style w:type="paragraph" w:styleId="11">
    <w:name w:val="List Number"/>
    <w:basedOn w:val="1"/>
    <w:semiHidden/>
    <w:unhideWhenUsed/>
    <w:qFormat/>
    <w:uiPriority w:val="99"/>
    <w:pPr>
      <w:numPr>
        <w:ilvl w:val="0"/>
        <w:numId w:val="1"/>
      </w:numPr>
    </w:pPr>
  </w:style>
  <w:style w:type="paragraph" w:styleId="12">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13">
    <w:name w:val="annotation text"/>
    <w:basedOn w:val="1"/>
    <w:link w:val="61"/>
    <w:qFormat/>
    <w:uiPriority w:val="0"/>
    <w:pPr>
      <w:jc w:val="left"/>
    </w:pPr>
    <w:rPr>
      <w:rFonts w:ascii="Arial" w:hAnsi="Arial" w:eastAsia="黑体" w:cs="Arial"/>
    </w:rPr>
  </w:style>
  <w:style w:type="paragraph" w:styleId="14">
    <w:name w:val="Body Text"/>
    <w:basedOn w:val="1"/>
    <w:qFormat/>
    <w:uiPriority w:val="0"/>
    <w:pPr>
      <w:spacing w:after="120"/>
    </w:pPr>
    <w:rPr>
      <w:rFonts w:ascii="@微软简标宋" w:hAnsi="@微软简标宋" w:eastAsia="@微软简标宋" w:cs="@微软简标宋"/>
      <w:szCs w:val="24"/>
      <w:lang w:val="zh-CN"/>
    </w:rPr>
  </w:style>
  <w:style w:type="paragraph" w:styleId="15">
    <w:name w:val="index 4"/>
    <w:basedOn w:val="1"/>
    <w:next w:val="1"/>
    <w:qFormat/>
    <w:uiPriority w:val="0"/>
    <w:pPr>
      <w:ind w:left="600" w:leftChars="600"/>
    </w:pPr>
    <w:rPr>
      <w:rFonts w:ascii="Times New Roman" w:hAnsi="Times New Roman" w:eastAsia="宋体" w:cs="Times New Roman"/>
    </w:rPr>
  </w:style>
  <w:style w:type="paragraph" w:styleId="16">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7">
    <w:name w:val="Plain Text"/>
    <w:basedOn w:val="1"/>
    <w:link w:val="51"/>
    <w:qFormat/>
    <w:uiPriority w:val="99"/>
    <w:rPr>
      <w:rFonts w:ascii="宋体" w:hAnsi="Courier New" w:eastAsiaTheme="minorEastAsia" w:cstheme="minorBidi"/>
      <w:szCs w:val="22"/>
    </w:rPr>
  </w:style>
  <w:style w:type="paragraph" w:styleId="18">
    <w:name w:val="Date"/>
    <w:basedOn w:val="1"/>
    <w:next w:val="1"/>
    <w:link w:val="58"/>
    <w:qFormat/>
    <w:uiPriority w:val="0"/>
    <w:rPr>
      <w:rFonts w:ascii="Arial" w:hAnsi="Arial" w:eastAsia="宋体" w:cs="Arial"/>
      <w:b/>
      <w:sz w:val="28"/>
    </w:rPr>
  </w:style>
  <w:style w:type="paragraph" w:styleId="19">
    <w:name w:val="Balloon Text"/>
    <w:basedOn w:val="1"/>
    <w:link w:val="45"/>
    <w:semiHidden/>
    <w:unhideWhenUsed/>
    <w:qFormat/>
    <w:uiPriority w:val="99"/>
    <w:rPr>
      <w:sz w:val="18"/>
      <w:szCs w:val="18"/>
    </w:rPr>
  </w:style>
  <w:style w:type="paragraph" w:styleId="20">
    <w:name w:val="footer"/>
    <w:basedOn w:val="1"/>
    <w:link w:val="50"/>
    <w:unhideWhenUsed/>
    <w:qFormat/>
    <w:uiPriority w:val="99"/>
    <w:pPr>
      <w:tabs>
        <w:tab w:val="center" w:pos="4153"/>
        <w:tab w:val="right" w:pos="8306"/>
      </w:tabs>
      <w:snapToGrid w:val="0"/>
      <w:jc w:val="left"/>
    </w:pPr>
    <w:rPr>
      <w:sz w:val="18"/>
      <w:szCs w:val="18"/>
    </w:rPr>
  </w:style>
  <w:style w:type="paragraph" w:styleId="21">
    <w:name w:val="header"/>
    <w:basedOn w:val="1"/>
    <w:link w:val="49"/>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3">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4">
    <w:name w:val="Normal (Web)"/>
    <w:basedOn w:val="1"/>
    <w:qFormat/>
    <w:uiPriority w:val="0"/>
    <w:pPr>
      <w:spacing w:before="100" w:beforeAutospacing="1" w:after="100" w:afterAutospacing="1"/>
      <w:jc w:val="left"/>
    </w:pPr>
    <w:rPr>
      <w:rFonts w:cs="Times New Roman"/>
      <w:kern w:val="0"/>
      <w:sz w:val="24"/>
    </w:rPr>
  </w:style>
  <w:style w:type="paragraph" w:styleId="25">
    <w:name w:val="index 1"/>
    <w:basedOn w:val="1"/>
    <w:next w:val="1"/>
    <w:qFormat/>
    <w:uiPriority w:val="0"/>
    <w:pPr>
      <w:jc w:val="center"/>
    </w:pPr>
    <w:rPr>
      <w:rFonts w:ascii="Arial" w:hAnsi="Arial" w:eastAsia="Arial" w:cs="Arial"/>
      <w:b/>
      <w:bCs/>
      <w:sz w:val="28"/>
    </w:rPr>
  </w:style>
  <w:style w:type="paragraph" w:styleId="26">
    <w:name w:val="annotation subject"/>
    <w:basedOn w:val="13"/>
    <w:next w:val="13"/>
    <w:link w:val="72"/>
    <w:semiHidden/>
    <w:unhideWhenUsed/>
    <w:qFormat/>
    <w:uiPriority w:val="99"/>
    <w:rPr>
      <w:rFonts w:ascii="@仿宋_GB2312" w:hAnsi="@仿宋_GB2312" w:eastAsia="@仿宋_GB2312" w:cs="@仿宋_GB2312"/>
      <w:b/>
      <w:bCs/>
    </w:rPr>
  </w:style>
  <w:style w:type="paragraph" w:styleId="27">
    <w:name w:val="Body Text First Indent"/>
    <w:basedOn w:val="14"/>
    <w:unhideWhenUsed/>
    <w:qFormat/>
    <w:uiPriority w:val="99"/>
    <w:pPr>
      <w:ind w:firstLine="420" w:firstLineChars="100"/>
    </w:pPr>
  </w:style>
  <w:style w:type="table" w:styleId="29">
    <w:name w:val="Table Grid"/>
    <w:basedOn w:val="28"/>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qFormat/>
    <w:uiPriority w:val="0"/>
    <w:rPr>
      <w:b/>
      <w:bCs/>
    </w:rPr>
  </w:style>
  <w:style w:type="character" w:styleId="32">
    <w:name w:val="FollowedHyperlink"/>
    <w:basedOn w:val="30"/>
    <w:semiHidden/>
    <w:unhideWhenUsed/>
    <w:qFormat/>
    <w:uiPriority w:val="99"/>
    <w:rPr>
      <w:color w:val="5C5C5C"/>
      <w:u w:val="none"/>
    </w:rPr>
  </w:style>
  <w:style w:type="character" w:styleId="33">
    <w:name w:val="Emphasis"/>
    <w:basedOn w:val="30"/>
    <w:qFormat/>
    <w:uiPriority w:val="0"/>
    <w:rPr>
      <w:b/>
      <w:bCs/>
    </w:rPr>
  </w:style>
  <w:style w:type="character" w:styleId="34">
    <w:name w:val="HTML Definition"/>
    <w:basedOn w:val="30"/>
    <w:semiHidden/>
    <w:unhideWhenUsed/>
    <w:qFormat/>
    <w:uiPriority w:val="99"/>
  </w:style>
  <w:style w:type="character" w:styleId="35">
    <w:name w:val="HTML Typewriter"/>
    <w:basedOn w:val="30"/>
    <w:semiHidden/>
    <w:unhideWhenUsed/>
    <w:qFormat/>
    <w:uiPriority w:val="99"/>
    <w:rPr>
      <w:rFonts w:hint="default" w:ascii="monospace" w:hAnsi="monospace" w:eastAsia="monospace" w:cs="monospace"/>
      <w:sz w:val="20"/>
    </w:rPr>
  </w:style>
  <w:style w:type="character" w:styleId="36">
    <w:name w:val="HTML Acronym"/>
    <w:basedOn w:val="30"/>
    <w:semiHidden/>
    <w:unhideWhenUsed/>
    <w:qFormat/>
    <w:uiPriority w:val="99"/>
  </w:style>
  <w:style w:type="character" w:styleId="37">
    <w:name w:val="HTML Variable"/>
    <w:basedOn w:val="30"/>
    <w:semiHidden/>
    <w:unhideWhenUsed/>
    <w:qFormat/>
    <w:uiPriority w:val="99"/>
  </w:style>
  <w:style w:type="character" w:styleId="38">
    <w:name w:val="Hyperlink"/>
    <w:basedOn w:val="30"/>
    <w:unhideWhenUsed/>
    <w:qFormat/>
    <w:uiPriority w:val="99"/>
    <w:rPr>
      <w:color w:val="0000FF" w:themeColor="hyperlink"/>
      <w:u w:val="single"/>
      <w14:textFill>
        <w14:solidFill>
          <w14:schemeClr w14:val="hlink"/>
        </w14:solidFill>
      </w14:textFill>
    </w:rPr>
  </w:style>
  <w:style w:type="character" w:styleId="39">
    <w:name w:val="HTML Code"/>
    <w:basedOn w:val="30"/>
    <w:semiHidden/>
    <w:unhideWhenUsed/>
    <w:qFormat/>
    <w:uiPriority w:val="99"/>
    <w:rPr>
      <w:rFonts w:hint="default" w:ascii="monospace" w:hAnsi="monospace" w:eastAsia="monospace" w:cs="monospace"/>
      <w:sz w:val="20"/>
    </w:rPr>
  </w:style>
  <w:style w:type="character" w:styleId="40">
    <w:name w:val="annotation reference"/>
    <w:basedOn w:val="30"/>
    <w:semiHidden/>
    <w:unhideWhenUsed/>
    <w:qFormat/>
    <w:uiPriority w:val="99"/>
    <w:rPr>
      <w:sz w:val="21"/>
      <w:szCs w:val="21"/>
    </w:rPr>
  </w:style>
  <w:style w:type="character" w:styleId="41">
    <w:name w:val="HTML Cite"/>
    <w:basedOn w:val="30"/>
    <w:semiHidden/>
    <w:unhideWhenUsed/>
    <w:qFormat/>
    <w:uiPriority w:val="99"/>
  </w:style>
  <w:style w:type="character" w:styleId="42">
    <w:name w:val="HTML Keyboard"/>
    <w:basedOn w:val="30"/>
    <w:semiHidden/>
    <w:unhideWhenUsed/>
    <w:qFormat/>
    <w:uiPriority w:val="99"/>
    <w:rPr>
      <w:rFonts w:hint="default" w:ascii="monospace" w:hAnsi="monospace" w:eastAsia="monospace" w:cs="monospace"/>
      <w:sz w:val="20"/>
    </w:rPr>
  </w:style>
  <w:style w:type="character" w:styleId="43">
    <w:name w:val="HTML Sample"/>
    <w:basedOn w:val="30"/>
    <w:semiHidden/>
    <w:unhideWhenUsed/>
    <w:qFormat/>
    <w:uiPriority w:val="99"/>
    <w:rPr>
      <w:rFonts w:ascii="monospace" w:hAnsi="monospace" w:eastAsia="monospace" w:cs="monospace"/>
    </w:rPr>
  </w:style>
  <w:style w:type="paragraph" w:customStyle="1" w:styleId="44">
    <w:name w:val="正文文字 8"/>
    <w:basedOn w:val="1"/>
    <w:next w:val="1"/>
    <w:qFormat/>
    <w:uiPriority w:val="0"/>
    <w:pPr>
      <w:ind w:left="240"/>
    </w:pPr>
    <w:rPr>
      <w:sz w:val="16"/>
    </w:rPr>
  </w:style>
  <w:style w:type="character" w:customStyle="1" w:styleId="45">
    <w:name w:val="批注框文本 Char"/>
    <w:basedOn w:val="30"/>
    <w:link w:val="19"/>
    <w:semiHidden/>
    <w:qFormat/>
    <w:uiPriority w:val="99"/>
    <w:rPr>
      <w:rFonts w:ascii="@仿宋_GB2312" w:hAnsi="@仿宋_GB2312" w:eastAsia="@仿宋_GB2312" w:cs="@仿宋_GB2312"/>
      <w:sz w:val="18"/>
      <w:szCs w:val="18"/>
    </w:rPr>
  </w:style>
  <w:style w:type="paragraph" w:customStyle="1" w:styleId="46">
    <w:name w:val="正文（缩进）"/>
    <w:basedOn w:val="1"/>
    <w:qFormat/>
    <w:uiPriority w:val="0"/>
    <w:pPr>
      <w:widowControl/>
      <w:spacing w:before="156" w:after="156"/>
      <w:ind w:firstLine="480" w:firstLineChars="200"/>
      <w:jc w:val="left"/>
    </w:pPr>
    <w:rPr>
      <w:kern w:val="0"/>
      <w:sz w:val="24"/>
      <w:szCs w:val="24"/>
    </w:rPr>
  </w:style>
  <w:style w:type="paragraph" w:customStyle="1" w:styleId="47">
    <w:name w:val="xl31"/>
    <w:basedOn w:val="1"/>
    <w:qFormat/>
    <w:uiPriority w:val="0"/>
    <w:pPr>
      <w:widowControl/>
      <w:spacing w:before="100" w:beforeAutospacing="1" w:after="100" w:afterAutospacing="1"/>
      <w:jc w:val="center"/>
    </w:pPr>
    <w:rPr>
      <w:b/>
      <w:bCs/>
      <w:kern w:val="0"/>
      <w:sz w:val="28"/>
      <w:szCs w:val="28"/>
    </w:rPr>
  </w:style>
  <w:style w:type="paragraph" w:customStyle="1" w:styleId="48">
    <w:name w:val="D&amp;L"/>
    <w:basedOn w:val="21"/>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9">
    <w:name w:val="页眉 Char"/>
    <w:basedOn w:val="30"/>
    <w:link w:val="21"/>
    <w:qFormat/>
    <w:uiPriority w:val="99"/>
    <w:rPr>
      <w:rFonts w:ascii="@仿宋_GB2312" w:hAnsi="@仿宋_GB2312" w:eastAsia="@仿宋_GB2312" w:cs="@仿宋_GB2312"/>
      <w:sz w:val="18"/>
      <w:szCs w:val="18"/>
    </w:rPr>
  </w:style>
  <w:style w:type="character" w:customStyle="1" w:styleId="50">
    <w:name w:val="页脚 Char"/>
    <w:basedOn w:val="30"/>
    <w:link w:val="20"/>
    <w:qFormat/>
    <w:uiPriority w:val="99"/>
    <w:rPr>
      <w:rFonts w:ascii="@仿宋_GB2312" w:hAnsi="@仿宋_GB2312" w:eastAsia="@仿宋_GB2312" w:cs="@仿宋_GB2312"/>
      <w:sz w:val="18"/>
      <w:szCs w:val="18"/>
    </w:rPr>
  </w:style>
  <w:style w:type="character" w:customStyle="1" w:styleId="51">
    <w:name w:val="纯文本 Char"/>
    <w:link w:val="17"/>
    <w:qFormat/>
    <w:uiPriority w:val="0"/>
    <w:rPr>
      <w:rFonts w:ascii="宋体" w:hAnsi="Courier New"/>
    </w:rPr>
  </w:style>
  <w:style w:type="character" w:customStyle="1" w:styleId="52">
    <w:name w:val="纯文本 字符1"/>
    <w:basedOn w:val="30"/>
    <w:semiHidden/>
    <w:qFormat/>
    <w:uiPriority w:val="99"/>
    <w:rPr>
      <w:rFonts w:hAnsi="Courier New" w:cs="Courier New" w:asciiTheme="minorEastAsia"/>
      <w:szCs w:val="20"/>
    </w:rPr>
  </w:style>
  <w:style w:type="character" w:customStyle="1" w:styleId="53">
    <w:name w:val="未处理的提及1"/>
    <w:basedOn w:val="30"/>
    <w:semiHidden/>
    <w:unhideWhenUsed/>
    <w:qFormat/>
    <w:uiPriority w:val="99"/>
    <w:rPr>
      <w:color w:val="605E5C"/>
      <w:shd w:val="clear" w:color="auto" w:fill="E1DFDD"/>
    </w:rPr>
  </w:style>
  <w:style w:type="paragraph" w:styleId="54">
    <w:name w:val="List Paragraph"/>
    <w:basedOn w:val="1"/>
    <w:qFormat/>
    <w:uiPriority w:val="34"/>
    <w:pPr>
      <w:ind w:firstLine="420" w:firstLineChars="200"/>
    </w:pPr>
  </w:style>
  <w:style w:type="paragraph" w:customStyle="1" w:styleId="55">
    <w:name w:val="Char Char Char Char Char Char Char1 Char"/>
    <w:basedOn w:val="1"/>
    <w:qFormat/>
    <w:uiPriority w:val="0"/>
    <w:rPr>
      <w:rFonts w:ascii="Arial" w:hAnsi="Arial" w:eastAsia="宋体" w:cs="Arial"/>
      <w:sz w:val="24"/>
    </w:rPr>
  </w:style>
  <w:style w:type="table" w:customStyle="1" w:styleId="56">
    <w:name w:val="网格表 1 浅色1"/>
    <w:basedOn w:val="2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7">
    <w:name w:val="日期 字符"/>
    <w:basedOn w:val="30"/>
    <w:semiHidden/>
    <w:qFormat/>
    <w:uiPriority w:val="99"/>
    <w:rPr>
      <w:rFonts w:ascii="@仿宋_GB2312" w:hAnsi="@仿宋_GB2312" w:eastAsia="@仿宋_GB2312" w:cs="@仿宋_GB2312"/>
      <w:szCs w:val="20"/>
    </w:rPr>
  </w:style>
  <w:style w:type="character" w:customStyle="1" w:styleId="58">
    <w:name w:val="日期 Char"/>
    <w:link w:val="18"/>
    <w:qFormat/>
    <w:uiPriority w:val="0"/>
    <w:rPr>
      <w:rFonts w:ascii="Arial" w:hAnsi="Arial" w:eastAsia="宋体" w:cs="Arial"/>
      <w:b/>
      <w:sz w:val="28"/>
      <w:szCs w:val="20"/>
    </w:rPr>
  </w:style>
  <w:style w:type="character" w:customStyle="1" w:styleId="59">
    <w:name w:val="纯文本 Char1"/>
    <w:qFormat/>
    <w:locked/>
    <w:uiPriority w:val="99"/>
    <w:rPr>
      <w:rFonts w:ascii="Arial" w:hAnsi="Arial" w:eastAsia="Arial"/>
      <w:kern w:val="2"/>
      <w:sz w:val="21"/>
      <w:lang w:val="en-US" w:eastAsia="zh-CN" w:bidi="ar-SA"/>
    </w:rPr>
  </w:style>
  <w:style w:type="character" w:customStyle="1" w:styleId="60">
    <w:name w:val="批注文字 Char"/>
    <w:basedOn w:val="30"/>
    <w:semiHidden/>
    <w:qFormat/>
    <w:uiPriority w:val="99"/>
    <w:rPr>
      <w:rFonts w:ascii="@仿宋_GB2312" w:hAnsi="@仿宋_GB2312" w:eastAsia="@仿宋_GB2312" w:cs="@仿宋_GB2312"/>
      <w:szCs w:val="20"/>
    </w:rPr>
  </w:style>
  <w:style w:type="character" w:customStyle="1" w:styleId="61">
    <w:name w:val="批注文字 Char1"/>
    <w:link w:val="13"/>
    <w:qFormat/>
    <w:uiPriority w:val="0"/>
    <w:rPr>
      <w:rFonts w:ascii="Arial" w:hAnsi="Arial" w:eastAsia="黑体" w:cs="Arial"/>
      <w:szCs w:val="20"/>
    </w:rPr>
  </w:style>
  <w:style w:type="character" w:customStyle="1" w:styleId="62">
    <w:name w:val="标题 1 Char"/>
    <w:basedOn w:val="30"/>
    <w:link w:val="6"/>
    <w:qFormat/>
    <w:uiPriority w:val="9"/>
    <w:rPr>
      <w:rFonts w:ascii="@仿宋_GB2312" w:hAnsi="@仿宋_GB2312" w:eastAsia="@仿宋_GB2312" w:cs="@仿宋_GB2312"/>
      <w:b/>
      <w:bCs/>
      <w:kern w:val="44"/>
      <w:sz w:val="44"/>
      <w:szCs w:val="44"/>
    </w:rPr>
  </w:style>
  <w:style w:type="paragraph" w:customStyle="1" w:styleId="63">
    <w:name w:val="TOC 标题1"/>
    <w:basedOn w:val="6"/>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4">
    <w:name w:val="标题 3 Char"/>
    <w:basedOn w:val="30"/>
    <w:link w:val="8"/>
    <w:semiHidden/>
    <w:qFormat/>
    <w:uiPriority w:val="9"/>
    <w:rPr>
      <w:rFonts w:ascii="@仿宋_GB2312" w:hAnsi="@仿宋_GB2312" w:eastAsia="@仿宋_GB2312" w:cs="@仿宋_GB2312"/>
      <w:b/>
      <w:bCs/>
      <w:sz w:val="32"/>
      <w:szCs w:val="32"/>
    </w:rPr>
  </w:style>
  <w:style w:type="character" w:customStyle="1" w:styleId="65">
    <w:name w:val="fontstyle01"/>
    <w:basedOn w:val="30"/>
    <w:qFormat/>
    <w:uiPriority w:val="0"/>
    <w:rPr>
      <w:rFonts w:hint="eastAsia" w:ascii="宋体" w:hAnsi="宋体" w:eastAsia="宋体"/>
      <w:color w:val="000000"/>
      <w:sz w:val="22"/>
      <w:szCs w:val="22"/>
    </w:rPr>
  </w:style>
  <w:style w:type="character" w:customStyle="1" w:styleId="66">
    <w:name w:val="fontstyle21"/>
    <w:basedOn w:val="30"/>
    <w:qFormat/>
    <w:uiPriority w:val="0"/>
    <w:rPr>
      <w:rFonts w:hint="default" w:ascii="TimesNewRomanPSMT" w:hAnsi="TimesNewRomanPSMT"/>
      <w:color w:val="000000"/>
      <w:sz w:val="22"/>
      <w:szCs w:val="22"/>
    </w:rPr>
  </w:style>
  <w:style w:type="character" w:customStyle="1" w:styleId="67">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8">
    <w:name w:val="标题 4 字符"/>
    <w:basedOn w:val="30"/>
    <w:semiHidden/>
    <w:qFormat/>
    <w:uiPriority w:val="9"/>
    <w:rPr>
      <w:rFonts w:asciiTheme="majorHAnsi" w:hAnsiTheme="majorHAnsi" w:eastAsiaTheme="majorEastAsia" w:cstheme="majorBidi"/>
      <w:b/>
      <w:bCs/>
      <w:sz w:val="28"/>
      <w:szCs w:val="28"/>
    </w:rPr>
  </w:style>
  <w:style w:type="character" w:customStyle="1" w:styleId="69">
    <w:name w:val="标题 4 Char1"/>
    <w:link w:val="9"/>
    <w:qFormat/>
    <w:uiPriority w:val="0"/>
    <w:rPr>
      <w:rFonts w:ascii="@仿宋_GB2312" w:hAnsi="@仿宋_GB2312" w:eastAsia="@仿宋_GB2312" w:cs="@仿宋_GB2312"/>
      <w:b/>
      <w:bCs/>
      <w:sz w:val="28"/>
      <w:szCs w:val="28"/>
    </w:rPr>
  </w:style>
  <w:style w:type="character" w:customStyle="1" w:styleId="70">
    <w:name w:val="标题 4 Char"/>
    <w:qFormat/>
    <w:uiPriority w:val="0"/>
    <w:rPr>
      <w:rFonts w:ascii="Arial" w:hAnsi="Arial" w:eastAsia="Arial"/>
      <w:b/>
      <w:bCs/>
      <w:kern w:val="2"/>
      <w:sz w:val="28"/>
      <w:szCs w:val="28"/>
      <w:lang w:val="en-US" w:eastAsia="zh-CN" w:bidi="ar-SA"/>
    </w:rPr>
  </w:style>
  <w:style w:type="table" w:customStyle="1" w:styleId="71">
    <w:name w:val="网格型1"/>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2">
    <w:name w:val="批注主题 Char"/>
    <w:basedOn w:val="61"/>
    <w:link w:val="26"/>
    <w:semiHidden/>
    <w:qFormat/>
    <w:uiPriority w:val="99"/>
    <w:rPr>
      <w:rFonts w:ascii="@仿宋_GB2312" w:hAnsi="@仿宋_GB2312" w:eastAsia="@仿宋_GB2312" w:cs="@仿宋_GB2312"/>
      <w:b/>
      <w:bCs/>
      <w:szCs w:val="20"/>
    </w:rPr>
  </w:style>
  <w:style w:type="table" w:customStyle="1" w:styleId="73">
    <w:name w:val="Table Normal"/>
    <w:semiHidden/>
    <w:unhideWhenUsed/>
    <w:qFormat/>
    <w:uiPriority w:val="0"/>
    <w:tblPr>
      <w:tblCellMar>
        <w:top w:w="0" w:type="dxa"/>
        <w:left w:w="0" w:type="dxa"/>
        <w:bottom w:w="0" w:type="dxa"/>
        <w:right w:w="0" w:type="dxa"/>
      </w:tblCellMar>
    </w:tblPr>
  </w:style>
  <w:style w:type="paragraph" w:customStyle="1" w:styleId="74">
    <w:name w:val="Table Text"/>
    <w:basedOn w:val="1"/>
    <w:semiHidden/>
    <w:qFormat/>
    <w:uiPriority w:val="0"/>
    <w:rPr>
      <w:rFonts w:ascii="Arial" w:hAnsi="Arial" w:eastAsia="Arial" w:cs="Arial"/>
      <w:sz w:val="21"/>
      <w:szCs w:val="21"/>
      <w:lang w:val="en-US" w:eastAsia="en-US" w:bidi="ar-SA"/>
    </w:rPr>
  </w:style>
  <w:style w:type="paragraph" w:customStyle="1" w:styleId="7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6">
    <w:name w:val="列出段落1"/>
    <w:basedOn w:val="1"/>
    <w:qFormat/>
    <w:uiPriority w:val="0"/>
    <w:pPr>
      <w:ind w:firstLine="420" w:firstLineChars="200"/>
    </w:pPr>
    <w:rPr>
      <w:szCs w:val="21"/>
    </w:rPr>
  </w:style>
  <w:style w:type="paragraph" w:customStyle="1" w:styleId="77">
    <w:name w:val="样式1无缩进"/>
    <w:basedOn w:val="1"/>
    <w:qFormat/>
    <w:uiPriority w:val="0"/>
    <w:pPr>
      <w:ind w:firstLine="0" w:firstLineChars="0"/>
    </w:pPr>
  </w:style>
  <w:style w:type="character" w:customStyle="1" w:styleId="78">
    <w:name w:val="hover"/>
    <w:basedOn w:val="30"/>
    <w:qFormat/>
    <w:uiPriority w:val="0"/>
  </w:style>
  <w:style w:type="character" w:customStyle="1" w:styleId="79">
    <w:name w:val="hover1"/>
    <w:basedOn w:val="30"/>
    <w:qFormat/>
    <w:uiPriority w:val="0"/>
    <w:rPr>
      <w:color w:val="2590EB"/>
    </w:rPr>
  </w:style>
  <w:style w:type="character" w:customStyle="1" w:styleId="80">
    <w:name w:val="hover2"/>
    <w:basedOn w:val="30"/>
    <w:qFormat/>
    <w:uiPriority w:val="0"/>
    <w:rPr>
      <w:color w:val="2590EB"/>
    </w:rPr>
  </w:style>
  <w:style w:type="character" w:customStyle="1" w:styleId="81">
    <w:name w:val="hover3"/>
    <w:basedOn w:val="30"/>
    <w:qFormat/>
    <w:uiPriority w:val="0"/>
    <w:rPr>
      <w:color w:val="2590EB"/>
      <w:shd w:val="clear" w:fill="E9F4FD"/>
    </w:rPr>
  </w:style>
  <w:style w:type="character" w:customStyle="1" w:styleId="82">
    <w:name w:val="hover4"/>
    <w:basedOn w:val="30"/>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Pages>77</Pages>
  <Words>15880</Words>
  <Characters>17154</Characters>
  <Lines>244</Lines>
  <Paragraphs>68</Paragraphs>
  <TotalTime>34</TotalTime>
  <ScaleCrop>false</ScaleCrop>
  <LinksUpToDate>false</LinksUpToDate>
  <CharactersWithSpaces>17331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2019-05-06T22:32:00Z</dcterms:created>
  <dc:creator>倪荣</dc:creator>
  <cp:lastModifiedBy>傻傻一辈子</cp:lastModifiedBy>
  <cp:lastPrinted>2019-12-07T23:18:00Z</cp:lastPrinted>
  <dcterms:modified xsi:type="dcterms:W3CDTF">2026-09-07T03:19:16Z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30F97DC7D66A403683CF8CA26D3E8AAE_13</vt:lpwstr>
  </property>
  <property fmtid="{D5CDD505-2E9C-101B-9397-08002B2CF9AE}" pid="4" name="KSOTemplateDocerSaveRecord">
    <vt:lpwstr>eyJoZGlkIjoiMTljMDcwYWJmYjExZWQzNTVmZDAzZTYwM2JlMzJmZDYiLCJ1c2VySWQiOiIzODU2Mzk2OTQifQ==</vt:lpwstr>
  </property>
</Properties>
</file>