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bookmarkStart w:id="99" w:name="_GoBack"/>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5EF59064">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314" w:afterLines="100" w:line="480" w:lineRule="auto"/>
        <w:ind w:right="267" w:rightChars="127"/>
        <w:jc w:val="center"/>
        <w:textAlignment w:val="auto"/>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lang w:val="en-US" w:eastAsia="zh-CN"/>
        </w:rPr>
        <w:t>来六、明巢、滁合高速公路公众责任险服务项目</w:t>
      </w:r>
    </w:p>
    <w:p w14:paraId="60E30A8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rPr>
      </w:pPr>
    </w:p>
    <w:p w14:paraId="2BA3405C">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69AA10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r>
        <w:rPr>
          <w:rFonts w:hint="eastAsia" w:ascii="仿宋" w:hAnsi="仿宋" w:eastAsia="仿宋" w:cs="Times New Roman"/>
          <w:b/>
          <w:bCs/>
          <w:color w:val="auto"/>
          <w:kern w:val="0"/>
          <w:sz w:val="28"/>
          <w:szCs w:val="28"/>
          <w:highlight w:val="none"/>
          <w:u w:color="000000"/>
          <w:lang w:val="en-US" w:eastAsia="zh-CN"/>
        </w:rPr>
        <w:t xml:space="preserve">项目编号：HXJY1110001045063001001 </w:t>
      </w:r>
    </w:p>
    <w:p w14:paraId="6BF14300">
      <w:pPr>
        <w:pStyle w:val="28"/>
        <w:ind w:left="0" w:leftChars="0" w:firstLine="0" w:firstLineChars="0"/>
        <w:rPr>
          <w:rFonts w:asciiTheme="minorEastAsia" w:hAnsiTheme="minorEastAsia" w:eastAsiaTheme="minorEastAsia"/>
          <w:b/>
          <w:bCs/>
          <w:color w:val="auto"/>
          <w:sz w:val="44"/>
          <w:szCs w:val="44"/>
          <w:highlight w:val="none"/>
        </w:rPr>
      </w:pPr>
    </w:p>
    <w:p w14:paraId="7388F893">
      <w:pPr>
        <w:pStyle w:val="28"/>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 xml:space="preserve">  滁州市城投交通控股有限公司 （盖章）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 xml:space="preserve">2025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10</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21"/>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21"/>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rFonts w:hint="eastAsia"/>
          <w:color w:val="auto"/>
          <w:highlight w:val="none"/>
        </w:rPr>
        <w:fldChar w:fldCharType="end"/>
      </w:r>
    </w:p>
    <w:p w14:paraId="6AA34812">
      <w:pPr>
        <w:pStyle w:val="21"/>
        <w:tabs>
          <w:tab w:val="right" w:leader="dot" w:pos="8279"/>
        </w:tabs>
        <w:rPr>
          <w:rFonts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4</w:t>
      </w:r>
    </w:p>
    <w:p w14:paraId="22BCF0E2">
      <w:pPr>
        <w:pStyle w:val="21"/>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fldChar w:fldCharType="end"/>
      </w:r>
      <w:r>
        <w:rPr>
          <w:rFonts w:hint="eastAsia"/>
          <w:color w:val="auto"/>
          <w:highlight w:val="none"/>
          <w:lang w:val="en-US" w:eastAsia="zh-CN"/>
        </w:rPr>
        <w:t>17</w:t>
      </w:r>
    </w:p>
    <w:p w14:paraId="1E6C7626">
      <w:pPr>
        <w:pStyle w:val="21"/>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合同</w:t>
      </w:r>
      <w:r>
        <w:rPr>
          <w:color w:val="auto"/>
          <w:highlight w:val="none"/>
        </w:rPr>
        <w:tab/>
      </w:r>
      <w:r>
        <w:rPr>
          <w:rFonts w:hint="eastAsia"/>
          <w:color w:val="auto"/>
          <w:highlight w:val="none"/>
          <w:lang w:val="en-US" w:eastAsia="zh-CN"/>
        </w:rPr>
        <w:t>2</w:t>
      </w:r>
      <w:r>
        <w:rPr>
          <w:rFonts w:hint="eastAsia"/>
          <w:color w:val="auto"/>
          <w:highlight w:val="none"/>
        </w:rPr>
        <w:fldChar w:fldCharType="end"/>
      </w:r>
      <w:r>
        <w:rPr>
          <w:rFonts w:hint="eastAsia"/>
          <w:color w:val="auto"/>
          <w:highlight w:val="none"/>
          <w:lang w:val="en-US" w:eastAsia="zh-CN"/>
        </w:rPr>
        <w:t>0</w:t>
      </w:r>
    </w:p>
    <w:p w14:paraId="2A8FBFCB">
      <w:pPr>
        <w:pStyle w:val="21"/>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lang w:val="en-US" w:eastAsia="zh-CN"/>
        </w:rPr>
        <w:t>3</w:t>
      </w:r>
      <w:r>
        <w:rPr>
          <w:rFonts w:hint="eastAsia"/>
          <w:color w:val="auto"/>
          <w:highlight w:val="none"/>
        </w:rPr>
        <w:fldChar w:fldCharType="end"/>
      </w:r>
      <w:r>
        <w:rPr>
          <w:rFonts w:hint="eastAsia"/>
          <w:color w:val="auto"/>
          <w:highlight w:val="none"/>
          <w:lang w:val="en-US" w:eastAsia="zh-CN"/>
        </w:rPr>
        <w:t>7</w:t>
      </w:r>
    </w:p>
    <w:p w14:paraId="57637F0D">
      <w:pPr>
        <w:pStyle w:val="21"/>
        <w:tabs>
          <w:tab w:val="right" w:leader="dot" w:pos="8279"/>
        </w:tabs>
        <w:rPr>
          <w:color w:val="auto"/>
          <w:highlight w:val="none"/>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政府采购供应商询问函和质疑函范本</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7</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21"/>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417" w:bottom="1417" w:left="1417"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260" w:after="260"/>
        <w:rPr>
          <w:rFonts w:ascii="黑体" w:hAnsi="黑体" w:eastAsia="黑体" w:cs="黑体"/>
          <w:color w:val="auto"/>
          <w:kern w:val="0"/>
          <w:sz w:val="28"/>
          <w:szCs w:val="28"/>
          <w:highlight w:val="none"/>
          <w:u w:color="000000"/>
        </w:rPr>
      </w:pPr>
      <w:bookmarkStart w:id="2" w:name="_Toc28359013"/>
      <w:bookmarkStart w:id="3" w:name="_Toc35393799"/>
      <w:bookmarkStart w:id="4" w:name="_Toc35393630"/>
      <w:bookmarkStart w:id="5" w:name="_Toc28359090"/>
      <w:r>
        <w:rPr>
          <w:rFonts w:hint="eastAsia" w:ascii="黑体" w:hAnsi="黑体" w:eastAsia="黑体" w:cs="黑体"/>
          <w:color w:val="auto"/>
          <w:kern w:val="0"/>
          <w:sz w:val="28"/>
          <w:szCs w:val="28"/>
          <w:highlight w:val="none"/>
          <w:u w:color="000000"/>
        </w:rPr>
        <w:t>一、项目基本情况</w:t>
      </w:r>
    </w:p>
    <w:p w14:paraId="6203169F">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项目编号：HXJY1110001045063001001</w:t>
      </w:r>
      <w:r>
        <w:rPr>
          <w:rFonts w:hint="eastAsia" w:ascii="仿宋" w:hAnsi="仿宋" w:eastAsia="仿宋" w:cs="Times New Roman"/>
          <w:color w:val="auto"/>
          <w:kern w:val="0"/>
          <w:sz w:val="28"/>
          <w:szCs w:val="28"/>
          <w:highlight w:val="none"/>
          <w:u w:color="000000"/>
          <w:lang w:val="en-US" w:eastAsia="zh-CN"/>
        </w:rPr>
        <w:t xml:space="preserve">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来六、明巢、滁合高速公路公众责任险服务项目</w:t>
      </w:r>
    </w:p>
    <w:p w14:paraId="108E59D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本项目报价最高限价为</w:t>
      </w:r>
      <w:r>
        <w:rPr>
          <w:rFonts w:hint="eastAsia" w:ascii="仿宋" w:hAnsi="仿宋" w:eastAsia="仿宋" w:cs="Times New Roman"/>
          <w:color w:val="auto"/>
          <w:kern w:val="0"/>
          <w:sz w:val="28"/>
          <w:szCs w:val="28"/>
          <w:highlight w:val="none"/>
          <w:u w:color="000000"/>
          <w:lang w:val="en-US" w:eastAsia="zh-CN"/>
        </w:rPr>
        <w:t>230000元/年，</w:t>
      </w:r>
      <w:r>
        <w:rPr>
          <w:rFonts w:hint="eastAsia" w:ascii="仿宋" w:hAnsi="仿宋" w:eastAsia="仿宋" w:cs="Times New Roman"/>
          <w:color w:val="auto"/>
          <w:kern w:val="0"/>
          <w:sz w:val="28"/>
          <w:szCs w:val="28"/>
          <w:highlight w:val="none"/>
          <w:u w:color="000000"/>
          <w:lang w:val="en-US" w:eastAsia="zh-CN"/>
        </w:rPr>
        <w:t>供应商响应报价不得高于最高限价，否则，其响应文件按无效响应处理。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保险服务</w:t>
      </w:r>
    </w:p>
    <w:p w14:paraId="13E3FEC9">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3±N年(N为0,1,2)</w:t>
      </w:r>
      <w:r>
        <w:rPr>
          <w:rFonts w:hint="eastAsia" w:ascii="仿宋" w:hAnsi="仿宋" w:eastAsia="仿宋" w:cs="Times New Roman"/>
          <w:color w:val="auto"/>
          <w:kern w:val="0"/>
          <w:sz w:val="28"/>
          <w:szCs w:val="28"/>
          <w:highlight w:val="none"/>
          <w:u w:color="000000"/>
        </w:rPr>
        <w:t>。</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60" w:after="260"/>
        <w:rPr>
          <w:rFonts w:ascii="黑体" w:hAnsi="黑体" w:eastAsia="黑体" w:cs="黑体"/>
          <w:color w:val="auto"/>
          <w:kern w:val="0"/>
          <w:sz w:val="28"/>
          <w:szCs w:val="28"/>
          <w:highlight w:val="none"/>
          <w:u w:color="000000"/>
        </w:rPr>
      </w:pPr>
      <w:bookmarkStart w:id="6" w:name="_Toc28359014"/>
      <w:bookmarkStart w:id="7" w:name="_Toc28359091"/>
      <w:bookmarkStart w:id="8" w:name="_Toc35393631"/>
      <w:bookmarkStart w:id="9" w:name="_Toc35393800"/>
      <w:r>
        <w:rPr>
          <w:rFonts w:hint="eastAsia" w:ascii="黑体" w:hAnsi="黑体" w:eastAsia="黑体" w:cs="黑体"/>
          <w:color w:val="auto"/>
          <w:kern w:val="0"/>
          <w:sz w:val="28"/>
          <w:szCs w:val="28"/>
          <w:highlight w:val="none"/>
          <w:u w:color="000000"/>
        </w:rPr>
        <w:t>二、申请人的资格要求</w:t>
      </w:r>
    </w:p>
    <w:p w14:paraId="2F5BCE37">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1.</w:t>
      </w:r>
      <w:r>
        <w:rPr>
          <w:rFonts w:hint="eastAsia" w:ascii="仿宋" w:hAnsi="仿宋" w:eastAsia="仿宋" w:cs="Times New Roman"/>
          <w:color w:val="auto"/>
          <w:kern w:val="0"/>
          <w:sz w:val="28"/>
          <w:szCs w:val="28"/>
          <w:highlight w:val="none"/>
          <w:u w:color="000000"/>
          <w:lang w:val="en-US" w:eastAsia="zh-CN"/>
        </w:rPr>
        <w:t>供应商须具备相应的服务能力；</w:t>
      </w:r>
    </w:p>
    <w:p w14:paraId="3E121995">
      <w:pPr>
        <w:pStyle w:val="44"/>
        <w:ind w:left="468" w:leftChars="223" w:firstLine="84" w:firstLineChars="30"/>
        <w:rPr>
          <w:rFonts w:hint="default"/>
          <w:color w:val="auto"/>
          <w:highlight w:val="none"/>
          <w:lang w:val="en-US"/>
        </w:rPr>
      </w:pPr>
      <w:r>
        <w:rPr>
          <w:rFonts w:hint="eastAsia" w:ascii="仿宋" w:hAnsi="仿宋" w:eastAsia="仿宋" w:cs="Times New Roman"/>
          <w:color w:val="auto"/>
          <w:kern w:val="0"/>
          <w:sz w:val="28"/>
          <w:szCs w:val="28"/>
          <w:highlight w:val="none"/>
          <w:u w:color="000000"/>
          <w:lang w:val="en-US" w:eastAsia="zh-CN"/>
        </w:rPr>
        <w:t>2.供应商须具备行业主管部门颁发的有效的《保险许可证》。</w:t>
      </w:r>
    </w:p>
    <w:bookmarkEnd w:id="6"/>
    <w:bookmarkEnd w:id="7"/>
    <w:bookmarkEnd w:id="8"/>
    <w:bookmarkEnd w:id="9"/>
    <w:p w14:paraId="45A007AD">
      <w:pPr>
        <w:keepNext/>
        <w:keepLines/>
        <w:spacing w:before="260" w:after="260"/>
        <w:rPr>
          <w:rFonts w:ascii="黑体" w:hAnsi="黑体" w:eastAsia="黑体" w:cs="黑体"/>
          <w:color w:val="auto"/>
          <w:kern w:val="0"/>
          <w:sz w:val="28"/>
          <w:szCs w:val="28"/>
          <w:highlight w:val="none"/>
          <w:u w:color="000000"/>
        </w:rPr>
      </w:pPr>
      <w:bookmarkStart w:id="10" w:name="_Toc35393632"/>
      <w:bookmarkStart w:id="11" w:name="_Toc35393801"/>
      <w:bookmarkStart w:id="12" w:name="_Toc28359015"/>
      <w:bookmarkStart w:id="13" w:name="_Toc28359092"/>
      <w:r>
        <w:rPr>
          <w:rFonts w:hint="eastAsia" w:ascii="黑体" w:hAnsi="黑体" w:eastAsia="黑体" w:cs="黑体"/>
          <w:color w:val="auto"/>
          <w:kern w:val="0"/>
          <w:sz w:val="28"/>
          <w:szCs w:val="28"/>
          <w:highlight w:val="none"/>
          <w:u w:color="000000"/>
        </w:rPr>
        <w:t>三、获取采购文件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10</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22</w:t>
      </w:r>
      <w:r>
        <w:rPr>
          <w:rFonts w:hint="eastAsia" w:ascii="仿宋" w:hAnsi="仿宋" w:eastAsia="仿宋" w:cs="Times New Roman"/>
          <w:color w:val="auto"/>
          <w:kern w:val="0"/>
          <w:sz w:val="28"/>
          <w:szCs w:val="28"/>
          <w:highlight w:val="none"/>
          <w:u w:color="000000"/>
        </w:rPr>
        <w:t>日至2025年</w:t>
      </w:r>
      <w:r>
        <w:rPr>
          <w:rFonts w:hint="eastAsia" w:ascii="仿宋" w:hAnsi="仿宋" w:eastAsia="仿宋" w:cs="Times New Roman"/>
          <w:color w:val="auto"/>
          <w:kern w:val="0"/>
          <w:sz w:val="28"/>
          <w:szCs w:val="28"/>
          <w:highlight w:val="none"/>
          <w:u w:color="000000"/>
          <w:lang w:val="en-US" w:eastAsia="zh-CN"/>
        </w:rPr>
        <w:t>10</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27</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请于公告发布之日起从滁州市城投工程咨询管理有限公司官网（https://www.czctgczx.com/）下载。供应商自行承担因未按要求获取采购文件导致无法上传电子响应文件的风险。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（2）供应商登录新点电子交易平台【滁州专区】获取采购文件及其它资料（含澄清和补充说明等）。如在采购文件获取过程中遇到系统问题，请拨打技术支持服务热线 4009280095或者网站首页在线客服。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2、采购文件及相关资料售价：人民币0元/套（含清单控制价、图纸及澄清答疑文件）</w:t>
      </w:r>
    </w:p>
    <w:bookmarkEnd w:id="10"/>
    <w:bookmarkEnd w:id="11"/>
    <w:bookmarkEnd w:id="12"/>
    <w:bookmarkEnd w:id="13"/>
    <w:p w14:paraId="512A2CFF">
      <w:pPr>
        <w:keepNext/>
        <w:keepLines/>
        <w:spacing w:before="260" w:after="260"/>
        <w:rPr>
          <w:rFonts w:ascii="黑体" w:hAnsi="黑体" w:eastAsia="黑体" w:cs="黑体"/>
          <w:color w:val="auto"/>
          <w:kern w:val="0"/>
          <w:sz w:val="28"/>
          <w:szCs w:val="28"/>
          <w:highlight w:val="none"/>
          <w:u w:color="000000"/>
        </w:rPr>
      </w:pPr>
      <w:bookmarkStart w:id="14" w:name="_Toc28359093"/>
      <w:bookmarkStart w:id="15" w:name="_Toc35393802"/>
      <w:bookmarkStart w:id="16" w:name="_Toc28359016"/>
      <w:bookmarkStart w:id="17" w:name="_Toc35393633"/>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截止时间：2025年</w:t>
      </w:r>
      <w:r>
        <w:rPr>
          <w:rFonts w:hint="eastAsia" w:ascii="仿宋" w:hAnsi="仿宋" w:eastAsia="仿宋" w:cs="Times New Roman"/>
          <w:color w:val="auto"/>
          <w:kern w:val="0"/>
          <w:sz w:val="28"/>
          <w:szCs w:val="28"/>
          <w:highlight w:val="none"/>
          <w:u w:color="000000"/>
          <w:lang w:val="en-US" w:eastAsia="zh-CN"/>
        </w:rPr>
        <w:t>10</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27</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询价采购文件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4"/>
    <w:bookmarkEnd w:id="15"/>
    <w:bookmarkEnd w:id="16"/>
    <w:bookmarkEnd w:id="17"/>
    <w:p w14:paraId="2EB338CE">
      <w:pPr>
        <w:keepNext/>
        <w:keepLines/>
        <w:spacing w:before="260" w:after="260"/>
        <w:rPr>
          <w:rFonts w:ascii="黑体" w:hAnsi="黑体" w:eastAsia="黑体" w:cs="黑体"/>
          <w:color w:val="auto"/>
          <w:kern w:val="0"/>
          <w:sz w:val="28"/>
          <w:szCs w:val="28"/>
          <w:highlight w:val="none"/>
          <w:u w:color="000000"/>
        </w:rPr>
      </w:pPr>
      <w:bookmarkStart w:id="18" w:name="_Toc2396"/>
      <w:bookmarkStart w:id="19" w:name="_Toc14529"/>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10</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27</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w:t>
      </w:r>
    </w:p>
    <w:p w14:paraId="15776A90">
      <w:pPr>
        <w:keepNext w:val="0"/>
        <w:keepLines w:val="0"/>
        <w:pageBreakBefore w:val="0"/>
        <w:widowControl/>
        <w:kinsoku/>
        <w:wordWrap w:val="0"/>
        <w:overflowPunct/>
        <w:topLinePunct w:val="0"/>
        <w:autoSpaceDE/>
        <w:autoSpaceDN/>
        <w:bidi w:val="0"/>
        <w:adjustRightInd/>
        <w:snapToGrid/>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网上开启，供应商登录滁州市城投工程咨询管理有限公司不见面开标系统参与网上开标（网址：http://js.etrading.cn/EpointBidOpening/bidopeninghallaction/hall/login）。</w:t>
      </w:r>
    </w:p>
    <w:p w14:paraId="3194547C">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18"/>
    <w:bookmarkEnd w:id="19"/>
    <w:p w14:paraId="41FD9EC3">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采购文件。供应商自行承担因未按要求获取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3.供应商登录新点电子交易平台【滁州专区】获取采购文件及其它资料（含澄清和补充说明等）。如在采购文件获取过程中遇到系统问题，请拨打技术支持服务热线4009280095或者网站首页在线客服。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投标人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4353746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  称：</w:t>
      </w:r>
      <w:r>
        <w:rPr>
          <w:rFonts w:hint="eastAsia" w:ascii="仿宋" w:hAnsi="仿宋" w:eastAsia="仿宋" w:cs="Times New Roman"/>
          <w:color w:val="auto"/>
          <w:kern w:val="0"/>
          <w:sz w:val="28"/>
          <w:szCs w:val="28"/>
          <w:highlight w:val="none"/>
          <w:u w:color="000000"/>
          <w:lang w:val="en-US" w:eastAsia="zh-CN"/>
        </w:rPr>
        <w:t>滁州市城投交通控股有限公司</w:t>
      </w:r>
    </w:p>
    <w:p w14:paraId="6CB6751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w:t>
      </w:r>
      <w:r>
        <w:rPr>
          <w:rFonts w:hint="eastAsia" w:ascii="仿宋" w:hAnsi="仿宋" w:eastAsia="仿宋" w:cs="Times New Roman"/>
          <w:color w:val="auto"/>
          <w:kern w:val="0"/>
          <w:sz w:val="28"/>
          <w:szCs w:val="28"/>
          <w:highlight w:val="none"/>
          <w:u w:color="000000"/>
          <w:lang w:val="en-US" w:eastAsia="zh-CN"/>
        </w:rPr>
        <w:t>滁州市中都大道1598号15层</w:t>
      </w:r>
    </w:p>
    <w:p w14:paraId="5698FE9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 xml:space="preserve">孙工 </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 xml:space="preserve">0550-3500336 </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关勤勤</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18909605753</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68D88FAC">
      <w:pPr>
        <w:spacing w:line="360" w:lineRule="auto"/>
        <w:jc w:val="center"/>
        <w:outlineLvl w:val="1"/>
        <w:rPr>
          <w:rFonts w:asciiTheme="minorEastAsia" w:hAnsiTheme="minorEastAsia" w:eastAsiaTheme="minorEastAsia"/>
          <w:b/>
          <w:color w:val="auto"/>
          <w:sz w:val="24"/>
          <w:highlight w:val="none"/>
        </w:rPr>
      </w:pPr>
      <w:bookmarkStart w:id="21" w:name="_Toc5571"/>
      <w:bookmarkStart w:id="22" w:name="_Toc1217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w:t>
      </w:r>
      <w:r>
        <w:rPr>
          <w:rFonts w:hint="eastAsia" w:asciiTheme="minorEastAsia" w:hAnsiTheme="minorEastAsia" w:eastAsiaTheme="minorEastAsia"/>
          <w:color w:val="auto"/>
          <w:sz w:val="24"/>
          <w:szCs w:val="18"/>
          <w:highlight w:val="none"/>
          <w:lang w:val="en-US" w:eastAsia="zh-CN"/>
        </w:rPr>
        <w:t>与正文约定</w:t>
      </w:r>
      <w:r>
        <w:rPr>
          <w:rFonts w:hint="eastAsia" w:asciiTheme="minorEastAsia" w:hAnsiTheme="minorEastAsia" w:eastAsiaTheme="minorEastAsia"/>
          <w:color w:val="auto"/>
          <w:sz w:val="24"/>
          <w:szCs w:val="18"/>
          <w:highlight w:val="none"/>
        </w:rPr>
        <w:t>有不一致，以本表为准。</w:t>
      </w:r>
    </w:p>
    <w:tbl>
      <w:tblPr>
        <w:tblStyle w:val="29"/>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028"/>
        <w:gridCol w:w="6337"/>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CA9C574">
            <w:pPr>
              <w:pStyle w:val="50"/>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50"/>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9" w:type="pct"/>
            <w:vAlign w:val="center"/>
          </w:tcPr>
          <w:p w14:paraId="4254168E">
            <w:pPr>
              <w:pStyle w:val="50"/>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8" w:type="pct"/>
            <w:vAlign w:val="center"/>
          </w:tcPr>
          <w:p w14:paraId="2A9A9F98">
            <w:pPr>
              <w:pStyle w:val="51"/>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50"/>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49"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CDFE6D8">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50"/>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49" w:type="pct"/>
            <w:vAlign w:val="center"/>
          </w:tcPr>
          <w:p w14:paraId="2E825BEE">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2025</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lang w:val="en-US" w:eastAsia="zh-CN"/>
              </w:rPr>
              <w:t xml:space="preserve"> 10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24</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30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restart"/>
            <w:vAlign w:val="center"/>
          </w:tcPr>
          <w:p w14:paraId="097A89BC">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50"/>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49" w:type="pct"/>
            <w:vAlign w:val="center"/>
          </w:tcPr>
          <w:p w14:paraId="4A9600A1">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lang w:eastAsia="zh-CN"/>
              </w:rPr>
              <w:t>☑</w:t>
            </w:r>
            <w:r>
              <w:rPr>
                <w:rFonts w:asciiTheme="minorEastAsia" w:hAnsiTheme="minorEastAsia" w:eastAsiaTheme="minorEastAsia"/>
                <w:b w:val="0"/>
                <w:color w:val="auto"/>
                <w:sz w:val="24"/>
                <w:highlight w:val="none"/>
              </w:rPr>
              <w:t xml:space="preserve">不分包     </w:t>
            </w:r>
            <w:r>
              <w:rPr>
                <w:rFonts w:hint="eastAsia" w:asciiTheme="minorEastAsia" w:hAnsiTheme="minorEastAsia" w:eastAsiaTheme="minorEastAsia"/>
                <w:b w:val="0"/>
                <w:color w:val="auto"/>
                <w:sz w:val="24"/>
                <w:highlight w:val="none"/>
                <w:lang w:eastAsia="zh-CN"/>
              </w:rPr>
              <w:t>□</w:t>
            </w:r>
            <w:r>
              <w:rPr>
                <w:rFonts w:asciiTheme="minorEastAsia" w:hAnsiTheme="minorEastAsia" w:eastAsiaTheme="minorEastAsia"/>
                <w:b w:val="0"/>
                <w:color w:val="auto"/>
                <w:sz w:val="24"/>
                <w:highlight w:val="none"/>
              </w:rPr>
              <w:t>分为</w:t>
            </w:r>
            <w:r>
              <w:rPr>
                <w:rFonts w:hint="eastAsia" w:asciiTheme="minorEastAsia" w:hAnsiTheme="minorEastAsia" w:eastAsiaTheme="minorEastAsia"/>
                <w:b w:val="0"/>
                <w:color w:val="auto"/>
                <w:sz w:val="24"/>
                <w:highlight w:val="none"/>
                <w:u w:val="single"/>
                <w:lang w:val="en-US" w:eastAsia="zh-CN"/>
              </w:rPr>
              <w:t xml:space="preserve">  </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continue"/>
            <w:vAlign w:val="center"/>
          </w:tcPr>
          <w:p w14:paraId="114719C7">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50"/>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49" w:type="pct"/>
            <w:vAlign w:val="center"/>
          </w:tcPr>
          <w:p w14:paraId="1CECC8B7">
            <w:pPr>
              <w:pStyle w:val="50"/>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bCs/>
                <w:color w:val="auto"/>
                <w:sz w:val="24"/>
                <w:szCs w:val="18"/>
                <w:highlight w:val="none"/>
                <w:u w:val="single"/>
                <w:lang w:val="en-US" w:eastAsia="zh-CN"/>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DD5C897">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75402279">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49" w:type="pct"/>
            <w:vAlign w:val="center"/>
          </w:tcPr>
          <w:p w14:paraId="1BC62FEE">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8857901">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49" w:type="pct"/>
            <w:vAlign w:val="center"/>
          </w:tcPr>
          <w:p w14:paraId="3988ADF5">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73B990B">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49" w:type="pct"/>
            <w:vAlign w:val="center"/>
          </w:tcPr>
          <w:p w14:paraId="47000502">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FF847D">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49" w:type="pct"/>
            <w:vAlign w:val="center"/>
          </w:tcPr>
          <w:p w14:paraId="2950DD18">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AFF454D">
            <w:pPr>
              <w:pStyle w:val="51"/>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50"/>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49" w:type="pct"/>
            <w:vAlign w:val="center"/>
          </w:tcPr>
          <w:p w14:paraId="783AC166">
            <w:pPr>
              <w:pStyle w:val="50"/>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5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CF261F1">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9" w:type="pct"/>
          </w:tcPr>
          <w:p w14:paraId="7DD73B7D">
            <w:pPr>
              <w:spacing w:line="360" w:lineRule="auto"/>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4B931AE">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50"/>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49"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50"/>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代理费2000</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b w:val="0"/>
                <w:color w:val="auto"/>
                <w:sz w:val="24"/>
                <w:highlight w:val="none"/>
                <w:u w:val="none"/>
                <w:lang w:val="en-US" w:eastAsia="zh-CN"/>
              </w:rPr>
              <w:t>（最终以实际发生为准，按实计收），成交供应商在领取成交通知书前一次性支付给代理公司；</w:t>
            </w:r>
          </w:p>
        </w:tc>
      </w:tr>
      <w:tr w14:paraId="4C6D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42BEAE2E">
            <w:pPr>
              <w:pStyle w:val="51"/>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25.1</w:t>
            </w:r>
          </w:p>
        </w:tc>
        <w:tc>
          <w:tcPr>
            <w:tcW w:w="1072" w:type="pct"/>
            <w:vAlign w:val="center"/>
          </w:tcPr>
          <w:p w14:paraId="7F7CCEE3">
            <w:pPr>
              <w:pStyle w:val="50"/>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签订合同</w:t>
            </w:r>
          </w:p>
        </w:tc>
        <w:tc>
          <w:tcPr>
            <w:tcW w:w="3349" w:type="pct"/>
            <w:vAlign w:val="center"/>
          </w:tcPr>
          <w:p w14:paraId="3E26BA37">
            <w:pPr>
              <w:pStyle w:val="5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00669541">
            <w:pPr>
              <w:pStyle w:val="5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50"/>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49" w:type="pct"/>
            <w:vAlign w:val="center"/>
          </w:tcPr>
          <w:p w14:paraId="646E8691">
            <w:pPr>
              <w:pStyle w:val="50"/>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采购</w:t>
            </w:r>
            <w:r>
              <w:rPr>
                <w:rFonts w:hint="eastAsia" w:ascii="宋体" w:hAnsi="宋体" w:eastAsia="宋体" w:cs="宋体"/>
                <w:b w:val="0"/>
                <w:color w:val="auto"/>
                <w:sz w:val="24"/>
                <w:szCs w:val="24"/>
                <w:highlight w:val="none"/>
              </w:rPr>
              <w:t>文件有疑问，请于202</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u w:val="none"/>
              </w:rPr>
              <w:t>日1</w:t>
            </w:r>
            <w:r>
              <w:rPr>
                <w:rFonts w:hint="eastAsia" w:ascii="宋体" w:hAnsi="宋体" w:eastAsia="宋体" w:cs="宋体"/>
                <w:b w:val="0"/>
                <w:color w:val="auto"/>
                <w:sz w:val="24"/>
                <w:szCs w:val="24"/>
                <w:highlight w:val="none"/>
                <w:u w:val="none"/>
                <w:lang w:val="en-US" w:eastAsia="zh-CN"/>
              </w:rPr>
              <w:t>7</w:t>
            </w:r>
            <w:r>
              <w:rPr>
                <w:rFonts w:hint="eastAsia" w:ascii="宋体" w:hAnsi="宋体" w:eastAsia="宋体" w:cs="宋体"/>
                <w:b w:val="0"/>
                <w:color w:val="auto"/>
                <w:sz w:val="24"/>
                <w:szCs w:val="24"/>
                <w:highlight w:val="none"/>
                <w:u w:val="none"/>
              </w:rPr>
              <w:t>时前</w:t>
            </w:r>
            <w:r>
              <w:rPr>
                <w:rFonts w:hint="eastAsia" w:ascii="宋体" w:hAnsi="宋体" w:eastAsia="宋体" w:cs="宋体"/>
                <w:b w:val="0"/>
                <w:color w:val="auto"/>
                <w:sz w:val="24"/>
                <w:szCs w:val="24"/>
                <w:highlight w:val="none"/>
                <w:u w:val="none"/>
                <w:lang w:val="en-US" w:eastAsia="zh-CN"/>
              </w:rPr>
              <w:t>通过新点电子交易平台【滁州专区】对采购文件提出澄清（质疑）</w:t>
            </w: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采购人</w:t>
            </w:r>
            <w:r>
              <w:rPr>
                <w:rFonts w:hint="eastAsia" w:ascii="宋体" w:hAnsi="宋体" w:eastAsia="宋体" w:cs="宋体"/>
                <w:b w:val="0"/>
                <w:color w:val="auto"/>
                <w:sz w:val="24"/>
                <w:szCs w:val="24"/>
                <w:highlight w:val="none"/>
                <w:u w:val="none"/>
              </w:rPr>
              <w:t>将在202</w:t>
            </w:r>
            <w:r>
              <w:rPr>
                <w:rFonts w:hint="eastAsia" w:ascii="宋体" w:hAnsi="宋体" w:eastAsia="宋体" w:cs="宋体"/>
                <w:b w:val="0"/>
                <w:color w:val="auto"/>
                <w:sz w:val="24"/>
                <w:szCs w:val="24"/>
                <w:highlight w:val="none"/>
                <w:u w:val="none"/>
                <w:lang w:val="en-US" w:eastAsia="zh-CN"/>
              </w:rPr>
              <w:t>5</w:t>
            </w:r>
            <w:r>
              <w:rPr>
                <w:rFonts w:hint="eastAsia" w:ascii="宋体" w:hAnsi="宋体" w:eastAsia="宋体" w:cs="宋体"/>
                <w:b w:val="0"/>
                <w:color w:val="auto"/>
                <w:sz w:val="24"/>
                <w:szCs w:val="24"/>
                <w:highlight w:val="none"/>
                <w:u w:val="none"/>
              </w:rPr>
              <w:t>年</w:t>
            </w:r>
            <w:r>
              <w:rPr>
                <w:rFonts w:hint="eastAsia" w:ascii="宋体" w:hAnsi="宋体" w:eastAsia="宋体" w:cs="宋体"/>
                <w:b w:val="0"/>
                <w:color w:val="auto"/>
                <w:sz w:val="24"/>
                <w:szCs w:val="24"/>
                <w:highlight w:val="none"/>
                <w:u w:val="none"/>
                <w:lang w:val="en-US" w:eastAsia="zh-CN"/>
              </w:rPr>
              <w:t>10</w:t>
            </w:r>
            <w:r>
              <w:rPr>
                <w:rFonts w:hint="eastAsia" w:ascii="宋体" w:hAnsi="宋体" w:eastAsia="宋体" w:cs="宋体"/>
                <w:b w:val="0"/>
                <w:color w:val="auto"/>
                <w:sz w:val="24"/>
                <w:szCs w:val="24"/>
                <w:highlight w:val="none"/>
                <w:u w:val="none"/>
              </w:rPr>
              <w:t>月</w:t>
            </w:r>
            <w:r>
              <w:rPr>
                <w:rFonts w:hint="eastAsia" w:ascii="宋体" w:hAnsi="宋体" w:eastAsia="宋体" w:cs="宋体"/>
                <w:b w:val="0"/>
                <w:color w:val="auto"/>
                <w:sz w:val="24"/>
                <w:szCs w:val="24"/>
                <w:highlight w:val="none"/>
                <w:lang w:val="en-US" w:eastAsia="zh-CN"/>
              </w:rPr>
              <w:t>24</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50"/>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4"/>
                <w:szCs w:val="24"/>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6A8FCAB">
            <w:pPr>
              <w:pStyle w:val="51"/>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49"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fldChar w:fldCharType="begin"/>
            </w:r>
            <w:r>
              <w:rPr>
                <w:rFonts w:hint="eastAsia" w:ascii="宋体" w:hAnsi="宋体" w:eastAsia="宋体" w:cs="@仿宋_GB2312"/>
                <w:b w:val="0"/>
                <w:bCs/>
                <w:color w:val="auto"/>
                <w:kern w:val="0"/>
                <w:sz w:val="24"/>
                <w:szCs w:val="28"/>
                <w:highlight w:val="none"/>
                <w:lang w:val="en-US" w:eastAsia="zh-CN" w:bidi="ar-SA"/>
              </w:rPr>
              <w:instrText xml:space="preserve"> eq \o\ac(□)</w:instrText>
            </w:r>
            <w:r>
              <w:rPr>
                <w:rFonts w:hint="eastAsia" w:ascii="宋体" w:hAnsi="宋体" w:eastAsia="宋体" w:cs="@仿宋_GB2312"/>
                <w:b w:val="0"/>
                <w:bCs/>
                <w:color w:val="auto"/>
                <w:kern w:val="0"/>
                <w:sz w:val="24"/>
                <w:szCs w:val="28"/>
                <w:highlight w:val="none"/>
                <w:lang w:val="en-US" w:eastAsia="zh-CN" w:bidi="ar-SA"/>
              </w:rPr>
              <w:fldChar w:fldCharType="end"/>
            </w:r>
            <w:r>
              <w:rPr>
                <w:rFonts w:hint="eastAsia" w:ascii="宋体" w:hAnsi="宋体" w:eastAsia="宋体" w:cs="@仿宋_GB2312"/>
                <w:b w:val="0"/>
                <w:bCs/>
                <w:color w:val="auto"/>
                <w:kern w:val="0"/>
                <w:sz w:val="24"/>
                <w:szCs w:val="28"/>
                <w:highlight w:val="none"/>
                <w:lang w:val="en-US" w:eastAsia="zh-CN" w:bidi="ar-SA"/>
              </w:rPr>
              <w:t>否； ☑是，具体要求：按采购文件规定。</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B59C5B">
            <w:pPr>
              <w:pStyle w:val="51"/>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71DDFC3C">
            <w:pPr>
              <w:pStyle w:val="51"/>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评审过程中的澄清、说明或补正</w:t>
            </w:r>
          </w:p>
        </w:tc>
        <w:tc>
          <w:tcPr>
            <w:tcW w:w="3349" w:type="pct"/>
            <w:vAlign w:val="center"/>
          </w:tcPr>
          <w:p w14:paraId="73437A23">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4F8D3A89">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r w14:paraId="4AF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0EEBC348">
            <w:pPr>
              <w:pStyle w:val="51"/>
              <w:pBdr>
                <w:bottom w:val="none" w:color="auto" w:sz="0" w:space="0"/>
              </w:pBdr>
              <w:tabs>
                <w:tab w:val="clear" w:pos="4153"/>
                <w:tab w:val="clear" w:pos="8306"/>
              </w:tabs>
              <w:adjustRightInd/>
              <w:spacing w:line="24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072" w:type="pct"/>
            <w:vAlign w:val="center"/>
          </w:tcPr>
          <w:p w14:paraId="34418CBF">
            <w:pPr>
              <w:pStyle w:val="51"/>
              <w:pBdr>
                <w:bottom w:val="none" w:color="auto" w:sz="0" w:space="0"/>
              </w:pBdr>
              <w:tabs>
                <w:tab w:val="clear" w:pos="4153"/>
                <w:tab w:val="clear" w:pos="8306"/>
              </w:tabs>
              <w:adjustRightInd/>
              <w:spacing w:line="24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说明</w:t>
            </w:r>
          </w:p>
        </w:tc>
        <w:tc>
          <w:tcPr>
            <w:tcW w:w="3349" w:type="pct"/>
            <w:vAlign w:val="center"/>
          </w:tcPr>
          <w:p w14:paraId="348935C6">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（1）供应商若为银行、保险、石油化工、电力、电信、邮政等有行业特殊情况的企业，接受总公司或其分支机构（分公司）参加响应；</w:t>
            </w:r>
          </w:p>
          <w:p w14:paraId="5601BB45">
            <w:pPr>
              <w:pStyle w:val="5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（2）若供应商为保险企业的分支机构或分公司，其响应文件中所要求的法定代表人的所有签字（或盖章）及涉及材料，可以由其分支机构或分公司负责人进行签字（或盖章）及提供相应材料。</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29229"/>
      <w:bookmarkStart w:id="24"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lang w:val="en-US" w:eastAsia="zh-CN"/>
        </w:rPr>
        <w:t>滁州市城投交通控股有限公司</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lang w:val="en-US" w:eastAsia="zh-CN"/>
        </w:rPr>
        <w:t>滁州市城投交通控股有限公司或上级单位的纪检或监察部门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5"/>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《中华人民共和国政府采购法》、《中华人民共和国政府采购法实施条例》及本项目本级和上级财政部门、政府采购监督管理部门的政府采购有关规定的约束，其权利受到上述法律法规的保护。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0" w:name="_Hlk22478676"/>
      <w:r>
        <w:rPr>
          <w:rFonts w:asciiTheme="minorEastAsia" w:hAnsiTheme="minorEastAsia" w:eastAsiaTheme="minorEastAsia"/>
          <w:color w:val="auto"/>
          <w:sz w:val="24"/>
          <w:highlight w:val="none"/>
        </w:rPr>
        <w:t>终止询价</w:t>
      </w:r>
      <w:bookmarkEnd w:id="30"/>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r>
        <w:rPr>
          <w:rFonts w:hint="eastAsia" w:asciiTheme="minorEastAsia" w:hAnsiTheme="minorEastAsia" w:eastAsiaTheme="minorEastAsia"/>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1"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1"/>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实质性响应要求的供应商中，</w:t>
      </w:r>
      <w:r>
        <w:rPr>
          <w:rFonts w:hint="eastAsia" w:asciiTheme="minorEastAsia" w:hAnsiTheme="minorEastAsia" w:eastAsiaTheme="minorEastAsia"/>
          <w:b/>
          <w:bCs/>
          <w:color w:val="auto"/>
          <w:sz w:val="24"/>
          <w:highlight w:val="none"/>
        </w:rPr>
        <w:t>按照报价由低到高的顺序提出</w:t>
      </w:r>
      <w:r>
        <w:rPr>
          <w:rFonts w:asciiTheme="minorEastAsia" w:hAnsiTheme="minorEastAsia" w:eastAsiaTheme="minorEastAsia"/>
          <w:b/>
          <w:bCs/>
          <w:color w:val="auto"/>
          <w:sz w:val="24"/>
          <w:highlight w:val="none"/>
        </w:rPr>
        <w:t>3名成交候选人</w:t>
      </w:r>
      <w:r>
        <w:rPr>
          <w:rFonts w:hint="eastAsia" w:asciiTheme="minorEastAsia" w:hAnsiTheme="minorEastAsia" w:eastAsiaTheme="minorEastAsia"/>
          <w:b/>
          <w:bCs/>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2" w:name="_Toc2583661"/>
      <w:bookmarkStart w:id="33" w:name="_Toc518923100"/>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08E715EC">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02392E1">
      <w:pPr>
        <w:spacing w:line="380" w:lineRule="exact"/>
        <w:jc w:val="center"/>
        <w:outlineLvl w:val="0"/>
        <w:rPr>
          <w:rFonts w:asciiTheme="minorEastAsia" w:hAnsiTheme="minorEastAsia" w:eastAsiaTheme="minorEastAsia"/>
          <w:b/>
          <w:color w:val="auto"/>
          <w:sz w:val="28"/>
          <w:highlight w:val="none"/>
        </w:rPr>
      </w:pPr>
      <w:bookmarkStart w:id="34" w:name="_Toc1471"/>
      <w:r>
        <w:rPr>
          <w:rFonts w:hint="eastAsia" w:asciiTheme="minorEastAsia" w:hAnsiTheme="minorEastAsia" w:eastAsiaTheme="minorEastAsia"/>
          <w:b/>
          <w:color w:val="auto"/>
          <w:sz w:val="28"/>
          <w:highlight w:val="none"/>
        </w:rPr>
        <w:t>第三章  采购需求</w:t>
      </w:r>
      <w:bookmarkEnd w:id="34"/>
    </w:p>
    <w:p w14:paraId="5353D9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lang w:eastAsia="zh-CN"/>
        </w:rPr>
      </w:pPr>
      <w:bookmarkStart w:id="35" w:name="_Toc23283"/>
      <w:bookmarkStart w:id="36" w:name="_Toc21484"/>
      <w:bookmarkStart w:id="37" w:name="_Toc23627"/>
    </w:p>
    <w:p w14:paraId="5F62DB8E">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保险标的</w:t>
      </w:r>
    </w:p>
    <w:p w14:paraId="50E3CC81">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保险标的：</w:t>
      </w:r>
    </w:p>
    <w:p w14:paraId="59BE3FDC">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（1）滁合高速滁州段，桩号-K75+000至K98+489。路线里程23.489公里；</w:t>
      </w:r>
    </w:p>
    <w:p w14:paraId="2F8FB9D3">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kern w:val="2"/>
          <w:sz w:val="24"/>
          <w:szCs w:val="24"/>
          <w:highlight w:val="none"/>
          <w:lang w:val="en-US" w:eastAsia="zh-CN" w:bidi="ar-SA"/>
        </w:rPr>
        <w:t>（2）</w:t>
      </w:r>
      <w:r>
        <w:rPr>
          <w:rFonts w:hint="eastAsia" w:asciiTheme="minorEastAsia" w:hAnsiTheme="minorEastAsia" w:eastAsiaTheme="minorEastAsia"/>
          <w:color w:val="auto"/>
          <w:sz w:val="24"/>
          <w:szCs w:val="24"/>
          <w:highlight w:val="none"/>
          <w:lang w:val="en-US" w:eastAsia="zh-CN"/>
        </w:rPr>
        <w:t>明巢高速滁州段，桩号-K0+040-K73+440；K94+408-K102+780，路线里程</w:t>
      </w:r>
      <w:r>
        <w:rPr>
          <w:rFonts w:hint="eastAsia" w:asciiTheme="minorEastAsia" w:hAnsiTheme="minorEastAsia" w:eastAsiaTheme="minorEastAsia"/>
          <w:color w:val="auto"/>
          <w:sz w:val="24"/>
          <w:szCs w:val="24"/>
          <w:highlight w:val="none"/>
          <w:lang w:val="en-US" w:eastAsia="zh-CN"/>
        </w:rPr>
        <w:t>84.608</w:t>
      </w:r>
      <w:r>
        <w:rPr>
          <w:rFonts w:hint="eastAsia" w:asciiTheme="minorEastAsia" w:hAnsiTheme="minorEastAsia" w:eastAsiaTheme="minorEastAsia"/>
          <w:color w:val="auto"/>
          <w:sz w:val="24"/>
          <w:szCs w:val="24"/>
          <w:highlight w:val="none"/>
          <w:lang w:val="en-US" w:eastAsia="zh-CN"/>
        </w:rPr>
        <w:t>公里；</w:t>
      </w:r>
    </w:p>
    <w:p w14:paraId="1BA13140">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kern w:val="2"/>
          <w:sz w:val="24"/>
          <w:szCs w:val="24"/>
          <w:highlight w:val="none"/>
          <w:lang w:val="en-US" w:eastAsia="zh-CN" w:bidi="ar-SA"/>
        </w:rPr>
        <w:t>（3）</w:t>
      </w:r>
      <w:r>
        <w:rPr>
          <w:rFonts w:hint="eastAsia" w:asciiTheme="minorEastAsia" w:hAnsiTheme="minorEastAsia" w:eastAsiaTheme="minorEastAsia"/>
          <w:color w:val="auto"/>
          <w:sz w:val="24"/>
          <w:szCs w:val="24"/>
          <w:highlight w:val="none"/>
          <w:lang w:val="en-US" w:eastAsia="zh-CN"/>
        </w:rPr>
        <w:t>来六高速滁州北枢纽至皖苏省界向阳河段，桩号K0+000-K37+701，路线里程37.701km公里。</w:t>
      </w:r>
    </w:p>
    <w:p w14:paraId="7DEE93C9">
      <w:pPr>
        <w:keepNext w:val="0"/>
        <w:keepLines w:val="0"/>
        <w:pageBreakBefore w:val="0"/>
        <w:widowControl w:val="0"/>
        <w:numPr>
          <w:ilvl w:val="0"/>
          <w:numId w:val="0"/>
        </w:numPr>
        <w:kinsoku/>
        <w:wordWrap/>
        <w:overflowPunct/>
        <w:topLinePunct w:val="0"/>
        <w:autoSpaceDE/>
        <w:autoSpaceDN/>
        <w:bidi w:val="0"/>
        <w:adjustRightInd/>
        <w:spacing w:line="460" w:lineRule="exact"/>
        <w:ind w:left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包括上述路段所辖</w:t>
      </w:r>
      <w:r>
        <w:rPr>
          <w:rFonts w:hint="eastAsia" w:asciiTheme="minorEastAsia" w:hAnsiTheme="minorEastAsia" w:eastAsiaTheme="minorEastAsia"/>
          <w:color w:val="auto"/>
          <w:sz w:val="24"/>
          <w:szCs w:val="24"/>
          <w:highlight w:val="none"/>
          <w:lang w:val="en-US" w:eastAsia="zh-CN"/>
        </w:rPr>
        <w:t>收费站、管理中心、服务区。</w:t>
      </w:r>
    </w:p>
    <w:p w14:paraId="2C3531EA">
      <w:pPr>
        <w:keepNext w:val="0"/>
        <w:keepLines w:val="0"/>
        <w:pageBreakBefore w:val="0"/>
        <w:widowControl w:val="0"/>
        <w:numPr>
          <w:ilvl w:val="0"/>
          <w:numId w:val="0"/>
        </w:numPr>
        <w:kinsoku/>
        <w:wordWrap/>
        <w:overflowPunct/>
        <w:topLinePunct w:val="0"/>
        <w:autoSpaceDE/>
        <w:autoSpaceDN/>
        <w:bidi w:val="0"/>
        <w:adjustRightInd/>
        <w:spacing w:line="460" w:lineRule="exact"/>
        <w:ind w:left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本项目合同由采购人和成交供应商签订，成交供应商分别对上述标的所属的公司出</w:t>
      </w:r>
    </w:p>
    <w:p w14:paraId="62215128">
      <w:pPr>
        <w:keepNext w:val="0"/>
        <w:keepLines w:val="0"/>
        <w:pageBreakBefore w:val="0"/>
        <w:widowControl w:val="0"/>
        <w:numPr>
          <w:ilvl w:val="0"/>
          <w:numId w:val="0"/>
        </w:numPr>
        <w:kinsoku/>
        <w:wordWrap/>
        <w:overflowPunct/>
        <w:topLinePunct w:val="0"/>
        <w:autoSpaceDE/>
        <w:autoSpaceDN/>
        <w:bidi w:val="0"/>
        <w:adjustRightInd/>
        <w:spacing w:line="460" w:lineRule="exact"/>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具保单。</w:t>
      </w:r>
    </w:p>
    <w:p w14:paraId="349DC5FB">
      <w:pPr>
        <w:snapToGrid w:val="0"/>
        <w:spacing w:line="48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、服务期限</w:t>
      </w:r>
    </w:p>
    <w:p w14:paraId="1A5B9E1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服务期限3±N年(N为0,1,2)。具体起止时间以合同约定为准。</w:t>
      </w:r>
    </w:p>
    <w:p w14:paraId="7586C07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三、响应报价要求</w:t>
      </w:r>
    </w:p>
    <w:p w14:paraId="7CECBFB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highlight w:val="none"/>
          <w:lang w:val="en-US" w:eastAsia="zh-CN"/>
        </w:rPr>
        <w:t>本项目采用总价报价。包含履行本项目的全部费用，以及完成本项目所需要的其他费用及所有价内价外税金及合理利润等。</w:t>
      </w:r>
    </w:p>
    <w:p w14:paraId="29893A9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赔偿限额（</w:t>
      </w:r>
      <w:r>
        <w:rPr>
          <w:rFonts w:hint="eastAsia" w:ascii="宋体" w:hAnsi="宋体" w:eastAsia="宋体" w:cs="宋体"/>
          <w:b/>
          <w:bCs/>
          <w:color w:val="auto"/>
          <w:sz w:val="24"/>
          <w:szCs w:val="24"/>
          <w:highlight w:val="none"/>
          <w:lang w:val="en-US" w:eastAsia="zh-CN"/>
        </w:rPr>
        <w:t>一年期限额</w:t>
      </w:r>
      <w:r>
        <w:rPr>
          <w:rFonts w:hint="eastAsia" w:ascii="宋体" w:hAnsi="宋体" w:eastAsia="宋体" w:cs="宋体"/>
          <w:b/>
          <w:bCs/>
          <w:color w:val="auto"/>
          <w:sz w:val="24"/>
          <w:szCs w:val="24"/>
          <w:highlight w:val="none"/>
          <w:lang w:eastAsia="zh-CN"/>
        </w:rPr>
        <w:t>）：</w:t>
      </w:r>
    </w:p>
    <w:p w14:paraId="1B601B6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 累计赔偿限额：RMB 5000 万元；</w:t>
      </w:r>
    </w:p>
    <w:p w14:paraId="52F65FD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 每次事故赔偿限额：RMB 800 万元；</w:t>
      </w:r>
    </w:p>
    <w:p w14:paraId="44C021C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 每次事故人身伤害限额：RMB 500 万元；</w:t>
      </w:r>
    </w:p>
    <w:p w14:paraId="3FBF65B2">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olor w:val="auto"/>
          <w:sz w:val="24"/>
          <w:szCs w:val="24"/>
          <w:highlight w:val="none"/>
          <w:lang w:val="en-US" w:eastAsia="zh-CN"/>
        </w:rPr>
        <w:t>4. 每次事故每人赔偿限额：死亡RMB 50万元、伤残RMB 60万元（含医疗）。</w:t>
      </w:r>
    </w:p>
    <w:p w14:paraId="29A1A0B2">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五、免赔额：</w:t>
      </w:r>
    </w:p>
    <w:p w14:paraId="5BFB912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财产损失：无；人身伤害：无。</w:t>
      </w:r>
    </w:p>
    <w:p w14:paraId="221BD6E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六、总里程：</w:t>
      </w:r>
      <w:r>
        <w:rPr>
          <w:rFonts w:hint="eastAsia" w:ascii="宋体" w:hAnsi="宋体" w:eastAsia="宋体" w:cs="宋体"/>
          <w:b/>
          <w:bCs/>
          <w:color w:val="auto"/>
          <w:sz w:val="24"/>
          <w:szCs w:val="24"/>
          <w:highlight w:val="none"/>
          <w:lang w:val="en-US" w:eastAsia="zh-CN"/>
        </w:rPr>
        <w:t>145.798公里。</w:t>
      </w:r>
    </w:p>
    <w:p w14:paraId="5B222BDB">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七、附加条款（条款解释详见合同附件）</w:t>
      </w:r>
    </w:p>
    <w:p w14:paraId="28D41A8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1、罢工、暴乱、民众骚动及恶意破坏保险条款；</w:t>
      </w:r>
    </w:p>
    <w:p w14:paraId="482F0FB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2、暴力、盗窃、抢劫责任保险条款；</w:t>
      </w:r>
    </w:p>
    <w:p w14:paraId="2395877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3、承租人责任保险条款；</w:t>
      </w:r>
    </w:p>
    <w:p w14:paraId="7388126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4、错误与遗漏条款；</w:t>
      </w:r>
    </w:p>
    <w:p w14:paraId="300F9AD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5、车辆装卸责任保险条款；</w:t>
      </w:r>
    </w:p>
    <w:p w14:paraId="68E267D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6、放弃代位追偿权保险条款；</w:t>
      </w:r>
    </w:p>
    <w:p w14:paraId="05DDB13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7、火灾、爆炸、烟熏责任保险条款；</w:t>
      </w:r>
    </w:p>
    <w:p w14:paraId="6C96175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8、灭火及所致水损责任保险条款；</w:t>
      </w:r>
    </w:p>
    <w:p w14:paraId="68191F0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9、急救费用保险条款；</w:t>
      </w:r>
    </w:p>
    <w:p w14:paraId="688A314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10、救火费用条款；</w:t>
      </w:r>
    </w:p>
    <w:p w14:paraId="734DE23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11、建筑物改动责任保险条款；</w:t>
      </w:r>
    </w:p>
    <w:p w14:paraId="75393B39">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12、自然灾害责任保险条款；</w:t>
      </w:r>
    </w:p>
    <w:p w14:paraId="549103E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13、附加广告及装饰装置责任条款。</w:t>
      </w:r>
    </w:p>
    <w:p w14:paraId="256212B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八、司法管辖：中华人民共和国法律管辖。</w:t>
      </w:r>
    </w:p>
    <w:p w14:paraId="6CC89B3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九、特别约定</w:t>
      </w:r>
    </w:p>
    <w:p w14:paraId="71BD06E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1、由于树木倒塌导致的路面杂物清理不及时而发生意外事故导致第三者人身伤亡或财产损失，成交供应商应予赔偿；</w:t>
      </w:r>
    </w:p>
    <w:p w14:paraId="39FCE98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2、因经营管理责任所致的其他意外事故，造成第三者人身伤亡或财产损失，且经人民法院生效判决确认应由被保险人承担赔偿责任的，成交供应商应在约定的赔偿限额内，对该赔偿责任承担赔付义务；</w:t>
      </w:r>
    </w:p>
    <w:p w14:paraId="30ED092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3、合同责任和侵权责任竞合时，成交供应商应在不超过侵权责任限额内（且在保险合同限额内）进行赔偿；</w:t>
      </w:r>
    </w:p>
    <w:p w14:paraId="4B731E8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4、最终赔偿责任在保险责任限额范围之内的，成交供应商有权以被保险人的名义处理有关诉讼或仲裁事宜，被保险人应提供有关文件，并给予必要的协助；</w:t>
      </w:r>
    </w:p>
    <w:p w14:paraId="25AB35D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lang w:val="en-US" w:eastAsia="zh-CN"/>
        </w:rPr>
        <w:t>当最终赔偿责任超过保险责任限额时或相关赔偿责任不属于保险责任范围的，成交供应商不得擅自处理，应先与被保险人协商确定处理方案后，再与权利人就赔偿事宜沟通；协商过程需符合法律规定及合同约定，未经被保险人同意，成交供应商不得与权利人达成任何赔偿协议或支付赔偿款项。</w:t>
      </w:r>
    </w:p>
    <w:p w14:paraId="3A67BAC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6、精神损害责任属保险责任，每人每次事故限额五万元整。赔偿依据为法院判决书中涉及的精神损害赔偿。（年累计赔偿限额RMB100万元）。</w:t>
      </w:r>
    </w:p>
    <w:p w14:paraId="2C00188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在保险期间内，被保险人在保险合同中列明的公路区域范围内从事经营、维修保养等业务时，因下列过失导致发生事故，造成第三者人身伤亡或财产损失，依照中华人民共和国法律（不包括港澳台地区法律）应由被保险人承担的经济赔偿责任，成交供应商按照本保险合同约定负责赔偿：</w:t>
      </w:r>
    </w:p>
    <w:p w14:paraId="148B7A4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（一）除防护网以外的其他公路设施损坏后维修不及时导致第三者人身伤亡或财产损失；</w:t>
      </w:r>
    </w:p>
    <w:p w14:paraId="1271245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（二）路面杂物清理不及时而发生意外事故导致第三者人身伤亡或财产损失；</w:t>
      </w:r>
    </w:p>
    <w:p w14:paraId="10580B6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（三）广告、霓虹灯、装饰物发生掉落、倾覆和倒塌造成第三者人身伤亡或财产损失；</w:t>
      </w:r>
    </w:p>
    <w:p w14:paraId="3A242522">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（四）使用未取得公共运输行驶执照的作业车辆或机械设备因疏忽而发生意外事故造成第三者人身伤亡或财产损失；</w:t>
      </w:r>
    </w:p>
    <w:p w14:paraId="221D534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（五）防护网损坏后维修不及时导致第三者以及牲畜上路后发生意外事故造成的人身伤亡或财产损失。</w:t>
      </w:r>
    </w:p>
    <w:p w14:paraId="1E9AAE8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8、保险事故发生后，被保险人因保险事故而被提起仲裁或者诉讼的，对应由被保险人支付的仲裁或诉讼费用以及事先经保险人书面同意支付的其他必要的、合理的费用（以下简称“法律费用”），成交供应商按照本保险合同约定也负责赔偿。</w:t>
      </w:r>
    </w:p>
    <w:p w14:paraId="1FBAC31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9、被保险人在发生公众责任保险事故后，为缩小或减少对第三者人身伤亡或财产损失的赔偿责任所支付的必要的、合理的费用，成交供应商负责赔偿。</w:t>
      </w:r>
    </w:p>
    <w:p w14:paraId="7A8BCDA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上述第7条与第8条每次事故赔偿总金额不得超过保险合同中列明的每次事故赔偿限额；第9每次事故赔偿金额不得超过保险合同中列明的每次事故赔偿限额。</w:t>
      </w:r>
    </w:p>
    <w:p w14:paraId="7AF45CB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10、承保区域：见本章第一条“保险标的’所列内容（含三条高速路段及所辖收费站、管理中心、服务区）”</w:t>
      </w:r>
      <w:r>
        <w:rPr>
          <w:rFonts w:hint="default" w:asciiTheme="minorEastAsia" w:hAnsiTheme="minorEastAsia" w:eastAsiaTheme="minorEastAsia"/>
          <w:color w:val="auto"/>
          <w:sz w:val="24"/>
          <w:szCs w:val="24"/>
          <w:highlight w:val="none"/>
          <w:lang w:val="en-US" w:eastAsia="zh-CN"/>
        </w:rPr>
        <w:t>。</w:t>
      </w:r>
    </w:p>
    <w:bookmarkEnd w:id="35"/>
    <w:bookmarkEnd w:id="36"/>
    <w:bookmarkEnd w:id="37"/>
    <w:p w14:paraId="759BCE62">
      <w:pPr>
        <w:spacing w:line="360" w:lineRule="auto"/>
        <w:jc w:val="center"/>
        <w:rPr>
          <w:rFonts w:hint="eastAsia" w:asciiTheme="minorEastAsia" w:hAnsiTheme="minorEastAsia" w:eastAsiaTheme="minorEastAsia"/>
          <w:b/>
          <w:color w:val="auto"/>
          <w:sz w:val="28"/>
          <w:highlight w:val="none"/>
        </w:rPr>
      </w:pPr>
      <w:bookmarkStart w:id="38" w:name="_Toc15765"/>
    </w:p>
    <w:p w14:paraId="783ED0B4">
      <w:pPr>
        <w:spacing w:line="360" w:lineRule="auto"/>
        <w:jc w:val="center"/>
        <w:rPr>
          <w:rFonts w:hint="eastAsia" w:asciiTheme="minorEastAsia" w:hAnsiTheme="minorEastAsia" w:eastAsiaTheme="minorEastAsia"/>
          <w:b/>
          <w:color w:val="auto"/>
          <w:sz w:val="28"/>
          <w:highlight w:val="none"/>
        </w:rPr>
      </w:pPr>
    </w:p>
    <w:p w14:paraId="0D59A114">
      <w:pPr>
        <w:spacing w:line="360" w:lineRule="auto"/>
        <w:jc w:val="center"/>
        <w:rPr>
          <w:rFonts w:hint="eastAsia" w:asciiTheme="minorEastAsia" w:hAnsiTheme="minorEastAsia" w:eastAsiaTheme="minorEastAsia"/>
          <w:b/>
          <w:color w:val="auto"/>
          <w:sz w:val="28"/>
          <w:highlight w:val="none"/>
        </w:rPr>
      </w:pPr>
    </w:p>
    <w:p w14:paraId="4501DBA4">
      <w:pPr>
        <w:spacing w:line="360" w:lineRule="auto"/>
        <w:jc w:val="center"/>
        <w:rPr>
          <w:rFonts w:hint="eastAsia" w:asciiTheme="minorEastAsia" w:hAnsiTheme="minorEastAsia" w:eastAsiaTheme="minorEastAsia"/>
          <w:b/>
          <w:color w:val="auto"/>
          <w:sz w:val="28"/>
          <w:highlight w:val="none"/>
        </w:rPr>
      </w:pPr>
    </w:p>
    <w:p w14:paraId="495E0E5A">
      <w:pPr>
        <w:spacing w:line="360" w:lineRule="auto"/>
        <w:jc w:val="center"/>
        <w:rPr>
          <w:rFonts w:hint="eastAsia" w:asciiTheme="minorEastAsia" w:hAnsiTheme="minorEastAsia" w:eastAsiaTheme="minorEastAsia"/>
          <w:b/>
          <w:color w:val="auto"/>
          <w:sz w:val="28"/>
          <w:highlight w:val="none"/>
        </w:rPr>
      </w:pPr>
    </w:p>
    <w:p w14:paraId="4522F22B">
      <w:pPr>
        <w:spacing w:line="360" w:lineRule="auto"/>
        <w:jc w:val="center"/>
        <w:rPr>
          <w:rFonts w:hint="eastAsia" w:asciiTheme="minorEastAsia" w:hAnsiTheme="minorEastAsia" w:eastAsiaTheme="minorEastAsia"/>
          <w:b/>
          <w:color w:val="auto"/>
          <w:sz w:val="28"/>
          <w:highlight w:val="none"/>
        </w:rPr>
      </w:pPr>
    </w:p>
    <w:p w14:paraId="4E01A6A9">
      <w:pPr>
        <w:spacing w:line="360" w:lineRule="auto"/>
        <w:jc w:val="center"/>
        <w:rPr>
          <w:rFonts w:hint="eastAsia" w:asciiTheme="minorEastAsia" w:hAnsiTheme="minorEastAsia" w:eastAsiaTheme="minorEastAsia"/>
          <w:b/>
          <w:color w:val="auto"/>
          <w:sz w:val="28"/>
          <w:highlight w:val="none"/>
        </w:rPr>
      </w:pPr>
    </w:p>
    <w:p w14:paraId="24E624FE">
      <w:pPr>
        <w:spacing w:line="360" w:lineRule="auto"/>
        <w:jc w:val="center"/>
        <w:rPr>
          <w:rFonts w:hint="eastAsia" w:asciiTheme="minorEastAsia" w:hAnsiTheme="minorEastAsia" w:eastAsiaTheme="minorEastAsia"/>
          <w:b/>
          <w:color w:val="auto"/>
          <w:sz w:val="28"/>
          <w:highlight w:val="none"/>
        </w:rPr>
      </w:pPr>
    </w:p>
    <w:p w14:paraId="28D20C82">
      <w:pPr>
        <w:spacing w:line="360" w:lineRule="auto"/>
        <w:jc w:val="center"/>
        <w:rPr>
          <w:rFonts w:hint="eastAsia" w:asciiTheme="minorEastAsia" w:hAnsiTheme="minorEastAsia" w:eastAsiaTheme="minorEastAsia"/>
          <w:b/>
          <w:color w:val="auto"/>
          <w:sz w:val="28"/>
          <w:highlight w:val="none"/>
        </w:rPr>
      </w:pPr>
    </w:p>
    <w:p w14:paraId="7471BDBF">
      <w:pPr>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8"/>
    </w:p>
    <w:p w14:paraId="115BA2E1">
      <w:pPr>
        <w:spacing w:line="360" w:lineRule="auto"/>
        <w:ind w:firstLine="437"/>
        <w:outlineLvl w:val="1"/>
        <w:rPr>
          <w:rFonts w:asciiTheme="minorEastAsia" w:hAnsiTheme="minorEastAsia" w:eastAsiaTheme="minorEastAsia"/>
          <w:b/>
          <w:color w:val="auto"/>
          <w:sz w:val="24"/>
          <w:highlight w:val="none"/>
        </w:rPr>
      </w:pPr>
      <w:bookmarkStart w:id="39" w:name="_Toc11117"/>
      <w:bookmarkStart w:id="40" w:name="_Toc1221"/>
      <w:r>
        <w:rPr>
          <w:rFonts w:hint="eastAsia" w:asciiTheme="minorEastAsia" w:hAnsiTheme="minorEastAsia" w:eastAsiaTheme="minorEastAsia"/>
          <w:b/>
          <w:color w:val="auto"/>
          <w:sz w:val="24"/>
          <w:highlight w:val="none"/>
        </w:rPr>
        <w:t>一、总则</w:t>
      </w:r>
      <w:bookmarkEnd w:id="39"/>
      <w:bookmarkEnd w:id="40"/>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41" w:name="_Toc20555"/>
      <w:bookmarkStart w:id="42" w:name="_Toc21906"/>
      <w:r>
        <w:rPr>
          <w:rFonts w:hint="eastAsia" w:asciiTheme="minorEastAsia" w:hAnsiTheme="minorEastAsia" w:eastAsiaTheme="minorEastAsia"/>
          <w:b/>
          <w:color w:val="auto"/>
          <w:sz w:val="24"/>
          <w:highlight w:val="none"/>
        </w:rPr>
        <w:t>二、评审方法</w:t>
      </w:r>
      <w:bookmarkEnd w:id="41"/>
      <w:bookmarkEnd w:id="42"/>
    </w:p>
    <w:p w14:paraId="46526201">
      <w:pPr>
        <w:spacing w:line="360" w:lineRule="auto"/>
        <w:ind w:firstLine="435"/>
        <w:rPr>
          <w:rFonts w:asciiTheme="minorEastAsia" w:hAnsiTheme="minorEastAsia" w:eastAsiaTheme="minorEastAsia"/>
          <w:color w:val="auto"/>
          <w:sz w:val="24"/>
          <w:highlight w:val="none"/>
        </w:rPr>
      </w:pPr>
      <w:bookmarkStart w:id="43" w:name="_Hlk23204339"/>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的实质性要求。评审表如下：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77"/>
        <w:gridCol w:w="4891"/>
        <w:gridCol w:w="2210"/>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44"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bottom w:val="single" w:color="auto" w:sz="4" w:space="0"/>
            </w:tcBorders>
            <w:vAlign w:val="center"/>
          </w:tcPr>
          <w:p w14:paraId="26EB8E2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795" w:type="pct"/>
            <w:tcBorders>
              <w:bottom w:val="single" w:color="auto" w:sz="4" w:space="0"/>
            </w:tcBorders>
            <w:vAlign w:val="center"/>
          </w:tcPr>
          <w:p w14:paraId="64F352CA">
            <w:pPr>
              <w:pStyle w:val="51"/>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633" w:type="pct"/>
            <w:tcBorders>
              <w:bottom w:val="single" w:color="auto" w:sz="4" w:space="0"/>
            </w:tcBorders>
            <w:vAlign w:val="center"/>
          </w:tcPr>
          <w:p w14:paraId="5796235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188" w:type="pct"/>
            <w:tcBorders>
              <w:bottom w:val="single" w:color="auto" w:sz="4" w:space="0"/>
            </w:tcBorders>
            <w:vAlign w:val="center"/>
          </w:tcPr>
          <w:p w14:paraId="2F6ECB0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2"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795"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33" w:type="pct"/>
            <w:tcBorders>
              <w:bottom w:val="single" w:color="auto" w:sz="4" w:space="0"/>
            </w:tcBorders>
            <w:vAlign w:val="center"/>
          </w:tcPr>
          <w:p w14:paraId="2A0D5EA1">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1</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供应商</w:t>
            </w:r>
            <w:r>
              <w:rPr>
                <w:rFonts w:asciiTheme="minorEastAsia" w:hAnsiTheme="minorEastAsia" w:eastAsiaTheme="minorEastAsia"/>
                <w:color w:val="auto"/>
                <w:sz w:val="24"/>
                <w:szCs w:val="28"/>
                <w:highlight w:val="none"/>
              </w:rPr>
              <w:t>为企业（包括合伙企业）的，应</w:t>
            </w:r>
            <w:r>
              <w:rPr>
                <w:rFonts w:hint="eastAsia" w:asciiTheme="minorEastAsia" w:hAnsiTheme="minorEastAsia" w:eastAsiaTheme="minorEastAsia"/>
                <w:color w:val="auto"/>
                <w:sz w:val="24"/>
                <w:szCs w:val="28"/>
                <w:highlight w:val="none"/>
                <w:lang w:val="en-US" w:eastAsia="zh-CN"/>
              </w:rPr>
              <w:t>提</w:t>
            </w:r>
            <w:r>
              <w:rPr>
                <w:rFonts w:asciiTheme="minorEastAsia" w:hAnsiTheme="minorEastAsia" w:eastAsiaTheme="minorEastAsia"/>
                <w:color w:val="auto"/>
                <w:sz w:val="24"/>
                <w:szCs w:val="28"/>
                <w:highlight w:val="none"/>
              </w:rPr>
              <w:t>供有效的营业执照；</w:t>
            </w:r>
          </w:p>
          <w:p w14:paraId="4CB89ABA">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2</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供应商</w:t>
            </w:r>
            <w:r>
              <w:rPr>
                <w:rFonts w:asciiTheme="minorEastAsia" w:hAnsiTheme="minorEastAsia" w:eastAsiaTheme="minorEastAsia"/>
                <w:color w:val="auto"/>
                <w:sz w:val="24"/>
                <w:szCs w:val="28"/>
                <w:highlight w:val="none"/>
              </w:rPr>
              <w:t>为事业单位的，应</w:t>
            </w:r>
            <w:r>
              <w:rPr>
                <w:rFonts w:hint="eastAsia" w:asciiTheme="minorEastAsia" w:hAnsiTheme="minorEastAsia" w:eastAsiaTheme="minorEastAsia"/>
                <w:color w:val="auto"/>
                <w:sz w:val="24"/>
                <w:szCs w:val="28"/>
                <w:highlight w:val="none"/>
                <w:lang w:val="en-US" w:eastAsia="zh-CN"/>
              </w:rPr>
              <w:t>提</w:t>
            </w:r>
            <w:r>
              <w:rPr>
                <w:rFonts w:asciiTheme="minorEastAsia" w:hAnsiTheme="minorEastAsia" w:eastAsiaTheme="minorEastAsia"/>
                <w:color w:val="auto"/>
                <w:sz w:val="24"/>
                <w:szCs w:val="28"/>
                <w:highlight w:val="none"/>
              </w:rPr>
              <w:t>供有效的事业单位法人证书；</w:t>
            </w:r>
          </w:p>
          <w:p w14:paraId="09306B70">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3</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供应商</w:t>
            </w:r>
            <w:r>
              <w:rPr>
                <w:rFonts w:asciiTheme="minorEastAsia" w:hAnsiTheme="minorEastAsia" w:eastAsiaTheme="minorEastAsia"/>
                <w:color w:val="auto"/>
                <w:sz w:val="24"/>
                <w:szCs w:val="28"/>
                <w:highlight w:val="none"/>
              </w:rPr>
              <w:t>是非企业机构的，应</w:t>
            </w:r>
            <w:r>
              <w:rPr>
                <w:rFonts w:hint="eastAsia" w:asciiTheme="minorEastAsia" w:hAnsiTheme="minorEastAsia" w:eastAsiaTheme="minorEastAsia"/>
                <w:color w:val="auto"/>
                <w:sz w:val="24"/>
                <w:szCs w:val="28"/>
                <w:highlight w:val="none"/>
                <w:lang w:val="en-US" w:eastAsia="zh-CN"/>
              </w:rPr>
              <w:t>提</w:t>
            </w:r>
            <w:r>
              <w:rPr>
                <w:rFonts w:asciiTheme="minorEastAsia" w:hAnsiTheme="minorEastAsia" w:eastAsiaTheme="minorEastAsia"/>
                <w:color w:val="auto"/>
                <w:sz w:val="24"/>
                <w:szCs w:val="28"/>
                <w:highlight w:val="none"/>
              </w:rPr>
              <w:t>供有效的执业许可证</w:t>
            </w:r>
            <w:r>
              <w:rPr>
                <w:rFonts w:hint="eastAsia" w:asciiTheme="minorEastAsia" w:hAnsiTheme="minorEastAsia" w:eastAsiaTheme="minorEastAsia"/>
                <w:color w:val="auto"/>
                <w:sz w:val="24"/>
                <w:szCs w:val="28"/>
                <w:highlight w:val="none"/>
                <w:lang w:val="en-US" w:eastAsia="zh-CN"/>
              </w:rPr>
              <w:t>或</w:t>
            </w:r>
            <w:r>
              <w:rPr>
                <w:rFonts w:asciiTheme="minorEastAsia" w:hAnsiTheme="minorEastAsia" w:eastAsiaTheme="minorEastAsia"/>
                <w:color w:val="auto"/>
                <w:sz w:val="24"/>
                <w:szCs w:val="28"/>
                <w:highlight w:val="none"/>
              </w:rPr>
              <w:t>登记证书等证明文件；</w:t>
            </w:r>
          </w:p>
        </w:tc>
        <w:tc>
          <w:tcPr>
            <w:tcW w:w="1188"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bottom w:val="single" w:color="auto" w:sz="4" w:space="0"/>
            </w:tcBorders>
            <w:vAlign w:val="center"/>
          </w:tcPr>
          <w:p w14:paraId="74AE64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795"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633"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188"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6166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bottom w:val="single" w:color="auto" w:sz="4" w:space="0"/>
            </w:tcBorders>
            <w:vAlign w:val="center"/>
          </w:tcPr>
          <w:p w14:paraId="2D02DC96">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795" w:type="pct"/>
            <w:tcBorders>
              <w:bottom w:val="single" w:color="auto" w:sz="4" w:space="0"/>
            </w:tcBorders>
            <w:vAlign w:val="center"/>
          </w:tcPr>
          <w:p w14:paraId="0B7CA947">
            <w:pPr>
              <w:spacing w:after="50" w:line="360" w:lineRule="auto"/>
              <w:ind w:right="-10"/>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保险许可证</w:t>
            </w:r>
          </w:p>
        </w:tc>
        <w:tc>
          <w:tcPr>
            <w:tcW w:w="2633" w:type="pct"/>
            <w:tcBorders>
              <w:bottom w:val="single" w:color="auto" w:sz="4" w:space="0"/>
            </w:tcBorders>
            <w:vAlign w:val="center"/>
          </w:tcPr>
          <w:p w14:paraId="28F991DF">
            <w:pPr>
              <w:wordWrap w:val="0"/>
              <w:spacing w:after="50" w:line="360" w:lineRule="auto"/>
              <w:ind w:right="-1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具备行业主管部门颁发且有效的《保险许可证》。</w:t>
            </w:r>
          </w:p>
        </w:tc>
        <w:tc>
          <w:tcPr>
            <w:tcW w:w="1188" w:type="pct"/>
            <w:tcBorders>
              <w:bottom w:val="single" w:color="auto" w:sz="4" w:space="0"/>
            </w:tcBorders>
            <w:vAlign w:val="center"/>
          </w:tcPr>
          <w:p w14:paraId="1B72D217">
            <w:pPr>
              <w:spacing w:line="360" w:lineRule="auto"/>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核验扫描件</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AB73BC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ajorEastAsia" w:hAnsiTheme="majorEastAsia" w:eastAsiaTheme="majorEastAsia"/>
                <w:color w:val="auto"/>
                <w:sz w:val="24"/>
                <w:highlight w:val="none"/>
                <w:lang w:val="en-US" w:eastAsia="zh-CN"/>
              </w:rPr>
              <w:t>4</w:t>
            </w:r>
          </w:p>
        </w:tc>
        <w:tc>
          <w:tcPr>
            <w:tcW w:w="795"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633"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8" w:type="pct"/>
            <w:vAlign w:val="center"/>
          </w:tcPr>
          <w:p w14:paraId="5782970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8E58C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5</w:t>
            </w:r>
          </w:p>
        </w:tc>
        <w:tc>
          <w:tcPr>
            <w:tcW w:w="795"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633"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8" w:type="pct"/>
            <w:vAlign w:val="center"/>
          </w:tcPr>
          <w:p w14:paraId="041CA80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249E27C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6</w:t>
            </w:r>
          </w:p>
        </w:tc>
        <w:tc>
          <w:tcPr>
            <w:tcW w:w="795"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633"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供应商须知正文第9条要求</w:t>
            </w:r>
          </w:p>
        </w:tc>
        <w:tc>
          <w:tcPr>
            <w:tcW w:w="1188" w:type="pct"/>
            <w:vAlign w:val="center"/>
          </w:tcPr>
          <w:p w14:paraId="4C82B6D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3C99ED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795"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33"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采购需求中对付款方式、</w:t>
            </w:r>
            <w:r>
              <w:rPr>
                <w:rFonts w:hint="eastAsia" w:asciiTheme="minorEastAsia" w:hAnsiTheme="minorEastAsia" w:eastAsiaTheme="minorEastAsia"/>
                <w:color w:val="auto"/>
                <w:sz w:val="24"/>
                <w:szCs w:val="28"/>
                <w:highlight w:val="none"/>
                <w:lang w:val="en-US" w:eastAsia="zh-CN"/>
              </w:rPr>
              <w:t>服务期、服务地点</w:t>
            </w:r>
            <w:r>
              <w:rPr>
                <w:rFonts w:hint="eastAsia" w:asciiTheme="minorEastAsia" w:hAnsiTheme="minorEastAsia" w:eastAsiaTheme="minorEastAsia"/>
                <w:color w:val="auto"/>
                <w:sz w:val="24"/>
                <w:szCs w:val="28"/>
                <w:highlight w:val="none"/>
              </w:rPr>
              <w:t>等实质性要求</w:t>
            </w:r>
          </w:p>
        </w:tc>
        <w:tc>
          <w:tcPr>
            <w:tcW w:w="1188" w:type="pct"/>
            <w:vAlign w:val="center"/>
          </w:tcPr>
          <w:p w14:paraId="749B2E1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71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7D92E54">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795" w:type="pct"/>
            <w:vAlign w:val="center"/>
          </w:tcPr>
          <w:p w14:paraId="4A3AEFC5">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服务承诺书</w:t>
            </w:r>
          </w:p>
        </w:tc>
        <w:tc>
          <w:tcPr>
            <w:tcW w:w="2633" w:type="pct"/>
            <w:vAlign w:val="center"/>
          </w:tcPr>
          <w:p w14:paraId="05CD6753">
            <w:pPr>
              <w:wordWrap w:val="0"/>
              <w:spacing w:after="50" w:line="360" w:lineRule="auto"/>
              <w:ind w:right="-11"/>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8" w:type="pct"/>
            <w:vAlign w:val="center"/>
          </w:tcPr>
          <w:p w14:paraId="1CE58E0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w:t>
            </w:r>
          </w:p>
        </w:tc>
      </w:tr>
      <w:tr w14:paraId="6A6F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2B8EFD9">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795" w:type="pct"/>
            <w:vAlign w:val="center"/>
          </w:tcPr>
          <w:p w14:paraId="2AB05D0A">
            <w:pPr>
              <w:spacing w:after="50" w:line="360" w:lineRule="auto"/>
              <w:ind w:right="-1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诚信响应承诺书</w:t>
            </w:r>
          </w:p>
        </w:tc>
        <w:tc>
          <w:tcPr>
            <w:tcW w:w="2633" w:type="pct"/>
            <w:shd w:val="clear" w:color="auto" w:fill="auto"/>
            <w:vAlign w:val="center"/>
          </w:tcPr>
          <w:p w14:paraId="57E3737E">
            <w:pPr>
              <w:wordWrap w:val="0"/>
              <w:spacing w:after="50" w:line="360" w:lineRule="auto"/>
              <w:ind w:right="-11" w:rightChars="0"/>
              <w:jc w:val="left"/>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8" w:type="pct"/>
            <w:shd w:val="clear" w:color="auto" w:fill="auto"/>
            <w:vAlign w:val="center"/>
          </w:tcPr>
          <w:p w14:paraId="5220420D">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详见第六章响应文件格式。</w:t>
            </w:r>
          </w:p>
        </w:tc>
      </w:tr>
      <w:tr w14:paraId="57E8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5BC9C97">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795" w:type="pct"/>
            <w:vAlign w:val="center"/>
          </w:tcPr>
          <w:p w14:paraId="4EDB4194">
            <w:pPr>
              <w:spacing w:after="50" w:line="360" w:lineRule="auto"/>
              <w:ind w:right="-1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诚信履约承诺函</w:t>
            </w:r>
          </w:p>
        </w:tc>
        <w:tc>
          <w:tcPr>
            <w:tcW w:w="4891" w:type="dxa"/>
            <w:shd w:val="clear" w:color="auto" w:fill="auto"/>
            <w:vAlign w:val="center"/>
          </w:tcPr>
          <w:p w14:paraId="7BCF858F">
            <w:pPr>
              <w:wordWrap w:val="0"/>
              <w:spacing w:after="50" w:line="360" w:lineRule="auto"/>
              <w:ind w:right="-11" w:rightChars="0"/>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2210" w:type="dxa"/>
            <w:shd w:val="clear" w:color="auto" w:fill="auto"/>
            <w:vAlign w:val="center"/>
          </w:tcPr>
          <w:p w14:paraId="00AA113F">
            <w:pPr>
              <w:adjustRightInd w:val="0"/>
              <w:snapToGrid w:val="0"/>
              <w:spacing w:line="360" w:lineRule="auto"/>
              <w:ind w:right="-10" w:rightChars="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31110A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11</w:t>
            </w:r>
          </w:p>
        </w:tc>
        <w:tc>
          <w:tcPr>
            <w:tcW w:w="795"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33"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列明的其他实质性要求</w:t>
            </w:r>
          </w:p>
        </w:tc>
        <w:tc>
          <w:tcPr>
            <w:tcW w:w="1188" w:type="pct"/>
            <w:vAlign w:val="center"/>
          </w:tcPr>
          <w:p w14:paraId="199D307C">
            <w:pPr>
              <w:adjustRightInd w:val="0"/>
              <w:snapToGrid w:val="0"/>
              <w:spacing w:line="360" w:lineRule="auto"/>
              <w:ind w:right="-10"/>
              <w:jc w:val="center"/>
              <w:rPr>
                <w:rFonts w:asciiTheme="minorEastAsia" w:hAnsiTheme="minorEastAsia" w:eastAsiaTheme="minorEastAsia"/>
                <w:color w:val="auto"/>
                <w:sz w:val="24"/>
                <w:highlight w:val="none"/>
              </w:rPr>
            </w:pPr>
          </w:p>
        </w:tc>
      </w:tr>
      <w:bookmarkEnd w:id="44"/>
    </w:tbl>
    <w:p w14:paraId="46EDBF9E">
      <w:pPr>
        <w:spacing w:line="360" w:lineRule="auto"/>
        <w:ind w:firstLine="435"/>
        <w:rPr>
          <w:rFonts w:asciiTheme="minorEastAsia" w:hAnsiTheme="minorEastAsia" w:eastAsiaTheme="minorEastAsia"/>
          <w:color w:val="auto"/>
          <w:sz w:val="24"/>
          <w:highlight w:val="none"/>
        </w:rPr>
      </w:pPr>
      <w:bookmarkStart w:id="45"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3"/>
    <w:bookmarkEnd w:id="45"/>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w:t>
      </w:r>
      <w:r>
        <w:rPr>
          <w:rFonts w:hint="eastAsia" w:asciiTheme="minorEastAsia" w:hAnsiTheme="minorEastAsia" w:eastAsiaTheme="minorEastAsia"/>
          <w:color w:val="auto"/>
          <w:sz w:val="24"/>
          <w:highlight w:val="none"/>
          <w:lang w:val="en-US" w:eastAsia="zh-CN"/>
        </w:rPr>
        <w:t>采购文件规定时间</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r>
        <w:rPr>
          <w:rFonts w:hint="eastAsia" w:asciiTheme="minorEastAsia" w:hAnsiTheme="minorEastAsia" w:eastAsiaTheme="minorEastAsia"/>
          <w:color w:val="auto"/>
          <w:sz w:val="24"/>
          <w:highlight w:val="none"/>
          <w:lang w:val="en-US" w:eastAsia="zh-CN"/>
        </w:rPr>
        <w:t xml:space="preserve">的 </w:t>
      </w:r>
      <w:r>
        <w:rPr>
          <w:rFonts w:hint="eastAsia" w:asciiTheme="minorEastAsia" w:hAnsiTheme="minorEastAsia" w:eastAsiaTheme="minorEastAsia"/>
          <w:color w:val="auto"/>
          <w:sz w:val="24"/>
          <w:highlight w:val="none"/>
        </w:rPr>
        <w:t>；</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46" w:name="_Toc26650379"/>
      <w:bookmarkStart w:id="47" w:name="_Toc5156"/>
      <w:r>
        <w:rPr>
          <w:rFonts w:hint="eastAsia" w:ascii="宋体" w:hAnsi="宋体" w:eastAsia="宋体" w:cs="宋体"/>
          <w:b/>
          <w:color w:val="auto"/>
          <w:sz w:val="28"/>
          <w:highlight w:val="none"/>
        </w:rPr>
        <w:br w:type="page"/>
      </w:r>
    </w:p>
    <w:bookmarkEnd w:id="46"/>
    <w:bookmarkEnd w:id="47"/>
    <w:p w14:paraId="2516C0EF">
      <w:pPr>
        <w:jc w:val="center"/>
        <w:rPr>
          <w:rFonts w:hint="eastAsia" w:ascii="宋体" w:hAnsi="Times New Roman" w:eastAsia="宋体" w:cs="Times New Roman"/>
          <w:b/>
          <w:bCs w:val="0"/>
          <w:color w:val="auto"/>
          <w:kern w:val="2"/>
          <w:sz w:val="32"/>
          <w:szCs w:val="32"/>
          <w:highlight w:val="none"/>
          <w:lang w:val="en-US" w:eastAsia="zh-CN" w:bidi="ar-SA"/>
        </w:rPr>
      </w:pPr>
      <w:bookmarkStart w:id="48" w:name="_Toc29013"/>
      <w:r>
        <w:rPr>
          <w:rFonts w:hint="eastAsia" w:ascii="宋体" w:hAnsi="Times New Roman" w:eastAsia="宋体" w:cs="Times New Roman"/>
          <w:b/>
          <w:bCs w:val="0"/>
          <w:color w:val="auto"/>
          <w:kern w:val="2"/>
          <w:sz w:val="32"/>
          <w:szCs w:val="32"/>
          <w:highlight w:val="none"/>
          <w:lang w:val="en-US" w:eastAsia="zh-CN" w:bidi="ar-SA"/>
        </w:rPr>
        <w:t>第五章  合同</w:t>
      </w:r>
    </w:p>
    <w:p w14:paraId="321D98A1">
      <w:pPr>
        <w:pStyle w:val="3"/>
        <w:keepNext/>
        <w:keepLines/>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sz w:val="28"/>
          <w:szCs w:val="28"/>
          <w:highlight w:val="none"/>
        </w:rPr>
      </w:pPr>
      <w:bookmarkStart w:id="49" w:name="_bookmark259"/>
      <w:bookmarkEnd w:id="49"/>
      <w:r>
        <w:rPr>
          <w:rFonts w:hint="eastAsia" w:ascii="黑体" w:hAnsi="黑体" w:eastAsia="黑体" w:cs="黑体"/>
          <w:b w:val="0"/>
          <w:bCs/>
          <w:color w:val="auto"/>
          <w:sz w:val="28"/>
          <w:szCs w:val="28"/>
          <w:highlight w:val="none"/>
          <w:u w:val="single"/>
          <w:lang w:val="en-US" w:eastAsia="zh-CN"/>
        </w:rPr>
        <w:t>来六、明巢、滁合高速公路公众责任险服务项目</w:t>
      </w:r>
      <w:r>
        <w:rPr>
          <w:rFonts w:hint="eastAsia" w:ascii="黑体" w:hAnsi="黑体" w:cs="黑体"/>
          <w:b w:val="0"/>
          <w:bCs/>
          <w:color w:val="auto"/>
          <w:sz w:val="28"/>
          <w:szCs w:val="28"/>
          <w:highlight w:val="none"/>
          <w:u w:val="none"/>
          <w:lang w:val="en-US" w:eastAsia="zh-CN"/>
        </w:rPr>
        <w:t>保险</w:t>
      </w:r>
      <w:r>
        <w:rPr>
          <w:rFonts w:hint="eastAsia" w:ascii="黑体" w:hAnsi="黑体" w:eastAsia="黑体" w:cs="黑体"/>
          <w:b w:val="0"/>
          <w:bCs/>
          <w:color w:val="auto"/>
          <w:sz w:val="28"/>
          <w:szCs w:val="28"/>
          <w:highlight w:val="none"/>
          <w:u w:val="none"/>
        </w:rPr>
        <w:t>合</w:t>
      </w:r>
      <w:r>
        <w:rPr>
          <w:rFonts w:hint="eastAsia" w:ascii="黑体" w:hAnsi="黑体" w:eastAsia="黑体" w:cs="黑体"/>
          <w:b w:val="0"/>
          <w:bCs/>
          <w:color w:val="auto"/>
          <w:sz w:val="28"/>
          <w:szCs w:val="28"/>
          <w:highlight w:val="none"/>
        </w:rPr>
        <w:t>同</w:t>
      </w:r>
    </w:p>
    <w:p w14:paraId="37E2DB60">
      <w:pPr>
        <w:spacing w:line="360" w:lineRule="auto"/>
        <w:jc w:val="left"/>
        <w:rPr>
          <w:rFonts w:hint="eastAsia" w:ascii="黑体" w:hAnsi="黑体" w:eastAsia="黑体" w:cs="黑体"/>
          <w:b/>
          <w:bCs/>
          <w:color w:val="auto"/>
          <w:sz w:val="24"/>
          <w:szCs w:val="24"/>
          <w:highlight w:val="none"/>
        </w:rPr>
      </w:pPr>
    </w:p>
    <w:p w14:paraId="2DF25913">
      <w:pPr>
        <w:spacing w:line="360" w:lineRule="auto"/>
        <w:jc w:val="left"/>
        <w:rPr>
          <w:rFonts w:hint="default" w:ascii="黑体" w:hAnsi="黑体" w:eastAsia="黑体" w:cs="黑体"/>
          <w:b/>
          <w:bCs/>
          <w:color w:val="auto"/>
          <w:sz w:val="24"/>
          <w:szCs w:val="24"/>
          <w:highlight w:val="none"/>
          <w:u w:val="single"/>
          <w:lang w:val="en-US" w:eastAsia="zh-CN"/>
        </w:rPr>
      </w:pPr>
      <w:r>
        <w:rPr>
          <w:rFonts w:hint="eastAsia" w:ascii="黑体" w:hAnsi="黑体" w:eastAsia="黑体" w:cs="黑体"/>
          <w:b/>
          <w:bCs/>
          <w:color w:val="auto"/>
          <w:sz w:val="24"/>
          <w:szCs w:val="24"/>
          <w:highlight w:val="none"/>
        </w:rPr>
        <w:t>甲方：</w:t>
      </w:r>
      <w:r>
        <w:rPr>
          <w:rFonts w:hint="eastAsia" w:ascii="黑体" w:hAnsi="黑体" w:eastAsia="黑体" w:cs="黑体"/>
          <w:b/>
          <w:bCs/>
          <w:color w:val="auto"/>
          <w:sz w:val="24"/>
          <w:szCs w:val="24"/>
          <w:highlight w:val="none"/>
          <w:u w:val="single"/>
          <w:lang w:val="en-US" w:eastAsia="zh-CN"/>
        </w:rPr>
        <w:t xml:space="preserve">                                   </w:t>
      </w:r>
    </w:p>
    <w:p w14:paraId="1CFD5A9F">
      <w:pPr>
        <w:spacing w:line="360" w:lineRule="auto"/>
        <w:jc w:val="left"/>
        <w:rPr>
          <w:rFonts w:hint="eastAsia" w:ascii="黑体" w:hAnsi="黑体" w:eastAsia="黑体" w:cs="黑体"/>
          <w:b/>
          <w:bCs/>
          <w:color w:val="auto"/>
          <w:sz w:val="24"/>
          <w:szCs w:val="24"/>
          <w:highlight w:val="none"/>
          <w:u w:val="single"/>
          <w:lang w:val="en-US" w:eastAsia="zh-CN"/>
        </w:rPr>
      </w:pPr>
      <w:r>
        <w:rPr>
          <w:rFonts w:hint="eastAsia" w:ascii="黑体" w:hAnsi="黑体" w:eastAsia="黑体" w:cs="黑体"/>
          <w:b/>
          <w:bCs/>
          <w:color w:val="auto"/>
          <w:sz w:val="24"/>
          <w:szCs w:val="24"/>
          <w:highlight w:val="none"/>
          <w:lang w:eastAsia="zh-CN"/>
        </w:rPr>
        <w:t>乙方</w:t>
      </w:r>
      <w:r>
        <w:rPr>
          <w:rFonts w:hint="eastAsia" w:ascii="黑体" w:hAnsi="黑体" w:eastAsia="黑体" w:cs="黑体"/>
          <w:b/>
          <w:bCs/>
          <w:color w:val="auto"/>
          <w:sz w:val="24"/>
          <w:szCs w:val="24"/>
          <w:highlight w:val="none"/>
          <w:lang w:eastAsia="zh-CN"/>
        </w:rPr>
        <w:t>：</w:t>
      </w:r>
      <w:r>
        <w:rPr>
          <w:rFonts w:hint="eastAsia" w:ascii="黑体" w:hAnsi="黑体" w:eastAsia="黑体" w:cs="黑体"/>
          <w:b/>
          <w:bCs/>
          <w:color w:val="auto"/>
          <w:sz w:val="24"/>
          <w:szCs w:val="24"/>
          <w:highlight w:val="none"/>
          <w:u w:val="single"/>
          <w:lang w:val="en-US" w:eastAsia="zh-CN"/>
        </w:rPr>
        <w:t xml:space="preserve">                                   </w:t>
      </w:r>
    </w:p>
    <w:p w14:paraId="7E13157D">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依照《中华人民共和国民法典》及国家的有关法律、行政法规，遵循平等、自愿、公平和诚实信用的原则</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经充分协商，就</w:t>
      </w:r>
      <w:r>
        <w:rPr>
          <w:rFonts w:hint="eastAsia" w:ascii="宋体" w:hAnsi="宋体" w:eastAsia="宋体" w:cs="宋体"/>
          <w:color w:val="auto"/>
          <w:sz w:val="24"/>
          <w:szCs w:val="24"/>
          <w:highlight w:val="none"/>
          <w:lang w:val="en-US" w:eastAsia="zh-CN"/>
        </w:rPr>
        <w:t>本项目采购需求中列明的</w:t>
      </w:r>
      <w:r>
        <w:rPr>
          <w:rFonts w:hint="eastAsia" w:ascii="宋体" w:hAnsi="宋体" w:eastAsia="宋体" w:cs="宋体"/>
          <w:color w:val="auto"/>
          <w:sz w:val="24"/>
          <w:szCs w:val="24"/>
          <w:highlight w:val="none"/>
        </w:rPr>
        <w:t>高速公路购置公众责任险项目（以下简称“本项目”），达成以下协议：</w:t>
      </w:r>
    </w:p>
    <w:p w14:paraId="40F8CC3C">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合同组成</w:t>
      </w:r>
    </w:p>
    <w:p w14:paraId="3C899CA0">
      <w:pPr>
        <w:numPr>
          <w:ilvl w:val="0"/>
          <w:numId w:val="1"/>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下列文件应作为本保险合同的组成部分：</w:t>
      </w:r>
    </w:p>
    <w:p w14:paraId="01C0C6EB">
      <w:pPr>
        <w:numPr>
          <w:ilvl w:val="0"/>
          <w:numId w:val="0"/>
        </w:num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本保险合同；</w:t>
      </w:r>
    </w:p>
    <w:p w14:paraId="4E64889B">
      <w:pPr>
        <w:numPr>
          <w:ilvl w:val="0"/>
          <w:numId w:val="0"/>
        </w:num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2.询价文件、响应文件；</w:t>
      </w:r>
    </w:p>
    <w:p w14:paraId="0772D394">
      <w:pPr>
        <w:numPr>
          <w:ilvl w:val="0"/>
          <w:numId w:val="0"/>
        </w:num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附加条款解释</w:t>
      </w:r>
      <w:r>
        <w:rPr>
          <w:rFonts w:hint="eastAsia" w:ascii="宋体" w:hAnsi="宋体" w:eastAsia="宋体" w:cs="宋体"/>
          <w:color w:val="auto"/>
          <w:sz w:val="24"/>
          <w:szCs w:val="24"/>
          <w:highlight w:val="none"/>
          <w:lang w:val="en-US" w:eastAsia="zh-CN"/>
        </w:rPr>
        <w:t>；</w:t>
      </w:r>
    </w:p>
    <w:p w14:paraId="006F15A9">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4.公众责任险保险条款</w:t>
      </w:r>
      <w:r>
        <w:rPr>
          <w:rFonts w:hint="eastAsia" w:ascii="宋体" w:hAnsi="宋体" w:eastAsia="宋体" w:cs="宋体"/>
          <w:color w:val="auto"/>
          <w:sz w:val="24"/>
          <w:szCs w:val="24"/>
          <w:highlight w:val="none"/>
        </w:rPr>
        <w:t>；</w:t>
      </w:r>
    </w:p>
    <w:p w14:paraId="334AF367">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保险单</w:t>
      </w:r>
      <w:r>
        <w:rPr>
          <w:rFonts w:hint="eastAsia" w:ascii="宋体" w:hAnsi="宋体" w:eastAsia="宋体" w:cs="宋体"/>
          <w:color w:val="auto"/>
          <w:sz w:val="24"/>
          <w:szCs w:val="24"/>
          <w:highlight w:val="none"/>
          <w:lang w:eastAsia="zh-CN"/>
        </w:rPr>
        <w:t>；</w:t>
      </w:r>
    </w:p>
    <w:p w14:paraId="3B382477">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6.批单；</w:t>
      </w:r>
    </w:p>
    <w:p w14:paraId="71871B0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形成合同的其他有关文件。</w:t>
      </w:r>
    </w:p>
    <w:p w14:paraId="67BA9F0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（二）上述文件互为补充和解释，如有不清或互相矛盾之处，以上面所列顺序在前的为准，但双方有特别约定的除外。</w:t>
      </w:r>
    </w:p>
    <w:p w14:paraId="6E219A9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二、赔偿限额及保费</w:t>
      </w:r>
      <w:r>
        <w:rPr>
          <w:rFonts w:hint="eastAsia" w:ascii="宋体" w:hAnsi="宋体" w:eastAsia="宋体" w:cs="宋体"/>
          <w:b/>
          <w:bCs/>
          <w:color w:val="auto"/>
          <w:sz w:val="24"/>
          <w:szCs w:val="24"/>
          <w:highlight w:val="none"/>
          <w:lang w:eastAsia="zh-CN"/>
        </w:rPr>
        <w:t>（一年期赔偿限额）</w:t>
      </w:r>
      <w:r>
        <w:rPr>
          <w:rFonts w:hint="eastAsia" w:ascii="宋体" w:hAnsi="宋体" w:eastAsia="宋体" w:cs="宋体"/>
          <w:color w:val="auto"/>
          <w:sz w:val="24"/>
          <w:szCs w:val="24"/>
          <w:highlight w:val="none"/>
        </w:rPr>
        <w:t xml:space="preserve"> </w:t>
      </w:r>
    </w:p>
    <w:p w14:paraId="55E4276D">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赔偿限额</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1.累计赔偿限额：RMB 5000 万元；</w:t>
      </w:r>
    </w:p>
    <w:p w14:paraId="45B29874">
      <w:pPr>
        <w:spacing w:line="360" w:lineRule="auto"/>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2.每次事故赔偿限额：RMB 800 万元；</w:t>
      </w:r>
    </w:p>
    <w:p w14:paraId="197C48D8">
      <w:pPr>
        <w:spacing w:line="360" w:lineRule="auto"/>
        <w:ind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每次事故人身伤亡限额：RMB</w:t>
      </w: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00万元</w:t>
      </w:r>
      <w:r>
        <w:rPr>
          <w:rFonts w:hint="eastAsia" w:ascii="宋体" w:hAnsi="宋体" w:eastAsia="宋体" w:cs="宋体"/>
          <w:color w:val="auto"/>
          <w:sz w:val="24"/>
          <w:szCs w:val="24"/>
          <w:highlight w:val="none"/>
          <w:lang w:eastAsia="zh-CN"/>
        </w:rPr>
        <w:t>；</w:t>
      </w:r>
    </w:p>
    <w:p w14:paraId="55E51B52">
      <w:pPr>
        <w:spacing w:line="360" w:lineRule="auto"/>
        <w:ind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每次事故每人赔偿限额：死亡RMB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50万元、伤残RMB 60万元（含医疗）</w:t>
      </w:r>
      <w:r>
        <w:rPr>
          <w:rFonts w:hint="eastAsia" w:ascii="宋体" w:hAnsi="宋体" w:eastAsia="宋体" w:cs="宋体"/>
          <w:color w:val="auto"/>
          <w:sz w:val="24"/>
          <w:szCs w:val="24"/>
          <w:highlight w:val="none"/>
          <w:lang w:eastAsia="zh-CN"/>
        </w:rPr>
        <w:t>。</w:t>
      </w:r>
    </w:p>
    <w:p w14:paraId="608F0A2A">
      <w:pPr>
        <w:numPr>
          <w:ilvl w:val="0"/>
          <w:numId w:val="0"/>
        </w:num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保险费</w:t>
      </w:r>
      <w:r>
        <w:rPr>
          <w:rFonts w:hint="eastAsia" w:ascii="宋体" w:hAnsi="宋体" w:eastAsia="宋体" w:cs="宋体"/>
          <w:b/>
          <w:color w:val="auto"/>
          <w:sz w:val="24"/>
          <w:szCs w:val="24"/>
          <w:highlight w:val="none"/>
          <w:lang w:eastAsia="zh-CN"/>
        </w:rPr>
        <w:t>合计</w:t>
      </w:r>
      <w:r>
        <w:rPr>
          <w:rFonts w:hint="eastAsia" w:ascii="宋体" w:hAnsi="宋体" w:eastAsia="宋体" w:cs="宋体"/>
          <w:b/>
          <w:color w:val="auto"/>
          <w:sz w:val="24"/>
          <w:szCs w:val="24"/>
          <w:highlight w:val="none"/>
        </w:rPr>
        <w:t>：</w:t>
      </w:r>
      <w:r>
        <w:rPr>
          <w:rFonts w:hint="eastAsia" w:ascii="宋体" w:hAnsi="宋体" w:eastAsia="宋体" w:cs="宋体"/>
          <w:b w:val="0"/>
          <w:bCs/>
          <w:color w:val="auto"/>
          <w:sz w:val="24"/>
          <w:szCs w:val="24"/>
          <w:highlight w:val="none"/>
          <w:lang w:eastAsia="zh-CN"/>
        </w:rPr>
        <w:t>大写：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eastAsia="zh-CN"/>
        </w:rPr>
        <w:t>小写：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元</w:t>
      </w:r>
      <w:r>
        <w:rPr>
          <w:rFonts w:hint="eastAsia" w:ascii="宋体" w:hAnsi="宋体" w:eastAsia="宋体" w:cs="宋体"/>
          <w:b w:val="0"/>
          <w:bCs/>
          <w:color w:val="auto"/>
          <w:sz w:val="24"/>
          <w:szCs w:val="24"/>
          <w:highlight w:val="none"/>
          <w:lang w:eastAsia="zh-CN"/>
        </w:rPr>
        <w:t>，其中不含税金额：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元，增值税金额：</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元。</w:t>
      </w:r>
    </w:p>
    <w:p w14:paraId="5D97348A">
      <w:pPr>
        <w:numPr>
          <w:ilvl w:val="0"/>
          <w:numId w:val="0"/>
        </w:numPr>
        <w:spacing w:line="360" w:lineRule="auto"/>
        <w:ind w:firstLine="482" w:firstLineChars="200"/>
        <w:rPr>
          <w:rFonts w:hint="eastAsia"/>
          <w:color w:val="auto"/>
          <w:highlight w:val="none"/>
          <w:lang w:eastAsia="zh-CN"/>
        </w:rPr>
      </w:pPr>
      <w:r>
        <w:rPr>
          <w:rFonts w:hint="eastAsia" w:ascii="宋体" w:hAnsi="宋体" w:eastAsia="宋体" w:cs="宋体"/>
          <w:b/>
          <w:bCs w:val="0"/>
          <w:color w:val="auto"/>
          <w:sz w:val="24"/>
          <w:szCs w:val="24"/>
          <w:highlight w:val="none"/>
          <w:lang w:eastAsia="zh-CN"/>
        </w:rPr>
        <w:t>（三）免赔：</w:t>
      </w:r>
      <w:r>
        <w:rPr>
          <w:rFonts w:hint="eastAsia" w:ascii="宋体" w:hAnsi="宋体" w:eastAsia="宋体" w:cs="宋体"/>
          <w:b w:val="0"/>
          <w:bCs/>
          <w:color w:val="auto"/>
          <w:sz w:val="24"/>
          <w:szCs w:val="24"/>
          <w:highlight w:val="none"/>
          <w:lang w:eastAsia="zh-CN"/>
        </w:rPr>
        <w:t>财产损失：无</w:t>
      </w:r>
      <w:r>
        <w:rPr>
          <w:rFonts w:hint="eastAsia" w:ascii="宋体" w:hAnsi="宋体" w:eastAsia="宋体" w:cs="宋体"/>
          <w:b w:val="0"/>
          <w:bCs/>
          <w:color w:val="auto"/>
          <w:sz w:val="24"/>
          <w:szCs w:val="24"/>
          <w:highlight w:val="none"/>
          <w:lang w:val="en-US" w:eastAsia="zh-CN"/>
        </w:rPr>
        <w:t>；人身伤害：无。</w:t>
      </w:r>
    </w:p>
    <w:p w14:paraId="567A358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三、出单及保费支付</w:t>
      </w:r>
    </w:p>
    <w:p w14:paraId="63B2D8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（一）出具保险单</w:t>
      </w:r>
    </w:p>
    <w:p w14:paraId="1D0095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本合同签订后，甲方办理相关投保手续。</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的出单指示出具正式保险单证。</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将已出好的保险单证及发票递交给甲方。</w:t>
      </w:r>
    </w:p>
    <w:p w14:paraId="0252B07A">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支付保险费</w:t>
      </w:r>
    </w:p>
    <w:p w14:paraId="7F68AF6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正式保险单出具后，甲方应在</w:t>
      </w:r>
      <w:r>
        <w:rPr>
          <w:rFonts w:hint="eastAsia" w:ascii="宋体" w:hAnsi="宋体" w:eastAsia="宋体" w:cs="宋体"/>
          <w:color w:val="auto"/>
          <w:sz w:val="24"/>
          <w:szCs w:val="24"/>
          <w:highlight w:val="none"/>
          <w:lang w:eastAsia="zh-CN"/>
        </w:rPr>
        <w:t>收到正式</w:t>
      </w:r>
      <w:r>
        <w:rPr>
          <w:rFonts w:hint="eastAsia" w:ascii="宋体" w:hAnsi="宋体" w:eastAsia="宋体" w:cs="宋体"/>
          <w:color w:val="auto"/>
          <w:sz w:val="24"/>
          <w:szCs w:val="24"/>
          <w:highlight w:val="none"/>
        </w:rPr>
        <w:t>保险单</w:t>
      </w:r>
      <w:r>
        <w:rPr>
          <w:rFonts w:hint="eastAsia" w:ascii="宋体" w:hAnsi="宋体" w:eastAsia="宋体" w:cs="宋体"/>
          <w:color w:val="auto"/>
          <w:sz w:val="24"/>
          <w:szCs w:val="24"/>
          <w:highlight w:val="none"/>
          <w:lang w:eastAsia="zh-CN"/>
        </w:rPr>
        <w:t>及保险费发票</w:t>
      </w:r>
      <w:r>
        <w:rPr>
          <w:rFonts w:hint="eastAsia" w:ascii="宋体" w:hAnsi="宋体" w:eastAsia="宋体" w:cs="宋体"/>
          <w:color w:val="auto"/>
          <w:sz w:val="24"/>
          <w:szCs w:val="24"/>
          <w:highlight w:val="none"/>
          <w:lang w:val="en-US" w:eastAsia="zh-CN"/>
        </w:rPr>
        <w:t>30日</w:t>
      </w:r>
      <w:r>
        <w:rPr>
          <w:rFonts w:hint="eastAsia" w:ascii="宋体" w:hAnsi="宋体" w:eastAsia="宋体" w:cs="宋体"/>
          <w:color w:val="auto"/>
          <w:sz w:val="24"/>
          <w:szCs w:val="24"/>
          <w:highlight w:val="none"/>
        </w:rPr>
        <w:t>内向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保险费</w:t>
      </w:r>
      <w:r>
        <w:rPr>
          <w:rFonts w:hint="eastAsia" w:ascii="宋体" w:hAnsi="宋体" w:eastAsia="宋体" w:cs="宋体"/>
          <w:color w:val="auto"/>
          <w:sz w:val="24"/>
          <w:szCs w:val="24"/>
          <w:highlight w:val="none"/>
          <w:lang w:eastAsia="zh-CN"/>
        </w:rPr>
        <w:t>。</w:t>
      </w:r>
    </w:p>
    <w:p w14:paraId="4709497E">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 xml:space="preserve">保险服务 </w:t>
      </w:r>
    </w:p>
    <w:p w14:paraId="68216B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出险通知</w:t>
      </w:r>
    </w:p>
    <w:p w14:paraId="64571B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保险事故发生后，被保险人应尽快拨打24小时报案电话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w:t>
      </w:r>
      <w:r>
        <w:rPr>
          <w:rFonts w:hint="eastAsia" w:ascii="宋体" w:hAnsi="宋体" w:eastAsia="宋体" w:cs="宋体"/>
          <w:color w:val="auto"/>
          <w:sz w:val="24"/>
          <w:szCs w:val="24"/>
          <w:highlight w:val="none"/>
        </w:rPr>
        <w:t>行报案。</w:t>
      </w:r>
    </w:p>
    <w:p w14:paraId="588096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现场查勘</w:t>
      </w:r>
    </w:p>
    <w:p w14:paraId="48209D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接到报案后，应及时向甲方提出事故处理意见，并告知是否需要现场查勘。如需现场查勘，</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查勘人员应在接到报案后三小时内到达出险现场。如未能在规定时间内到达事故现场，并未对紧急抢险措施提出具体意见，甲方有权按照实际情况需要，组织实施施救工作，并自行处理事故现场，但甲方应保留事故现场材料和事故现场照片。</w:t>
      </w:r>
    </w:p>
    <w:p w14:paraId="1113F5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受理赔案</w:t>
      </w:r>
    </w:p>
    <w:p w14:paraId="3E20E8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应根据每一赔案具体情况，在出险</w:t>
      </w:r>
      <w:r>
        <w:rPr>
          <w:rFonts w:hint="eastAsia" w:ascii="宋体" w:hAnsi="宋体" w:eastAsia="宋体" w:cs="宋体"/>
          <w:color w:val="auto"/>
          <w:sz w:val="24"/>
          <w:szCs w:val="24"/>
          <w:highlight w:val="none"/>
          <w:lang w:eastAsia="zh-CN"/>
        </w:rPr>
        <w:t>报案</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天内，一次性向甲方书面出具该起事故应准备的索赔资料清单，对于甲方因合理原因而难以提供的资料</w:t>
      </w:r>
      <w:r>
        <w:rPr>
          <w:rFonts w:hint="eastAsia" w:ascii="宋体" w:hAnsi="宋体" w:eastAsia="宋体" w:cs="宋体"/>
          <w:color w:val="auto"/>
          <w:sz w:val="24"/>
          <w:szCs w:val="24"/>
          <w:highlight w:val="none"/>
          <w:lang w:eastAsia="zh-CN"/>
        </w:rPr>
        <w:t>（如：交警部门出具的事故责任认定书）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同意免予提供</w:t>
      </w:r>
      <w:r>
        <w:rPr>
          <w:rFonts w:hint="eastAsia" w:ascii="宋体" w:hAnsi="宋体" w:eastAsia="宋体" w:cs="宋体"/>
          <w:color w:val="auto"/>
          <w:sz w:val="24"/>
          <w:szCs w:val="24"/>
          <w:highlight w:val="none"/>
          <w:lang w:eastAsia="zh-CN"/>
        </w:rPr>
        <w:t>，但必须持有相关职能部门开具的有效证明（如：交警部门出具的事故证明</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1A557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在收到索赔材料后应立即审核，若认为有关证明或资料不符合要求，应当在收到材料的3个工作日内一次性告知甲方需要重新提供的有关证明或资料，否则甲方可以拒绝提供。</w:t>
      </w:r>
    </w:p>
    <w:p w14:paraId="35693AC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自收到完整的索赔资料之日起，应在</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个工作日内提供初步回复意见，在</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个工作日内完成定责定损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否则即视为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完</w:t>
      </w:r>
      <w:r>
        <w:rPr>
          <w:rFonts w:hint="eastAsia" w:ascii="宋体" w:hAnsi="宋体" w:eastAsia="宋体" w:cs="宋体"/>
          <w:color w:val="auto"/>
          <w:sz w:val="24"/>
          <w:szCs w:val="24"/>
          <w:highlight w:val="none"/>
        </w:rPr>
        <w:t>全认可甲方提供的索赔资料及索赔要求</w:t>
      </w:r>
      <w:r>
        <w:rPr>
          <w:rFonts w:hint="eastAsia" w:ascii="宋体" w:hAnsi="宋体" w:eastAsia="宋体" w:cs="宋体"/>
          <w:color w:val="auto"/>
          <w:sz w:val="24"/>
          <w:szCs w:val="24"/>
          <w:highlight w:val="none"/>
          <w:lang w:eastAsia="zh-CN"/>
        </w:rPr>
        <w:t>。</w:t>
      </w:r>
    </w:p>
    <w:p w14:paraId="4E26EE73">
      <w:pPr>
        <w:spacing w:line="360" w:lineRule="auto"/>
        <w:ind w:firstLine="480" w:firstLineChars="200"/>
        <w:rPr>
          <w:rFonts w:hint="default"/>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在理赔案件中，因甲方需求在案件发生后由相关职能部门（例如：交警部门、公安部门）出具事故说明书。该说明书能清楚表达系甲方全部或部分责任但未对责任进行划分的，乙方须按事故说明书中所叙述的清晰可辨别的责任进行赔付，乙方不得以未明确责任划分为由拒赔或不足额赔付。涉及人身伤亡事故的案件，必须由公安交警部门出具事故责任认定书。</w:t>
      </w:r>
    </w:p>
    <w:p w14:paraId="75AB8861">
      <w:pPr>
        <w:pStyle w:val="7"/>
        <w:spacing w:line="360" w:lineRule="auto"/>
        <w:ind w:left="0" w:leftChars="0" w:firstLine="0" w:firstLineChars="0"/>
        <w:jc w:val="both"/>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、基本权利和义务</w:t>
      </w:r>
    </w:p>
    <w:p w14:paraId="41AA27A7">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甲方权利与义务</w:t>
      </w:r>
    </w:p>
    <w:p w14:paraId="0C34F60B">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及时向乙</w:t>
      </w:r>
      <w:r>
        <w:rPr>
          <w:rFonts w:hint="eastAsia" w:ascii="宋体" w:hAnsi="宋体" w:eastAsia="宋体" w:cs="宋体"/>
          <w:bCs/>
          <w:color w:val="auto"/>
          <w:sz w:val="24"/>
          <w:szCs w:val="24"/>
          <w:highlight w:val="none"/>
          <w:lang w:eastAsia="zh-CN"/>
        </w:rPr>
        <w:t>方</w:t>
      </w:r>
      <w:r>
        <w:rPr>
          <w:rFonts w:hint="eastAsia" w:ascii="宋体" w:hAnsi="宋体" w:eastAsia="宋体" w:cs="宋体"/>
          <w:bCs/>
          <w:color w:val="auto"/>
          <w:sz w:val="24"/>
          <w:szCs w:val="24"/>
          <w:highlight w:val="none"/>
        </w:rPr>
        <w:t>提供真实准确的投保相关资料。</w:t>
      </w:r>
    </w:p>
    <w:p w14:paraId="304A9C93">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保险项目内容有变动及时通知乙</w:t>
      </w:r>
      <w:r>
        <w:rPr>
          <w:rFonts w:hint="eastAsia" w:ascii="宋体" w:hAnsi="宋体" w:eastAsia="宋体" w:cs="宋体"/>
          <w:bCs/>
          <w:color w:val="auto"/>
          <w:sz w:val="24"/>
          <w:szCs w:val="24"/>
          <w:highlight w:val="none"/>
          <w:lang w:eastAsia="zh-CN"/>
        </w:rPr>
        <w:t>方</w:t>
      </w:r>
      <w:r>
        <w:rPr>
          <w:rFonts w:hint="eastAsia" w:ascii="宋体" w:hAnsi="宋体" w:eastAsia="宋体" w:cs="宋体"/>
          <w:bCs/>
          <w:color w:val="auto"/>
          <w:sz w:val="24"/>
          <w:szCs w:val="24"/>
          <w:highlight w:val="none"/>
        </w:rPr>
        <w:t>对保险单证进行批改。</w:t>
      </w:r>
    </w:p>
    <w:p w14:paraId="1F6EAB5C">
      <w:pPr>
        <w:pStyle w:val="7"/>
        <w:spacing w:line="360" w:lineRule="auto"/>
        <w:ind w:firstLine="480" w:firstLineChars="200"/>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在约定期限内缴纳该项目的保费</w:t>
      </w:r>
      <w:r>
        <w:rPr>
          <w:rFonts w:hint="eastAsia" w:ascii="宋体" w:hAnsi="宋体" w:eastAsia="宋体" w:cs="宋体"/>
          <w:bCs/>
          <w:color w:val="auto"/>
          <w:sz w:val="24"/>
          <w:szCs w:val="24"/>
          <w:highlight w:val="none"/>
          <w:lang w:eastAsia="zh-CN"/>
        </w:rPr>
        <w:t>，同时有权对公众责任险被保险人进行替换。</w:t>
      </w:r>
    </w:p>
    <w:p w14:paraId="7E836BF1">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乙方</w:t>
      </w:r>
      <w:r>
        <w:rPr>
          <w:rFonts w:hint="eastAsia" w:ascii="宋体" w:hAnsi="宋体" w:eastAsia="宋体" w:cs="宋体"/>
          <w:bCs/>
          <w:color w:val="auto"/>
          <w:sz w:val="24"/>
          <w:szCs w:val="24"/>
          <w:highlight w:val="none"/>
        </w:rPr>
        <w:t>权利与义务</w:t>
      </w:r>
    </w:p>
    <w:p w14:paraId="46B3056D">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根据甲方的要求，在中国现行的法律法规允许的范围内，及时提供保险条款、保险单证。</w:t>
      </w:r>
    </w:p>
    <w:p w14:paraId="1C113D55">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不向其他方透露通过该保险项目而得到的甲方相关资料。</w:t>
      </w:r>
    </w:p>
    <w:p w14:paraId="608EE231">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按照约定保险费率及承保条件，承担相应项目投保险种的保险责任。</w:t>
      </w:r>
    </w:p>
    <w:p w14:paraId="55FA9746">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在保险项目内容发生变更时，及时对单证进行批改。</w:t>
      </w:r>
    </w:p>
    <w:p w14:paraId="1D0D7879">
      <w:pPr>
        <w:pStyle w:val="7"/>
        <w:spacing w:line="360" w:lineRule="auto"/>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按照承诺的服务内容提供及时、便捷的服务。</w:t>
      </w:r>
    </w:p>
    <w:p w14:paraId="1F278EB2">
      <w:pPr>
        <w:pStyle w:val="7"/>
        <w:spacing w:line="360" w:lineRule="auto"/>
        <w:ind w:firstLine="480" w:firstLineChars="2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6.乙方向甲方提供公众责任险理赔的程序和具体操作方案。</w:t>
      </w:r>
    </w:p>
    <w:p w14:paraId="4738E3C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、一般条款</w:t>
      </w:r>
    </w:p>
    <w:p w14:paraId="2E3E16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（一）合同有效期：</w:t>
      </w:r>
    </w:p>
    <w:p w14:paraId="310EAB1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自签字盖章之日起生效，且在保单有效期间内持续有效。如果该保单的保险期限结束后存在遗留问题，则本合同将持续有效，至保单涉及各项遗留事宜最终处理完毕时为止，在本合同有效期内承保项目及险种，在保险合同终止之前，均享受</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在本合同中承诺的所有服务。</w:t>
      </w:r>
      <w:r>
        <w:rPr>
          <w:rFonts w:hint="eastAsia" w:ascii="宋体" w:hAnsi="宋体" w:eastAsia="宋体" w:cs="宋体"/>
          <w:color w:val="auto"/>
          <w:sz w:val="24"/>
          <w:szCs w:val="24"/>
          <w:highlight w:val="none"/>
          <w:lang w:eastAsia="zh-CN"/>
        </w:rPr>
        <w:t>乙方在服务期内未按合同及保险条款约定的保险责任进行履约的，甲方有权解除合同并追究乙方造成的相关经济损失。</w:t>
      </w:r>
    </w:p>
    <w:p w14:paraId="74D0A2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（二）合同变更</w:t>
      </w:r>
    </w:p>
    <w:p w14:paraId="0D76E5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本合同如有未尽事宜，经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协商后可随时以书面形式修改或补充，并作为本合同的组成部分。</w:t>
      </w:r>
    </w:p>
    <w:p w14:paraId="49ED13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（三）保密条款</w:t>
      </w:r>
    </w:p>
    <w:p w14:paraId="1365EE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本合同是否终止或取消，任何签约方都对其他签约方的文件和信息负有保密义务。没有相关方的书面授权，任何签约方都无权披露承保文件和信息（包括但不限于往来书面文字文件、电子邮件及信息、软盘资料等）。</w:t>
      </w:r>
    </w:p>
    <w:p w14:paraId="4A323C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（四）争议解决</w:t>
      </w:r>
    </w:p>
    <w:p w14:paraId="4DB5DC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之间的一切有关本合同的争议应通过友好协商解决。如果协商不成，应当在</w:t>
      </w:r>
      <w:r>
        <w:rPr>
          <w:rFonts w:hint="eastAsia" w:ascii="宋体" w:hAnsi="宋体" w:eastAsia="宋体" w:cs="宋体"/>
          <w:color w:val="auto"/>
          <w:sz w:val="24"/>
          <w:szCs w:val="24"/>
          <w:highlight w:val="none"/>
          <w:lang w:eastAsia="zh-CN"/>
        </w:rPr>
        <w:t>采购人所在地</w:t>
      </w:r>
      <w:r>
        <w:rPr>
          <w:rFonts w:hint="eastAsia" w:ascii="宋体" w:hAnsi="宋体" w:eastAsia="宋体" w:cs="宋体"/>
          <w:color w:val="auto"/>
          <w:sz w:val="24"/>
          <w:szCs w:val="24"/>
          <w:highlight w:val="none"/>
        </w:rPr>
        <w:t>向法院提出诉讼。</w:t>
      </w:r>
    </w:p>
    <w:p w14:paraId="05CEEF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w:t>
      </w:r>
    </w:p>
    <w:p w14:paraId="4B386B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1、乙方须成立专业的保险服务小组团队，设置不低于3人的售后理赔专员。</w:t>
      </w:r>
    </w:p>
    <w:p w14:paraId="1A79E7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按本合同出具的保单与本合同冲突之处，以本合同内容为准，本合同另有明确约定的情况除外。</w:t>
      </w:r>
    </w:p>
    <w:p w14:paraId="7ACDB1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各执两份，经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签字、盖章后生效。</w:t>
      </w:r>
    </w:p>
    <w:p w14:paraId="5B54D1D8">
      <w:pPr>
        <w:pStyle w:val="7"/>
        <w:spacing w:line="240" w:lineRule="auto"/>
        <w:ind w:left="0" w:leftChars="0" w:firstLine="0" w:firstLineChars="0"/>
        <w:jc w:val="both"/>
        <w:rPr>
          <w:rFonts w:hint="eastAsia" w:ascii="黑体" w:hAnsi="黑体" w:eastAsia="黑体" w:cs="黑体"/>
          <w:b w:val="0"/>
          <w:bCs/>
          <w:color w:val="auto"/>
          <w:sz w:val="24"/>
          <w:szCs w:val="24"/>
          <w:highlight w:val="none"/>
        </w:rPr>
      </w:pPr>
    </w:p>
    <w:p w14:paraId="37D83BD6">
      <w:pPr>
        <w:pStyle w:val="7"/>
        <w:spacing w:line="240" w:lineRule="auto"/>
        <w:ind w:left="0" w:leftChars="0" w:firstLine="0" w:firstLineChars="0"/>
        <w:jc w:val="both"/>
        <w:rPr>
          <w:rFonts w:hint="eastAsia" w:ascii="黑体" w:hAnsi="黑体" w:eastAsia="黑体" w:cs="黑体"/>
          <w:b w:val="0"/>
          <w:bCs/>
          <w:color w:val="auto"/>
          <w:sz w:val="24"/>
          <w:szCs w:val="24"/>
          <w:highlight w:val="none"/>
        </w:rPr>
      </w:pPr>
    </w:p>
    <w:p w14:paraId="27349D9C">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left"/>
        <w:textAlignment w:val="auto"/>
        <w:rPr>
          <w:rFonts w:hint="eastAsia" w:ascii="黑体" w:hAnsi="黑体" w:eastAsia="黑体" w:cs="黑体"/>
          <w:b w:val="0"/>
          <w:bCs/>
          <w:color w:val="auto"/>
          <w:sz w:val="24"/>
          <w:szCs w:val="24"/>
          <w:highlight w:val="none"/>
          <w:u w:val="single"/>
          <w:lang w:val="en-US" w:eastAsia="zh-CN"/>
        </w:rPr>
      </w:pPr>
      <w:r>
        <w:rPr>
          <w:rFonts w:hint="eastAsia" w:ascii="黑体" w:hAnsi="黑体" w:eastAsia="黑体" w:cs="黑体"/>
          <w:b w:val="0"/>
          <w:bCs/>
          <w:color w:val="auto"/>
          <w:sz w:val="24"/>
          <w:szCs w:val="24"/>
          <w:highlight w:val="none"/>
        </w:rPr>
        <w:t xml:space="preserve">甲方(盖章)：                     </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lang w:eastAsia="zh-CN"/>
        </w:rPr>
        <w:t>乙方</w:t>
      </w:r>
      <w:r>
        <w:rPr>
          <w:rFonts w:hint="eastAsia" w:ascii="黑体" w:hAnsi="黑体" w:eastAsia="黑体" w:cs="黑体"/>
          <w:b w:val="0"/>
          <w:bCs/>
          <w:color w:val="auto"/>
          <w:sz w:val="24"/>
          <w:szCs w:val="24"/>
          <w:highlight w:val="none"/>
        </w:rPr>
        <w:t>(盖章)：</w:t>
      </w:r>
    </w:p>
    <w:p w14:paraId="644EBA52">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both"/>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法定代表人（负责人）</w:t>
      </w:r>
      <w:r>
        <w:rPr>
          <w:rFonts w:hint="eastAsia" w:ascii="黑体" w:hAnsi="黑体" w:eastAsia="黑体" w:cs="黑体"/>
          <w:b w:val="0"/>
          <w:bCs/>
          <w:color w:val="auto"/>
          <w:sz w:val="24"/>
          <w:szCs w:val="24"/>
          <w:highlight w:val="none"/>
          <w:lang w:eastAsia="zh-CN"/>
        </w:rPr>
        <w:t>：</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法定代表人（负责人）</w:t>
      </w:r>
      <w:r>
        <w:rPr>
          <w:rFonts w:hint="eastAsia" w:ascii="黑体" w:hAnsi="黑体" w:eastAsia="黑体" w:cs="黑体"/>
          <w:b w:val="0"/>
          <w:bCs/>
          <w:color w:val="auto"/>
          <w:sz w:val="24"/>
          <w:szCs w:val="24"/>
          <w:highlight w:val="none"/>
          <w:lang w:eastAsia="zh-CN"/>
        </w:rPr>
        <w:t>：</w:t>
      </w:r>
    </w:p>
    <w:p w14:paraId="520434C7">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both"/>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rPr>
        <w:t>或其授权的代理人：</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rPr>
        <w:t>或其授权的代理人：</w:t>
      </w:r>
    </w:p>
    <w:p w14:paraId="722E3FF7">
      <w:pPr>
        <w:pStyle w:val="7"/>
        <w:keepNext w:val="0"/>
        <w:keepLines w:val="0"/>
        <w:pageBreakBefore w:val="0"/>
        <w:widowControl w:val="0"/>
        <w:kinsoku/>
        <w:wordWrap/>
        <w:overflowPunct/>
        <w:topLinePunct w:val="0"/>
        <w:autoSpaceDE/>
        <w:autoSpaceDN/>
        <w:bidi w:val="0"/>
        <w:adjustRightInd/>
        <w:snapToGrid/>
        <w:spacing w:before="79" w:beforeLines="25" w:line="360" w:lineRule="auto"/>
        <w:ind w:firstLine="420"/>
        <w:jc w:val="both"/>
        <w:textAlignment w:val="auto"/>
        <w:rPr>
          <w:rFonts w:hint="default"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eastAsia="zh-CN"/>
        </w:rPr>
        <w:t>签订日期：</w:t>
      </w:r>
      <w:r>
        <w:rPr>
          <w:rFonts w:hint="eastAsia" w:ascii="黑体" w:hAnsi="黑体" w:eastAsia="黑体" w:cs="黑体"/>
          <w:b w:val="0"/>
          <w:bCs/>
          <w:color w:val="auto"/>
          <w:sz w:val="24"/>
          <w:szCs w:val="24"/>
          <w:highlight w:val="none"/>
          <w:u w:val="single"/>
        </w:rPr>
        <w:t xml:space="preserve">   </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u w:val="single"/>
        </w:rPr>
        <w:t xml:space="preserve"> </w:t>
      </w:r>
      <w:r>
        <w:rPr>
          <w:rFonts w:hint="eastAsia" w:ascii="黑体" w:hAnsi="黑体" w:eastAsia="黑体" w:cs="黑体"/>
          <w:b w:val="0"/>
          <w:bCs/>
          <w:color w:val="auto"/>
          <w:sz w:val="24"/>
          <w:szCs w:val="24"/>
          <w:highlight w:val="none"/>
          <w:lang w:eastAsia="zh-CN"/>
        </w:rPr>
        <w:t>年</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lang w:val="en-US" w:eastAsia="zh-CN"/>
        </w:rPr>
        <w:t>月</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lang w:val="en-US" w:eastAsia="zh-CN"/>
        </w:rPr>
        <w:t>日</w:t>
      </w:r>
      <w:r>
        <w:rPr>
          <w:rFonts w:hint="eastAsia" w:ascii="黑体" w:hAnsi="黑体" w:eastAsia="黑体" w:cs="黑体"/>
          <w:b w:val="0"/>
          <w:bCs/>
          <w:color w:val="auto"/>
          <w:sz w:val="24"/>
          <w:szCs w:val="24"/>
          <w:highlight w:val="none"/>
        </w:rPr>
        <w:t xml:space="preserve">  </w:t>
      </w:r>
      <w:r>
        <w:rPr>
          <w:rFonts w:hint="eastAsia"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lang w:eastAsia="zh-CN"/>
        </w:rPr>
        <w:t>签订日期：</w:t>
      </w:r>
      <w:r>
        <w:rPr>
          <w:rFonts w:hint="eastAsia" w:ascii="黑体" w:hAnsi="黑体" w:eastAsia="黑体" w:cs="黑体"/>
          <w:b w:val="0"/>
          <w:bCs/>
          <w:color w:val="auto"/>
          <w:sz w:val="24"/>
          <w:szCs w:val="24"/>
          <w:highlight w:val="none"/>
          <w:u w:val="single"/>
        </w:rPr>
        <w:t xml:space="preserve">   </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u w:val="single"/>
        </w:rPr>
        <w:t xml:space="preserve"> </w:t>
      </w:r>
      <w:r>
        <w:rPr>
          <w:rFonts w:hint="eastAsia" w:ascii="黑体" w:hAnsi="黑体" w:eastAsia="黑体" w:cs="黑体"/>
          <w:b w:val="0"/>
          <w:bCs/>
          <w:color w:val="auto"/>
          <w:sz w:val="24"/>
          <w:szCs w:val="24"/>
          <w:highlight w:val="none"/>
          <w:lang w:eastAsia="zh-CN"/>
        </w:rPr>
        <w:t>年</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lang w:val="en-US" w:eastAsia="zh-CN"/>
        </w:rPr>
        <w:t>月</w:t>
      </w:r>
      <w:r>
        <w:rPr>
          <w:rFonts w:hint="eastAsia" w:ascii="黑体" w:hAnsi="黑体" w:eastAsia="黑体" w:cs="黑体"/>
          <w:b w:val="0"/>
          <w:bCs/>
          <w:color w:val="auto"/>
          <w:sz w:val="24"/>
          <w:szCs w:val="24"/>
          <w:highlight w:val="none"/>
          <w:u w:val="single"/>
          <w:lang w:val="en-US" w:eastAsia="zh-CN"/>
        </w:rPr>
        <w:t xml:space="preserve">    </w:t>
      </w:r>
      <w:r>
        <w:rPr>
          <w:rFonts w:hint="eastAsia" w:ascii="黑体" w:hAnsi="黑体" w:eastAsia="黑体" w:cs="黑体"/>
          <w:b w:val="0"/>
          <w:bCs/>
          <w:color w:val="auto"/>
          <w:sz w:val="24"/>
          <w:szCs w:val="24"/>
          <w:highlight w:val="none"/>
          <w:lang w:val="en-US" w:eastAsia="zh-CN"/>
        </w:rPr>
        <w:t>日</w:t>
      </w:r>
    </w:p>
    <w:p w14:paraId="38826D9D">
      <w:pPr>
        <w:rPr>
          <w:rFonts w:ascii="Times New Roman" w:hAnsi="Times New Roman" w:eastAsia="宋体" w:cs="Times New Roman"/>
          <w:color w:val="auto"/>
          <w:highlight w:val="none"/>
        </w:rPr>
      </w:pPr>
      <w:bookmarkStart w:id="50" w:name="_Toc20832"/>
      <w:r>
        <w:rPr>
          <w:rFonts w:ascii="Times New Roman" w:hAnsi="Times New Roman" w:eastAsia="宋体" w:cs="Times New Roman"/>
          <w:color w:val="auto"/>
          <w:highlight w:val="none"/>
        </w:rPr>
        <w:br w:type="page"/>
      </w:r>
    </w:p>
    <w:bookmarkEnd w:id="50"/>
    <w:p w14:paraId="10805E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宋体" w:hAnsi="宋体" w:eastAsia="宋体" w:cs="宋体"/>
          <w:b/>
          <w:color w:val="auto"/>
          <w:sz w:val="24"/>
          <w:szCs w:val="24"/>
          <w:highlight w:val="none"/>
          <w:lang w:val="en-US" w:eastAsia="zh-CN"/>
        </w:rPr>
      </w:pPr>
      <w:bookmarkStart w:id="51" w:name="_Toc3558"/>
      <w:bookmarkStart w:id="52" w:name="_Toc7929"/>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bookmarkEnd w:id="51"/>
      <w:bookmarkEnd w:id="52"/>
      <w:r>
        <w:rPr>
          <w:rFonts w:hint="eastAsia" w:ascii="宋体" w:hAnsi="宋体" w:eastAsia="宋体" w:cs="宋体"/>
          <w:b/>
          <w:color w:val="auto"/>
          <w:sz w:val="24"/>
          <w:szCs w:val="24"/>
          <w:highlight w:val="none"/>
          <w:lang w:val="en-US" w:eastAsia="zh-CN"/>
        </w:rPr>
        <w:t>公众责任险保险条款</w:t>
      </w:r>
    </w:p>
    <w:p w14:paraId="503BE13C">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03836E05">
      <w:pPr>
        <w:keepNext w:val="0"/>
        <w:keepLines w:val="0"/>
        <w:widowControl/>
        <w:suppressLineNumbers w:val="0"/>
        <w:jc w:val="center"/>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总则</w:t>
      </w:r>
    </w:p>
    <w:p w14:paraId="5A76AA11">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14:paraId="009A828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第一条 </w:t>
      </w:r>
      <w:r>
        <w:rPr>
          <w:rFonts w:hint="eastAsia" w:ascii="宋体" w:hAnsi="宋体" w:eastAsia="宋体" w:cs="宋体"/>
          <w:color w:val="auto"/>
          <w:kern w:val="0"/>
          <w:sz w:val="24"/>
          <w:szCs w:val="24"/>
          <w:highlight w:val="none"/>
          <w:lang w:val="en-US" w:eastAsia="zh-CN" w:bidi="ar"/>
        </w:rPr>
        <w:t xml:space="preserve">本保险合同由保险合同、公众责任险保险条款、投保单、保险单、保险凭证以及批单组成。凡涉及本保险合同的约定，均应采用书面形式。 </w:t>
      </w:r>
    </w:p>
    <w:p w14:paraId="51CE094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第二条 </w:t>
      </w:r>
      <w:r>
        <w:rPr>
          <w:rFonts w:hint="eastAsia" w:ascii="宋体" w:hAnsi="宋体" w:eastAsia="宋体" w:cs="宋体"/>
          <w:color w:val="auto"/>
          <w:kern w:val="0"/>
          <w:sz w:val="24"/>
          <w:szCs w:val="24"/>
          <w:highlight w:val="none"/>
          <w:lang w:val="en-US" w:eastAsia="zh-CN" w:bidi="ar"/>
        </w:rPr>
        <w:t xml:space="preserve">凡依法设立的企事业单位、社会团体、个体工商户、其他经济组织及自然人，均可作为本保险合同的投保人及被保险人。 </w:t>
      </w:r>
    </w:p>
    <w:p w14:paraId="1D8A4B2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保险责任</w:t>
      </w:r>
    </w:p>
    <w:p w14:paraId="0924E74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第三条 </w:t>
      </w:r>
      <w:r>
        <w:rPr>
          <w:rFonts w:hint="eastAsia" w:ascii="宋体" w:hAnsi="宋体" w:eastAsia="宋体" w:cs="宋体"/>
          <w:color w:val="auto"/>
          <w:kern w:val="0"/>
          <w:sz w:val="24"/>
          <w:szCs w:val="24"/>
          <w:highlight w:val="none"/>
          <w:lang w:val="en-US" w:eastAsia="zh-CN" w:bidi="ar"/>
        </w:rPr>
        <w:t>在保险期间内，被保险人在本保险单明细表中列明的地点范围内依法从事生产、经营等活动时，由于意外事故造成的下列损失或费用，依照中华人民共和国法律</w:t>
      </w:r>
      <w:r>
        <w:rPr>
          <w:rFonts w:hint="eastAsia" w:ascii="宋体" w:hAnsi="宋体" w:eastAsia="宋体" w:cs="宋体"/>
          <w:b/>
          <w:bCs/>
          <w:color w:val="auto"/>
          <w:kern w:val="0"/>
          <w:sz w:val="24"/>
          <w:szCs w:val="24"/>
          <w:highlight w:val="none"/>
          <w:lang w:val="en-US" w:eastAsia="zh-CN" w:bidi="ar"/>
        </w:rPr>
        <w:t>（不包括香港特别行政区、澳门特别行政区、台湾地区法律）</w:t>
      </w:r>
      <w:r>
        <w:rPr>
          <w:rFonts w:hint="eastAsia" w:ascii="宋体" w:hAnsi="宋体" w:eastAsia="宋体" w:cs="宋体"/>
          <w:color w:val="auto"/>
          <w:kern w:val="0"/>
          <w:sz w:val="24"/>
          <w:szCs w:val="24"/>
          <w:highlight w:val="none"/>
          <w:lang w:val="en-US" w:eastAsia="zh-CN" w:bidi="ar"/>
        </w:rPr>
        <w:t>应由被保险人承担的经济赔偿责任，保险人按照本保险合同约定负责赔偿：</w:t>
      </w:r>
    </w:p>
    <w:p w14:paraId="6EFD2EF6">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（一）第三者人身伤亡或财产损失；</w:t>
      </w:r>
    </w:p>
    <w:p w14:paraId="7000CDAA">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（二）事先经保险人书面同意的诉讼或仲裁费用（以下简称“法律费用”）；</w:t>
      </w:r>
    </w:p>
    <w:p w14:paraId="0BA1E1B0">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（三）发生保险责任事故后，被保险人为缩小或减少对第三者人身伤亡或财产损失的赔偿责任所支付的必要的、合理的费用。</w:t>
      </w:r>
    </w:p>
    <w:p w14:paraId="2A2DAEF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保险人对上述（一）（二）（三）项保险责任的每次事故赔偿总金额不超过本保险单明细表中列明的每次事故赔偿限额；对每次事故承担的法律费用的赔偿金额不超过每次事故赔偿限额的 10%，但合同另有约定的除外</w:t>
      </w:r>
      <w:r>
        <w:rPr>
          <w:rFonts w:hint="eastAsia" w:ascii="宋体" w:hAnsi="宋体" w:eastAsia="宋体" w:cs="宋体"/>
          <w:color w:val="auto"/>
          <w:kern w:val="0"/>
          <w:sz w:val="24"/>
          <w:szCs w:val="24"/>
          <w:highlight w:val="none"/>
          <w:lang w:val="en-US" w:eastAsia="zh-CN" w:bidi="ar"/>
        </w:rPr>
        <w:t xml:space="preserve">。 </w:t>
      </w:r>
    </w:p>
    <w:p w14:paraId="3580819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责任免除</w:t>
      </w:r>
    </w:p>
    <w:p w14:paraId="5094F1C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3" w:name="_Toc17425"/>
      <w:r>
        <w:rPr>
          <w:rFonts w:hint="eastAsia" w:ascii="宋体" w:hAnsi="宋体" w:eastAsia="宋体" w:cs="宋体"/>
          <w:b/>
          <w:bCs/>
          <w:color w:val="auto"/>
          <w:kern w:val="0"/>
          <w:sz w:val="24"/>
          <w:szCs w:val="24"/>
          <w:highlight w:val="none"/>
          <w:lang w:val="en-US" w:eastAsia="zh-CN" w:bidi="ar"/>
        </w:rPr>
        <w:t>第四条 出现下列任一情形时，保险人不负责赔偿：</w:t>
      </w:r>
      <w:bookmarkEnd w:id="53"/>
    </w:p>
    <w:p w14:paraId="0000A1D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（一）因本保险单列明的地点范围周围建筑物发生火灾、爆炸波及保险固定场所，再经保险固定场所波及他处的火灾责任； </w:t>
      </w:r>
    </w:p>
    <w:p w14:paraId="23662AE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（二）被保险人因在本保险单列明的地点范围内所拥有、使用或经营的游泳池发生意外事故造成的第三者人身伤亡或财产损失； </w:t>
      </w:r>
    </w:p>
    <w:p w14:paraId="5920063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（三）被保险人因在本保险单列明的地点范围内布置的广告、霓虹灯、灯饰物发生意外事故造成的第三者人身伤亡或财产损失； </w:t>
      </w:r>
    </w:p>
    <w:p w14:paraId="6AA4E9A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（四）被保险人因在本保险单列明的地点范围内所拥有、使用或经营的停车场发生意外事故造成的第三者人身伤亡或财产损失； </w:t>
      </w:r>
    </w:p>
    <w:p w14:paraId="54D81F2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（五）被保险人或其雇员因从事医师、律师、会计师、设计师、建筑师、美容师或其他专门职业所发生的赔偿责任； </w:t>
      </w:r>
    </w:p>
    <w:p w14:paraId="494C272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（六）被保险人侵害他人姓名权、名称权、肖像权、名誉权、荣誉权以及个人隐私的行为；</w:t>
      </w:r>
    </w:p>
    <w:p w14:paraId="3164CE6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（七）被保险人侵害他人商标权、专利权、著作权以及商业秘密的行为； </w:t>
      </w:r>
    </w:p>
    <w:p w14:paraId="5EA4EF68">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（八）不洁、有害食物或饮料引起的食物中毒或传染性疾病，有缺陷的卫生装置，以及售出的商品、食物、饮料存在缺陷造成他人的损害； </w:t>
      </w:r>
    </w:p>
    <w:p w14:paraId="530E894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（九）对于未载入本保险单而属于被保险人的或其所占有的或以其名义使用的任何牲畜、车辆、火车头、各类船只、飞机、电梯、升降机、自动梯、起重机、吊车或其他升降装置造成的损失； </w:t>
      </w:r>
    </w:p>
    <w:p w14:paraId="17AD96E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（十）由于震动、移动或减弱支撑引起任何土地、财产、建筑物的损害责任；被保险人因工程施工造成第三者人身伤亡或财产损失的赔偿责任； </w:t>
      </w:r>
    </w:p>
    <w:p w14:paraId="5DC55B6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（十一）被保险人或其雇员因从事加工、修理、改进等工作造成委托人的损失； </w:t>
      </w:r>
    </w:p>
    <w:p w14:paraId="07FCE19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（十二）被保险人或其雇员出售、赠与的产品、货物、商品所导致的损失； </w:t>
      </w:r>
    </w:p>
    <w:p w14:paraId="2200DB3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（十三）计算机系统、网络系统本身及网络安全相关事故导致的任何损失。 </w:t>
      </w:r>
    </w:p>
    <w:p w14:paraId="4EEDEBD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4" w:name="_Toc20433"/>
      <w:r>
        <w:rPr>
          <w:rFonts w:hint="eastAsia" w:ascii="宋体" w:hAnsi="宋体" w:eastAsia="宋体" w:cs="宋体"/>
          <w:b/>
          <w:bCs/>
          <w:color w:val="auto"/>
          <w:kern w:val="0"/>
          <w:sz w:val="24"/>
          <w:szCs w:val="24"/>
          <w:highlight w:val="none"/>
          <w:lang w:val="en-US" w:eastAsia="zh-CN" w:bidi="ar"/>
        </w:rPr>
        <w:t>第五条 下列原因造成的损失、费用和责任，保险人不负责赔偿：</w:t>
      </w:r>
      <w:bookmarkEnd w:id="54"/>
      <w:r>
        <w:rPr>
          <w:rFonts w:hint="eastAsia" w:ascii="宋体" w:hAnsi="宋体" w:eastAsia="宋体" w:cs="宋体"/>
          <w:b/>
          <w:bCs/>
          <w:color w:val="auto"/>
          <w:kern w:val="0"/>
          <w:sz w:val="24"/>
          <w:szCs w:val="24"/>
          <w:highlight w:val="none"/>
          <w:lang w:val="en-US" w:eastAsia="zh-CN" w:bidi="ar"/>
        </w:rPr>
        <w:t xml:space="preserve"> </w:t>
      </w:r>
    </w:p>
    <w:p w14:paraId="157D13C6">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（一）投保人、被保险人及其代表的故意行为或重大过失行为； </w:t>
      </w:r>
    </w:p>
    <w:p w14:paraId="3C0F989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（二）战争、敌对行动、军事行为、武装冲突、罢工、骚乱、暴动、恐怖活动、盗窃、抢劫；</w:t>
      </w:r>
    </w:p>
    <w:p w14:paraId="0D870BE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（三）核辐射、核爆炸、核污染及其他放射性污染； </w:t>
      </w:r>
    </w:p>
    <w:p w14:paraId="1E94D762">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（四）烟熏、大气污染、土地污染、水污染及其他各种污染； </w:t>
      </w:r>
    </w:p>
    <w:p w14:paraId="100CDA6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（五）行政行为或司法行为； </w:t>
      </w:r>
    </w:p>
    <w:p w14:paraId="6C5A9AD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（六）地震、海啸、雷击、暴雨、洪水、火山爆发、地下火、龙卷风、台风、暴风等自然灾害； </w:t>
      </w:r>
    </w:p>
    <w:p w14:paraId="5EE1D28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（七）空中运行物体坠落。 </w:t>
      </w:r>
    </w:p>
    <w:p w14:paraId="24D1EBC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5" w:name="_Toc26090"/>
      <w:r>
        <w:rPr>
          <w:rFonts w:hint="eastAsia" w:ascii="宋体" w:hAnsi="宋体" w:eastAsia="宋体" w:cs="宋体"/>
          <w:b/>
          <w:bCs/>
          <w:color w:val="auto"/>
          <w:kern w:val="0"/>
          <w:sz w:val="24"/>
          <w:szCs w:val="24"/>
          <w:highlight w:val="none"/>
          <w:lang w:val="en-US" w:eastAsia="zh-CN" w:bidi="ar"/>
        </w:rPr>
        <w:t>第六条 下列损失、费用和责任，保险人不负责赔偿：</w:t>
      </w:r>
      <w:bookmarkEnd w:id="55"/>
      <w:r>
        <w:rPr>
          <w:rFonts w:hint="eastAsia" w:ascii="宋体" w:hAnsi="宋体" w:eastAsia="宋体" w:cs="宋体"/>
          <w:b/>
          <w:bCs/>
          <w:color w:val="auto"/>
          <w:kern w:val="0"/>
          <w:sz w:val="24"/>
          <w:szCs w:val="24"/>
          <w:highlight w:val="none"/>
          <w:lang w:val="en-US" w:eastAsia="zh-CN" w:bidi="ar"/>
        </w:rPr>
        <w:t xml:space="preserve"> </w:t>
      </w:r>
    </w:p>
    <w:p w14:paraId="677A8FF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（一）被保险人或其雇员的人身伤亡及其所有或管理的财产的损失； </w:t>
      </w:r>
    </w:p>
    <w:p w14:paraId="6F66601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（二）被保险人应该承担的合同责任，但无合同存在时仍然应由被保险人承担的经济赔偿责任不在此限； </w:t>
      </w:r>
    </w:p>
    <w:p w14:paraId="14075E57">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（三）罚款、罚金及惩罚性赔偿； </w:t>
      </w:r>
    </w:p>
    <w:p w14:paraId="01EF283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（四）非人民法院以判决方式做出的精神损害赔偿，但保险人事先书面同意的不在此限；</w:t>
      </w:r>
    </w:p>
    <w:p w14:paraId="24A68B15">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（五）间接损失； </w:t>
      </w:r>
    </w:p>
    <w:p w14:paraId="6580CAB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（六）本保险合同中载明的免赔事项。 </w:t>
      </w:r>
    </w:p>
    <w:p w14:paraId="5FA42E6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第七条 其他不属于本保险责任范围内的损失、费用和责任，保险人不负责赔偿。 </w:t>
      </w:r>
    </w:p>
    <w:p w14:paraId="3F4745B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center"/>
        <w:textAlignment w:val="auto"/>
        <w:outlineLvl w:val="0"/>
        <w:rPr>
          <w:rFonts w:hint="eastAsia" w:ascii="宋体" w:hAnsi="宋体" w:eastAsia="宋体" w:cs="宋体"/>
          <w:color w:val="auto"/>
          <w:sz w:val="24"/>
          <w:szCs w:val="24"/>
          <w:highlight w:val="none"/>
        </w:rPr>
      </w:pPr>
      <w:bookmarkStart w:id="56" w:name="_Toc14405"/>
      <w:r>
        <w:rPr>
          <w:rFonts w:hint="eastAsia" w:ascii="宋体" w:hAnsi="宋体" w:eastAsia="宋体" w:cs="宋体"/>
          <w:b/>
          <w:bCs/>
          <w:color w:val="auto"/>
          <w:kern w:val="0"/>
          <w:sz w:val="24"/>
          <w:szCs w:val="24"/>
          <w:highlight w:val="none"/>
          <w:lang w:val="en-US" w:eastAsia="zh-CN" w:bidi="ar"/>
        </w:rPr>
        <w:t>赔偿限额与免赔额（率）</w:t>
      </w:r>
      <w:bookmarkEnd w:id="56"/>
    </w:p>
    <w:p w14:paraId="26BB29F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第八条 </w:t>
      </w:r>
      <w:r>
        <w:rPr>
          <w:rFonts w:hint="eastAsia" w:ascii="宋体" w:hAnsi="宋体" w:eastAsia="宋体" w:cs="宋体"/>
          <w:color w:val="auto"/>
          <w:kern w:val="0"/>
          <w:sz w:val="24"/>
          <w:szCs w:val="24"/>
          <w:highlight w:val="none"/>
          <w:lang w:val="en-US" w:eastAsia="zh-CN" w:bidi="ar"/>
        </w:rPr>
        <w:t>赔偿限额包括每次事故赔偿限额、每次事故人身伤亡赔偿限额、每次事故财产损失赔偿限额、每次事故每人赔偿限额、法律费用赔偿限额、累计赔偿限额以及其他由投保人与保险人协商确定的赔偿限额，具体由投保人与保险人协商确定，并在保险合同中载明。</w:t>
      </w:r>
    </w:p>
    <w:p w14:paraId="12E21DC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第九条 每次事故免赔额（率）由投保人与保险人在签订保险合同时协商确定，并在保险合同中载明。</w:t>
      </w:r>
    </w:p>
    <w:p w14:paraId="4530CDC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保险期间</w:t>
      </w:r>
    </w:p>
    <w:p w14:paraId="3BFC38B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第十条 </w:t>
      </w:r>
      <w:r>
        <w:rPr>
          <w:rFonts w:hint="eastAsia" w:ascii="宋体" w:hAnsi="宋体" w:eastAsia="宋体" w:cs="宋体"/>
          <w:color w:val="auto"/>
          <w:kern w:val="0"/>
          <w:sz w:val="24"/>
          <w:szCs w:val="24"/>
          <w:highlight w:val="none"/>
          <w:lang w:val="en-US" w:eastAsia="zh-CN" w:bidi="ar"/>
        </w:rPr>
        <w:t xml:space="preserve">除另有约定外，保险期间为一年，以保险单载明的起讫时间为准。 </w:t>
      </w:r>
    </w:p>
    <w:p w14:paraId="36B11C3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保险费</w:t>
      </w:r>
    </w:p>
    <w:p w14:paraId="2765375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7" w:name="_Toc303"/>
      <w:r>
        <w:rPr>
          <w:rFonts w:hint="eastAsia" w:ascii="宋体" w:hAnsi="宋体" w:eastAsia="宋体" w:cs="宋体"/>
          <w:b/>
          <w:bCs/>
          <w:color w:val="auto"/>
          <w:kern w:val="0"/>
          <w:sz w:val="24"/>
          <w:szCs w:val="24"/>
          <w:highlight w:val="none"/>
          <w:lang w:val="en-US" w:eastAsia="zh-CN" w:bidi="ar"/>
        </w:rPr>
        <w:t xml:space="preserve">第十一条 </w:t>
      </w:r>
      <w:r>
        <w:rPr>
          <w:rFonts w:hint="eastAsia" w:ascii="宋体" w:hAnsi="宋体" w:eastAsia="宋体" w:cs="宋体"/>
          <w:color w:val="auto"/>
          <w:kern w:val="0"/>
          <w:sz w:val="24"/>
          <w:szCs w:val="24"/>
          <w:highlight w:val="none"/>
          <w:lang w:val="en-US" w:eastAsia="zh-CN" w:bidi="ar"/>
        </w:rPr>
        <w:t>投保人应该按照合同约定向保险人缴纳保险费。</w:t>
      </w:r>
      <w:bookmarkEnd w:id="57"/>
      <w:r>
        <w:rPr>
          <w:rFonts w:hint="eastAsia" w:ascii="宋体" w:hAnsi="宋体" w:eastAsia="宋体" w:cs="宋体"/>
          <w:color w:val="auto"/>
          <w:kern w:val="0"/>
          <w:sz w:val="24"/>
          <w:szCs w:val="24"/>
          <w:highlight w:val="none"/>
          <w:lang w:val="en-US" w:eastAsia="zh-CN" w:bidi="ar"/>
        </w:rPr>
        <w:t xml:space="preserve"> </w:t>
      </w:r>
    </w:p>
    <w:p w14:paraId="235347F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保险人义务</w:t>
      </w:r>
    </w:p>
    <w:p w14:paraId="5E42866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第十二条 </w:t>
      </w:r>
      <w:r>
        <w:rPr>
          <w:rFonts w:hint="eastAsia" w:ascii="宋体" w:hAnsi="宋体" w:eastAsia="宋体" w:cs="宋体"/>
          <w:color w:val="auto"/>
          <w:kern w:val="0"/>
          <w:sz w:val="24"/>
          <w:szCs w:val="24"/>
          <w:highlight w:val="none"/>
          <w:lang w:val="en-US" w:eastAsia="zh-CN" w:bidi="ar"/>
        </w:rPr>
        <w:t>本保险合同成立后，保险人应当及时向投保人签发保险单或其他保险凭证。</w:t>
      </w:r>
    </w:p>
    <w:p w14:paraId="223C522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第十三条 </w:t>
      </w:r>
      <w:r>
        <w:rPr>
          <w:rFonts w:hint="eastAsia" w:ascii="宋体" w:hAnsi="宋体" w:eastAsia="宋体" w:cs="宋体"/>
          <w:color w:val="auto"/>
          <w:kern w:val="0"/>
          <w:sz w:val="24"/>
          <w:szCs w:val="24"/>
          <w:highlight w:val="none"/>
          <w:lang w:val="en-US" w:eastAsia="zh-CN" w:bidi="ar"/>
        </w:rPr>
        <w:t xml:space="preserve">保险人依据第十七条所取得的保险合同解除权，自保险人知道有解除事由之日起，超过三十日不行使而消灭。保险人在合同订立时已经知道投保人未如实告知的情况的，保险人不得解除合同；发生保险事故的，保险人应当承担赔偿责任。 </w:t>
      </w:r>
    </w:p>
    <w:p w14:paraId="2EBB6316">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第十四条 </w:t>
      </w:r>
      <w:r>
        <w:rPr>
          <w:rFonts w:hint="eastAsia" w:ascii="宋体" w:hAnsi="宋体" w:eastAsia="宋体" w:cs="宋体"/>
          <w:color w:val="auto"/>
          <w:kern w:val="0"/>
          <w:sz w:val="24"/>
          <w:szCs w:val="24"/>
          <w:highlight w:val="none"/>
          <w:lang w:val="en-US" w:eastAsia="zh-CN" w:bidi="ar"/>
        </w:rPr>
        <w:t xml:space="preserve">保险人按照第二十四条的约定，认为被保险人提供的有关索赔的证明和资料不完整的，应当及时一次性通知投保人、被保险人补充提供。 </w:t>
      </w:r>
    </w:p>
    <w:p w14:paraId="4223B71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第十五条 </w:t>
      </w:r>
      <w:r>
        <w:rPr>
          <w:rFonts w:hint="eastAsia" w:ascii="宋体" w:hAnsi="宋体" w:eastAsia="宋体" w:cs="宋体"/>
          <w:color w:val="auto"/>
          <w:kern w:val="0"/>
          <w:sz w:val="24"/>
          <w:szCs w:val="24"/>
          <w:highlight w:val="none"/>
          <w:lang w:val="en-US" w:eastAsia="zh-CN" w:bidi="ar"/>
        </w:rPr>
        <w:t xml:space="preserve">保险人收到被保险人的赔偿保险金的请求后，应当及时作出是否属于保险责任的核定；情形复杂的，应当在三十日内作出核定。但保险责任的核定必须依赖于特定证明、鉴定、判决、裁定或其他证据材料的，保险人应在被保险人提供或自行取得上述证据材料起三十日内作出核定。本合同另有约定的除外。保险人应当将核定结果通知被保险人；对属于保险责任的，在与被保险人达成赔偿保险金的协议后十日内，履行赔偿保险金义务。本保险合同对赔偿保险金的期限有约定的，保险人应当按照约定履行赔偿保险金的义务。保险人依照前款的规定作出核定后，对不属于保险责任的，应当自作出核定之日起三日内向被保险人发出拒绝赔偿保险金通知书，并说明理由。 </w:t>
      </w:r>
    </w:p>
    <w:p w14:paraId="6BD2571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第十六条 </w:t>
      </w:r>
      <w:r>
        <w:rPr>
          <w:rFonts w:hint="eastAsia" w:ascii="宋体" w:hAnsi="宋体" w:eastAsia="宋体" w:cs="宋体"/>
          <w:color w:val="auto"/>
          <w:kern w:val="0"/>
          <w:sz w:val="24"/>
          <w:szCs w:val="24"/>
          <w:highlight w:val="none"/>
          <w:lang w:val="en-US" w:eastAsia="zh-CN" w:bidi="ar"/>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06D6890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投保人、被保险人义务</w:t>
      </w:r>
    </w:p>
    <w:p w14:paraId="0D317E23">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第十七条 订立保险合同，保险人就保险标的或者被保险人的有关情况提出询问的，投保人应当如实告知。投保人故意或者因重大过失未履行前款规定的如实告知义务，足以影响保险人决定是否同意承保或者提高保险费率的，保险人有权解除保险合同。投保人故意不履行如实告知义务的，保险人对于合同解除前发生的保险事故，不承担赔偿保险金的责任，并不退还保险费。投保人因重大过失未履行如实告知义务，对保险事故的发生有严重影响的，保险人对于合同解除前发生的保险事故，不承担赔偿保险金的责任，但应当退还保险费。</w:t>
      </w:r>
    </w:p>
    <w:p w14:paraId="54F7F16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第十八条 </w:t>
      </w:r>
      <w:r>
        <w:rPr>
          <w:rFonts w:hint="eastAsia" w:ascii="宋体" w:hAnsi="宋体" w:eastAsia="宋体" w:cs="宋体"/>
          <w:color w:val="auto"/>
          <w:kern w:val="0"/>
          <w:sz w:val="24"/>
          <w:szCs w:val="24"/>
          <w:highlight w:val="none"/>
          <w:lang w:val="en-US" w:eastAsia="zh-CN" w:bidi="ar"/>
        </w:rPr>
        <w:t>投保人应按照合同约定交纳保险费。</w:t>
      </w:r>
      <w:r>
        <w:rPr>
          <w:rFonts w:hint="eastAsia" w:ascii="宋体" w:hAnsi="宋体" w:eastAsia="宋体" w:cs="宋体"/>
          <w:b/>
          <w:bCs/>
          <w:color w:val="auto"/>
          <w:kern w:val="0"/>
          <w:sz w:val="24"/>
          <w:szCs w:val="24"/>
          <w:highlight w:val="none"/>
          <w:lang w:val="en-US" w:eastAsia="zh-CN" w:bidi="ar"/>
        </w:rPr>
        <w:t>投保人未按本保险合同约定交付保险费的，保险合同不生效。</w:t>
      </w:r>
    </w:p>
    <w:p w14:paraId="199784C9">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第十九条 </w:t>
      </w:r>
      <w:r>
        <w:rPr>
          <w:rFonts w:hint="eastAsia" w:ascii="宋体" w:hAnsi="宋体" w:eastAsia="宋体" w:cs="宋体"/>
          <w:color w:val="auto"/>
          <w:kern w:val="0"/>
          <w:sz w:val="24"/>
          <w:szCs w:val="24"/>
          <w:highlight w:val="none"/>
          <w:lang w:val="en-US" w:eastAsia="zh-CN" w:bidi="ar"/>
        </w:rPr>
        <w:t>被保险人应严格遵守国家有关消防、安全、生产操作、劳动保护等方面的规定，加强管理，采取合理的预防措施，尽力避免或减少责任事故的发生。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保险人可以对被保险人遵守前款约定的情况进行检查，向投保人、被保险人提出消除不安全因素和隐患的书面建议，投保人、被保险人应该认真付诸实施。</w:t>
      </w:r>
      <w:r>
        <w:rPr>
          <w:rFonts w:hint="eastAsia" w:ascii="宋体" w:hAnsi="宋体" w:eastAsia="宋体" w:cs="宋体"/>
          <w:b/>
          <w:bCs/>
          <w:color w:val="auto"/>
          <w:kern w:val="0"/>
          <w:sz w:val="24"/>
          <w:szCs w:val="24"/>
          <w:highlight w:val="none"/>
          <w:lang w:val="en-US" w:eastAsia="zh-CN" w:bidi="ar"/>
        </w:rPr>
        <w:t>投保人、被保险人未按照约定履行上述安全义务的，保险人有权要求增加保险费或者解除合同。</w:t>
      </w:r>
    </w:p>
    <w:p w14:paraId="61F0D79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第二十条 在保险合同有效期内，保险标的的危险程度显著增加的，被保险人应当及时通知保险人，保险人可以增加保险费或者解除合同。被保险人未履行前款约定的通知义务的，因保险标的的危险程度显著增加而发生的保险事故，保险人不承担赔偿保险金的责任。</w:t>
      </w:r>
    </w:p>
    <w:p w14:paraId="406638E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8" w:name="_Toc11438"/>
      <w:r>
        <w:rPr>
          <w:rFonts w:hint="eastAsia" w:ascii="宋体" w:hAnsi="宋体" w:eastAsia="宋体" w:cs="宋体"/>
          <w:b/>
          <w:bCs/>
          <w:color w:val="auto"/>
          <w:kern w:val="0"/>
          <w:sz w:val="24"/>
          <w:szCs w:val="24"/>
          <w:highlight w:val="none"/>
          <w:lang w:val="en-US" w:eastAsia="zh-CN" w:bidi="ar"/>
        </w:rPr>
        <w:t xml:space="preserve">第二十一条 </w:t>
      </w:r>
      <w:r>
        <w:rPr>
          <w:rFonts w:hint="eastAsia" w:ascii="宋体" w:hAnsi="宋体" w:eastAsia="宋体" w:cs="宋体"/>
          <w:color w:val="auto"/>
          <w:kern w:val="0"/>
          <w:sz w:val="24"/>
          <w:szCs w:val="24"/>
          <w:highlight w:val="none"/>
          <w:lang w:val="en-US" w:eastAsia="zh-CN" w:bidi="ar"/>
        </w:rPr>
        <w:t>知道保险事故发生后，被保险人应该：</w:t>
      </w:r>
      <w:bookmarkEnd w:id="58"/>
    </w:p>
    <w:p w14:paraId="4E65E874">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（一）尽力采取必要、合理的措施，防止或减少损失，</w:t>
      </w:r>
      <w:r>
        <w:rPr>
          <w:rFonts w:hint="eastAsia" w:ascii="宋体" w:hAnsi="宋体" w:eastAsia="宋体" w:cs="宋体"/>
          <w:b/>
          <w:bCs/>
          <w:color w:val="auto"/>
          <w:kern w:val="0"/>
          <w:sz w:val="24"/>
          <w:szCs w:val="24"/>
          <w:highlight w:val="none"/>
          <w:lang w:val="en-US" w:eastAsia="zh-CN" w:bidi="ar"/>
        </w:rPr>
        <w:t xml:space="preserve">否则，对因此扩大的损失，保险人不承担赔偿责任； </w:t>
      </w:r>
    </w:p>
    <w:p w14:paraId="44EE07F4">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（二）及时通知保险人，并书面说明事故发生的原因、经过和损失情况；</w:t>
      </w:r>
      <w:r>
        <w:rPr>
          <w:rFonts w:hint="eastAsia" w:ascii="宋体" w:hAnsi="宋体" w:eastAsia="宋体" w:cs="宋体"/>
          <w:b/>
          <w:bCs/>
          <w:color w:val="auto"/>
          <w:kern w:val="0"/>
          <w:sz w:val="24"/>
          <w:szCs w:val="24"/>
          <w:highlight w:val="none"/>
          <w:lang w:val="en-US" w:eastAsia="zh-CN" w:bidi="ar"/>
        </w:rPr>
        <w:t>故意或者因重大过失未及时通知，致使保险事故的性质、原因、损失程度等难以确定的，保险人对无法确定的部分，不承担赔偿责任，</w:t>
      </w:r>
      <w:r>
        <w:rPr>
          <w:rFonts w:hint="eastAsia" w:ascii="宋体" w:hAnsi="宋体" w:eastAsia="宋体" w:cs="宋体"/>
          <w:color w:val="auto"/>
          <w:kern w:val="0"/>
          <w:sz w:val="24"/>
          <w:szCs w:val="24"/>
          <w:highlight w:val="none"/>
          <w:lang w:val="en-US" w:eastAsia="zh-CN" w:bidi="ar"/>
        </w:rPr>
        <w:t>但保险人通过其他途径已经及时知道或者应当及时知道保险事故发生的除外；</w:t>
      </w:r>
    </w:p>
    <w:p w14:paraId="7CA9B691">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（三）保护事故现场，允许并且协助保险人进行事故调查</w:t>
      </w:r>
      <w:r>
        <w:rPr>
          <w:rFonts w:hint="eastAsia" w:ascii="宋体" w:hAnsi="宋体" w:eastAsia="宋体" w:cs="宋体"/>
          <w:b/>
          <w:bCs/>
          <w:color w:val="auto"/>
          <w:kern w:val="0"/>
          <w:sz w:val="24"/>
          <w:szCs w:val="24"/>
          <w:highlight w:val="none"/>
          <w:lang w:val="en-US" w:eastAsia="zh-CN" w:bidi="ar"/>
        </w:rPr>
        <w:t xml:space="preserve">。对于拒绝或者妨碍保险人进行事故调查导致无法确定事故原因或核实损失情况的，保险人对无法确定或核实的部分不承担赔偿责任。 </w:t>
      </w:r>
    </w:p>
    <w:p w14:paraId="43901AB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第二十二条 </w:t>
      </w:r>
      <w:r>
        <w:rPr>
          <w:rFonts w:hint="eastAsia" w:ascii="宋体" w:hAnsi="宋体" w:eastAsia="宋体" w:cs="宋体"/>
          <w:color w:val="auto"/>
          <w:kern w:val="0"/>
          <w:sz w:val="24"/>
          <w:szCs w:val="24"/>
          <w:highlight w:val="none"/>
          <w:lang w:val="en-US" w:eastAsia="zh-CN" w:bidi="ar"/>
        </w:rPr>
        <w:t>被保险人收到受害人的损害赔偿请求时，应立即通知保险人。</w:t>
      </w:r>
      <w:r>
        <w:rPr>
          <w:rFonts w:hint="eastAsia" w:ascii="宋体" w:hAnsi="宋体" w:eastAsia="宋体" w:cs="宋体"/>
          <w:b/>
          <w:bCs/>
          <w:color w:val="auto"/>
          <w:kern w:val="0"/>
          <w:sz w:val="24"/>
          <w:szCs w:val="24"/>
          <w:highlight w:val="none"/>
          <w:lang w:val="en-US" w:eastAsia="zh-CN" w:bidi="ar"/>
        </w:rPr>
        <w:t>未经保险人书面同意，被保险人对受害人及其代理人作出的任何承诺、拒绝、出价、约定、付款或赔偿，保险人不受其约束。对于被保险人自行承诺或支付的赔偿金额，保险人有权重新核定，不属于本保险责任范围或超出应赔偿限额的，保险人不承担赔偿责任。</w:t>
      </w:r>
      <w:r>
        <w:rPr>
          <w:rFonts w:hint="eastAsia" w:ascii="宋体" w:hAnsi="宋体" w:eastAsia="宋体" w:cs="宋体"/>
          <w:color w:val="auto"/>
          <w:kern w:val="0"/>
          <w:sz w:val="24"/>
          <w:szCs w:val="24"/>
          <w:highlight w:val="none"/>
          <w:lang w:val="en-US" w:eastAsia="zh-CN" w:bidi="ar"/>
        </w:rPr>
        <w:t>在处理索赔过程中，保险人有权自行处理由其承担最终赔偿责任的任何索赔案件，被保险人有义务向保险人提供其所能提供的资料和协助</w:t>
      </w:r>
      <w:r>
        <w:rPr>
          <w:rFonts w:hint="eastAsia" w:ascii="宋体" w:hAnsi="宋体" w:eastAsia="宋体" w:cs="宋体"/>
          <w:b/>
          <w:bCs/>
          <w:color w:val="auto"/>
          <w:kern w:val="0"/>
          <w:sz w:val="24"/>
          <w:szCs w:val="24"/>
          <w:highlight w:val="none"/>
          <w:lang w:val="en-US" w:eastAsia="zh-CN" w:bidi="ar"/>
        </w:rPr>
        <w:t>。</w:t>
      </w:r>
    </w:p>
    <w:p w14:paraId="5E88B7EF">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第二十三条 </w:t>
      </w:r>
      <w:r>
        <w:rPr>
          <w:rFonts w:hint="eastAsia" w:ascii="宋体" w:hAnsi="宋体" w:eastAsia="宋体" w:cs="宋体"/>
          <w:color w:val="auto"/>
          <w:kern w:val="0"/>
          <w:sz w:val="24"/>
          <w:szCs w:val="24"/>
          <w:highlight w:val="none"/>
          <w:lang w:val="en-US" w:eastAsia="zh-CN" w:bidi="ar"/>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r>
        <w:rPr>
          <w:rFonts w:hint="eastAsia" w:ascii="宋体" w:hAnsi="宋体" w:eastAsia="宋体" w:cs="宋体"/>
          <w:b/>
          <w:bCs/>
          <w:color w:val="auto"/>
          <w:kern w:val="0"/>
          <w:sz w:val="24"/>
          <w:szCs w:val="24"/>
          <w:highlight w:val="none"/>
          <w:lang w:val="en-US" w:eastAsia="zh-CN" w:bidi="ar"/>
        </w:rPr>
        <w:t>对因未及时提供上述通知或必要协助导致扩大的损失，保险人不承担赔偿责任。</w:t>
      </w:r>
    </w:p>
    <w:p w14:paraId="70701512">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第二十四条 </w:t>
      </w:r>
      <w:r>
        <w:rPr>
          <w:rFonts w:hint="eastAsia" w:ascii="宋体" w:hAnsi="宋体" w:eastAsia="宋体" w:cs="宋体"/>
          <w:color w:val="auto"/>
          <w:kern w:val="0"/>
          <w:sz w:val="24"/>
          <w:szCs w:val="24"/>
          <w:highlight w:val="none"/>
          <w:lang w:val="en-US" w:eastAsia="zh-CN" w:bidi="ar"/>
        </w:rPr>
        <w:t>被保险人请求赔偿时，应向保险人提供下列证明和资料：</w:t>
      </w:r>
    </w:p>
    <w:p w14:paraId="00E06B95">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（一）保险单正本； </w:t>
      </w:r>
    </w:p>
    <w:p w14:paraId="00D1DE52">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（二）被保险人或其代表填具的索赔申请书；</w:t>
      </w:r>
    </w:p>
    <w:p w14:paraId="5CCC9F08">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（三）受害人向被保险人提出索赔的相关材料；</w:t>
      </w:r>
    </w:p>
    <w:p w14:paraId="7C6EDA48">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四）造成受害人人身伤害的，应包括：受害人的病历、诊断证明、医疗费等医疗原始单据；受害人的人身伤害程度证明：受害人伤残的，应当提供具备相关法律法规要求的伤残鉴定资格的医疗机构出具的伤残程度证明；受害人死亡的，公安机关或医疗机构出具的死亡证明书； </w:t>
      </w:r>
    </w:p>
    <w:p w14:paraId="6B26C973">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五）若事故由被保险人按照本条款第二十五条第（一）款约定与受害人协商解决时，提供双方达成的赔偿协议；若事故由有关当局调解、民事诉讼或仲裁时，提供相关法律文书（调解书、判决书、裁定书、裁决书等）；</w:t>
      </w:r>
    </w:p>
    <w:p w14:paraId="000F6517">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（六）投保人、被保险人所能提供的与确认保险事故的性质、原因、损失程度等有关的其他证明和资料。</w:t>
      </w:r>
      <w:r>
        <w:rPr>
          <w:rFonts w:hint="eastAsia" w:ascii="宋体" w:hAnsi="宋体" w:eastAsia="宋体" w:cs="宋体"/>
          <w:b/>
          <w:bCs/>
          <w:color w:val="auto"/>
          <w:kern w:val="0"/>
          <w:sz w:val="24"/>
          <w:szCs w:val="24"/>
          <w:highlight w:val="none"/>
          <w:lang w:val="en-US" w:eastAsia="zh-CN" w:bidi="ar"/>
        </w:rPr>
        <w:t xml:space="preserve">被保险人未履行前款约定的索赔材料提供义务，导致保险人无法核实损失情况的，保险人对无法核实部分不承担赔偿责任。 </w:t>
      </w:r>
    </w:p>
    <w:p w14:paraId="4C3BB42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赔偿处理</w:t>
      </w:r>
    </w:p>
    <w:p w14:paraId="6F30343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第二十五条 </w:t>
      </w:r>
      <w:r>
        <w:rPr>
          <w:rFonts w:hint="eastAsia" w:ascii="宋体" w:hAnsi="宋体" w:eastAsia="宋体" w:cs="宋体"/>
          <w:color w:val="auto"/>
          <w:kern w:val="0"/>
          <w:sz w:val="24"/>
          <w:szCs w:val="24"/>
          <w:highlight w:val="none"/>
          <w:lang w:val="en-US" w:eastAsia="zh-CN" w:bidi="ar"/>
        </w:rPr>
        <w:t>保险人的赔偿以下列方式之一确定的被保险人的赔偿责任为基础：</w:t>
      </w:r>
    </w:p>
    <w:p w14:paraId="748B3658">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（一）被保险人和向其提出损害赔偿请求的受害人协商并经保险人确认；</w:t>
      </w:r>
    </w:p>
    <w:p w14:paraId="631C741B">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（二）仲裁机构裁决；</w:t>
      </w:r>
    </w:p>
    <w:p w14:paraId="54347650">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（三）人民法院判决；</w:t>
      </w:r>
    </w:p>
    <w:p w14:paraId="4C1BE592">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（四）保险人认可的其他方式。</w:t>
      </w:r>
    </w:p>
    <w:p w14:paraId="442F78B2">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第二十六条 被保险人给第三者造成损害，被保险人未向该第三者赔偿的，保险人不得向被保险人赔偿保险金</w:t>
      </w:r>
      <w:r>
        <w:rPr>
          <w:rFonts w:hint="eastAsia" w:ascii="宋体" w:hAnsi="宋体" w:eastAsia="宋体" w:cs="宋体"/>
          <w:color w:val="auto"/>
          <w:kern w:val="0"/>
          <w:sz w:val="24"/>
          <w:szCs w:val="24"/>
          <w:highlight w:val="none"/>
          <w:lang w:val="en-US" w:eastAsia="zh-CN" w:bidi="ar"/>
        </w:rPr>
        <w:t xml:space="preserve">。 </w:t>
      </w:r>
    </w:p>
    <w:p w14:paraId="12893B5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第二十七条 </w:t>
      </w:r>
      <w:r>
        <w:rPr>
          <w:rFonts w:hint="eastAsia" w:ascii="宋体" w:hAnsi="宋体" w:eastAsia="宋体" w:cs="宋体"/>
          <w:color w:val="auto"/>
          <w:kern w:val="0"/>
          <w:sz w:val="24"/>
          <w:szCs w:val="24"/>
          <w:highlight w:val="none"/>
          <w:lang w:val="en-US" w:eastAsia="zh-CN" w:bidi="ar"/>
        </w:rPr>
        <w:t xml:space="preserve">发生保险责任范围内的损失，保险人按以下方式计算赔偿： </w:t>
      </w:r>
    </w:p>
    <w:p w14:paraId="232F924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对于每次事故造成的损失，保险人扣除每次事故免赔额或按每次事故免赔率计算的免赔额后在每次事故赔偿限额内计算赔偿，其中对每人的赔偿金额不超过每次事故每人赔偿限额，对每次事故多人人身伤亡的赔偿金额不超过每次事故人身伤亡赔偿限额，对每次事故多人财产损失的赔偿金额不超过每次事故财产损失赔偿限额； </w:t>
      </w:r>
    </w:p>
    <w:p w14:paraId="35FD6F07">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（二）在保险期间内，保险人对多次事故损失的累计赔偿金额不超过累计赔偿限额。 </w:t>
      </w:r>
    </w:p>
    <w:p w14:paraId="5EBEBF0C">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第二十八条 </w:t>
      </w:r>
      <w:r>
        <w:rPr>
          <w:rFonts w:hint="eastAsia" w:ascii="宋体" w:hAnsi="宋体" w:eastAsia="宋体" w:cs="宋体"/>
          <w:color w:val="auto"/>
          <w:kern w:val="0"/>
          <w:sz w:val="24"/>
          <w:szCs w:val="24"/>
          <w:highlight w:val="none"/>
          <w:lang w:val="en-US" w:eastAsia="zh-CN" w:bidi="ar"/>
        </w:rPr>
        <w:t>发生保险事故时，如果被保险人的损失在有相同保障的其他保险项下也能够获得赔偿，则本保险人按照本保险合同的赔偿限额与其他保险合同及本合同的赔偿限额总和的比例承担赔偿责任。</w:t>
      </w:r>
      <w:r>
        <w:rPr>
          <w:rFonts w:hint="eastAsia" w:ascii="宋体" w:hAnsi="宋体" w:eastAsia="宋体" w:cs="宋体"/>
          <w:b/>
          <w:bCs/>
          <w:color w:val="auto"/>
          <w:kern w:val="0"/>
          <w:sz w:val="24"/>
          <w:szCs w:val="24"/>
          <w:highlight w:val="none"/>
          <w:lang w:val="en-US" w:eastAsia="zh-CN" w:bidi="ar"/>
        </w:rPr>
        <w:t xml:space="preserve">其他保险人应承担的赔偿金额，本保险人不负责垫付。若被保险人未如实告知导致保险人多支付赔偿金的，保险人有权向被保险人追回多支付的部分。 </w:t>
      </w:r>
    </w:p>
    <w:p w14:paraId="0BFD6985">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第二十九条 </w:t>
      </w:r>
      <w:r>
        <w:rPr>
          <w:rFonts w:hint="eastAsia" w:ascii="宋体" w:hAnsi="宋体" w:eastAsia="宋体" w:cs="宋体"/>
          <w:color w:val="auto"/>
          <w:kern w:val="0"/>
          <w:sz w:val="24"/>
          <w:szCs w:val="24"/>
          <w:highlight w:val="none"/>
          <w:lang w:val="en-US" w:eastAsia="zh-CN" w:bidi="ar"/>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被保险人已经从有关责任方取得赔偿的，保险人赔偿保险金时，可以相应扣减被保险人已从有关责任方取得的赔偿金额。</w:t>
      </w:r>
      <w:r>
        <w:rPr>
          <w:rFonts w:hint="eastAsia" w:ascii="宋体" w:hAnsi="宋体" w:eastAsia="宋体" w:cs="宋体"/>
          <w:b/>
          <w:bCs/>
          <w:color w:val="auto"/>
          <w:kern w:val="0"/>
          <w:sz w:val="24"/>
          <w:szCs w:val="24"/>
          <w:highlight w:val="none"/>
          <w:lang w:val="en-US" w:eastAsia="zh-CN" w:bidi="ar"/>
        </w:rPr>
        <w:t>保险事故发生后，在保险人未赔偿保险金之前，被保险人放弃对有关责任方请求赔偿权利的，保险人不承担赔偿责任；</w:t>
      </w:r>
      <w:r>
        <w:rPr>
          <w:rFonts w:hint="eastAsia" w:ascii="宋体" w:hAnsi="宋体" w:eastAsia="宋体" w:cs="宋体"/>
          <w:color w:val="auto"/>
          <w:kern w:val="0"/>
          <w:sz w:val="24"/>
          <w:szCs w:val="24"/>
          <w:highlight w:val="none"/>
          <w:lang w:val="en-US" w:eastAsia="zh-CN" w:bidi="ar"/>
        </w:rPr>
        <w:t>保险人向被保险人赔偿保险金后，被保险人未经保险人同意放弃对有关责任方请求赔偿权利的，该行为无效；</w:t>
      </w:r>
      <w:r>
        <w:rPr>
          <w:rFonts w:hint="eastAsia" w:ascii="宋体" w:hAnsi="宋体" w:eastAsia="宋体" w:cs="宋体"/>
          <w:b/>
          <w:bCs/>
          <w:color w:val="auto"/>
          <w:kern w:val="0"/>
          <w:sz w:val="24"/>
          <w:szCs w:val="24"/>
          <w:highlight w:val="none"/>
          <w:lang w:val="en-US" w:eastAsia="zh-CN" w:bidi="ar"/>
        </w:rPr>
        <w:t>由于被保险人故意或者因重大过失致使保险人不能行使代位请求赔偿的权利的，保险人可以扣减或者要求返还相应的保险金</w:t>
      </w:r>
      <w:r>
        <w:rPr>
          <w:rFonts w:hint="eastAsia" w:ascii="宋体" w:hAnsi="宋体" w:eastAsia="宋体" w:cs="宋体"/>
          <w:color w:val="auto"/>
          <w:kern w:val="0"/>
          <w:sz w:val="24"/>
          <w:szCs w:val="24"/>
          <w:highlight w:val="none"/>
          <w:lang w:val="en-US" w:eastAsia="zh-CN" w:bidi="ar"/>
        </w:rPr>
        <w:t xml:space="preserve">。 </w:t>
      </w:r>
    </w:p>
    <w:p w14:paraId="2897B164">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第三十条 </w:t>
      </w:r>
      <w:r>
        <w:rPr>
          <w:rFonts w:hint="eastAsia" w:ascii="宋体" w:hAnsi="宋体" w:eastAsia="宋体" w:cs="宋体"/>
          <w:color w:val="auto"/>
          <w:kern w:val="0"/>
          <w:sz w:val="24"/>
          <w:szCs w:val="24"/>
          <w:highlight w:val="none"/>
          <w:lang w:val="en-US" w:eastAsia="zh-CN" w:bidi="ar"/>
        </w:rPr>
        <w:t xml:space="preserve">被保险人向保险人请求赔偿保险金的诉讼时效期间为二年，自其知道或者应当知道保险事故发生之日起计算。 </w:t>
      </w:r>
    </w:p>
    <w:p w14:paraId="7764768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争议处理和法律适用</w:t>
      </w:r>
    </w:p>
    <w:p w14:paraId="0579574A">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第三十一条 </w:t>
      </w:r>
      <w:r>
        <w:rPr>
          <w:rFonts w:hint="eastAsia" w:ascii="宋体" w:hAnsi="宋体" w:eastAsia="宋体" w:cs="宋体"/>
          <w:color w:val="auto"/>
          <w:kern w:val="0"/>
          <w:sz w:val="24"/>
          <w:szCs w:val="24"/>
          <w:highlight w:val="none"/>
          <w:lang w:val="en-US" w:eastAsia="zh-CN" w:bidi="ar"/>
        </w:rPr>
        <w:t>因履行本保险合同发生的争议，由当事人协商解决。协商不成的，提交保险单载明的仲裁机构仲裁；保险单未载明仲裁机构且争议发生后未达成仲裁协议的，依法向中华人民共和国人民法院起诉。</w:t>
      </w:r>
    </w:p>
    <w:p w14:paraId="69784C5B">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第三十二条 </w:t>
      </w:r>
      <w:r>
        <w:rPr>
          <w:rFonts w:hint="eastAsia" w:ascii="宋体" w:hAnsi="宋体" w:eastAsia="宋体" w:cs="宋体"/>
          <w:color w:val="auto"/>
          <w:kern w:val="0"/>
          <w:sz w:val="24"/>
          <w:szCs w:val="24"/>
          <w:highlight w:val="none"/>
          <w:lang w:val="en-US" w:eastAsia="zh-CN" w:bidi="ar"/>
        </w:rPr>
        <w:t>与本保险合同有关的以及履行本保险合同产生的一切争议，适用中华人民共和国法律（</w:t>
      </w:r>
      <w:r>
        <w:rPr>
          <w:rFonts w:hint="eastAsia" w:ascii="宋体" w:hAnsi="宋体" w:eastAsia="宋体" w:cs="宋体"/>
          <w:b/>
          <w:bCs/>
          <w:color w:val="auto"/>
          <w:kern w:val="0"/>
          <w:sz w:val="24"/>
          <w:szCs w:val="24"/>
          <w:highlight w:val="none"/>
          <w:lang w:val="en-US" w:eastAsia="zh-CN" w:bidi="ar"/>
        </w:rPr>
        <w:t>不包括香港特别行政区、澳门特别行政区、台湾地区法律</w:t>
      </w:r>
      <w:r>
        <w:rPr>
          <w:rFonts w:hint="eastAsia" w:ascii="宋体" w:hAnsi="宋体" w:eastAsia="宋体" w:cs="宋体"/>
          <w:color w:val="auto"/>
          <w:kern w:val="0"/>
          <w:sz w:val="24"/>
          <w:szCs w:val="24"/>
          <w:highlight w:val="none"/>
          <w:lang w:val="en-US" w:eastAsia="zh-CN" w:bidi="ar"/>
        </w:rPr>
        <w:t xml:space="preserve">）。 </w:t>
      </w:r>
    </w:p>
    <w:p w14:paraId="021369D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其他事项</w:t>
      </w:r>
    </w:p>
    <w:p w14:paraId="2709AE96">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第三十三条 </w:t>
      </w:r>
      <w:r>
        <w:rPr>
          <w:rFonts w:hint="eastAsia" w:ascii="宋体" w:hAnsi="宋体" w:eastAsia="宋体" w:cs="宋体"/>
          <w:color w:val="auto"/>
          <w:kern w:val="0"/>
          <w:sz w:val="24"/>
          <w:szCs w:val="24"/>
          <w:highlight w:val="none"/>
          <w:lang w:val="en-US" w:eastAsia="zh-CN" w:bidi="ar"/>
        </w:rPr>
        <w:t>投保人可随时书面申请解除本保险合同，本保险合同自保险人收到投保人的书面申请之日的二十四时起终止。</w:t>
      </w:r>
      <w:r>
        <w:rPr>
          <w:rFonts w:hint="eastAsia" w:ascii="宋体" w:hAnsi="宋体" w:eastAsia="宋体" w:cs="宋体"/>
          <w:b/>
          <w:bCs/>
          <w:color w:val="auto"/>
          <w:kern w:val="0"/>
          <w:sz w:val="24"/>
          <w:szCs w:val="24"/>
          <w:highlight w:val="none"/>
          <w:lang w:val="en-US" w:eastAsia="zh-CN" w:bidi="ar"/>
        </w:rPr>
        <w:t>保险责任开始前，投保人要求解除合同的，保险人扣除 5%的退保手续费后，剩余部分的保险费退还投保人；保险责任开始后，投保人要求解除合同的，自通知到达保险人之日起，保险合同解除，保险人对保险责任开始之日起至合同解除之日止期间的保险费，按日比例计收，剩余部分退还投保人；保险人也可提前十五日向投保人发出解约通知书解除保险合同，并按保险责任开始之日起至合同解除之日止期间与保险期间的日比例计收保险费，并退还剩余部分保险费</w:t>
      </w:r>
      <w:r>
        <w:rPr>
          <w:rFonts w:hint="eastAsia" w:ascii="宋体" w:hAnsi="宋体" w:eastAsia="宋体" w:cs="宋体"/>
          <w:color w:val="auto"/>
          <w:kern w:val="0"/>
          <w:sz w:val="24"/>
          <w:szCs w:val="24"/>
          <w:highlight w:val="none"/>
          <w:lang w:val="en-US" w:eastAsia="zh-CN" w:bidi="ar"/>
        </w:rPr>
        <w:t xml:space="preserve">。 </w:t>
      </w:r>
    </w:p>
    <w:p w14:paraId="581F52D1">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第三十四条 </w:t>
      </w:r>
      <w:r>
        <w:rPr>
          <w:rFonts w:hint="eastAsia" w:ascii="宋体" w:hAnsi="宋体" w:eastAsia="宋体" w:cs="宋体"/>
          <w:color w:val="auto"/>
          <w:kern w:val="0"/>
          <w:sz w:val="24"/>
          <w:szCs w:val="24"/>
          <w:highlight w:val="none"/>
          <w:lang w:val="en-US" w:eastAsia="zh-CN" w:bidi="ar"/>
        </w:rPr>
        <w:t>本保险合同约定与《中华人民共和国保险法》等法律规定相悖之处，以法律规定为准。本保险合同未尽事宜，以法律规定为准。</w:t>
      </w:r>
    </w:p>
    <w:p w14:paraId="5AB3A33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释义</w:t>
      </w:r>
    </w:p>
    <w:p w14:paraId="457C84B0">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outlineLvl w:val="0"/>
        <w:rPr>
          <w:rFonts w:hint="eastAsia" w:ascii="宋体" w:hAnsi="宋体" w:eastAsia="宋体" w:cs="宋体"/>
          <w:color w:val="auto"/>
          <w:sz w:val="24"/>
          <w:szCs w:val="24"/>
          <w:highlight w:val="none"/>
        </w:rPr>
      </w:pPr>
      <w:bookmarkStart w:id="59" w:name="_Toc1259"/>
      <w:r>
        <w:rPr>
          <w:rFonts w:hint="eastAsia" w:ascii="宋体" w:hAnsi="宋体" w:eastAsia="宋体" w:cs="宋体"/>
          <w:b/>
          <w:bCs/>
          <w:color w:val="auto"/>
          <w:kern w:val="0"/>
          <w:sz w:val="24"/>
          <w:szCs w:val="24"/>
          <w:highlight w:val="none"/>
          <w:lang w:val="en-US" w:eastAsia="zh-CN" w:bidi="ar"/>
        </w:rPr>
        <w:t xml:space="preserve">第三十五条 </w:t>
      </w:r>
      <w:r>
        <w:rPr>
          <w:rFonts w:hint="eastAsia" w:ascii="宋体" w:hAnsi="宋体" w:eastAsia="宋体" w:cs="宋体"/>
          <w:color w:val="auto"/>
          <w:kern w:val="0"/>
          <w:sz w:val="24"/>
          <w:szCs w:val="24"/>
          <w:highlight w:val="none"/>
          <w:lang w:val="en-US" w:eastAsia="zh-CN" w:bidi="ar"/>
        </w:rPr>
        <w:t>除另有约定外，本合同中的下列词语具有如下含义：</w:t>
      </w:r>
      <w:bookmarkEnd w:id="59"/>
    </w:p>
    <w:p w14:paraId="1C8C713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意外事故：</w:t>
      </w:r>
      <w:r>
        <w:rPr>
          <w:rFonts w:hint="eastAsia" w:ascii="宋体" w:hAnsi="宋体" w:eastAsia="宋体" w:cs="宋体"/>
          <w:color w:val="auto"/>
          <w:kern w:val="0"/>
          <w:sz w:val="24"/>
          <w:szCs w:val="24"/>
          <w:highlight w:val="none"/>
          <w:lang w:val="en-US" w:eastAsia="zh-CN" w:bidi="ar"/>
        </w:rPr>
        <w:t>是指不可预料的、被保险人无法控制并造成财产损失或人身损害的突发性事件。</w:t>
      </w:r>
    </w:p>
    <w:p w14:paraId="462F8FB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第三者：</w:t>
      </w:r>
      <w:r>
        <w:rPr>
          <w:rFonts w:hint="eastAsia" w:ascii="宋体" w:hAnsi="宋体" w:eastAsia="宋体" w:cs="宋体"/>
          <w:color w:val="auto"/>
          <w:kern w:val="0"/>
          <w:sz w:val="24"/>
          <w:szCs w:val="24"/>
          <w:highlight w:val="none"/>
          <w:lang w:val="en-US" w:eastAsia="zh-CN" w:bidi="ar"/>
        </w:rPr>
        <w:t>是指除被保险人及其雇员、代表以外的自然人、法人或其他组织。</w:t>
      </w:r>
    </w:p>
    <w:p w14:paraId="2E32470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人身伤亡：</w:t>
      </w:r>
      <w:r>
        <w:rPr>
          <w:rFonts w:hint="eastAsia" w:ascii="宋体" w:hAnsi="宋体" w:eastAsia="宋体" w:cs="宋体"/>
          <w:color w:val="auto"/>
          <w:kern w:val="0"/>
          <w:sz w:val="24"/>
          <w:szCs w:val="24"/>
          <w:highlight w:val="none"/>
          <w:lang w:val="en-US" w:eastAsia="zh-CN" w:bidi="ar"/>
        </w:rPr>
        <w:t>是指死亡、肢体残疾、组织器官功能障碍及其他影响人身健康的损伤。</w:t>
      </w:r>
    </w:p>
    <w:p w14:paraId="7CE9E78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财产损失：</w:t>
      </w:r>
      <w:r>
        <w:rPr>
          <w:rFonts w:hint="eastAsia" w:ascii="宋体" w:hAnsi="宋体" w:eastAsia="宋体" w:cs="宋体"/>
          <w:color w:val="auto"/>
          <w:kern w:val="0"/>
          <w:sz w:val="24"/>
          <w:szCs w:val="24"/>
          <w:highlight w:val="none"/>
          <w:lang w:val="en-US" w:eastAsia="zh-CN" w:bidi="ar"/>
        </w:rPr>
        <w:t>是指有形财产的物质损坏，包括所引起的该财产不能使用；或有形财产虽未受实质损坏但已丧失使用价值。</w:t>
      </w:r>
    </w:p>
    <w:p w14:paraId="7FFED38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每次事故：</w:t>
      </w:r>
      <w:r>
        <w:rPr>
          <w:rFonts w:hint="eastAsia" w:ascii="宋体" w:hAnsi="宋体" w:eastAsia="宋体" w:cs="宋体"/>
          <w:color w:val="auto"/>
          <w:kern w:val="0"/>
          <w:sz w:val="24"/>
          <w:szCs w:val="24"/>
          <w:highlight w:val="none"/>
          <w:lang w:val="en-US" w:eastAsia="zh-CN" w:bidi="ar"/>
        </w:rPr>
        <w:t xml:space="preserve">是指一名或多名第三者或其他索赔权利人基于同一原因或理由，单独或共同向被保险人提出的，属于保险责任范围内的一项或一系列索赔或民事诉讼，本合同将其视为一次保险事故，在本合同中简称为每次事故。 </w:t>
      </w:r>
    </w:p>
    <w:p w14:paraId="0C9DFFD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被保险人的代表：</w:t>
      </w:r>
      <w:r>
        <w:rPr>
          <w:rFonts w:hint="eastAsia" w:ascii="宋体" w:hAnsi="宋体" w:eastAsia="宋体" w:cs="宋体"/>
          <w:color w:val="auto"/>
          <w:kern w:val="0"/>
          <w:sz w:val="24"/>
          <w:szCs w:val="24"/>
          <w:highlight w:val="none"/>
          <w:lang w:val="en-US" w:eastAsia="zh-CN" w:bidi="ar"/>
        </w:rPr>
        <w:t xml:space="preserve">是指虽不是被保险人的雇员或其组织的一部分，但其从事的相关活动是按被保险人委托或与被保险人约定的、与被保险人之经营或活动的范围或性质有直接关联的人或组织。 </w:t>
      </w:r>
    </w:p>
    <w:p w14:paraId="0074292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自然灾害：</w:t>
      </w:r>
      <w:r>
        <w:rPr>
          <w:rFonts w:hint="eastAsia" w:ascii="宋体" w:hAnsi="宋体" w:eastAsia="宋体" w:cs="宋体"/>
          <w:color w:val="auto"/>
          <w:kern w:val="0"/>
          <w:sz w:val="24"/>
          <w:szCs w:val="24"/>
          <w:highlight w:val="none"/>
          <w:lang w:val="en-US" w:eastAsia="zh-CN" w:bidi="ar"/>
        </w:rPr>
        <w:t xml:space="preserve">是指雷击、暴风、暴雨、洪水、暴雪、冰雹、沙尘暴、冰凌、泥石流、崖崩、突发性滑坡、火山爆发、地面突然塌陷、地震、海啸及其他人力不可抗拒的自然现象。 </w:t>
      </w:r>
    </w:p>
    <w:p w14:paraId="4AD8C835">
      <w:pPr>
        <w:pStyle w:val="28"/>
        <w:keepNext w:val="0"/>
        <w:keepLines w:val="0"/>
        <w:pageBreakBefore w:val="0"/>
        <w:kinsoku/>
        <w:wordWrap/>
        <w:overflowPunct/>
        <w:topLinePunct w:val="0"/>
        <w:autoSpaceDE/>
        <w:autoSpaceDN/>
        <w:bidi w:val="0"/>
        <w:adjustRightInd/>
        <w:snapToGrid/>
        <w:spacing w:after="0" w:line="42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空中运行物体坠落：</w:t>
      </w:r>
      <w:r>
        <w:rPr>
          <w:rFonts w:hint="eastAsia" w:ascii="宋体" w:hAnsi="宋体" w:eastAsia="宋体" w:cs="宋体"/>
          <w:color w:val="auto"/>
          <w:kern w:val="0"/>
          <w:sz w:val="24"/>
          <w:szCs w:val="24"/>
          <w:highlight w:val="none"/>
          <w:lang w:val="en-US" w:eastAsia="zh-CN" w:bidi="ar"/>
        </w:rPr>
        <w:t>指空中飞行器、人造卫星、陨石坠落。</w:t>
      </w:r>
    </w:p>
    <w:p w14:paraId="5FED27D4">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6D3D7C1D">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F20A461">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184CC24">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1AB17C70">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6396EC4D">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2B0D3F3">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36B59FB7">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540A535C">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3B458E38">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E547C2B">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2F392D34">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4D1C648C">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5B0F1EB7">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72261406">
      <w:pPr>
        <w:pStyle w:val="10"/>
        <w:keepNext w:val="0"/>
        <w:keepLines w:val="0"/>
        <w:pageBreakBefore w:val="0"/>
        <w:tabs>
          <w:tab w:val="left" w:pos="0"/>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b/>
          <w:color w:val="auto"/>
          <w:sz w:val="24"/>
          <w:szCs w:val="24"/>
          <w:highlight w:val="none"/>
          <w:lang w:eastAsia="zh-CN"/>
        </w:rPr>
      </w:pPr>
    </w:p>
    <w:p w14:paraId="676C554F">
      <w:pPr>
        <w:pStyle w:val="10"/>
        <w:keepNext w:val="0"/>
        <w:keepLines w:val="0"/>
        <w:pageBreakBefore w:val="0"/>
        <w:tabs>
          <w:tab w:val="left" w:pos="0"/>
        </w:tabs>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：附加条款解释</w:t>
      </w:r>
    </w:p>
    <w:p w14:paraId="1B56A62A">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总则</w:t>
      </w:r>
    </w:p>
    <w:p w14:paraId="59937F67">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本附加险合同可附加于太平财产保险有限公司相关责任保险主险合同(以下简称“主险合同”)，在投保人投保主险合同的基础上，方可投保本附加险合同。凡涉及本附加险合同的约定，均应采用书面形式。</w:t>
      </w:r>
    </w:p>
    <w:p w14:paraId="1CAD5ECA">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本附加险合同与主险合同相抵触之处,以本附加险合同为准;本附加险合同未约定事项,以主险合同为准。主险合同效力终止，本附加险合同效力亦同时终止:主险合同无效，本附加险合同亦无效。</w:t>
      </w:r>
    </w:p>
    <w:p w14:paraId="583DE91F">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罢工、暴乱、民众骚动及恶意破坏保险条款</w:t>
      </w:r>
    </w:p>
    <w:p w14:paraId="054D3DD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鉴于被保险人已缴付附加保险费，本保险扩展承保本保险单《采购需求》第一条‘保险标的’所列的地点范围内，直接由于罢工、暴乱、民众骚动及恶意破坏造成第三者人身伤亡或财产损失时被保险人应负的赔偿责任。</w:t>
      </w:r>
    </w:p>
    <w:p w14:paraId="3A0AD196">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rPr>
        <w:t>暴力、盗窃、抢劫责任保险条款</w:t>
      </w:r>
    </w:p>
    <w:p w14:paraId="6F0D261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主险合同列明地点范围内，因被保险人管理上的疏忽或过失而发生暴力、盗窃、抢劫事件，造成第三者人身伤亡或财产损失，依照中华人民共和国法律（不包括香港特别行政区、澳门特别行政区、台湾地区法律）应由被保险人承担的经济赔偿责任，保险人按照本附加险合同负责赔偿。</w:t>
      </w:r>
    </w:p>
    <w:p w14:paraId="78A5E7AE">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szCs w:val="24"/>
          <w:highlight w:val="none"/>
        </w:rPr>
        <w:t>承租人责任保险条款；</w:t>
      </w:r>
    </w:p>
    <w:p w14:paraId="470ADB7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兹经双方同意，在保险期间内，由于发生保险事故导致被保险人承租的场所(或家具或设施)遭受的损失或损坏，根据租赁合同或其他协议应由被保险人承担的赔偿责任，保险人同意根据合同约定进行赔偿。</w:t>
      </w:r>
    </w:p>
    <w:p w14:paraId="18DF2D9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sz w:val="24"/>
          <w:szCs w:val="24"/>
          <w:highlight w:val="none"/>
        </w:rPr>
        <w:t>错误与遗漏条款；</w:t>
      </w:r>
    </w:p>
    <w:p w14:paraId="6447CCEB">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本保险项下的赔偿责任不因被保险人非故意地延迟、错误或遗漏向保险人申报有关所占用的场地、保险财产价值的变更或其它有关信息而被拒付，一旦被保险人明白其疏忽或遗漏应在合理的时间内尽快向保险人申报，并根据保险人要求支付自风险增加之日起的适当的附加保险费。不正确的、有缺陷的或错误的评估不可视为非故意的错误与遗漏。</w:t>
      </w:r>
    </w:p>
    <w:p w14:paraId="538F19A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b/>
          <w:bCs/>
          <w:color w:val="auto"/>
          <w:sz w:val="24"/>
          <w:szCs w:val="24"/>
          <w:highlight w:val="none"/>
        </w:rPr>
        <w:t>车辆装卸责任保险条款；</w:t>
      </w:r>
    </w:p>
    <w:p w14:paraId="2A6021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73786BD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在本保险单《采购需求》第一条‘保险标的’所列的地点范围内，被保险人拥有的车辆进行与经营有关的装卸过程中发生意外事故造成第三者的人身伤亡或财产损失，依法应由被保险人承担的赔偿责任，保险人负责赔偿。</w:t>
      </w:r>
    </w:p>
    <w:p w14:paraId="0292E25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责任免除：</w:t>
      </w:r>
    </w:p>
    <w:p w14:paraId="4C710C0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对于下列原因造成的损失，保险人不承担赔偿责任：</w:t>
      </w:r>
    </w:p>
    <w:p w14:paraId="79CE732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（一）非被保险人拥有的车辆或进行与经营无关的装卸所引起的损失；</w:t>
      </w:r>
    </w:p>
    <w:p w14:paraId="44E73F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（二）装卸车辆或货物本身的损失、装卸人员的人身伤亡或财产损失；</w:t>
      </w:r>
    </w:p>
    <w:p w14:paraId="5A600D4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（三）人工直接供油、自燃、高温烘烤造成的损失；</w:t>
      </w:r>
    </w:p>
    <w:p w14:paraId="0757BC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（四）车辆在装卸前曾遭受损失，但未经必要修理而继续使用；</w:t>
      </w:r>
    </w:p>
    <w:p w14:paraId="72D469DB">
      <w:pPr>
        <w:keepNext w:val="0"/>
        <w:keepLines w:val="0"/>
        <w:pageBreakBefore w:val="0"/>
        <w:widowControl/>
        <w:suppressLineNumbers w:val="0"/>
        <w:kinsoku/>
        <w:wordWrap/>
        <w:overflowPunct/>
        <w:topLinePunct w:val="0"/>
        <w:autoSpaceDE/>
        <w:autoSpaceDN/>
        <w:bidi w:val="0"/>
        <w:adjustRightInd/>
        <w:snapToGrid/>
        <w:spacing w:line="440" w:lineRule="exact"/>
        <w:ind w:left="1140" w:leftChars="200" w:hanging="720" w:hangingChars="3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（五）在车辆装卸过程中发生意外事故致使第三者停业、停驶、停电、停水、停气、</w:t>
      </w:r>
    </w:p>
    <w:p w14:paraId="4922FDD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停产、中断通讯以及其他各种间接损失；</w:t>
      </w:r>
    </w:p>
    <w:p w14:paraId="528EEEE9">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（六）在装卸易燃、易爆物品过程中因爆炸和燃烧造成的损失。</w:t>
      </w:r>
    </w:p>
    <w:p w14:paraId="4A6CC50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、放弃代位追偿权保险条款；</w:t>
      </w:r>
    </w:p>
    <w:p w14:paraId="1FFFE1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0BFA276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发生任何理赔事件时，保险人同意放弃向被保险人的联营公司或分公司，任何子公司、控股公司，或任何有关的团体、官员或个人进行追偿的权利，除非该种权利是源于被保险人的欺骗、不实陈述、隐瞒或违反条款。</w:t>
      </w:r>
    </w:p>
    <w:p w14:paraId="41D87B4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7、</w:t>
      </w:r>
      <w:r>
        <w:rPr>
          <w:rFonts w:hint="eastAsia" w:ascii="宋体" w:hAnsi="宋体" w:eastAsia="宋体" w:cs="宋体"/>
          <w:b/>
          <w:bCs/>
          <w:color w:val="auto"/>
          <w:sz w:val="24"/>
          <w:szCs w:val="24"/>
          <w:highlight w:val="none"/>
        </w:rPr>
        <w:t>火灾、爆炸、烟熏责任保险条款；</w:t>
      </w:r>
    </w:p>
    <w:p w14:paraId="1AFCD6B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76B272D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主险合同列明地点范围内因火灾、爆炸、烟熏造成第三者人身伤亡或财产损失，依照中华人民共和国法律（不包括香港特别行政区、澳门特别行政区、台湾地区法律）应由被保险人承担的经济赔偿责任，保险人按照本附加险合同负责赔偿。</w:t>
      </w:r>
    </w:p>
    <w:p w14:paraId="256CECD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8、</w:t>
      </w:r>
      <w:r>
        <w:rPr>
          <w:rFonts w:hint="eastAsia" w:ascii="宋体" w:hAnsi="宋体" w:eastAsia="宋体" w:cs="宋体"/>
          <w:b/>
          <w:bCs/>
          <w:color w:val="auto"/>
          <w:sz w:val="24"/>
          <w:szCs w:val="24"/>
          <w:highlight w:val="none"/>
          <w:lang w:val="en-US" w:eastAsia="zh-CN"/>
        </w:rPr>
        <w:t>灭火及所致水损责任保险条款</w:t>
      </w:r>
      <w:r>
        <w:rPr>
          <w:rFonts w:hint="eastAsia" w:ascii="宋体" w:hAnsi="宋体" w:eastAsia="宋体" w:cs="宋体"/>
          <w:b/>
          <w:bCs/>
          <w:color w:val="auto"/>
          <w:sz w:val="24"/>
          <w:szCs w:val="24"/>
          <w:highlight w:val="none"/>
        </w:rPr>
        <w:t>；</w:t>
      </w:r>
    </w:p>
    <w:p w14:paraId="5AAC2EA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0067FD8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尽管存在相反规定，消防部门在扑灭被保险人列明场所的火灾时因使用水或化学物质造成第三者财产损坏，依照中华人民共和国法律（不包括香港特别行政区、澳门特别行政区、台湾地区法律）应由被保险人承担的经济赔偿责任，保险人根据本附加险合同约定负责赔偿。</w:t>
      </w:r>
    </w:p>
    <w:p w14:paraId="2D5C65C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9、</w:t>
      </w:r>
      <w:r>
        <w:rPr>
          <w:rFonts w:hint="eastAsia" w:ascii="宋体" w:hAnsi="宋体" w:eastAsia="宋体" w:cs="宋体"/>
          <w:b/>
          <w:bCs/>
          <w:color w:val="auto"/>
          <w:sz w:val="24"/>
          <w:szCs w:val="24"/>
          <w:highlight w:val="none"/>
        </w:rPr>
        <w:t>急救费用保险条款；</w:t>
      </w:r>
    </w:p>
    <w:p w14:paraId="2270E49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兹经双方同意，鉴于被保险人已缴付了附加保险费，本保险扩展承保被保险人因本保险单明细表中列明的营业场所内发生意外事故造成第三者人身伤亡时应支付的合理急救费用。</w:t>
      </w:r>
    </w:p>
    <w:p w14:paraId="4C83305C">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10、</w:t>
      </w:r>
      <w:r>
        <w:rPr>
          <w:rFonts w:hint="eastAsia" w:ascii="宋体" w:hAnsi="宋体" w:eastAsia="宋体" w:cs="宋体"/>
          <w:b/>
          <w:bCs/>
          <w:color w:val="auto"/>
          <w:sz w:val="24"/>
          <w:szCs w:val="24"/>
          <w:highlight w:val="none"/>
        </w:rPr>
        <w:t>救火费用条款；</w:t>
      </w:r>
    </w:p>
    <w:p w14:paraId="26B3597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兹经双方同意，鉴于被保险人已缴付了附加保险费，本保险扩展承保被保险人因本保险单明细表中列明的营业场所发生火灾所花费的必需的、合理的费用。</w:t>
      </w:r>
    </w:p>
    <w:p w14:paraId="47185C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本条款项下承担的赔偿责任不超过以下列明的限额。</w:t>
      </w:r>
    </w:p>
    <w:p w14:paraId="59D21E4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本保险单所载其他条件不变。</w:t>
      </w:r>
    </w:p>
    <w:p w14:paraId="3C26B95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每次事故赔偿限额：见明细表列明数额</w:t>
      </w:r>
    </w:p>
    <w:p w14:paraId="0F876DC6">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累计事故赔偿限额：见明细表列明数额</w:t>
      </w:r>
    </w:p>
    <w:p w14:paraId="32AC1D4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11、</w:t>
      </w:r>
      <w:r>
        <w:rPr>
          <w:rFonts w:hint="eastAsia" w:ascii="宋体" w:hAnsi="宋体" w:eastAsia="宋体" w:cs="宋体"/>
          <w:b/>
          <w:bCs/>
          <w:color w:val="auto"/>
          <w:sz w:val="24"/>
          <w:szCs w:val="24"/>
          <w:highlight w:val="none"/>
        </w:rPr>
        <w:t>建筑物改动责任保险条款</w:t>
      </w:r>
      <w:r>
        <w:rPr>
          <w:rFonts w:hint="eastAsia" w:ascii="宋体" w:hAnsi="宋体" w:eastAsia="宋体" w:cs="宋体"/>
          <w:b/>
          <w:bCs/>
          <w:color w:val="auto"/>
          <w:sz w:val="24"/>
          <w:szCs w:val="24"/>
          <w:highlight w:val="none"/>
          <w:lang w:eastAsia="zh-CN"/>
        </w:rPr>
        <w:t>；</w:t>
      </w:r>
    </w:p>
    <w:p w14:paraId="06816F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保险责任：</w:t>
      </w:r>
    </w:p>
    <w:p w14:paraId="5F00EE2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兹经双方约定，本保险扩展承保本保险单《采购需求》第一条‘保险标的’所列的地点范围内，被保险人改动、维修或装修建筑物，而造成第三者人身伤亡或财产损失，依法应由被保险人承担的经济赔偿责任，保险人负责赔偿。 </w:t>
      </w:r>
    </w:p>
    <w:p w14:paraId="5C7B239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责任限额</w:t>
      </w:r>
    </w:p>
    <w:p w14:paraId="6E42EA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除另有约定外，责任限额包括每次事故赔偿限额，累计事故赔偿限额。各项赔偿责任限额由投保人和保险人协商确定，并在保险单中载明。 </w:t>
      </w:r>
    </w:p>
    <w:p w14:paraId="1AD96A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被保险人义务</w:t>
      </w:r>
    </w:p>
    <w:p w14:paraId="015922C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被保险人如不履行以下任何一项义务，保险人不负赔偿责任。 </w:t>
      </w:r>
    </w:p>
    <w:p w14:paraId="38DB4F4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（一）被保险人改动、维修或装修建筑物应符合政府有关当局的规定； </w:t>
      </w:r>
    </w:p>
    <w:p w14:paraId="2A6B1E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（二）被保险人应采取一切措施以防止在维修或装修过程中发生意外； </w:t>
      </w:r>
    </w:p>
    <w:p w14:paraId="777A835E">
      <w:pPr>
        <w:keepNext w:val="0"/>
        <w:keepLines w:val="0"/>
        <w:pageBreakBefore w:val="0"/>
        <w:widowControl/>
        <w:suppressLineNumbers w:val="0"/>
        <w:kinsoku/>
        <w:wordWrap/>
        <w:overflowPunct/>
        <w:topLinePunct w:val="0"/>
        <w:autoSpaceDE/>
        <w:autoSpaceDN/>
        <w:bidi w:val="0"/>
        <w:adjustRightInd/>
        <w:snapToGrid/>
        <w:spacing w:line="440" w:lineRule="exact"/>
        <w:ind w:left="1119" w:leftChars="190" w:hanging="720" w:hangingChars="3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（三）对所拥有的建筑物、道路、工厂、机器或设备的改变和维修，被保险人应及</w:t>
      </w:r>
    </w:p>
    <w:p w14:paraId="0FE05B8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时书面向保险人申请办理批改手续。</w:t>
      </w:r>
    </w:p>
    <w:p w14:paraId="605F4B1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12、自然灾害责任保险条款；</w:t>
      </w:r>
    </w:p>
    <w:p w14:paraId="018C7BD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在保险期间内，被保险人在保险单中列明的保险地址内，依法从事生产经营活动过程中，由于自然灾害导致主险合同约定的突发意外环境污染事故，造成承保区域内第三者的人身伤亡或直接财产损失，并且由第三者在保险期间内首次向被保险人提出损害赔偿请求，依照中华人民共和国法律（不包括港澳台地区法律）应由被保险人承担的经济赔偿责任，保险人按照本附加险合同的约定负责赔偿。本附加险所承保的自然灾害类型包括雷电、暴雨、洪水、暴风、龙卷风、风暴潮、冰雹、台风、飓风、沙尘暴、暴雪、冰凌、突发性滑坡、崩塌、泥石流、地面突然下陷下沉及其他人力不可抗拒的破坏力强大的自然现象</w:t>
      </w:r>
      <w:r>
        <w:rPr>
          <w:rFonts w:hint="eastAsia" w:ascii="宋体" w:hAnsi="宋体" w:eastAsia="宋体" w:cs="宋体"/>
          <w:b w:val="0"/>
          <w:bCs w:val="0"/>
          <w:color w:val="auto"/>
          <w:kern w:val="0"/>
          <w:sz w:val="24"/>
          <w:szCs w:val="24"/>
          <w:highlight w:val="none"/>
          <w:lang w:val="en-US" w:eastAsia="zh-CN" w:bidi="ar"/>
        </w:rPr>
        <w:t>，但不包括地震及其次生灾害、海啸。</w:t>
      </w:r>
    </w:p>
    <w:p w14:paraId="4ECFB40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13、广告及装饰装置责任条款。</w:t>
      </w:r>
    </w:p>
    <w:p w14:paraId="274B21F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兹经双方同意，鉴于被保险人已缴付了附加保险费，本保险扩展承保被保险人因在本保险单中列明的营业场所内或其他列明场所布置的广告、霓红灯、装饰物发生意外事 故造成第三者人身伤亡或财产损失时依法应负的赔偿责任。被保险人应保证指派合格人员对上述装置定期进行检查和维护。</w:t>
      </w:r>
    </w:p>
    <w:p w14:paraId="5C64589C">
      <w:pPr>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bidi="ar"/>
        </w:rPr>
        <w:br w:type="page"/>
      </w:r>
    </w:p>
    <w:p w14:paraId="5430C366">
      <w:pPr>
        <w:pStyle w:val="10"/>
        <w:keepNext w:val="0"/>
        <w:keepLines w:val="0"/>
        <w:pageBreakBefore w:val="0"/>
        <w:tabs>
          <w:tab w:val="left" w:pos="0"/>
        </w:tabs>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附件三、                         廉政合同</w:t>
      </w:r>
    </w:p>
    <w:p w14:paraId="72D151F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lang w:val="en-US" w:eastAsia="zh-CN"/>
        </w:rPr>
        <w:t>为抓好党风廉政建设，规范、约束采供双方行为，确保双方工作人员廉洁从业，</w:t>
      </w:r>
      <w:r>
        <w:rPr>
          <w:rFonts w:hint="eastAsia" w:ascii="宋体" w:hAnsi="宋体" w:eastAsia="宋体" w:cs="宋体"/>
          <w:color w:val="auto"/>
          <w:spacing w:val="0"/>
          <w:sz w:val="24"/>
          <w:szCs w:val="24"/>
          <w:highlight w:val="none"/>
          <w:u w:val="single"/>
          <w:lang w:val="en-US" w:eastAsia="zh-CN"/>
        </w:rPr>
        <w:t xml:space="preserve">                      （项目名称）</w:t>
      </w:r>
      <w:r>
        <w:rPr>
          <w:rFonts w:hint="eastAsia" w:ascii="宋体" w:hAnsi="宋体" w:eastAsia="宋体" w:cs="宋体"/>
          <w:color w:val="auto"/>
          <w:sz w:val="24"/>
          <w:szCs w:val="24"/>
          <w:highlight w:val="none"/>
          <w:u w:val="none"/>
          <w:lang w:val="en-US" w:eastAsia="zh-CN"/>
        </w:rPr>
        <w:t>的采购人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（以下简称甲方）与该项目的成交供应商</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（以</w:t>
      </w:r>
      <w:r>
        <w:rPr>
          <w:rFonts w:hint="eastAsia" w:ascii="宋体" w:hAnsi="宋体" w:eastAsia="宋体" w:cs="宋体"/>
          <w:color w:val="auto"/>
          <w:sz w:val="24"/>
          <w:szCs w:val="24"/>
          <w:highlight w:val="none"/>
          <w:lang w:val="en-US" w:eastAsia="zh-CN"/>
        </w:rPr>
        <w:t>下简称乙方），特订立如下合同。</w:t>
      </w:r>
    </w:p>
    <w:p w14:paraId="36B6B1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方的权利和义务</w:t>
      </w:r>
    </w:p>
    <w:p w14:paraId="6BA4C23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严格遵守党</w:t>
      </w:r>
      <w:r>
        <w:rPr>
          <w:rFonts w:hint="eastAsia" w:ascii="宋体" w:hAnsi="宋体" w:eastAsia="宋体" w:cs="宋体"/>
          <w:color w:val="auto"/>
          <w:sz w:val="24"/>
          <w:szCs w:val="24"/>
          <w:highlight w:val="none"/>
          <w:lang w:val="en-US" w:eastAsia="zh-CN"/>
        </w:rPr>
        <w:t>的政策</w:t>
      </w:r>
      <w:r>
        <w:rPr>
          <w:rFonts w:hint="eastAsia" w:ascii="宋体" w:hAnsi="宋体" w:eastAsia="宋体" w:cs="宋体"/>
          <w:color w:val="auto"/>
          <w:sz w:val="24"/>
          <w:szCs w:val="24"/>
          <w:highlight w:val="none"/>
        </w:rPr>
        <w:t>和国家有关法律</w:t>
      </w:r>
      <w:r>
        <w:rPr>
          <w:rFonts w:hint="eastAsia" w:ascii="宋体" w:hAnsi="宋体" w:eastAsia="宋体" w:cs="宋体"/>
          <w:color w:val="auto"/>
          <w:sz w:val="24"/>
          <w:szCs w:val="24"/>
          <w:highlight w:val="none"/>
          <w:lang w:val="en-US" w:eastAsia="zh-CN"/>
        </w:rPr>
        <w:t>法规的</w:t>
      </w:r>
      <w:r>
        <w:rPr>
          <w:rFonts w:hint="eastAsia" w:ascii="宋体" w:hAnsi="宋体" w:eastAsia="宋体" w:cs="宋体"/>
          <w:color w:val="auto"/>
          <w:sz w:val="24"/>
          <w:szCs w:val="24"/>
          <w:highlight w:val="none"/>
        </w:rPr>
        <w:t>有关规定。</w:t>
      </w:r>
    </w:p>
    <w:p w14:paraId="3B7A602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严格执行</w:t>
      </w:r>
      <w:r>
        <w:rPr>
          <w:rFonts w:hint="eastAsia" w:ascii="宋体" w:hAnsi="宋体" w:eastAsia="宋体" w:cs="宋体"/>
          <w:b w:val="0"/>
          <w:bCs w:val="0"/>
          <w:color w:val="auto"/>
          <w:sz w:val="24"/>
          <w:szCs w:val="24"/>
          <w:highlight w:val="none"/>
          <w:u w:val="single"/>
          <w:lang w:val="en-US" w:eastAsia="zh-CN"/>
        </w:rPr>
        <w:t xml:space="preserve">                         （项目名称）保险</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u w:val="single"/>
          <w:lang w:val="en-US" w:eastAsia="zh-CN"/>
        </w:rPr>
        <w:t>文件</w:t>
      </w:r>
      <w:r>
        <w:rPr>
          <w:rFonts w:hint="eastAsia" w:ascii="宋体" w:hAnsi="宋体" w:eastAsia="宋体" w:cs="宋体"/>
          <w:color w:val="auto"/>
          <w:sz w:val="24"/>
          <w:szCs w:val="24"/>
          <w:highlight w:val="none"/>
          <w:u w:val="none"/>
        </w:rPr>
        <w:t>，自觉按</w:t>
      </w:r>
      <w:r>
        <w:rPr>
          <w:rFonts w:hint="eastAsia" w:ascii="宋体" w:hAnsi="宋体" w:eastAsia="宋体" w:cs="宋体"/>
          <w:color w:val="auto"/>
          <w:sz w:val="24"/>
          <w:szCs w:val="24"/>
          <w:highlight w:val="none"/>
        </w:rPr>
        <w:t>合同办事。</w:t>
      </w:r>
    </w:p>
    <w:p w14:paraId="305C576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方的业务活动坚持公开、公正、诚信、透明的原则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法律认定的商业秘密和合同文件另有规定除外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，不得损害国家和集体利益。</w:t>
      </w:r>
    </w:p>
    <w:p w14:paraId="3694E7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建立健全廉政制度，开展廉政教育和廉洁文化建设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公布举报电话，监督并认真查处</w:t>
      </w:r>
      <w:r>
        <w:rPr>
          <w:rFonts w:hint="eastAsia" w:ascii="宋体" w:hAnsi="宋体" w:eastAsia="宋体" w:cs="宋体"/>
          <w:color w:val="auto"/>
          <w:sz w:val="24"/>
          <w:szCs w:val="24"/>
          <w:highlight w:val="none"/>
          <w:lang w:val="en-US" w:eastAsia="zh-CN"/>
        </w:rPr>
        <w:t>违规</w:t>
      </w:r>
      <w:r>
        <w:rPr>
          <w:rFonts w:hint="eastAsia" w:ascii="宋体" w:hAnsi="宋体" w:eastAsia="宋体" w:cs="宋体"/>
          <w:color w:val="auto"/>
          <w:sz w:val="24"/>
          <w:szCs w:val="24"/>
          <w:highlight w:val="none"/>
        </w:rPr>
        <w:t>违纪违法行为。</w:t>
      </w:r>
    </w:p>
    <w:p w14:paraId="30C1CD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发现对方在业务活动中有违反廉政规定的行为，有及时提醒对方纠正的权利和义务。</w:t>
      </w:r>
    </w:p>
    <w:p w14:paraId="4336234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发现对方严重违反本合同义务条款的行为，有向有关部门举报、建议给予处理并要求告知处理结果的权利。</w:t>
      </w:r>
    </w:p>
    <w:p w14:paraId="6E76092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2.甲方的义务</w:t>
      </w:r>
    </w:p>
    <w:p w14:paraId="29F295C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（1）甲方及其工作人员不得利用职务之便索要或接受乙方的礼品、礼金、消费卡和有价证券、股权、其他金融产品等财物。</w:t>
      </w:r>
    </w:p>
    <w:p w14:paraId="2501ECC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（2）甲方及其工作人员不得在利用职务之便为乙方谋取利益之前或之后，约定在其离职后收受乙方财物，并在离职后收受。</w:t>
      </w:r>
    </w:p>
    <w:p w14:paraId="6A69DBF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（3）甲方及其工作人员不得在乙方报销应由甲方或个人支付的费用等。</w:t>
      </w:r>
    </w:p>
    <w:p w14:paraId="1C4B677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（4）甲方及其工作人员不得要求或者接受乙方可能影响公正执行公务的宴请以及旅游、健身、娱乐等活动安排，</w:t>
      </w:r>
      <w:r>
        <w:rPr>
          <w:rFonts w:hint="eastAsia" w:ascii="宋体" w:hAnsi="宋体" w:eastAsia="宋体" w:cs="宋体"/>
          <w:color w:val="auto"/>
          <w:sz w:val="24"/>
          <w:szCs w:val="24"/>
          <w:highlight w:val="none"/>
          <w:u w:val="none"/>
          <w:lang w:val="en-US" w:eastAsia="zh-CN"/>
        </w:rPr>
        <w:t>不得要求和接受</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u w:val="none"/>
          <w:lang w:val="en-US" w:eastAsia="zh-CN"/>
        </w:rPr>
        <w:t>提供的交通工具、通讯工具、高档办公用品等。</w:t>
      </w:r>
    </w:p>
    <w:p w14:paraId="3A6DAA5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51D68A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（6）甲方及其工作人员不得要求乙方购买合同规定外的材料和设备。</w:t>
      </w:r>
    </w:p>
    <w:p w14:paraId="664E66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（7）甲方及其工作人员不得利用职务之便干预乙方正常的保险服务工作（如理赔流程、定损标准等）。</w:t>
      </w:r>
    </w:p>
    <w:p w14:paraId="6DCEC84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3.乙方义务</w:t>
      </w:r>
    </w:p>
    <w:p w14:paraId="5E65C2B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（1）乙方及其工作人员不得以任何形式向甲方及其工作人员行贿或馈赠礼品、礼金、消费卡和有价证券、股权、其他金融产品等财物，以及回扣、好处费、感谢费等。</w:t>
      </w:r>
    </w:p>
    <w:p w14:paraId="1FFA201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乙及其工作人员不得与甲方及其工作人员约定，甲方及其工作人员</w:t>
      </w:r>
      <w:r>
        <w:rPr>
          <w:rFonts w:hint="eastAsia" w:ascii="宋体" w:hAnsi="宋体" w:eastAsia="宋体" w:cs="宋体"/>
          <w:color w:val="auto"/>
          <w:sz w:val="24"/>
          <w:szCs w:val="24"/>
          <w:highlight w:val="none"/>
          <w:lang w:eastAsia="zh-CN"/>
        </w:rPr>
        <w:t>利用职务之便为</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谋取利益，</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在其离职后</w:t>
      </w:r>
      <w:r>
        <w:rPr>
          <w:rFonts w:hint="eastAsia" w:ascii="宋体" w:hAnsi="宋体" w:eastAsia="宋体" w:cs="宋体"/>
          <w:color w:val="auto"/>
          <w:sz w:val="24"/>
          <w:szCs w:val="24"/>
          <w:highlight w:val="none"/>
          <w:lang w:val="en-US" w:eastAsia="zh-CN"/>
        </w:rPr>
        <w:t>给予</w:t>
      </w:r>
      <w:r>
        <w:rPr>
          <w:rFonts w:hint="eastAsia" w:ascii="宋体" w:hAnsi="宋体" w:eastAsia="宋体" w:cs="宋体"/>
          <w:color w:val="auto"/>
          <w:sz w:val="24"/>
          <w:szCs w:val="24"/>
          <w:highlight w:val="none"/>
          <w:lang w:eastAsia="zh-CN"/>
        </w:rPr>
        <w:t>财物。</w:t>
      </w:r>
    </w:p>
    <w:p w14:paraId="1133A1E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（3）乙方不得以任何名义为甲方及其工作人员报销由甲方单位或个人支付的任何费用。</w:t>
      </w:r>
    </w:p>
    <w:p w14:paraId="1BD6BEE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（4）乙方及其工作人员不得以任何理由邀请甲方工作人员参与可能影响公正执行公务的宴请以及旅游、健身、娱乐等活动。</w:t>
      </w:r>
      <w:r>
        <w:rPr>
          <w:rFonts w:hint="eastAsia" w:ascii="宋体" w:hAnsi="宋体" w:eastAsia="宋体" w:cs="宋体"/>
          <w:color w:val="auto"/>
          <w:sz w:val="24"/>
          <w:szCs w:val="24"/>
          <w:highlight w:val="none"/>
          <w:u w:val="none"/>
          <w:lang w:val="en-US" w:eastAsia="zh-CN"/>
        </w:rPr>
        <w:t>不得为甲方单位和个人购置或提供通讯工具、交通工具和高档办公用品等。</w:t>
      </w:r>
    </w:p>
    <w:p w14:paraId="15A2B50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64224DA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（6）甲方及其工作人员不得有其他可能影响廉洁从业的行为。</w:t>
      </w:r>
    </w:p>
    <w:p w14:paraId="4207FF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4.违约责任</w:t>
      </w:r>
    </w:p>
    <w:p w14:paraId="18FD10A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03A04FB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（2）乙方及其工作人员违反本合同第1、3条，按管理权限，依据有关规定，给予相关处理；给甲方单位造成经济损失的，应予以赔偿。</w:t>
      </w:r>
    </w:p>
    <w:p w14:paraId="33DD836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5.本合同有效期为甲、乙双方签署之日起至该供货合同履行完毕后止。</w:t>
      </w:r>
    </w:p>
    <w:p w14:paraId="5CF7794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6.本合同作为</w:t>
      </w:r>
      <w:r>
        <w:rPr>
          <w:rFonts w:hint="eastAsia" w:ascii="宋体" w:hAnsi="宋体" w:eastAsia="宋体" w:cs="宋体"/>
          <w:b w:val="0"/>
          <w:bCs w:val="0"/>
          <w:color w:val="auto"/>
          <w:sz w:val="24"/>
          <w:szCs w:val="24"/>
          <w:highlight w:val="none"/>
          <w:u w:val="single"/>
          <w:lang w:val="en-US" w:eastAsia="zh-CN"/>
        </w:rPr>
        <w:t xml:space="preserve">                         （项目名称）保险</w:t>
      </w:r>
      <w:r>
        <w:rPr>
          <w:rFonts w:hint="eastAsia" w:ascii="宋体" w:hAnsi="宋体" w:eastAsia="宋体" w:cs="宋体"/>
          <w:color w:val="auto"/>
          <w:sz w:val="24"/>
          <w:szCs w:val="24"/>
          <w:highlight w:val="none"/>
          <w:u w:val="single"/>
          <w:lang w:val="en-US" w:eastAsia="zh-CN"/>
        </w:rPr>
        <w:t>合同</w:t>
      </w:r>
      <w:r>
        <w:rPr>
          <w:rFonts w:hint="eastAsia" w:ascii="宋体" w:hAnsi="宋体" w:eastAsia="宋体" w:cs="宋体"/>
          <w:color w:val="auto"/>
          <w:sz w:val="24"/>
          <w:szCs w:val="24"/>
          <w:highlight w:val="none"/>
          <w:u w:val="none"/>
          <w:lang w:val="en-US" w:eastAsia="zh-CN"/>
        </w:rPr>
        <w:t>的附件，与采购合同具有同等的法律效力，经合同双方签署立即生效。</w:t>
      </w:r>
    </w:p>
    <w:p w14:paraId="72D163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签字、盖章后生效。</w:t>
      </w:r>
      <w:r>
        <w:rPr>
          <w:rFonts w:hint="eastAsia" w:ascii="宋体" w:hAnsi="宋体" w:eastAsia="宋体" w:cs="宋体"/>
          <w:color w:val="auto"/>
          <w:sz w:val="24"/>
          <w:szCs w:val="24"/>
          <w:highlight w:val="none"/>
          <w:u w:val="none"/>
          <w:lang w:val="en-US" w:eastAsia="zh-CN"/>
        </w:rPr>
        <w:t>由</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u w:val="none"/>
          <w:lang w:val="en-US" w:eastAsia="zh-CN"/>
        </w:rPr>
        <w:t>方各执壹份，送交双方监督单位各壹份。</w:t>
      </w:r>
    </w:p>
    <w:p w14:paraId="4439E65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rPr>
      </w:pPr>
    </w:p>
    <w:p w14:paraId="09852A8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甲方单位：（盖章）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乙方单位：（盖章）</w:t>
      </w:r>
      <w:r>
        <w:rPr>
          <w:rFonts w:hint="eastAsia" w:ascii="宋体" w:hAnsi="宋体" w:eastAsia="宋体" w:cs="宋体"/>
          <w:color w:val="auto"/>
          <w:sz w:val="24"/>
          <w:szCs w:val="24"/>
          <w:highlight w:val="none"/>
          <w:lang w:val="en-US" w:eastAsia="zh-CN"/>
        </w:rPr>
        <w:t xml:space="preserve"> </w:t>
      </w:r>
    </w:p>
    <w:p w14:paraId="41260D0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p>
    <w:p w14:paraId="4044E1B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或其授权的代理人：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或其授权的代理人：</w:t>
      </w:r>
    </w:p>
    <w:p w14:paraId="144AD944">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34255F3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rPr>
      </w:pPr>
    </w:p>
    <w:p w14:paraId="63C4F795">
      <w:pPr>
        <w:keepNext w:val="0"/>
        <w:keepLines w:val="0"/>
        <w:pageBreakBefore w:val="0"/>
        <w:widowControl w:val="0"/>
        <w:kinsoku/>
        <w:wordWrap/>
        <w:overflowPunct/>
        <w:topLinePunct w:val="0"/>
        <w:autoSpaceDE/>
        <w:autoSpaceDN/>
        <w:bidi w:val="0"/>
        <w:adjustRightInd/>
        <w:snapToGrid/>
        <w:spacing w:line="520" w:lineRule="exact"/>
        <w:textAlignment w:val="auto"/>
        <w:rPr>
          <w:rFonts w:ascii="Calibri" w:hAnsi="Calibri" w:eastAsia="宋体" w:cs="Times New Roman"/>
          <w:color w:val="auto"/>
          <w:sz w:val="24"/>
          <w:szCs w:val="24"/>
          <w:highlight w:val="none"/>
        </w:rPr>
      </w:pPr>
      <w:r>
        <w:rPr>
          <w:rFonts w:hint="eastAsia" w:ascii="宋体" w:hAnsi="宋体" w:eastAsia="宋体" w:cs="宋体"/>
          <w:color w:val="auto"/>
          <w:sz w:val="24"/>
          <w:szCs w:val="24"/>
          <w:highlight w:val="none"/>
        </w:rPr>
        <w:t xml:space="preserve">甲方监督单位：（盖章）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乙方监督单位：（盖章）</w:t>
      </w:r>
    </w:p>
    <w:p w14:paraId="5FD159A5">
      <w:pPr>
        <w:pStyle w:val="26"/>
        <w:jc w:val="both"/>
        <w:rPr>
          <w:color w:val="auto"/>
          <w:highlight w:val="none"/>
        </w:rPr>
      </w:pPr>
    </w:p>
    <w:p w14:paraId="3B8CD32D">
      <w:pPr>
        <w:widowControl/>
        <w:snapToGrid w:val="0"/>
        <w:spacing w:line="360" w:lineRule="auto"/>
        <w:ind w:firstLine="420" w:firstLineChars="200"/>
        <w:jc w:val="left"/>
        <w:rPr>
          <w:rFonts w:ascii="宋体" w:hAnsi="宋体" w:cs="宋体"/>
          <w:bCs/>
          <w:color w:val="auto"/>
          <w:kern w:val="0"/>
          <w:szCs w:val="21"/>
          <w:highlight w:val="none"/>
        </w:rPr>
      </w:pP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48"/>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hint="default" w:asciiTheme="minorEastAsia" w:hAnsiTheme="minorEastAsia" w:eastAsiaTheme="minorEastAsia"/>
          <w:b/>
          <w:color w:val="auto"/>
          <w:sz w:val="72"/>
          <w:highlight w:val="none"/>
          <w:lang w:val="en-US" w:eastAsia="zh-CN"/>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0" w:name="_Toc13530"/>
      <w:bookmarkStart w:id="61" w:name="_Toc215"/>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0"/>
      <w:bookmarkEnd w:id="61"/>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B08FEFE">
      <w:pPr>
        <w:spacing w:line="360" w:lineRule="auto"/>
        <w:jc w:val="center"/>
        <w:outlineLvl w:val="1"/>
        <w:rPr>
          <w:rFonts w:asciiTheme="minorEastAsia" w:hAnsiTheme="minorEastAsia" w:eastAsiaTheme="minorEastAsia"/>
          <w:b/>
          <w:color w:val="auto"/>
          <w:sz w:val="24"/>
          <w:highlight w:val="none"/>
        </w:rPr>
      </w:pPr>
      <w:bookmarkStart w:id="62" w:name="_Toc14197"/>
      <w:bookmarkStart w:id="63" w:name="_Toc11521"/>
      <w:bookmarkStart w:id="64" w:name="_Hlk23205287"/>
      <w:r>
        <w:rPr>
          <w:rFonts w:hint="eastAsia" w:asciiTheme="minorEastAsia" w:hAnsiTheme="minorEastAsia" w:eastAsiaTheme="minorEastAsia"/>
          <w:b/>
          <w:color w:val="auto"/>
          <w:sz w:val="24"/>
          <w:highlight w:val="none"/>
        </w:rPr>
        <w:t>一、报价表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4565"/>
        <w:gridCol w:w="737"/>
        <w:gridCol w:w="757"/>
        <w:gridCol w:w="873"/>
        <w:gridCol w:w="906"/>
        <w:gridCol w:w="730"/>
      </w:tblGrid>
      <w:tr w14:paraId="257A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387" w:type="pct"/>
            <w:vAlign w:val="center"/>
          </w:tcPr>
          <w:p w14:paraId="5F87EE73">
            <w:pPr>
              <w:pStyle w:val="50"/>
              <w:widowControl w:val="0"/>
              <w:spacing w:before="0" w:beforeAutospacing="0" w:after="0" w:afterAutospacing="0"/>
              <w:jc w:val="center"/>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2457" w:type="pct"/>
            <w:vAlign w:val="center"/>
          </w:tcPr>
          <w:p w14:paraId="658C371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品目</w:t>
            </w:r>
            <w:r>
              <w:rPr>
                <w:rFonts w:hint="eastAsia" w:asciiTheme="minorEastAsia" w:hAnsiTheme="minorEastAsia" w:eastAsiaTheme="minorEastAsia"/>
                <w:b/>
                <w:color w:val="auto"/>
                <w:sz w:val="24"/>
                <w:szCs w:val="24"/>
                <w:highlight w:val="none"/>
              </w:rPr>
              <w:t>名称</w:t>
            </w:r>
          </w:p>
        </w:tc>
        <w:tc>
          <w:tcPr>
            <w:tcW w:w="396" w:type="pct"/>
            <w:vAlign w:val="center"/>
          </w:tcPr>
          <w:p w14:paraId="6F56912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407" w:type="pct"/>
            <w:vAlign w:val="center"/>
          </w:tcPr>
          <w:p w14:paraId="4CF568AA">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470" w:type="pct"/>
            <w:vAlign w:val="center"/>
          </w:tcPr>
          <w:p w14:paraId="238D8248">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单价</w:t>
            </w:r>
          </w:p>
          <w:p w14:paraId="1EE4549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487" w:type="pct"/>
            <w:vAlign w:val="center"/>
          </w:tcPr>
          <w:p w14:paraId="1091BED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466A0F7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93" w:type="pct"/>
            <w:vAlign w:val="center"/>
          </w:tcPr>
          <w:p w14:paraId="07234695">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1C8E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87" w:type="pct"/>
            <w:tcBorders>
              <w:bottom w:val="single" w:color="auto" w:sz="4" w:space="0"/>
            </w:tcBorders>
            <w:vAlign w:val="center"/>
          </w:tcPr>
          <w:p w14:paraId="3D83FDDF">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457" w:type="pct"/>
            <w:vAlign w:val="center"/>
          </w:tcPr>
          <w:p w14:paraId="7ECEAE3C">
            <w:pPr>
              <w:jc w:val="center"/>
              <w:rPr>
                <w:rFonts w:hint="default"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eastAsia="zh-CN"/>
              </w:rPr>
              <w:t>滁合高速滁州段</w:t>
            </w:r>
          </w:p>
        </w:tc>
        <w:tc>
          <w:tcPr>
            <w:tcW w:w="396" w:type="pct"/>
            <w:vAlign w:val="center"/>
          </w:tcPr>
          <w:p w14:paraId="1969E78B">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年</w:t>
            </w:r>
          </w:p>
        </w:tc>
        <w:tc>
          <w:tcPr>
            <w:tcW w:w="407" w:type="pct"/>
            <w:vAlign w:val="center"/>
          </w:tcPr>
          <w:p w14:paraId="77F6E8D7">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c>
          <w:tcPr>
            <w:tcW w:w="470" w:type="pct"/>
            <w:vAlign w:val="center"/>
          </w:tcPr>
          <w:p w14:paraId="528A9774">
            <w:pPr>
              <w:jc w:val="center"/>
              <w:rPr>
                <w:rFonts w:asciiTheme="minorEastAsia" w:hAnsiTheme="minorEastAsia" w:eastAsiaTheme="minorEastAsia"/>
                <w:color w:val="auto"/>
                <w:sz w:val="24"/>
                <w:szCs w:val="24"/>
                <w:highlight w:val="none"/>
              </w:rPr>
            </w:pPr>
          </w:p>
        </w:tc>
        <w:tc>
          <w:tcPr>
            <w:tcW w:w="487" w:type="pct"/>
            <w:vAlign w:val="center"/>
          </w:tcPr>
          <w:p w14:paraId="0E9FC4FC">
            <w:pPr>
              <w:jc w:val="center"/>
              <w:rPr>
                <w:rFonts w:asciiTheme="minorEastAsia" w:hAnsiTheme="minorEastAsia" w:eastAsiaTheme="minorEastAsia"/>
                <w:color w:val="auto"/>
                <w:sz w:val="24"/>
                <w:szCs w:val="24"/>
                <w:highlight w:val="none"/>
              </w:rPr>
            </w:pPr>
          </w:p>
        </w:tc>
        <w:tc>
          <w:tcPr>
            <w:tcW w:w="393" w:type="pct"/>
            <w:vAlign w:val="center"/>
          </w:tcPr>
          <w:p w14:paraId="47D0C5C6">
            <w:pPr>
              <w:jc w:val="center"/>
              <w:rPr>
                <w:rFonts w:asciiTheme="minorEastAsia" w:hAnsiTheme="minorEastAsia" w:eastAsiaTheme="minorEastAsia"/>
                <w:color w:val="auto"/>
                <w:sz w:val="24"/>
                <w:szCs w:val="24"/>
                <w:highlight w:val="none"/>
              </w:rPr>
            </w:pPr>
          </w:p>
        </w:tc>
      </w:tr>
      <w:tr w14:paraId="53FD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87" w:type="pct"/>
            <w:vAlign w:val="center"/>
          </w:tcPr>
          <w:p w14:paraId="5AC61F57">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457" w:type="pct"/>
            <w:vAlign w:val="center"/>
          </w:tcPr>
          <w:p w14:paraId="1F24EFEA">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明巢高速滁州段</w:t>
            </w:r>
          </w:p>
        </w:tc>
        <w:tc>
          <w:tcPr>
            <w:tcW w:w="396" w:type="pct"/>
            <w:vAlign w:val="center"/>
          </w:tcPr>
          <w:p w14:paraId="4272D853">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年</w:t>
            </w:r>
          </w:p>
        </w:tc>
        <w:tc>
          <w:tcPr>
            <w:tcW w:w="407" w:type="pct"/>
            <w:vAlign w:val="center"/>
          </w:tcPr>
          <w:p w14:paraId="2EE591D7">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c>
          <w:tcPr>
            <w:tcW w:w="470" w:type="pct"/>
            <w:vAlign w:val="center"/>
          </w:tcPr>
          <w:p w14:paraId="47949BB5">
            <w:pPr>
              <w:jc w:val="center"/>
              <w:rPr>
                <w:rFonts w:asciiTheme="minorEastAsia" w:hAnsiTheme="minorEastAsia" w:eastAsiaTheme="minorEastAsia"/>
                <w:color w:val="auto"/>
                <w:sz w:val="24"/>
                <w:szCs w:val="24"/>
                <w:highlight w:val="none"/>
              </w:rPr>
            </w:pPr>
          </w:p>
        </w:tc>
        <w:tc>
          <w:tcPr>
            <w:tcW w:w="487" w:type="pct"/>
            <w:vAlign w:val="center"/>
          </w:tcPr>
          <w:p w14:paraId="2003ECC4">
            <w:pPr>
              <w:jc w:val="center"/>
              <w:rPr>
                <w:rFonts w:asciiTheme="minorEastAsia" w:hAnsiTheme="minorEastAsia" w:eastAsiaTheme="minorEastAsia"/>
                <w:color w:val="auto"/>
                <w:sz w:val="24"/>
                <w:szCs w:val="24"/>
                <w:highlight w:val="none"/>
              </w:rPr>
            </w:pPr>
          </w:p>
        </w:tc>
        <w:tc>
          <w:tcPr>
            <w:tcW w:w="393" w:type="pct"/>
            <w:vAlign w:val="center"/>
          </w:tcPr>
          <w:p w14:paraId="7B89F86A">
            <w:pPr>
              <w:jc w:val="center"/>
              <w:rPr>
                <w:rFonts w:asciiTheme="minorEastAsia" w:hAnsiTheme="minorEastAsia" w:eastAsiaTheme="minorEastAsia"/>
                <w:color w:val="auto"/>
                <w:sz w:val="24"/>
                <w:szCs w:val="24"/>
                <w:highlight w:val="none"/>
              </w:rPr>
            </w:pPr>
          </w:p>
        </w:tc>
      </w:tr>
      <w:tr w14:paraId="6873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87" w:type="pct"/>
            <w:vAlign w:val="center"/>
          </w:tcPr>
          <w:p w14:paraId="319B7DFC">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2457" w:type="pct"/>
            <w:vAlign w:val="center"/>
          </w:tcPr>
          <w:p w14:paraId="0BC98CF1">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来六高速滁州北枢纽至皖苏省界向阳河段</w:t>
            </w:r>
          </w:p>
        </w:tc>
        <w:tc>
          <w:tcPr>
            <w:tcW w:w="396" w:type="pct"/>
            <w:vAlign w:val="center"/>
          </w:tcPr>
          <w:p w14:paraId="689B9AD2">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年</w:t>
            </w:r>
          </w:p>
        </w:tc>
        <w:tc>
          <w:tcPr>
            <w:tcW w:w="407" w:type="pct"/>
            <w:vAlign w:val="center"/>
          </w:tcPr>
          <w:p w14:paraId="04F06D53">
            <w:pPr>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p>
        </w:tc>
        <w:tc>
          <w:tcPr>
            <w:tcW w:w="470" w:type="pct"/>
            <w:vAlign w:val="center"/>
          </w:tcPr>
          <w:p w14:paraId="2E27B831">
            <w:pPr>
              <w:jc w:val="center"/>
              <w:rPr>
                <w:rFonts w:asciiTheme="minorEastAsia" w:hAnsiTheme="minorEastAsia" w:eastAsiaTheme="minorEastAsia"/>
                <w:color w:val="auto"/>
                <w:sz w:val="24"/>
                <w:szCs w:val="24"/>
                <w:highlight w:val="none"/>
              </w:rPr>
            </w:pPr>
          </w:p>
        </w:tc>
        <w:tc>
          <w:tcPr>
            <w:tcW w:w="487" w:type="pct"/>
            <w:vAlign w:val="center"/>
          </w:tcPr>
          <w:p w14:paraId="42423142">
            <w:pPr>
              <w:jc w:val="center"/>
              <w:rPr>
                <w:rFonts w:asciiTheme="minorEastAsia" w:hAnsiTheme="minorEastAsia" w:eastAsiaTheme="minorEastAsia"/>
                <w:color w:val="auto"/>
                <w:sz w:val="24"/>
                <w:szCs w:val="24"/>
                <w:highlight w:val="none"/>
              </w:rPr>
            </w:pPr>
          </w:p>
        </w:tc>
        <w:tc>
          <w:tcPr>
            <w:tcW w:w="393" w:type="pct"/>
            <w:vAlign w:val="center"/>
          </w:tcPr>
          <w:p w14:paraId="0841F948">
            <w:pPr>
              <w:jc w:val="center"/>
              <w:rPr>
                <w:rFonts w:asciiTheme="minorEastAsia" w:hAnsiTheme="minorEastAsia" w:eastAsiaTheme="minorEastAsia"/>
                <w:color w:val="auto"/>
                <w:sz w:val="24"/>
                <w:szCs w:val="24"/>
                <w:highlight w:val="none"/>
              </w:rPr>
            </w:pPr>
          </w:p>
        </w:tc>
      </w:tr>
      <w:tr w14:paraId="75FA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649" w:type="pct"/>
            <w:gridSpan w:val="4"/>
            <w:vAlign w:val="center"/>
          </w:tcPr>
          <w:p w14:paraId="76BBE33D">
            <w:pPr>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lang w:val="en-US" w:eastAsia="zh-CN"/>
              </w:rPr>
              <w:t>响应总报价</w:t>
            </w:r>
            <w:r>
              <w:rPr>
                <w:rFonts w:hint="eastAsia" w:asciiTheme="minorEastAsia" w:hAnsiTheme="minorEastAsia" w:eastAsiaTheme="minorEastAsia"/>
                <w:b/>
                <w:bCs/>
                <w:color w:val="auto"/>
                <w:sz w:val="24"/>
                <w:szCs w:val="24"/>
                <w:highlight w:val="none"/>
              </w:rPr>
              <w:t>合计（元）</w:t>
            </w:r>
          </w:p>
        </w:tc>
        <w:tc>
          <w:tcPr>
            <w:tcW w:w="957" w:type="pct"/>
            <w:gridSpan w:val="2"/>
          </w:tcPr>
          <w:p w14:paraId="18910981">
            <w:pPr>
              <w:rPr>
                <w:rFonts w:asciiTheme="minorEastAsia" w:hAnsiTheme="minorEastAsia" w:eastAsiaTheme="minorEastAsia"/>
                <w:color w:val="auto"/>
                <w:sz w:val="24"/>
                <w:szCs w:val="24"/>
                <w:highlight w:val="none"/>
              </w:rPr>
            </w:pPr>
          </w:p>
        </w:tc>
        <w:tc>
          <w:tcPr>
            <w:tcW w:w="393" w:type="pct"/>
          </w:tcPr>
          <w:p w14:paraId="245C6F8C">
            <w:pPr>
              <w:rPr>
                <w:rFonts w:asciiTheme="minorEastAsia" w:hAnsiTheme="minorEastAsia" w:eastAsiaTheme="minorEastAsia"/>
                <w:color w:val="auto"/>
                <w:sz w:val="24"/>
                <w:szCs w:val="24"/>
                <w:highlight w:val="none"/>
              </w:rPr>
            </w:pPr>
          </w:p>
        </w:tc>
      </w:tr>
    </w:tbl>
    <w:p w14:paraId="5ECB6C8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3099F4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2BE35A51">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287DED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响应总报价包含履行本项目的全部费用，以及完成本项目所需要的其他费用及所有价内价外税金及合理利润等</w:t>
      </w:r>
      <w:r>
        <w:rPr>
          <w:rFonts w:asciiTheme="minorEastAsia" w:hAnsiTheme="minorEastAsia" w:eastAsiaTheme="minorEastAsia"/>
          <w:color w:val="auto"/>
          <w:sz w:val="24"/>
          <w:highlight w:val="none"/>
        </w:rPr>
        <w:t>。</w:t>
      </w:r>
    </w:p>
    <w:p w14:paraId="5E991DDD">
      <w:pPr>
        <w:spacing w:line="360" w:lineRule="auto"/>
        <w:jc w:val="center"/>
        <w:outlineLvl w:val="1"/>
        <w:rPr>
          <w:rFonts w:hint="eastAsia" w:asciiTheme="minorEastAsia" w:hAnsiTheme="minorEastAsia" w:eastAsiaTheme="minorEastAsia"/>
          <w:b/>
          <w:color w:val="auto"/>
          <w:sz w:val="24"/>
          <w:highlight w:val="none"/>
        </w:rPr>
      </w:pPr>
    </w:p>
    <w:p w14:paraId="4E0689CA">
      <w:pPr>
        <w:spacing w:line="360" w:lineRule="auto"/>
        <w:jc w:val="center"/>
        <w:outlineLvl w:val="1"/>
        <w:rPr>
          <w:rFonts w:hint="eastAsia" w:asciiTheme="minorEastAsia" w:hAnsiTheme="minorEastAsia" w:eastAsiaTheme="minorEastAsia"/>
          <w:b/>
          <w:color w:val="auto"/>
          <w:sz w:val="24"/>
          <w:highlight w:val="none"/>
        </w:rPr>
      </w:pPr>
    </w:p>
    <w:p w14:paraId="4C43E82F">
      <w:pPr>
        <w:spacing w:line="360" w:lineRule="auto"/>
        <w:jc w:val="center"/>
        <w:outlineLvl w:val="1"/>
        <w:rPr>
          <w:rFonts w:hint="eastAsia" w:asciiTheme="minorEastAsia" w:hAnsiTheme="minorEastAsia" w:eastAsiaTheme="minorEastAsia"/>
          <w:b/>
          <w:color w:val="auto"/>
          <w:sz w:val="24"/>
          <w:highlight w:val="none"/>
        </w:rPr>
      </w:pPr>
    </w:p>
    <w:p w14:paraId="6B50EFD2">
      <w:pPr>
        <w:spacing w:line="360" w:lineRule="auto"/>
        <w:jc w:val="center"/>
        <w:outlineLvl w:val="1"/>
        <w:rPr>
          <w:rFonts w:hint="eastAsia" w:asciiTheme="minorEastAsia" w:hAnsiTheme="minorEastAsia" w:eastAsiaTheme="minorEastAsia"/>
          <w:b/>
          <w:color w:val="auto"/>
          <w:sz w:val="24"/>
          <w:highlight w:val="none"/>
        </w:rPr>
      </w:pPr>
    </w:p>
    <w:p w14:paraId="2E0700C5">
      <w:pPr>
        <w:spacing w:line="360" w:lineRule="auto"/>
        <w:jc w:val="center"/>
        <w:outlineLvl w:val="1"/>
        <w:rPr>
          <w:rFonts w:hint="eastAsia" w:asciiTheme="minorEastAsia" w:hAnsiTheme="minorEastAsia" w:eastAsiaTheme="minorEastAsia"/>
          <w:b/>
          <w:color w:val="auto"/>
          <w:sz w:val="24"/>
          <w:highlight w:val="none"/>
        </w:rPr>
      </w:pPr>
    </w:p>
    <w:p w14:paraId="611CFE3E">
      <w:pPr>
        <w:spacing w:line="360" w:lineRule="auto"/>
        <w:jc w:val="center"/>
        <w:outlineLvl w:val="1"/>
        <w:rPr>
          <w:rFonts w:hint="eastAsia" w:asciiTheme="minorEastAsia" w:hAnsiTheme="minorEastAsia" w:eastAsiaTheme="minorEastAsia"/>
          <w:b/>
          <w:color w:val="auto"/>
          <w:sz w:val="24"/>
          <w:highlight w:val="none"/>
        </w:rPr>
      </w:pPr>
    </w:p>
    <w:p w14:paraId="3C1D8032">
      <w:pPr>
        <w:spacing w:line="360" w:lineRule="auto"/>
        <w:jc w:val="center"/>
        <w:outlineLvl w:val="1"/>
        <w:rPr>
          <w:rFonts w:hint="eastAsia" w:asciiTheme="minorEastAsia" w:hAnsiTheme="minorEastAsia" w:eastAsiaTheme="minorEastAsia"/>
          <w:b/>
          <w:color w:val="auto"/>
          <w:sz w:val="24"/>
          <w:highlight w:val="none"/>
        </w:rPr>
      </w:pPr>
    </w:p>
    <w:p w14:paraId="32FA6DA2">
      <w:pPr>
        <w:spacing w:line="360" w:lineRule="auto"/>
        <w:jc w:val="center"/>
        <w:outlineLvl w:val="1"/>
        <w:rPr>
          <w:rFonts w:hint="eastAsia" w:asciiTheme="minorEastAsia" w:hAnsiTheme="minorEastAsia" w:eastAsiaTheme="minorEastAsia"/>
          <w:b/>
          <w:color w:val="auto"/>
          <w:sz w:val="24"/>
          <w:highlight w:val="none"/>
        </w:rPr>
      </w:pPr>
    </w:p>
    <w:p w14:paraId="5CFA8102">
      <w:pPr>
        <w:spacing w:line="360" w:lineRule="auto"/>
        <w:jc w:val="center"/>
        <w:outlineLvl w:val="1"/>
        <w:rPr>
          <w:rFonts w:hint="eastAsia" w:asciiTheme="minorEastAsia" w:hAnsiTheme="minorEastAsia" w:eastAsiaTheme="minorEastAsia"/>
          <w:b/>
          <w:color w:val="auto"/>
          <w:sz w:val="24"/>
          <w:highlight w:val="none"/>
        </w:rPr>
      </w:pPr>
    </w:p>
    <w:p w14:paraId="71386209">
      <w:pPr>
        <w:spacing w:line="360" w:lineRule="auto"/>
        <w:jc w:val="center"/>
        <w:outlineLvl w:val="1"/>
        <w:rPr>
          <w:rFonts w:hint="eastAsia" w:asciiTheme="minorEastAsia" w:hAnsiTheme="minorEastAsia" w:eastAsiaTheme="minorEastAsia"/>
          <w:b/>
          <w:color w:val="auto"/>
          <w:sz w:val="24"/>
          <w:highlight w:val="none"/>
        </w:rPr>
      </w:pPr>
    </w:p>
    <w:p w14:paraId="29BE9F48">
      <w:pPr>
        <w:spacing w:line="360" w:lineRule="auto"/>
        <w:jc w:val="center"/>
        <w:outlineLvl w:val="1"/>
        <w:rPr>
          <w:rFonts w:hint="eastAsia" w:asciiTheme="minorEastAsia" w:hAnsiTheme="minorEastAsia" w:eastAsiaTheme="minorEastAsia"/>
          <w:b/>
          <w:color w:val="auto"/>
          <w:sz w:val="24"/>
          <w:highlight w:val="none"/>
        </w:rPr>
      </w:pPr>
    </w:p>
    <w:p w14:paraId="2D819912">
      <w:pPr>
        <w:spacing w:line="360" w:lineRule="auto"/>
        <w:jc w:val="center"/>
        <w:outlineLvl w:val="1"/>
        <w:rPr>
          <w:rFonts w:hint="eastAsia" w:asciiTheme="minorEastAsia" w:hAnsiTheme="minorEastAsia" w:eastAsiaTheme="minorEastAsia"/>
          <w:b/>
          <w:color w:val="auto"/>
          <w:sz w:val="24"/>
          <w:highlight w:val="none"/>
        </w:rPr>
      </w:pPr>
    </w:p>
    <w:p w14:paraId="464E8009">
      <w:pPr>
        <w:spacing w:line="360" w:lineRule="auto"/>
        <w:jc w:val="center"/>
        <w:outlineLvl w:val="1"/>
        <w:rPr>
          <w:rFonts w:hint="eastAsia" w:asciiTheme="minorEastAsia" w:hAnsiTheme="minorEastAsia" w:eastAsiaTheme="minorEastAsia"/>
          <w:b/>
          <w:color w:val="auto"/>
          <w:sz w:val="24"/>
          <w:highlight w:val="none"/>
        </w:rPr>
      </w:pPr>
    </w:p>
    <w:p w14:paraId="066F1848">
      <w:pPr>
        <w:spacing w:line="360" w:lineRule="auto"/>
        <w:jc w:val="center"/>
        <w:outlineLvl w:val="1"/>
        <w:rPr>
          <w:rFonts w:hint="eastAsia" w:asciiTheme="minorEastAsia" w:hAnsiTheme="minorEastAsia" w:eastAsiaTheme="minorEastAsia"/>
          <w:b/>
          <w:color w:val="auto"/>
          <w:sz w:val="24"/>
          <w:highlight w:val="none"/>
        </w:rPr>
      </w:pPr>
    </w:p>
    <w:p w14:paraId="566907FF">
      <w:pPr>
        <w:spacing w:line="360" w:lineRule="auto"/>
        <w:jc w:val="center"/>
        <w:outlineLvl w:val="1"/>
        <w:rPr>
          <w:rFonts w:hint="eastAsia" w:asciiTheme="minorEastAsia" w:hAnsiTheme="minorEastAsia" w:eastAsiaTheme="minorEastAsia"/>
          <w:b/>
          <w:color w:val="auto"/>
          <w:sz w:val="24"/>
          <w:highlight w:val="none"/>
        </w:rPr>
      </w:pPr>
    </w:p>
    <w:p w14:paraId="41768D94">
      <w:pPr>
        <w:spacing w:line="360" w:lineRule="auto"/>
        <w:jc w:val="center"/>
        <w:outlineLvl w:val="1"/>
        <w:rPr>
          <w:rFonts w:hint="eastAsia" w:asciiTheme="minorEastAsia" w:hAnsiTheme="minorEastAsia" w:eastAsiaTheme="minorEastAsia"/>
          <w:b/>
          <w:color w:val="auto"/>
          <w:sz w:val="24"/>
          <w:highlight w:val="none"/>
        </w:rPr>
      </w:pPr>
    </w:p>
    <w:p w14:paraId="40AB3C61">
      <w:pPr>
        <w:spacing w:line="360" w:lineRule="auto"/>
        <w:jc w:val="center"/>
        <w:outlineLvl w:val="1"/>
        <w:rPr>
          <w:rFonts w:hint="eastAsia" w:asciiTheme="minorEastAsia" w:hAnsiTheme="minorEastAsia" w:eastAsiaTheme="minorEastAsia"/>
          <w:b/>
          <w:color w:val="auto"/>
          <w:sz w:val="24"/>
          <w:highlight w:val="none"/>
        </w:rPr>
      </w:pPr>
    </w:p>
    <w:p w14:paraId="64E91B5F">
      <w:pPr>
        <w:spacing w:line="360" w:lineRule="auto"/>
        <w:jc w:val="center"/>
        <w:outlineLvl w:val="1"/>
        <w:rPr>
          <w:rFonts w:hint="eastAsia" w:asciiTheme="minorEastAsia" w:hAnsiTheme="minorEastAsia" w:eastAsiaTheme="minorEastAsia"/>
          <w:b/>
          <w:color w:val="auto"/>
          <w:sz w:val="24"/>
          <w:highlight w:val="none"/>
        </w:rPr>
      </w:pPr>
    </w:p>
    <w:p w14:paraId="3024090D">
      <w:pPr>
        <w:spacing w:line="360" w:lineRule="auto"/>
        <w:jc w:val="center"/>
        <w:outlineLvl w:val="1"/>
        <w:rPr>
          <w:rFonts w:hint="eastAsia" w:asciiTheme="minorEastAsia" w:hAnsiTheme="minorEastAsia" w:eastAsiaTheme="minorEastAsia"/>
          <w:b/>
          <w:color w:val="auto"/>
          <w:sz w:val="24"/>
          <w:highlight w:val="none"/>
        </w:rPr>
      </w:pPr>
    </w:p>
    <w:bookmarkEnd w:id="62"/>
    <w:bookmarkEnd w:id="63"/>
    <w:p w14:paraId="725DE3AC">
      <w:pPr>
        <w:spacing w:line="360" w:lineRule="auto"/>
        <w:jc w:val="center"/>
        <w:outlineLvl w:val="1"/>
        <w:rPr>
          <w:rFonts w:asciiTheme="minorEastAsia" w:hAnsiTheme="minorEastAsia" w:eastAsiaTheme="minorEastAsia"/>
          <w:b/>
          <w:color w:val="auto"/>
          <w:sz w:val="24"/>
          <w:highlight w:val="none"/>
        </w:rPr>
      </w:pPr>
      <w:bookmarkStart w:id="65" w:name="_Toc26924"/>
      <w:bookmarkStart w:id="66" w:name="_Toc17882"/>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、响应函</w:t>
      </w:r>
      <w:bookmarkEnd w:id="65"/>
      <w:bookmarkEnd w:id="66"/>
    </w:p>
    <w:p w14:paraId="2CF7454D">
      <w:pPr>
        <w:pStyle w:val="16"/>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1E84EC9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1、我们决定参加贵单位组织的“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。我方授权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(姓名和职务)</w:t>
      </w:r>
      <w:r>
        <w:rPr>
          <w:rFonts w:hint="eastAsia" w:ascii="宋体" w:hAnsi="宋体" w:eastAsia="宋体" w:cs="宋体"/>
          <w:color w:val="auto"/>
          <w:sz w:val="24"/>
          <w:highlight w:val="none"/>
        </w:rPr>
        <w:t>代表我方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的名称）</w:t>
      </w:r>
      <w:r>
        <w:rPr>
          <w:rFonts w:hint="eastAsia" w:ascii="宋体" w:hAnsi="宋体" w:eastAsia="宋体" w:cs="宋体"/>
          <w:color w:val="auto"/>
          <w:sz w:val="24"/>
          <w:highlight w:val="none"/>
        </w:rPr>
        <w:t>全权处理本项目</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的有关事宜。</w:t>
      </w:r>
    </w:p>
    <w:p w14:paraId="661B9CD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2、我方愿意按照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文件规定的各项要求，向</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”项目的服务，</w:t>
      </w:r>
      <w:r>
        <w:rPr>
          <w:rFonts w:hint="eastAsia" w:ascii="宋体" w:hAnsi="宋体" w:eastAsia="宋体" w:cs="宋体"/>
          <w:b/>
          <w:bCs/>
          <w:color w:val="auto"/>
          <w:sz w:val="24"/>
          <w:szCs w:val="24"/>
          <w:highlight w:val="none"/>
          <w:lang w:val="en-US" w:eastAsia="zh-CN"/>
        </w:rPr>
        <w:t>响应报价</w:t>
      </w: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每年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（小写）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/年</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签订合同后按</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要求完成本项目所有工作</w:t>
      </w:r>
      <w:r>
        <w:rPr>
          <w:rFonts w:hint="eastAsia" w:ascii="宋体" w:hAnsi="宋体" w:eastAsia="宋体" w:cs="宋体"/>
          <w:color w:val="auto"/>
          <w:sz w:val="24"/>
          <w:highlight w:val="none"/>
          <w:lang w:eastAsia="zh-CN"/>
        </w:rPr>
        <w:t>。</w:t>
      </w:r>
    </w:p>
    <w:p w14:paraId="56FF172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3、一旦我方成为合同签字人，我方将严格履行合同规定的责任和义务。</w:t>
      </w:r>
    </w:p>
    <w:p w14:paraId="53C0A3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若</w:t>
      </w: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，愿意为本项目提交的纸质投标书一式</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份，其中正本一份、副本</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份。</w:t>
      </w:r>
    </w:p>
    <w:p w14:paraId="1E83D9C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、我方愿意提供可能另外要求的、与采购</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有关的文件资料，并保证我方已提供和将要提供的文件是真实的、准确的。</w:t>
      </w:r>
    </w:p>
    <w:p w14:paraId="0DA7A3C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、我单位提供如下通讯地址：</w:t>
      </w:r>
      <w:r>
        <w:rPr>
          <w:rFonts w:hint="eastAsia" w:ascii="宋体" w:hAnsi="宋体" w:eastAsia="宋体" w:cs="宋体"/>
          <w:color w:val="auto"/>
          <w:sz w:val="24"/>
          <w:highlight w:val="none"/>
          <w:u w:val="single"/>
        </w:rPr>
        <w:t xml:space="preserve">        电子邮箱（地址）</w:t>
      </w:r>
      <w:r>
        <w:rPr>
          <w:rFonts w:hint="eastAsia" w:ascii="宋体" w:hAnsi="宋体" w:eastAsia="宋体" w:cs="宋体"/>
          <w:color w:val="auto"/>
          <w:sz w:val="24"/>
          <w:highlight w:val="none"/>
        </w:rPr>
        <w:t>，确认本项目相关法律文书均通过提供的以上地址送达，相关文书只要发送至以上电子邮箱（地址）即视为送达，</w:t>
      </w:r>
      <w:r>
        <w:rPr>
          <w:rFonts w:hint="eastAsia" w:ascii="宋体" w:hAnsi="宋体" w:eastAsia="宋体" w:cs="宋体"/>
          <w:color w:val="auto"/>
          <w:sz w:val="24"/>
          <w:highlight w:val="none"/>
          <w:lang w:val="en-US" w:eastAsia="zh-CN"/>
        </w:rPr>
        <w:t>我方</w:t>
      </w:r>
      <w:r>
        <w:rPr>
          <w:rFonts w:hint="eastAsia" w:ascii="宋体" w:hAnsi="宋体" w:eastAsia="宋体" w:cs="宋体"/>
          <w:color w:val="auto"/>
          <w:sz w:val="24"/>
          <w:highlight w:val="none"/>
        </w:rPr>
        <w:t>愿意承担一切法律后果。</w:t>
      </w:r>
    </w:p>
    <w:p w14:paraId="2BF7C6B0">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名称（签章）</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4307A83">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单位法定代表人（签章）： </w:t>
      </w:r>
      <w:r>
        <w:rPr>
          <w:rFonts w:hint="eastAsia" w:ascii="宋体" w:hAnsi="宋体" w:eastAsia="宋体" w:cs="宋体"/>
          <w:color w:val="auto"/>
          <w:sz w:val="24"/>
          <w:szCs w:val="24"/>
          <w:highlight w:val="none"/>
          <w:u w:val="single"/>
        </w:rPr>
        <w:t xml:space="preserve">                        </w:t>
      </w:r>
    </w:p>
    <w:p w14:paraId="4AA5C34B">
      <w:pPr>
        <w:keepNext w:val="0"/>
        <w:keepLines w:val="0"/>
        <w:pageBreakBefore w:val="0"/>
        <w:widowControl w:val="0"/>
        <w:kinsoku/>
        <w:wordWrap/>
        <w:overflowPunct/>
        <w:topLinePunct w:val="0"/>
        <w:autoSpaceDE/>
        <w:autoSpaceDN/>
        <w:bidi w:val="0"/>
        <w:spacing w:line="480" w:lineRule="auto"/>
        <w:ind w:firstLine="720" w:firstLineChars="3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 w:val="24"/>
          <w:szCs w:val="24"/>
          <w:highlight w:val="none"/>
        </w:rPr>
        <w:t xml:space="preserve">日期：      年     月     日         </w:t>
      </w:r>
      <w:r>
        <w:rPr>
          <w:rFonts w:hint="eastAsia" w:ascii="宋体" w:hAnsi="宋体" w:eastAsia="宋体" w:cs="宋体"/>
          <w:color w:val="auto"/>
          <w:szCs w:val="21"/>
          <w:highlight w:val="none"/>
        </w:rPr>
        <w:t xml:space="preserve">    </w:t>
      </w:r>
    </w:p>
    <w:p w14:paraId="391696A5">
      <w:pPr>
        <w:spacing w:line="360" w:lineRule="auto"/>
        <w:ind w:firstLine="435"/>
        <w:rPr>
          <w:rFonts w:asciiTheme="minorEastAsia" w:hAnsiTheme="minorEastAsia" w:eastAsiaTheme="minorEastAsia"/>
          <w:color w:val="auto"/>
          <w:sz w:val="24"/>
          <w:highlight w:val="none"/>
        </w:rPr>
      </w:pPr>
    </w:p>
    <w:p w14:paraId="2ED1B51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7E4D06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67" w:name="_Toc963"/>
      <w:bookmarkStart w:id="68" w:name="_Toc2788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供应商资格声明书</w:t>
      </w:r>
      <w:bookmarkEnd w:id="67"/>
      <w:r>
        <w:rPr>
          <w:rFonts w:hint="eastAsia" w:asciiTheme="minorEastAsia" w:hAnsiTheme="minorEastAsia" w:eastAsiaTheme="minorEastAsia"/>
          <w:b/>
          <w:color w:val="auto"/>
          <w:sz w:val="24"/>
          <w:highlight w:val="none"/>
        </w:rPr>
        <w:t xml:space="preserve"> </w:t>
      </w:r>
    </w:p>
    <w:p w14:paraId="2AA754B2">
      <w:pPr>
        <w:pStyle w:val="16"/>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10"/>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AE0F32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8BAF882">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BD5CEB1">
      <w:pPr>
        <w:pStyle w:val="10"/>
        <w:rPr>
          <w:rFonts w:asciiTheme="minorEastAsia" w:hAnsiTheme="minorEastAsia" w:eastAsiaTheme="minorEastAsia" w:cstheme="minorEastAsia"/>
          <w:color w:val="auto"/>
          <w:kern w:val="0"/>
          <w:sz w:val="24"/>
          <w:highlight w:val="none"/>
          <w:lang w:val="en-US" w:bidi="ar"/>
        </w:rPr>
      </w:pPr>
    </w:p>
    <w:p w14:paraId="2C2FF5A3">
      <w:pPr>
        <w:pStyle w:val="10"/>
        <w:rPr>
          <w:rFonts w:asciiTheme="minorEastAsia" w:hAnsiTheme="minorEastAsia" w:eastAsiaTheme="minorEastAsia" w:cstheme="minorEastAsia"/>
          <w:color w:val="auto"/>
          <w:kern w:val="0"/>
          <w:sz w:val="24"/>
          <w:highlight w:val="none"/>
          <w:lang w:val="en-US" w:bidi="ar"/>
        </w:rPr>
      </w:pPr>
    </w:p>
    <w:p w14:paraId="67BBEF0C">
      <w:pPr>
        <w:pStyle w:val="10"/>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69" w:name="_Toc21371"/>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68"/>
      <w:bookmarkEnd w:id="69"/>
    </w:p>
    <w:p w14:paraId="0C46D0CC">
      <w:pPr>
        <w:pStyle w:val="15"/>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szCs w:val="28"/>
          <w:highlight w:val="none"/>
        </w:rPr>
        <w:t>授权</w:t>
      </w:r>
      <w:r>
        <w:rPr>
          <w:rFonts w:hint="eastAsia" w:asciiTheme="minorEastAsia" w:hAnsiTheme="minorEastAsia" w:eastAsiaTheme="minorEastAsia"/>
          <w:b/>
          <w:bCs/>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70" w:name="_Toc24321"/>
      <w:bookmarkStart w:id="71" w:name="_Toc14799"/>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、响应表</w:t>
      </w:r>
      <w:bookmarkEnd w:id="70"/>
      <w:bookmarkEnd w:id="71"/>
    </w:p>
    <w:p w14:paraId="284D95B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88"/>
        <w:gridCol w:w="2721"/>
        <w:gridCol w:w="2807"/>
        <w:gridCol w:w="882"/>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45AA36F">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35A4D6">
            <w:pPr>
              <w:pStyle w:val="1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FBF35D9">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要求</w:t>
            </w:r>
          </w:p>
        </w:tc>
        <w:tc>
          <w:tcPr>
            <w:tcW w:w="1511" w:type="pct"/>
            <w:vAlign w:val="center"/>
          </w:tcPr>
          <w:p w14:paraId="32038C03">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95C1B19">
            <w:pPr>
              <w:pStyle w:val="1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931DAF0">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正式保险单出具后，甲方应在</w:t>
            </w:r>
            <w:r>
              <w:rPr>
                <w:rFonts w:hint="eastAsia" w:asciiTheme="minorEastAsia" w:hAnsiTheme="minorEastAsia" w:eastAsiaTheme="minorEastAsia"/>
                <w:color w:val="auto"/>
                <w:sz w:val="24"/>
                <w:highlight w:val="none"/>
                <w:lang w:eastAsia="zh-CN"/>
              </w:rPr>
              <w:t>收到正式</w:t>
            </w:r>
            <w:r>
              <w:rPr>
                <w:rFonts w:hint="eastAsia" w:asciiTheme="minorEastAsia" w:hAnsiTheme="minorEastAsia" w:eastAsiaTheme="minorEastAsia"/>
                <w:color w:val="auto"/>
                <w:sz w:val="24"/>
                <w:highlight w:val="none"/>
              </w:rPr>
              <w:t>保险单</w:t>
            </w:r>
            <w:r>
              <w:rPr>
                <w:rFonts w:hint="eastAsia" w:asciiTheme="minorEastAsia" w:hAnsiTheme="minorEastAsia" w:eastAsiaTheme="minorEastAsia"/>
                <w:color w:val="auto"/>
                <w:sz w:val="24"/>
                <w:highlight w:val="none"/>
                <w:lang w:eastAsia="zh-CN"/>
              </w:rPr>
              <w:t>及保险费发票</w:t>
            </w:r>
            <w:r>
              <w:rPr>
                <w:rFonts w:hint="eastAsia" w:asciiTheme="minorEastAsia" w:hAnsiTheme="minorEastAsia" w:eastAsiaTheme="minorEastAsia"/>
                <w:color w:val="auto"/>
                <w:sz w:val="24"/>
                <w:highlight w:val="none"/>
                <w:lang w:val="en-US" w:eastAsia="zh-CN"/>
              </w:rPr>
              <w:t>30日</w:t>
            </w:r>
            <w:r>
              <w:rPr>
                <w:rFonts w:hint="eastAsia" w:asciiTheme="minorEastAsia" w:hAnsiTheme="minorEastAsia" w:eastAsiaTheme="minorEastAsia"/>
                <w:color w:val="auto"/>
                <w:sz w:val="24"/>
                <w:highlight w:val="none"/>
              </w:rPr>
              <w:t>内向</w:t>
            </w:r>
            <w:r>
              <w:rPr>
                <w:rFonts w:hint="eastAsia" w:asciiTheme="minorEastAsia" w:hAnsiTheme="minorEastAsia" w:eastAsiaTheme="minorEastAsia"/>
                <w:color w:val="auto"/>
                <w:sz w:val="24"/>
                <w:highlight w:val="none"/>
                <w:lang w:eastAsia="zh-CN"/>
              </w:rPr>
              <w:t>乙方</w:t>
            </w:r>
            <w:r>
              <w:rPr>
                <w:rFonts w:hint="eastAsia" w:asciiTheme="minorEastAsia" w:hAnsiTheme="minorEastAsia" w:eastAsiaTheme="minorEastAsia"/>
                <w:color w:val="auto"/>
                <w:sz w:val="24"/>
                <w:highlight w:val="none"/>
              </w:rPr>
              <w:t>缴纳</w:t>
            </w:r>
            <w:r>
              <w:rPr>
                <w:rFonts w:hint="eastAsia" w:asciiTheme="minorEastAsia" w:hAnsiTheme="minorEastAsia" w:eastAsiaTheme="minorEastAsia"/>
                <w:color w:val="auto"/>
                <w:sz w:val="24"/>
                <w:highlight w:val="none"/>
                <w:lang w:val="en-US" w:eastAsia="zh-CN"/>
              </w:rPr>
              <w:t>100%</w:t>
            </w:r>
            <w:r>
              <w:rPr>
                <w:rFonts w:hint="eastAsia" w:asciiTheme="minorEastAsia" w:hAnsiTheme="minorEastAsia" w:eastAsiaTheme="minorEastAsia"/>
                <w:color w:val="auto"/>
                <w:sz w:val="24"/>
                <w:highlight w:val="none"/>
              </w:rPr>
              <w:t>保险费</w:t>
            </w:r>
            <w:r>
              <w:rPr>
                <w:rFonts w:hint="eastAsia" w:asciiTheme="minorEastAsia" w:hAnsiTheme="minorEastAsia" w:eastAsiaTheme="minorEastAsia"/>
                <w:color w:val="auto"/>
                <w:sz w:val="24"/>
                <w:highlight w:val="none"/>
                <w:lang w:eastAsia="zh-CN"/>
              </w:rPr>
              <w:t>。</w:t>
            </w: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5"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4F259DE">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服务期</w:t>
            </w:r>
          </w:p>
        </w:tc>
        <w:tc>
          <w:tcPr>
            <w:tcW w:w="1465" w:type="pct"/>
            <w:vAlign w:val="center"/>
          </w:tcPr>
          <w:p w14:paraId="652C35B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3±N年(N为0,1,2)</w:t>
            </w: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5"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BCA1B82">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服务地点</w:t>
            </w:r>
          </w:p>
        </w:tc>
        <w:tc>
          <w:tcPr>
            <w:tcW w:w="1465" w:type="pct"/>
            <w:vAlign w:val="center"/>
          </w:tcPr>
          <w:p w14:paraId="4C30CFF5">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滁州市</w:t>
            </w:r>
          </w:p>
        </w:tc>
        <w:tc>
          <w:tcPr>
            <w:tcW w:w="1511" w:type="pct"/>
            <w:vAlign w:val="center"/>
          </w:tcPr>
          <w:p w14:paraId="466F5ED2">
            <w:pPr>
              <w:pStyle w:val="58"/>
              <w:jc w:val="center"/>
              <w:rPr>
                <w:rFonts w:asciiTheme="minorEastAsia" w:hAnsiTheme="minorEastAsia" w:eastAsiaTheme="minorEastAsia"/>
                <w:color w:val="auto"/>
                <w:highlight w:val="none"/>
              </w:rPr>
            </w:pPr>
          </w:p>
        </w:tc>
        <w:tc>
          <w:tcPr>
            <w:tcW w:w="475"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265CA5">
            <w:pPr>
              <w:jc w:val="center"/>
              <w:rPr>
                <w:rFonts w:asciiTheme="minorEastAsia" w:hAnsiTheme="minorEastAsia" w:eastAsiaTheme="minorEastAsia"/>
                <w:color w:val="auto"/>
                <w:sz w:val="24"/>
                <w:highlight w:val="none"/>
              </w:rPr>
            </w:pPr>
          </w:p>
        </w:tc>
        <w:tc>
          <w:tcPr>
            <w:tcW w:w="1124" w:type="pct"/>
            <w:vAlign w:val="center"/>
          </w:tcPr>
          <w:p w14:paraId="5291790F">
            <w:pPr>
              <w:jc w:val="center"/>
              <w:rPr>
                <w:rFonts w:asciiTheme="minorEastAsia" w:hAnsiTheme="minorEastAsia" w:eastAsiaTheme="minorEastAsia"/>
                <w:color w:val="auto"/>
                <w:sz w:val="24"/>
                <w:highlight w:val="none"/>
              </w:rPr>
            </w:pPr>
          </w:p>
        </w:tc>
        <w:tc>
          <w:tcPr>
            <w:tcW w:w="1465" w:type="pct"/>
            <w:vAlign w:val="center"/>
          </w:tcPr>
          <w:p w14:paraId="3EE0B9C0">
            <w:pPr>
              <w:jc w:val="center"/>
              <w:rPr>
                <w:rFonts w:asciiTheme="minorEastAsia" w:hAnsiTheme="minorEastAsia" w:eastAsiaTheme="minorEastAsia"/>
                <w:color w:val="auto"/>
                <w:sz w:val="24"/>
                <w:highlight w:val="none"/>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5"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D6D4EAB">
            <w:pPr>
              <w:jc w:val="center"/>
              <w:rPr>
                <w:rFonts w:asciiTheme="minorEastAsia" w:hAnsiTheme="minorEastAsia" w:eastAsiaTheme="minorEastAsia"/>
                <w:color w:val="auto"/>
                <w:sz w:val="24"/>
                <w:highlight w:val="none"/>
              </w:rPr>
            </w:pPr>
          </w:p>
        </w:tc>
        <w:tc>
          <w:tcPr>
            <w:tcW w:w="1465"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5" w:type="pct"/>
            <w:vAlign w:val="center"/>
          </w:tcPr>
          <w:p w14:paraId="2C1961A7">
            <w:pPr>
              <w:jc w:val="center"/>
              <w:rPr>
                <w:rFonts w:asciiTheme="minorEastAsia" w:hAnsiTheme="minorEastAsia" w:eastAsiaTheme="minorEastAsia"/>
                <w:color w:val="auto"/>
                <w:sz w:val="24"/>
                <w:highlight w:val="none"/>
              </w:rPr>
            </w:pPr>
          </w:p>
        </w:tc>
      </w:tr>
    </w:tbl>
    <w:p w14:paraId="65511DFD">
      <w:pPr>
        <w:spacing w:line="440" w:lineRule="exact"/>
        <w:rPr>
          <w:rFonts w:hint="default" w:ascii="宋体" w:hAnsi="宋体" w:eastAsia="宋体"/>
          <w:color w:val="auto"/>
          <w:sz w:val="24"/>
          <w:szCs w:val="24"/>
          <w:highlight w:val="none"/>
          <w:lang w:val="en-US" w:eastAsia="zh-CN"/>
        </w:rPr>
      </w:pPr>
    </w:p>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6900DBB8">
      <w:pPr>
        <w:pStyle w:val="16"/>
        <w:spacing w:line="360" w:lineRule="auto"/>
        <w:rPr>
          <w:rFonts w:asciiTheme="minorEastAsia" w:hAnsiTheme="minorEastAsia" w:eastAsiaTheme="minorEastAsia"/>
          <w:b w:val="0"/>
          <w:color w:val="auto"/>
          <w:sz w:val="24"/>
          <w:highlight w:val="none"/>
        </w:rPr>
      </w:pPr>
    </w:p>
    <w:p w14:paraId="46FF9691">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asciiTheme="minorEastAsia" w:hAnsiTheme="minorEastAsia" w:eastAsiaTheme="minorEastAsia"/>
          <w:b w:val="0"/>
          <w:color w:val="auto"/>
          <w:sz w:val="24"/>
          <w:highlight w:val="none"/>
        </w:rPr>
        <w:br w:type="page"/>
      </w:r>
      <w:r>
        <w:rPr>
          <w:rFonts w:hint="eastAsia" w:asciiTheme="minorEastAsia" w:hAnsiTheme="minorEastAsia" w:eastAsiaTheme="minorEastAsia"/>
          <w:b/>
          <w:color w:val="auto"/>
          <w:sz w:val="24"/>
          <w:highlight w:val="none"/>
          <w:lang w:val="en-US" w:eastAsia="zh-CN"/>
        </w:rPr>
        <w:t>六、服务承诺书</w:t>
      </w:r>
    </w:p>
    <w:p w14:paraId="560E6B1E">
      <w:pPr>
        <w:spacing w:line="60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(采购</w:t>
      </w:r>
      <w:r>
        <w:rPr>
          <w:rFonts w:hint="eastAsia" w:ascii="宋体" w:hAnsi="宋体" w:eastAsia="宋体" w:cs="宋体"/>
          <w:bCs/>
          <w:color w:val="auto"/>
          <w:sz w:val="24"/>
          <w:szCs w:val="24"/>
          <w:highlight w:val="none"/>
          <w:u w:val="single"/>
        </w:rPr>
        <w:t>人）：</w:t>
      </w:r>
    </w:p>
    <w:p w14:paraId="472B755A">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本承诺声明：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名称）对本</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文件的相关要求完全响应。若有幸</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将严格按照以上承诺进行服务。</w:t>
      </w:r>
    </w:p>
    <w:p w14:paraId="580B4E31">
      <w:pPr>
        <w:pStyle w:val="44"/>
        <w:spacing w:line="6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035D79C7">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1E65D5B8">
      <w:pPr>
        <w:spacing w:line="6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43851A68">
      <w:pPr>
        <w:spacing w:line="60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法定代表人(签章)： </w:t>
      </w:r>
      <w:r>
        <w:rPr>
          <w:rFonts w:hint="eastAsia" w:ascii="宋体" w:hAnsi="宋体" w:eastAsia="宋体" w:cs="宋体"/>
          <w:bCs/>
          <w:color w:val="auto"/>
          <w:sz w:val="24"/>
          <w:szCs w:val="24"/>
          <w:highlight w:val="none"/>
          <w:u w:val="single" w:color="auto"/>
        </w:rPr>
        <w:t xml:space="preserve">    </w:t>
      </w:r>
      <w:r>
        <w:rPr>
          <w:rFonts w:hint="eastAsia" w:ascii="宋体" w:hAnsi="宋体" w:eastAsia="宋体" w:cs="宋体"/>
          <w:bCs/>
          <w:color w:val="auto"/>
          <w:sz w:val="24"/>
          <w:szCs w:val="24"/>
          <w:highlight w:val="none"/>
          <w:u w:val="single"/>
        </w:rPr>
        <w:t xml:space="preserve">            </w:t>
      </w:r>
    </w:p>
    <w:p w14:paraId="1D423C74">
      <w:pPr>
        <w:wordWrap w:val="0"/>
        <w:spacing w:before="100" w:beforeAutospacing="1" w:after="100" w:afterAutospacing="1"/>
        <w:jc w:val="center"/>
        <w:rPr>
          <w:rFonts w:hint="eastAsia" w:ascii="宋体" w:hAnsi="宋体" w:eastAsia="宋体" w:cs="宋体"/>
          <w:b/>
          <w:bCs w:val="0"/>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 xml:space="preserve">        （签章）  </w:t>
      </w:r>
    </w:p>
    <w:p w14:paraId="261B87C1">
      <w:pPr>
        <w:wordWrap w:val="0"/>
        <w:spacing w:before="100" w:beforeAutospacing="1" w:after="100" w:afterAutospacing="1"/>
        <w:jc w:val="center"/>
        <w:rPr>
          <w:rFonts w:hint="eastAsia" w:ascii="宋体" w:hAnsi="宋体" w:cs="宋体"/>
          <w:b/>
          <w:bCs w:val="0"/>
          <w:color w:val="auto"/>
          <w:sz w:val="24"/>
          <w:szCs w:val="24"/>
          <w:highlight w:val="none"/>
          <w:u w:val="single"/>
        </w:rPr>
      </w:pPr>
    </w:p>
    <w:p w14:paraId="213ED563">
      <w:pPr>
        <w:pStyle w:val="13"/>
        <w:rPr>
          <w:rFonts w:hint="eastAsia" w:ascii="宋体" w:hAnsi="宋体" w:cs="宋体"/>
          <w:b/>
          <w:bCs w:val="0"/>
          <w:color w:val="auto"/>
          <w:sz w:val="24"/>
          <w:szCs w:val="24"/>
          <w:highlight w:val="none"/>
          <w:u w:val="single"/>
        </w:rPr>
      </w:pPr>
    </w:p>
    <w:p w14:paraId="784E591F">
      <w:pPr>
        <w:pStyle w:val="13"/>
        <w:rPr>
          <w:rFonts w:hint="eastAsia" w:ascii="宋体" w:hAnsi="宋体" w:cs="宋体"/>
          <w:b/>
          <w:bCs w:val="0"/>
          <w:color w:val="auto"/>
          <w:sz w:val="24"/>
          <w:szCs w:val="24"/>
          <w:highlight w:val="none"/>
          <w:u w:val="single"/>
        </w:rPr>
      </w:pPr>
    </w:p>
    <w:p w14:paraId="7C536180">
      <w:pPr>
        <w:pStyle w:val="13"/>
        <w:rPr>
          <w:rFonts w:hint="eastAsia" w:ascii="宋体" w:hAnsi="宋体" w:cs="宋体"/>
          <w:b/>
          <w:bCs w:val="0"/>
          <w:color w:val="auto"/>
          <w:sz w:val="24"/>
          <w:szCs w:val="24"/>
          <w:highlight w:val="none"/>
          <w:u w:val="single"/>
        </w:rPr>
      </w:pPr>
    </w:p>
    <w:p w14:paraId="116213D5">
      <w:pPr>
        <w:pStyle w:val="13"/>
        <w:rPr>
          <w:rFonts w:hint="eastAsia" w:ascii="宋体" w:hAnsi="宋体" w:cs="宋体"/>
          <w:b/>
          <w:bCs w:val="0"/>
          <w:color w:val="auto"/>
          <w:sz w:val="24"/>
          <w:szCs w:val="24"/>
          <w:highlight w:val="none"/>
          <w:u w:val="single"/>
        </w:rPr>
      </w:pPr>
    </w:p>
    <w:p w14:paraId="42D74BB1">
      <w:pPr>
        <w:pStyle w:val="13"/>
        <w:rPr>
          <w:rFonts w:hint="eastAsia" w:ascii="宋体" w:hAnsi="宋体" w:cs="宋体"/>
          <w:b/>
          <w:bCs w:val="0"/>
          <w:color w:val="auto"/>
          <w:sz w:val="24"/>
          <w:szCs w:val="24"/>
          <w:highlight w:val="none"/>
          <w:u w:val="single"/>
        </w:rPr>
      </w:pPr>
    </w:p>
    <w:p w14:paraId="45E77DDA">
      <w:pPr>
        <w:pStyle w:val="13"/>
        <w:rPr>
          <w:rFonts w:hint="eastAsia" w:ascii="宋体" w:hAnsi="宋体" w:cs="宋体"/>
          <w:b/>
          <w:bCs w:val="0"/>
          <w:color w:val="auto"/>
          <w:sz w:val="24"/>
          <w:szCs w:val="24"/>
          <w:highlight w:val="none"/>
          <w:u w:val="single"/>
        </w:rPr>
      </w:pPr>
    </w:p>
    <w:p w14:paraId="2891B8CC">
      <w:pPr>
        <w:pStyle w:val="13"/>
        <w:rPr>
          <w:rFonts w:hint="eastAsia" w:ascii="宋体" w:hAnsi="宋体" w:cs="宋体"/>
          <w:b/>
          <w:bCs w:val="0"/>
          <w:color w:val="auto"/>
          <w:sz w:val="24"/>
          <w:szCs w:val="24"/>
          <w:highlight w:val="none"/>
          <w:u w:val="single"/>
        </w:rPr>
      </w:pPr>
    </w:p>
    <w:p w14:paraId="240AB6E5">
      <w:pPr>
        <w:pStyle w:val="13"/>
        <w:rPr>
          <w:rFonts w:hint="eastAsia" w:ascii="宋体" w:hAnsi="宋体" w:cs="宋体"/>
          <w:b/>
          <w:bCs w:val="0"/>
          <w:color w:val="auto"/>
          <w:sz w:val="24"/>
          <w:szCs w:val="24"/>
          <w:highlight w:val="none"/>
          <w:u w:val="single"/>
        </w:rPr>
      </w:pPr>
    </w:p>
    <w:p w14:paraId="41BC15D8">
      <w:pPr>
        <w:pStyle w:val="13"/>
        <w:rPr>
          <w:rFonts w:hint="eastAsia" w:ascii="宋体" w:hAnsi="宋体" w:cs="宋体"/>
          <w:b/>
          <w:bCs w:val="0"/>
          <w:color w:val="auto"/>
          <w:sz w:val="24"/>
          <w:szCs w:val="24"/>
          <w:highlight w:val="none"/>
          <w:u w:val="single"/>
        </w:rPr>
      </w:pPr>
    </w:p>
    <w:p w14:paraId="216B1BCB">
      <w:pPr>
        <w:pStyle w:val="13"/>
        <w:rPr>
          <w:rFonts w:hint="eastAsia" w:ascii="宋体" w:hAnsi="宋体" w:cs="宋体"/>
          <w:b/>
          <w:bCs w:val="0"/>
          <w:color w:val="auto"/>
          <w:sz w:val="24"/>
          <w:szCs w:val="24"/>
          <w:highlight w:val="none"/>
          <w:u w:val="single"/>
        </w:rPr>
      </w:pPr>
    </w:p>
    <w:p w14:paraId="66EE3B7A">
      <w:pPr>
        <w:pStyle w:val="13"/>
        <w:rPr>
          <w:rFonts w:hint="eastAsia" w:ascii="宋体" w:hAnsi="宋体" w:cs="宋体"/>
          <w:b/>
          <w:bCs w:val="0"/>
          <w:color w:val="auto"/>
          <w:sz w:val="24"/>
          <w:szCs w:val="24"/>
          <w:highlight w:val="none"/>
          <w:u w:val="single"/>
        </w:rPr>
      </w:pPr>
    </w:p>
    <w:p w14:paraId="1D8A6BB6">
      <w:pPr>
        <w:pStyle w:val="13"/>
        <w:rPr>
          <w:rFonts w:hint="eastAsia" w:ascii="宋体" w:hAnsi="宋体" w:cs="宋体"/>
          <w:b/>
          <w:bCs w:val="0"/>
          <w:color w:val="auto"/>
          <w:sz w:val="24"/>
          <w:szCs w:val="24"/>
          <w:highlight w:val="none"/>
          <w:u w:val="single"/>
        </w:rPr>
      </w:pPr>
    </w:p>
    <w:p w14:paraId="262E47E0">
      <w:pPr>
        <w:pStyle w:val="13"/>
        <w:rPr>
          <w:rFonts w:hint="eastAsia" w:ascii="宋体" w:hAnsi="宋体" w:cs="宋体"/>
          <w:b/>
          <w:bCs w:val="0"/>
          <w:color w:val="auto"/>
          <w:sz w:val="24"/>
          <w:szCs w:val="24"/>
          <w:highlight w:val="none"/>
          <w:u w:val="single"/>
        </w:rPr>
      </w:pPr>
    </w:p>
    <w:p w14:paraId="3E387202">
      <w:pPr>
        <w:pStyle w:val="13"/>
        <w:rPr>
          <w:rFonts w:hint="eastAsia" w:ascii="宋体" w:hAnsi="宋体" w:cs="宋体"/>
          <w:b/>
          <w:bCs w:val="0"/>
          <w:color w:val="auto"/>
          <w:sz w:val="24"/>
          <w:szCs w:val="24"/>
          <w:highlight w:val="none"/>
          <w:u w:val="single"/>
        </w:rPr>
      </w:pPr>
    </w:p>
    <w:p w14:paraId="595C483D">
      <w:pPr>
        <w:pStyle w:val="13"/>
        <w:rPr>
          <w:rFonts w:hint="eastAsia" w:ascii="宋体" w:hAnsi="宋体" w:cs="宋体"/>
          <w:b/>
          <w:bCs w:val="0"/>
          <w:color w:val="auto"/>
          <w:sz w:val="24"/>
          <w:szCs w:val="24"/>
          <w:highlight w:val="none"/>
          <w:u w:val="single"/>
        </w:rPr>
      </w:pPr>
    </w:p>
    <w:p w14:paraId="24808B9A">
      <w:pPr>
        <w:pStyle w:val="13"/>
        <w:rPr>
          <w:rFonts w:hint="eastAsia" w:ascii="宋体" w:hAnsi="宋体" w:cs="宋体"/>
          <w:b/>
          <w:bCs w:val="0"/>
          <w:color w:val="auto"/>
          <w:sz w:val="24"/>
          <w:szCs w:val="24"/>
          <w:highlight w:val="none"/>
          <w:u w:val="single"/>
        </w:rPr>
      </w:pPr>
    </w:p>
    <w:p w14:paraId="62CB2FFA">
      <w:pPr>
        <w:pStyle w:val="13"/>
        <w:rPr>
          <w:rFonts w:hint="eastAsia" w:ascii="宋体" w:hAnsi="宋体" w:cs="宋体"/>
          <w:b/>
          <w:bCs w:val="0"/>
          <w:color w:val="auto"/>
          <w:sz w:val="24"/>
          <w:szCs w:val="24"/>
          <w:highlight w:val="none"/>
          <w:u w:val="single"/>
        </w:rPr>
      </w:pPr>
    </w:p>
    <w:p w14:paraId="1574C09D">
      <w:pPr>
        <w:pStyle w:val="13"/>
        <w:rPr>
          <w:rFonts w:hint="eastAsia" w:ascii="宋体" w:hAnsi="宋体" w:cs="宋体"/>
          <w:b/>
          <w:bCs w:val="0"/>
          <w:color w:val="auto"/>
          <w:sz w:val="24"/>
          <w:szCs w:val="24"/>
          <w:highlight w:val="none"/>
          <w:u w:val="single"/>
        </w:rPr>
      </w:pPr>
    </w:p>
    <w:p w14:paraId="35E2A362">
      <w:pPr>
        <w:pStyle w:val="13"/>
        <w:rPr>
          <w:rFonts w:hint="eastAsia" w:ascii="宋体" w:hAnsi="宋体" w:cs="宋体"/>
          <w:b/>
          <w:bCs w:val="0"/>
          <w:color w:val="auto"/>
          <w:sz w:val="24"/>
          <w:szCs w:val="24"/>
          <w:highlight w:val="none"/>
          <w:u w:val="single"/>
        </w:rPr>
      </w:pPr>
    </w:p>
    <w:p w14:paraId="727A125A">
      <w:pPr>
        <w:pStyle w:val="16"/>
        <w:spacing w:line="360" w:lineRule="auto"/>
        <w:rPr>
          <w:rFonts w:asciiTheme="minorEastAsia" w:hAnsiTheme="minorEastAsia" w:eastAsiaTheme="minorEastAsia"/>
          <w:b w:val="0"/>
          <w:color w:val="auto"/>
          <w:sz w:val="24"/>
          <w:highlight w:val="none"/>
        </w:rPr>
      </w:pPr>
    </w:p>
    <w:p w14:paraId="35DCC6ED">
      <w:pPr>
        <w:spacing w:line="360" w:lineRule="auto"/>
        <w:jc w:val="center"/>
        <w:outlineLvl w:val="1"/>
        <w:rPr>
          <w:rFonts w:asciiTheme="minorEastAsia" w:hAnsiTheme="minorEastAsia" w:eastAsiaTheme="minorEastAsia"/>
          <w:b/>
          <w:color w:val="auto"/>
          <w:sz w:val="24"/>
          <w:highlight w:val="none"/>
        </w:rPr>
      </w:pPr>
      <w:bookmarkStart w:id="72" w:name="_Toc10896"/>
      <w:bookmarkStart w:id="73" w:name="_Toc539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72"/>
      <w:bookmarkEnd w:id="73"/>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Theme="minorEastAsia" w:hAnsiTheme="minorEastAsia" w:eastAsiaTheme="minorEastAsia" w:cstheme="minorEastAsia"/>
          <w:color w:val="auto"/>
          <w:kern w:val="0"/>
          <w:sz w:val="24"/>
          <w:szCs w:val="24"/>
          <w:highlight w:val="none"/>
          <w:lang w:val="en-US" w:eastAsia="zh-CN" w:bidi="ar"/>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74" w:name="_Toc1350"/>
      <w:bookmarkStart w:id="75" w:name="_Toc23417"/>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、诚信履约承诺函</w:t>
      </w:r>
      <w:bookmarkEnd w:id="74"/>
      <w:bookmarkEnd w:id="75"/>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询价采购文件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87904F3">
      <w:pPr>
        <w:widowControl/>
        <w:jc w:val="left"/>
        <w:rPr>
          <w:rFonts w:asciiTheme="minorEastAsia" w:hAnsiTheme="minorEastAsia" w:eastAsiaTheme="minorEastAsia"/>
          <w:color w:val="auto"/>
          <w:sz w:val="24"/>
          <w:highlight w:val="none"/>
        </w:rPr>
      </w:pPr>
    </w:p>
    <w:p w14:paraId="42A35DEC">
      <w:pPr>
        <w:spacing w:line="360" w:lineRule="auto"/>
        <w:jc w:val="center"/>
        <w:outlineLvl w:val="1"/>
        <w:rPr>
          <w:rFonts w:asciiTheme="minorEastAsia" w:hAnsiTheme="minorEastAsia" w:eastAsiaTheme="minorEastAsia"/>
          <w:b/>
          <w:color w:val="auto"/>
          <w:sz w:val="24"/>
          <w:highlight w:val="none"/>
        </w:rPr>
      </w:pPr>
      <w:bookmarkStart w:id="76" w:name="_Toc12602"/>
      <w:bookmarkStart w:id="77" w:name="_Toc1951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76"/>
      <w:bookmarkEnd w:id="77"/>
    </w:p>
    <w:p w14:paraId="46A04CB1">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1、营业执照等证明文件</w:t>
      </w:r>
    </w:p>
    <w:p w14:paraId="29F2CD67">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2、保险许可证</w:t>
      </w:r>
    </w:p>
    <w:p w14:paraId="4D17418B">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3、</w:t>
      </w:r>
      <w:r>
        <w:rPr>
          <w:rFonts w:hint="eastAsia" w:cs="@仿宋_GB2312" w:asciiTheme="minorEastAsia" w:hAnsiTheme="minorEastAsia" w:eastAsiaTheme="minorEastAsia"/>
          <w:b/>
          <w:bCs/>
          <w:color w:val="auto"/>
          <w:kern w:val="2"/>
          <w:sz w:val="24"/>
          <w:szCs w:val="20"/>
          <w:highlight w:val="none"/>
          <w:lang w:val="en-US" w:eastAsia="zh-CN" w:bidi="ar-SA"/>
        </w:rPr>
        <w:t>报价单（如有）</w:t>
      </w:r>
    </w:p>
    <w:p w14:paraId="3F623EDF">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kern w:val="2"/>
          <w:sz w:val="24"/>
          <w:szCs w:val="20"/>
          <w:highlight w:val="none"/>
          <w:lang w:val="en-US" w:eastAsia="zh-CN" w:bidi="ar-SA"/>
        </w:rPr>
        <w:t>4、</w:t>
      </w:r>
      <w:r>
        <w:rPr>
          <w:rFonts w:hint="eastAsia" w:asciiTheme="minorEastAsia" w:hAnsiTheme="minorEastAsia" w:eastAsiaTheme="minorEastAsia"/>
          <w:b/>
          <w:bCs/>
          <w:color w:val="auto"/>
          <w:sz w:val="24"/>
          <w:highlight w:val="none"/>
          <w:lang w:val="en-US" w:eastAsia="zh-CN"/>
        </w:rPr>
        <w:t>供应商认为需要提供的其他材料（如有）。</w:t>
      </w:r>
    </w:p>
    <w:p w14:paraId="760E3BC1">
      <w:pPr>
        <w:pStyle w:val="44"/>
        <w:rPr>
          <w:rFonts w:hint="eastAsia" w:cs="@仿宋_GB2312" w:asciiTheme="minorEastAsia" w:hAnsiTheme="minorEastAsia" w:eastAsiaTheme="minorEastAsia"/>
          <w:b/>
          <w:bCs/>
          <w:color w:val="auto"/>
          <w:kern w:val="2"/>
          <w:sz w:val="24"/>
          <w:szCs w:val="20"/>
          <w:highlight w:val="none"/>
          <w:lang w:val="en-US" w:eastAsia="zh-CN" w:bidi="ar-SA"/>
        </w:rPr>
      </w:pPr>
    </w:p>
    <w:bookmarkEnd w:id="64"/>
    <w:p w14:paraId="00943BE2">
      <w:pPr>
        <w:spacing w:line="600" w:lineRule="auto"/>
        <w:ind w:firstLine="435"/>
        <w:rPr>
          <w:rFonts w:ascii="宋体" w:hAnsi="宋体" w:eastAsia="宋体" w:cs="宋体"/>
          <w:b/>
          <w:bCs/>
          <w:color w:val="auto"/>
          <w:kern w:val="0"/>
          <w:sz w:val="24"/>
          <w:szCs w:val="24"/>
          <w:highlight w:val="none"/>
          <w:lang w:bidi="ar"/>
        </w:rPr>
      </w:pPr>
      <w:bookmarkStart w:id="78" w:name="_Toc60608832"/>
      <w:bookmarkStart w:id="79" w:name="_Toc11711"/>
      <w:bookmarkStart w:id="80" w:name="_Toc1141"/>
    </w:p>
    <w:p w14:paraId="0F60937E">
      <w:pPr>
        <w:spacing w:line="360" w:lineRule="auto"/>
        <w:jc w:val="center"/>
        <w:outlineLvl w:val="0"/>
        <w:rPr>
          <w:rFonts w:hint="eastAsia" w:asciiTheme="minorEastAsia" w:hAnsiTheme="minorEastAsia" w:eastAsiaTheme="minorEastAsia"/>
          <w:b/>
          <w:color w:val="auto"/>
          <w:sz w:val="28"/>
          <w:highlight w:val="none"/>
        </w:rPr>
      </w:pPr>
    </w:p>
    <w:p w14:paraId="4018BC61">
      <w:pPr>
        <w:spacing w:line="360" w:lineRule="auto"/>
        <w:jc w:val="center"/>
        <w:outlineLvl w:val="0"/>
        <w:rPr>
          <w:rFonts w:hint="eastAsia" w:asciiTheme="minorEastAsia" w:hAnsiTheme="minorEastAsia" w:eastAsiaTheme="minorEastAsia"/>
          <w:b/>
          <w:color w:val="auto"/>
          <w:sz w:val="28"/>
          <w:highlight w:val="none"/>
        </w:rPr>
      </w:pPr>
    </w:p>
    <w:p w14:paraId="157F5F18">
      <w:pPr>
        <w:spacing w:line="360" w:lineRule="auto"/>
        <w:jc w:val="center"/>
        <w:outlineLvl w:val="0"/>
        <w:rPr>
          <w:rFonts w:hint="eastAsia" w:asciiTheme="minorEastAsia" w:hAnsiTheme="minorEastAsia" w:eastAsiaTheme="minorEastAsia"/>
          <w:b/>
          <w:color w:val="auto"/>
          <w:sz w:val="28"/>
          <w:highlight w:val="none"/>
        </w:rPr>
      </w:pPr>
    </w:p>
    <w:p w14:paraId="5DE4BA63">
      <w:pPr>
        <w:spacing w:line="360" w:lineRule="auto"/>
        <w:jc w:val="center"/>
        <w:outlineLvl w:val="0"/>
        <w:rPr>
          <w:rFonts w:hint="eastAsia" w:asciiTheme="minorEastAsia" w:hAnsiTheme="minorEastAsia" w:eastAsiaTheme="minorEastAsia"/>
          <w:b/>
          <w:color w:val="auto"/>
          <w:sz w:val="28"/>
          <w:highlight w:val="none"/>
        </w:rPr>
      </w:pPr>
    </w:p>
    <w:p w14:paraId="00529374">
      <w:pPr>
        <w:spacing w:line="360" w:lineRule="auto"/>
        <w:jc w:val="center"/>
        <w:outlineLvl w:val="0"/>
        <w:rPr>
          <w:rFonts w:hint="eastAsia" w:asciiTheme="minorEastAsia" w:hAnsiTheme="minorEastAsia" w:eastAsiaTheme="minorEastAsia"/>
          <w:b/>
          <w:color w:val="auto"/>
          <w:sz w:val="28"/>
          <w:highlight w:val="none"/>
        </w:rPr>
      </w:pPr>
    </w:p>
    <w:p w14:paraId="657BE6B6">
      <w:pPr>
        <w:spacing w:line="360" w:lineRule="auto"/>
        <w:jc w:val="center"/>
        <w:outlineLvl w:val="0"/>
        <w:rPr>
          <w:rFonts w:hint="eastAsia" w:asciiTheme="minorEastAsia" w:hAnsiTheme="minorEastAsia" w:eastAsiaTheme="minorEastAsia"/>
          <w:b/>
          <w:color w:val="auto"/>
          <w:sz w:val="28"/>
          <w:highlight w:val="none"/>
        </w:rPr>
      </w:pPr>
    </w:p>
    <w:p w14:paraId="042E3E4A">
      <w:pPr>
        <w:spacing w:line="360" w:lineRule="auto"/>
        <w:jc w:val="center"/>
        <w:outlineLvl w:val="0"/>
        <w:rPr>
          <w:rFonts w:hint="eastAsia" w:asciiTheme="minorEastAsia" w:hAnsiTheme="minorEastAsia" w:eastAsiaTheme="minorEastAsia"/>
          <w:b/>
          <w:color w:val="auto"/>
          <w:sz w:val="28"/>
          <w:highlight w:val="none"/>
        </w:rPr>
      </w:pPr>
    </w:p>
    <w:p w14:paraId="669951C1">
      <w:pPr>
        <w:spacing w:line="360" w:lineRule="auto"/>
        <w:jc w:val="center"/>
        <w:outlineLvl w:val="0"/>
        <w:rPr>
          <w:rFonts w:hint="eastAsia" w:asciiTheme="minorEastAsia" w:hAnsiTheme="minorEastAsia" w:eastAsiaTheme="minorEastAsia"/>
          <w:b/>
          <w:color w:val="auto"/>
          <w:sz w:val="28"/>
          <w:highlight w:val="none"/>
        </w:rPr>
      </w:pPr>
    </w:p>
    <w:p w14:paraId="06C1E201">
      <w:pPr>
        <w:spacing w:line="360" w:lineRule="auto"/>
        <w:jc w:val="center"/>
        <w:outlineLvl w:val="0"/>
        <w:rPr>
          <w:rFonts w:hint="eastAsia" w:asciiTheme="minorEastAsia" w:hAnsiTheme="minorEastAsia" w:eastAsiaTheme="minorEastAsia"/>
          <w:b/>
          <w:color w:val="auto"/>
          <w:sz w:val="28"/>
          <w:highlight w:val="none"/>
        </w:rPr>
      </w:pPr>
    </w:p>
    <w:p w14:paraId="69721101">
      <w:pPr>
        <w:spacing w:line="360" w:lineRule="auto"/>
        <w:jc w:val="center"/>
        <w:outlineLvl w:val="0"/>
        <w:rPr>
          <w:rFonts w:hint="eastAsia" w:asciiTheme="minorEastAsia" w:hAnsiTheme="minorEastAsia" w:eastAsiaTheme="minorEastAsia"/>
          <w:b/>
          <w:color w:val="auto"/>
          <w:sz w:val="28"/>
          <w:highlight w:val="none"/>
        </w:rPr>
      </w:pPr>
    </w:p>
    <w:p w14:paraId="1CC94E7E">
      <w:pPr>
        <w:spacing w:line="360" w:lineRule="auto"/>
        <w:jc w:val="center"/>
        <w:outlineLvl w:val="0"/>
        <w:rPr>
          <w:rFonts w:hint="eastAsia" w:asciiTheme="minorEastAsia" w:hAnsiTheme="minorEastAsia" w:eastAsiaTheme="minorEastAsia"/>
          <w:b/>
          <w:color w:val="auto"/>
          <w:sz w:val="28"/>
          <w:highlight w:val="none"/>
        </w:rPr>
      </w:pPr>
    </w:p>
    <w:p w14:paraId="75D2D9E7">
      <w:pPr>
        <w:spacing w:line="360" w:lineRule="auto"/>
        <w:jc w:val="center"/>
        <w:outlineLvl w:val="0"/>
        <w:rPr>
          <w:rFonts w:hint="eastAsia" w:asciiTheme="minorEastAsia" w:hAnsiTheme="minorEastAsia" w:eastAsiaTheme="minorEastAsia"/>
          <w:b/>
          <w:color w:val="auto"/>
          <w:sz w:val="28"/>
          <w:highlight w:val="none"/>
        </w:rPr>
      </w:pPr>
    </w:p>
    <w:p w14:paraId="0B533BC3">
      <w:pPr>
        <w:spacing w:line="360" w:lineRule="auto"/>
        <w:jc w:val="center"/>
        <w:outlineLvl w:val="0"/>
        <w:rPr>
          <w:rFonts w:hint="eastAsia" w:asciiTheme="minorEastAsia" w:hAnsiTheme="minorEastAsia" w:eastAsiaTheme="minorEastAsia"/>
          <w:b/>
          <w:color w:val="auto"/>
          <w:sz w:val="28"/>
          <w:highlight w:val="none"/>
        </w:rPr>
      </w:pPr>
    </w:p>
    <w:p w14:paraId="38796A7C">
      <w:pPr>
        <w:spacing w:line="360" w:lineRule="auto"/>
        <w:jc w:val="center"/>
        <w:outlineLvl w:val="0"/>
        <w:rPr>
          <w:rFonts w:hint="eastAsia" w:asciiTheme="minorEastAsia" w:hAnsiTheme="minorEastAsia" w:eastAsiaTheme="minorEastAsia"/>
          <w:b/>
          <w:color w:val="auto"/>
          <w:sz w:val="28"/>
          <w:highlight w:val="none"/>
        </w:rPr>
      </w:pPr>
    </w:p>
    <w:p w14:paraId="29AA231F">
      <w:pPr>
        <w:spacing w:line="360" w:lineRule="auto"/>
        <w:jc w:val="center"/>
        <w:outlineLvl w:val="0"/>
        <w:rPr>
          <w:rFonts w:hint="eastAsia" w:asciiTheme="minorEastAsia" w:hAnsiTheme="minorEastAsia" w:eastAsiaTheme="minorEastAsia"/>
          <w:b/>
          <w:color w:val="auto"/>
          <w:sz w:val="28"/>
          <w:highlight w:val="none"/>
        </w:rPr>
      </w:pPr>
    </w:p>
    <w:p w14:paraId="0436017A">
      <w:pPr>
        <w:spacing w:line="360" w:lineRule="auto"/>
        <w:jc w:val="center"/>
        <w:outlineLvl w:val="0"/>
        <w:rPr>
          <w:rFonts w:hint="eastAsia" w:asciiTheme="minorEastAsia" w:hAnsiTheme="minorEastAsia" w:eastAsiaTheme="minorEastAsia"/>
          <w:b/>
          <w:color w:val="auto"/>
          <w:sz w:val="28"/>
          <w:highlight w:val="none"/>
        </w:rPr>
      </w:pP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78"/>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9"/>
      <w:bookmarkEnd w:id="80"/>
    </w:p>
    <w:p w14:paraId="2D6DC504">
      <w:pPr>
        <w:spacing w:line="360" w:lineRule="auto"/>
        <w:jc w:val="center"/>
        <w:outlineLvl w:val="1"/>
        <w:rPr>
          <w:rFonts w:ascii="仿宋" w:hAnsi="仿宋" w:eastAsia="仿宋" w:cs="仿宋"/>
          <w:b/>
          <w:bCs/>
          <w:color w:val="auto"/>
          <w:sz w:val="32"/>
          <w:szCs w:val="44"/>
          <w:highlight w:val="none"/>
        </w:rPr>
      </w:pPr>
      <w:bookmarkStart w:id="81" w:name="_Toc10045"/>
      <w:bookmarkStart w:id="82" w:name="_Toc29389"/>
      <w:r>
        <w:rPr>
          <w:rFonts w:hint="eastAsia" w:ascii="仿宋" w:hAnsi="仿宋" w:eastAsia="仿宋" w:cs="仿宋"/>
          <w:b/>
          <w:bCs/>
          <w:color w:val="auto"/>
          <w:sz w:val="32"/>
          <w:szCs w:val="44"/>
          <w:highlight w:val="none"/>
        </w:rPr>
        <w:t>询问函范本</w:t>
      </w:r>
      <w:bookmarkEnd w:id="81"/>
      <w:bookmarkEnd w:id="82"/>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询价采购文件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3" w:name="_Toc29678"/>
      <w:bookmarkStart w:id="84" w:name="_Toc23472"/>
      <w:r>
        <w:rPr>
          <w:rFonts w:hint="eastAsia" w:cs="仿宋" w:asciiTheme="minorEastAsia" w:hAnsiTheme="minorEastAsia" w:eastAsiaTheme="minorEastAsia"/>
          <w:color w:val="auto"/>
          <w:sz w:val="24"/>
          <w:szCs w:val="24"/>
          <w:highlight w:val="none"/>
        </w:rPr>
        <w:t>一、(事项一)</w:t>
      </w:r>
      <w:bookmarkEnd w:id="83"/>
      <w:bookmarkEnd w:id="84"/>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5" w:name="_Toc22463"/>
      <w:bookmarkStart w:id="86" w:name="_Toc20836"/>
      <w:r>
        <w:rPr>
          <w:rFonts w:hint="eastAsia" w:cs="仿宋" w:asciiTheme="minorEastAsia" w:hAnsiTheme="minorEastAsia" w:eastAsiaTheme="minorEastAsia"/>
          <w:color w:val="auto"/>
          <w:sz w:val="24"/>
          <w:szCs w:val="24"/>
          <w:highlight w:val="none"/>
        </w:rPr>
        <w:t>二、(事项二)</w:t>
      </w:r>
      <w:bookmarkEnd w:id="85"/>
      <w:bookmarkEnd w:id="86"/>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87" w:name="_Toc31458"/>
      <w:bookmarkStart w:id="88" w:name="_Toc15057"/>
      <w:r>
        <w:rPr>
          <w:rFonts w:hint="eastAsia" w:cs="仿宋" w:asciiTheme="minorEastAsia" w:hAnsiTheme="minorEastAsia" w:eastAsiaTheme="minorEastAsia"/>
          <w:b/>
          <w:bCs/>
          <w:color w:val="auto"/>
          <w:sz w:val="32"/>
          <w:szCs w:val="44"/>
          <w:highlight w:val="none"/>
        </w:rPr>
        <w:t>质疑函范本</w:t>
      </w:r>
      <w:bookmarkEnd w:id="87"/>
      <w:bookmarkEnd w:id="88"/>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89" w:name="_Toc21471"/>
      <w:bookmarkStart w:id="90" w:name="_Toc22823"/>
      <w:r>
        <w:rPr>
          <w:rFonts w:hint="eastAsia" w:cs="仿宋" w:asciiTheme="minorEastAsia" w:hAnsiTheme="minorEastAsia" w:eastAsiaTheme="minorEastAsia"/>
          <w:b/>
          <w:bCs/>
          <w:color w:val="auto"/>
          <w:sz w:val="24"/>
          <w:szCs w:val="24"/>
          <w:highlight w:val="none"/>
        </w:rPr>
        <w:t>一、质疑供应商基本信息</w:t>
      </w:r>
      <w:bookmarkEnd w:id="89"/>
      <w:bookmarkEnd w:id="90"/>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1" w:name="_Toc3326"/>
      <w:bookmarkStart w:id="92" w:name="_Toc10721"/>
      <w:r>
        <w:rPr>
          <w:rFonts w:hint="eastAsia" w:cs="仿宋" w:asciiTheme="minorEastAsia" w:hAnsiTheme="minorEastAsia" w:eastAsiaTheme="minorEastAsia"/>
          <w:b/>
          <w:bCs/>
          <w:color w:val="auto"/>
          <w:sz w:val="24"/>
          <w:szCs w:val="24"/>
          <w:highlight w:val="none"/>
        </w:rPr>
        <w:t>二、质疑项目基本情况</w:t>
      </w:r>
      <w:bookmarkEnd w:id="91"/>
      <w:bookmarkEnd w:id="92"/>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3" w:name="_Toc21619"/>
      <w:bookmarkStart w:id="94" w:name="_Toc8391"/>
      <w:r>
        <w:rPr>
          <w:rFonts w:hint="eastAsia" w:cs="仿宋" w:asciiTheme="minorEastAsia" w:hAnsiTheme="minorEastAsia" w:eastAsiaTheme="minorEastAsia"/>
          <w:b/>
          <w:bCs/>
          <w:color w:val="auto"/>
          <w:sz w:val="24"/>
          <w:szCs w:val="24"/>
          <w:highlight w:val="none"/>
        </w:rPr>
        <w:t>三、质疑事项具体内容</w:t>
      </w:r>
      <w:bookmarkEnd w:id="93"/>
      <w:bookmarkEnd w:id="94"/>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5" w:name="_Toc10324"/>
      <w:bookmarkStart w:id="96" w:name="_Toc31747"/>
      <w:r>
        <w:rPr>
          <w:rFonts w:hint="eastAsia" w:cs="仿宋" w:asciiTheme="minorEastAsia" w:hAnsiTheme="minorEastAsia" w:eastAsiaTheme="minorEastAsia"/>
          <w:b/>
          <w:bCs/>
          <w:color w:val="auto"/>
          <w:sz w:val="24"/>
          <w:szCs w:val="24"/>
          <w:highlight w:val="none"/>
        </w:rPr>
        <w:t>四、与质疑事项相关的质疑请求</w:t>
      </w:r>
      <w:bookmarkEnd w:id="95"/>
      <w:bookmarkEnd w:id="96"/>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97" w:name="_Toc29795"/>
      <w:bookmarkStart w:id="98" w:name="_Toc27249"/>
      <w:r>
        <w:rPr>
          <w:rFonts w:hint="eastAsia" w:asciiTheme="minorEastAsia" w:hAnsiTheme="minorEastAsia" w:eastAsiaTheme="minorEastAsia"/>
          <w:b/>
          <w:color w:val="auto"/>
          <w:sz w:val="28"/>
          <w:szCs w:val="32"/>
          <w:highlight w:val="none"/>
        </w:rPr>
        <w:t>质疑函制作说明：</w:t>
      </w:r>
      <w:bookmarkEnd w:id="97"/>
      <w:bookmarkEnd w:id="98"/>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4BDEC62">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bookmarkEnd w:id="99"/>
    <w:sectPr>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9"/>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9"/>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A0A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D92A0A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44F89"/>
    <w:multiLevelType w:val="singleLevel"/>
    <w:tmpl w:val="80144F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48802D5"/>
    <w:rsid w:val="04B765A2"/>
    <w:rsid w:val="059321F1"/>
    <w:rsid w:val="05AF72A0"/>
    <w:rsid w:val="05B42F17"/>
    <w:rsid w:val="05EE32AE"/>
    <w:rsid w:val="061E4FDD"/>
    <w:rsid w:val="06287461"/>
    <w:rsid w:val="07C46F21"/>
    <w:rsid w:val="08414ECC"/>
    <w:rsid w:val="0866535E"/>
    <w:rsid w:val="086A1DB6"/>
    <w:rsid w:val="0954653B"/>
    <w:rsid w:val="09734E97"/>
    <w:rsid w:val="0A0236B4"/>
    <w:rsid w:val="0A5C407D"/>
    <w:rsid w:val="0ADC290F"/>
    <w:rsid w:val="0B3655F3"/>
    <w:rsid w:val="0B510EC7"/>
    <w:rsid w:val="0C0E0A28"/>
    <w:rsid w:val="0C5C2F82"/>
    <w:rsid w:val="0CC86361"/>
    <w:rsid w:val="0D262A20"/>
    <w:rsid w:val="0F8347BD"/>
    <w:rsid w:val="0FC30BF6"/>
    <w:rsid w:val="0FE9248E"/>
    <w:rsid w:val="101C5764"/>
    <w:rsid w:val="10CC104F"/>
    <w:rsid w:val="10E8616A"/>
    <w:rsid w:val="11BE4331"/>
    <w:rsid w:val="11CD084A"/>
    <w:rsid w:val="11F052D6"/>
    <w:rsid w:val="125E1788"/>
    <w:rsid w:val="145C4675"/>
    <w:rsid w:val="1475265D"/>
    <w:rsid w:val="14CA2036"/>
    <w:rsid w:val="14D2451C"/>
    <w:rsid w:val="150C08C6"/>
    <w:rsid w:val="157B6A2B"/>
    <w:rsid w:val="15D65C30"/>
    <w:rsid w:val="16C60CFC"/>
    <w:rsid w:val="16CF07A1"/>
    <w:rsid w:val="17E91507"/>
    <w:rsid w:val="18031DFC"/>
    <w:rsid w:val="180F1FC9"/>
    <w:rsid w:val="18633FE4"/>
    <w:rsid w:val="19A32436"/>
    <w:rsid w:val="1A7B316A"/>
    <w:rsid w:val="1B48411D"/>
    <w:rsid w:val="1BD44E29"/>
    <w:rsid w:val="1CD93E41"/>
    <w:rsid w:val="1D864D41"/>
    <w:rsid w:val="1DDA6DF1"/>
    <w:rsid w:val="1E8A0F92"/>
    <w:rsid w:val="1ED3729D"/>
    <w:rsid w:val="1F04109E"/>
    <w:rsid w:val="1F244811"/>
    <w:rsid w:val="1F9711FA"/>
    <w:rsid w:val="20126D60"/>
    <w:rsid w:val="21030661"/>
    <w:rsid w:val="211654D1"/>
    <w:rsid w:val="214D4F9D"/>
    <w:rsid w:val="218D5DCC"/>
    <w:rsid w:val="21A00E17"/>
    <w:rsid w:val="21F7445F"/>
    <w:rsid w:val="21F7620D"/>
    <w:rsid w:val="226326A4"/>
    <w:rsid w:val="22763AFE"/>
    <w:rsid w:val="23286581"/>
    <w:rsid w:val="23576714"/>
    <w:rsid w:val="23663C2F"/>
    <w:rsid w:val="242A2846"/>
    <w:rsid w:val="24390304"/>
    <w:rsid w:val="245943B5"/>
    <w:rsid w:val="247C1540"/>
    <w:rsid w:val="24BE592A"/>
    <w:rsid w:val="25F018F1"/>
    <w:rsid w:val="2708104C"/>
    <w:rsid w:val="278B4F71"/>
    <w:rsid w:val="27D668C5"/>
    <w:rsid w:val="28251390"/>
    <w:rsid w:val="28CE2356"/>
    <w:rsid w:val="290A2CCA"/>
    <w:rsid w:val="295A2A3F"/>
    <w:rsid w:val="29F63606"/>
    <w:rsid w:val="2A1B7069"/>
    <w:rsid w:val="2A2A21AD"/>
    <w:rsid w:val="2AAD7DB1"/>
    <w:rsid w:val="2C7C57CA"/>
    <w:rsid w:val="2E141EF5"/>
    <w:rsid w:val="2E1A575D"/>
    <w:rsid w:val="2E36227F"/>
    <w:rsid w:val="2E8E4CE9"/>
    <w:rsid w:val="2EA339A5"/>
    <w:rsid w:val="2F3C3432"/>
    <w:rsid w:val="30011386"/>
    <w:rsid w:val="3038636F"/>
    <w:rsid w:val="30A754DF"/>
    <w:rsid w:val="322B48DA"/>
    <w:rsid w:val="337E5DD0"/>
    <w:rsid w:val="33D161E8"/>
    <w:rsid w:val="34B2511B"/>
    <w:rsid w:val="352C2916"/>
    <w:rsid w:val="371847E2"/>
    <w:rsid w:val="37BF2AC2"/>
    <w:rsid w:val="38675A43"/>
    <w:rsid w:val="39185E60"/>
    <w:rsid w:val="3B214C05"/>
    <w:rsid w:val="3B6732A7"/>
    <w:rsid w:val="3B796242"/>
    <w:rsid w:val="3CEF068E"/>
    <w:rsid w:val="3D6E29D8"/>
    <w:rsid w:val="3DAC0EE9"/>
    <w:rsid w:val="3DEA5A8B"/>
    <w:rsid w:val="3DFC2C08"/>
    <w:rsid w:val="3E314816"/>
    <w:rsid w:val="3E55633E"/>
    <w:rsid w:val="3E691DE9"/>
    <w:rsid w:val="3E9512FD"/>
    <w:rsid w:val="3EBE2135"/>
    <w:rsid w:val="3F42428E"/>
    <w:rsid w:val="3F823162"/>
    <w:rsid w:val="3FB84DD6"/>
    <w:rsid w:val="402F520E"/>
    <w:rsid w:val="41250249"/>
    <w:rsid w:val="41377F7D"/>
    <w:rsid w:val="413A09E6"/>
    <w:rsid w:val="41471C8C"/>
    <w:rsid w:val="41676AB4"/>
    <w:rsid w:val="428D0D93"/>
    <w:rsid w:val="436037BB"/>
    <w:rsid w:val="44046D3B"/>
    <w:rsid w:val="44F24093"/>
    <w:rsid w:val="45D715E1"/>
    <w:rsid w:val="45F45FF3"/>
    <w:rsid w:val="465F740E"/>
    <w:rsid w:val="4A3F618E"/>
    <w:rsid w:val="4A6D07B9"/>
    <w:rsid w:val="4B497F7A"/>
    <w:rsid w:val="4BB75CCC"/>
    <w:rsid w:val="4BD9233D"/>
    <w:rsid w:val="4BE12910"/>
    <w:rsid w:val="4C9824F8"/>
    <w:rsid w:val="4CD5229A"/>
    <w:rsid w:val="4CDC7AA1"/>
    <w:rsid w:val="4F2E78B5"/>
    <w:rsid w:val="51233DD7"/>
    <w:rsid w:val="52377F97"/>
    <w:rsid w:val="53110BF4"/>
    <w:rsid w:val="533E7CC6"/>
    <w:rsid w:val="53CE4739"/>
    <w:rsid w:val="543C1CC1"/>
    <w:rsid w:val="54866DF9"/>
    <w:rsid w:val="5607799E"/>
    <w:rsid w:val="5696684F"/>
    <w:rsid w:val="58F509F1"/>
    <w:rsid w:val="59C4319E"/>
    <w:rsid w:val="59E4582B"/>
    <w:rsid w:val="59FC4F8A"/>
    <w:rsid w:val="5A6804AB"/>
    <w:rsid w:val="5BC93330"/>
    <w:rsid w:val="5BD96843"/>
    <w:rsid w:val="5C372975"/>
    <w:rsid w:val="5C740423"/>
    <w:rsid w:val="5C7F166A"/>
    <w:rsid w:val="5E554AD3"/>
    <w:rsid w:val="5E5B12F6"/>
    <w:rsid w:val="5E7E6D93"/>
    <w:rsid w:val="5F42525F"/>
    <w:rsid w:val="5F7479E6"/>
    <w:rsid w:val="5FBF7663"/>
    <w:rsid w:val="5FDF6AB4"/>
    <w:rsid w:val="604D40FC"/>
    <w:rsid w:val="609629C3"/>
    <w:rsid w:val="60D70DF6"/>
    <w:rsid w:val="62154A75"/>
    <w:rsid w:val="622D7DE6"/>
    <w:rsid w:val="625E3163"/>
    <w:rsid w:val="62791362"/>
    <w:rsid w:val="629D2560"/>
    <w:rsid w:val="644E6FB5"/>
    <w:rsid w:val="644F31D5"/>
    <w:rsid w:val="64D72D21"/>
    <w:rsid w:val="64EC6D10"/>
    <w:rsid w:val="65177E64"/>
    <w:rsid w:val="6623097E"/>
    <w:rsid w:val="6630399F"/>
    <w:rsid w:val="67126006"/>
    <w:rsid w:val="674A241E"/>
    <w:rsid w:val="67BB0B3F"/>
    <w:rsid w:val="682F07AA"/>
    <w:rsid w:val="68751207"/>
    <w:rsid w:val="68807C64"/>
    <w:rsid w:val="688C69CF"/>
    <w:rsid w:val="68CD5DAB"/>
    <w:rsid w:val="68E777C5"/>
    <w:rsid w:val="69C21C42"/>
    <w:rsid w:val="6A570167"/>
    <w:rsid w:val="6AC61574"/>
    <w:rsid w:val="6B3E7572"/>
    <w:rsid w:val="6BE2044C"/>
    <w:rsid w:val="6EDB6611"/>
    <w:rsid w:val="6EE844E0"/>
    <w:rsid w:val="6FBC2114"/>
    <w:rsid w:val="705F607C"/>
    <w:rsid w:val="70902932"/>
    <w:rsid w:val="70F56BEF"/>
    <w:rsid w:val="71946328"/>
    <w:rsid w:val="71BF33D8"/>
    <w:rsid w:val="71CF1B01"/>
    <w:rsid w:val="71DC79A6"/>
    <w:rsid w:val="72104CC4"/>
    <w:rsid w:val="735D4003"/>
    <w:rsid w:val="73D56FFD"/>
    <w:rsid w:val="73FA265E"/>
    <w:rsid w:val="740872E0"/>
    <w:rsid w:val="740C0C71"/>
    <w:rsid w:val="74714F78"/>
    <w:rsid w:val="748C2191"/>
    <w:rsid w:val="74C8485A"/>
    <w:rsid w:val="74D745B8"/>
    <w:rsid w:val="74F764D9"/>
    <w:rsid w:val="75C537CD"/>
    <w:rsid w:val="75EA1201"/>
    <w:rsid w:val="766377D4"/>
    <w:rsid w:val="76E73479"/>
    <w:rsid w:val="771D30BE"/>
    <w:rsid w:val="77FD363B"/>
    <w:rsid w:val="78311E5D"/>
    <w:rsid w:val="784E1FE2"/>
    <w:rsid w:val="78803D6C"/>
    <w:rsid w:val="7AAD7946"/>
    <w:rsid w:val="7B0809BE"/>
    <w:rsid w:val="7C25495A"/>
    <w:rsid w:val="7C964C1E"/>
    <w:rsid w:val="7CA96D86"/>
    <w:rsid w:val="7CCC5441"/>
    <w:rsid w:val="7DB52BB3"/>
    <w:rsid w:val="7DDC0B9A"/>
    <w:rsid w:val="7E490EF5"/>
    <w:rsid w:val="7E6E4733"/>
    <w:rsid w:val="7EAB4C25"/>
    <w:rsid w:val="7EE9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0"/>
    <w:pPr>
      <w:keepNext/>
      <w:keepLines/>
      <w:spacing w:before="280" w:after="290" w:line="376" w:lineRule="auto"/>
      <w:outlineLvl w:val="3"/>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Document Map"/>
    <w:basedOn w:val="1"/>
    <w:next w:val="1"/>
    <w:qFormat/>
    <w:uiPriority w:val="0"/>
    <w:pPr>
      <w:shd w:val="clear" w:color="auto" w:fill="000080"/>
    </w:pPr>
    <w:rPr>
      <w:rFonts w:ascii="Times New Roman" w:hAnsi="Times New Roman" w:eastAsia="宋体" w:cs="Times New Roman"/>
    </w:rPr>
  </w:style>
  <w:style w:type="paragraph" w:styleId="9">
    <w:name w:val="annotation text"/>
    <w:basedOn w:val="1"/>
    <w:link w:val="65"/>
    <w:autoRedefine/>
    <w:qFormat/>
    <w:uiPriority w:val="0"/>
    <w:pPr>
      <w:jc w:val="left"/>
    </w:pPr>
    <w:rPr>
      <w:rFonts w:ascii="Arial" w:hAnsi="Arial" w:eastAsia="黑体" w:cs="Arial"/>
    </w:rPr>
  </w:style>
  <w:style w:type="paragraph" w:styleId="10">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List 2"/>
    <w:basedOn w:val="1"/>
    <w:qFormat/>
    <w:uiPriority w:val="0"/>
    <w:pPr>
      <w:ind w:left="100" w:leftChars="200" w:hanging="200" w:hangingChars="200"/>
    </w:p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4"/>
    <w:autoRedefine/>
    <w:qFormat/>
    <w:uiPriority w:val="99"/>
    <w:rPr>
      <w:rFonts w:ascii="宋体" w:hAnsi="Courier New" w:eastAsiaTheme="minorEastAsia" w:cstheme="minorBidi"/>
      <w:szCs w:val="22"/>
    </w:rPr>
  </w:style>
  <w:style w:type="paragraph" w:styleId="16">
    <w:name w:val="Date"/>
    <w:basedOn w:val="1"/>
    <w:next w:val="1"/>
    <w:link w:val="61"/>
    <w:autoRedefine/>
    <w:qFormat/>
    <w:uiPriority w:val="0"/>
    <w:rPr>
      <w:rFonts w:ascii="Arial" w:hAnsi="Arial" w:eastAsia="宋体" w:cs="Arial"/>
      <w:b/>
      <w:sz w:val="28"/>
    </w:rPr>
  </w:style>
  <w:style w:type="paragraph" w:styleId="17">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8">
    <w:name w:val="Balloon Text"/>
    <w:basedOn w:val="1"/>
    <w:link w:val="48"/>
    <w:autoRedefine/>
    <w:semiHidden/>
    <w:unhideWhenUsed/>
    <w:qFormat/>
    <w:uiPriority w:val="99"/>
    <w:rPr>
      <w:sz w:val="18"/>
      <w:szCs w:val="18"/>
    </w:rPr>
  </w:style>
  <w:style w:type="paragraph" w:styleId="19">
    <w:name w:val="footer"/>
    <w:basedOn w:val="1"/>
    <w:link w:val="53"/>
    <w:autoRedefine/>
    <w:unhideWhenUsed/>
    <w:qFormat/>
    <w:uiPriority w:val="99"/>
    <w:pPr>
      <w:tabs>
        <w:tab w:val="center" w:pos="4153"/>
        <w:tab w:val="right" w:pos="8306"/>
      </w:tabs>
      <w:snapToGrid w:val="0"/>
      <w:jc w:val="left"/>
    </w:pPr>
    <w:rPr>
      <w:sz w:val="18"/>
      <w:szCs w:val="18"/>
    </w:rPr>
  </w:style>
  <w:style w:type="paragraph" w:styleId="20">
    <w:name w:val="header"/>
    <w:basedOn w:val="1"/>
    <w:link w:val="5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List"/>
    <w:basedOn w:val="1"/>
    <w:next w:val="1"/>
    <w:qFormat/>
    <w:uiPriority w:val="0"/>
    <w:pPr>
      <w:ind w:left="420" w:hanging="420"/>
    </w:pPr>
    <w:rPr>
      <w:rFonts w:ascii="Arial" w:hAnsi="Arial" w:eastAsia="楷体_GB2312"/>
      <w:sz w:val="28"/>
    </w:rPr>
  </w:style>
  <w:style w:type="paragraph" w:styleId="2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Normal (Web)"/>
    <w:basedOn w:val="1"/>
    <w:next w:val="11"/>
    <w:autoRedefine/>
    <w:qFormat/>
    <w:uiPriority w:val="0"/>
    <w:pPr>
      <w:spacing w:before="100" w:beforeAutospacing="1" w:after="100" w:afterAutospacing="1"/>
      <w:jc w:val="left"/>
    </w:pPr>
    <w:rPr>
      <w:rFonts w:cs="Times New Roman"/>
      <w:kern w:val="0"/>
      <w:sz w:val="24"/>
    </w:rPr>
  </w:style>
  <w:style w:type="paragraph" w:styleId="25">
    <w:name w:val="index 1"/>
    <w:basedOn w:val="1"/>
    <w:next w:val="1"/>
    <w:autoRedefine/>
    <w:qFormat/>
    <w:uiPriority w:val="0"/>
    <w:pPr>
      <w:jc w:val="center"/>
    </w:pPr>
    <w:rPr>
      <w:rFonts w:ascii="Arial" w:hAnsi="Arial" w:eastAsia="Arial" w:cs="Arial"/>
      <w:b/>
      <w:bCs/>
      <w:sz w:val="28"/>
    </w:rPr>
  </w:style>
  <w:style w:type="paragraph" w:styleId="26">
    <w:name w:val="Title"/>
    <w:basedOn w:val="1"/>
    <w:next w:val="1"/>
    <w:qFormat/>
    <w:uiPriority w:val="10"/>
    <w:pPr>
      <w:spacing w:before="240" w:after="60"/>
      <w:jc w:val="center"/>
      <w:outlineLvl w:val="0"/>
    </w:pPr>
    <w:rPr>
      <w:rFonts w:ascii="Cambria" w:hAnsi="Cambria"/>
      <w:b/>
      <w:bCs/>
      <w:sz w:val="32"/>
      <w:szCs w:val="32"/>
    </w:rPr>
  </w:style>
  <w:style w:type="paragraph" w:styleId="27">
    <w:name w:val="Body Text First Indent"/>
    <w:basedOn w:val="10"/>
    <w:autoRedefine/>
    <w:unhideWhenUsed/>
    <w:qFormat/>
    <w:uiPriority w:val="99"/>
    <w:pPr>
      <w:ind w:firstLine="420" w:firstLineChars="100"/>
    </w:pPr>
  </w:style>
  <w:style w:type="paragraph" w:styleId="28">
    <w:name w:val="Body Text First Indent 2"/>
    <w:basedOn w:val="11"/>
    <w:next w:val="10"/>
    <w:qFormat/>
    <w:uiPriority w:val="0"/>
    <w:pPr>
      <w:spacing w:line="360" w:lineRule="auto"/>
      <w:ind w:firstLine="200" w:firstLineChars="200"/>
    </w:pPr>
    <w:rPr>
      <w:rFonts w:ascii="宋体"/>
    </w:rPr>
  </w:style>
  <w:style w:type="table" w:styleId="30">
    <w:name w:val="Table Grid"/>
    <w:basedOn w:val="29"/>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FollowedHyperlink"/>
    <w:basedOn w:val="31"/>
    <w:semiHidden/>
    <w:unhideWhenUsed/>
    <w:qFormat/>
    <w:uiPriority w:val="99"/>
    <w:rPr>
      <w:color w:val="5C5C5C"/>
      <w:u w:val="none"/>
    </w:rPr>
  </w:style>
  <w:style w:type="character" w:styleId="34">
    <w:name w:val="Emphasis"/>
    <w:basedOn w:val="31"/>
    <w:qFormat/>
    <w:uiPriority w:val="20"/>
    <w:rPr>
      <w:b/>
      <w:b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rPr>
      <w:bdr w:val="none" w:color="auto" w:sz="0" w:space="0"/>
    </w:rPr>
  </w:style>
  <w:style w:type="character" w:styleId="38">
    <w:name w:val="HTML Variable"/>
    <w:basedOn w:val="31"/>
    <w:semiHidden/>
    <w:unhideWhenUsed/>
    <w:qFormat/>
    <w:uiPriority w:val="99"/>
  </w:style>
  <w:style w:type="character" w:styleId="39">
    <w:name w:val="Hyperlink"/>
    <w:basedOn w:val="31"/>
    <w:autoRedefine/>
    <w:unhideWhenUsed/>
    <w:qFormat/>
    <w:uiPriority w:val="99"/>
    <w:rPr>
      <w:color w:val="0000FF"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color w:val="D6D6D6"/>
      <w:sz w:val="20"/>
    </w:rPr>
  </w:style>
  <w:style w:type="character" w:styleId="43">
    <w:name w:val="HTML Sample"/>
    <w:basedOn w:val="31"/>
    <w:semiHidden/>
    <w:unhideWhenUsed/>
    <w:qFormat/>
    <w:uiPriority w:val="99"/>
    <w:rPr>
      <w:rFonts w:ascii="monospace" w:hAnsi="monospace" w:eastAsia="monospace" w:cs="monospace"/>
    </w:rPr>
  </w:style>
  <w:style w:type="paragraph" w:customStyle="1" w:styleId="44">
    <w:name w:val="正文 New"/>
    <w:next w:val="45"/>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45">
    <w:name w:val="正文缩进1"/>
    <w:basedOn w:val="1"/>
    <w:next w:val="8"/>
    <w:qFormat/>
    <w:uiPriority w:val="0"/>
    <w:pPr>
      <w:widowControl w:val="0"/>
      <w:autoSpaceDE/>
      <w:autoSpaceDN/>
      <w:spacing w:before="0" w:after="0" w:line="360" w:lineRule="atLeast"/>
      <w:ind w:left="0" w:firstLine="482"/>
      <w:jc w:val="both"/>
    </w:pPr>
    <w:rPr>
      <w:rFonts w:ascii="Times New Roman" w:hAnsi="Times New Roman" w:eastAsia="宋体" w:cs="Times New Roman"/>
      <w:sz w:val="24"/>
    </w:rPr>
  </w:style>
  <w:style w:type="paragraph" w:customStyle="1" w:styleId="4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7">
    <w:name w:val="正文文字 8"/>
    <w:basedOn w:val="1"/>
    <w:next w:val="1"/>
    <w:qFormat/>
    <w:uiPriority w:val="0"/>
    <w:pPr>
      <w:ind w:left="240"/>
    </w:pPr>
    <w:rPr>
      <w:sz w:val="16"/>
    </w:rPr>
  </w:style>
  <w:style w:type="character" w:customStyle="1" w:styleId="48">
    <w:name w:val="批注框文本 Char"/>
    <w:basedOn w:val="31"/>
    <w:link w:val="18"/>
    <w:autoRedefine/>
    <w:semiHidden/>
    <w:qFormat/>
    <w:uiPriority w:val="99"/>
    <w:rPr>
      <w:rFonts w:ascii="@仿宋_GB2312" w:hAnsi="@仿宋_GB2312" w:eastAsia="@仿宋_GB2312" w:cs="@仿宋_GB2312"/>
      <w:sz w:val="18"/>
      <w:szCs w:val="18"/>
    </w:rPr>
  </w:style>
  <w:style w:type="paragraph" w:customStyle="1" w:styleId="4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1">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Char"/>
    <w:basedOn w:val="31"/>
    <w:link w:val="20"/>
    <w:autoRedefine/>
    <w:qFormat/>
    <w:uiPriority w:val="0"/>
    <w:rPr>
      <w:rFonts w:ascii="@仿宋_GB2312" w:hAnsi="@仿宋_GB2312" w:eastAsia="@仿宋_GB2312" w:cs="@仿宋_GB2312"/>
      <w:sz w:val="18"/>
      <w:szCs w:val="18"/>
    </w:rPr>
  </w:style>
  <w:style w:type="character" w:customStyle="1" w:styleId="53">
    <w:name w:val="页脚 Char"/>
    <w:basedOn w:val="31"/>
    <w:link w:val="19"/>
    <w:autoRedefine/>
    <w:qFormat/>
    <w:uiPriority w:val="99"/>
    <w:rPr>
      <w:rFonts w:ascii="@仿宋_GB2312" w:hAnsi="@仿宋_GB2312" w:eastAsia="@仿宋_GB2312" w:cs="@仿宋_GB2312"/>
      <w:sz w:val="18"/>
      <w:szCs w:val="18"/>
    </w:rPr>
  </w:style>
  <w:style w:type="character" w:customStyle="1" w:styleId="54">
    <w:name w:val="纯文本 Char"/>
    <w:link w:val="15"/>
    <w:autoRedefine/>
    <w:qFormat/>
    <w:uiPriority w:val="0"/>
    <w:rPr>
      <w:rFonts w:ascii="宋体" w:hAnsi="Courier New"/>
    </w:rPr>
  </w:style>
  <w:style w:type="character" w:customStyle="1" w:styleId="55">
    <w:name w:val="纯文本 字符1"/>
    <w:basedOn w:val="31"/>
    <w:autoRedefine/>
    <w:semiHidden/>
    <w:qFormat/>
    <w:uiPriority w:val="99"/>
    <w:rPr>
      <w:rFonts w:hAnsi="Courier New" w:cs="Courier New" w:asciiTheme="minorEastAsia"/>
      <w:szCs w:val="20"/>
    </w:rPr>
  </w:style>
  <w:style w:type="character" w:customStyle="1" w:styleId="56">
    <w:name w:val="未处理的提及1"/>
    <w:basedOn w:val="31"/>
    <w:autoRedefine/>
    <w:semiHidden/>
    <w:unhideWhenUsed/>
    <w:qFormat/>
    <w:uiPriority w:val="99"/>
    <w:rPr>
      <w:color w:val="605E5C"/>
      <w:shd w:val="clear" w:color="auto" w:fill="E1DFDD"/>
    </w:rPr>
  </w:style>
  <w:style w:type="paragraph" w:styleId="57">
    <w:name w:val="List Paragraph"/>
    <w:basedOn w:val="1"/>
    <w:autoRedefine/>
    <w:qFormat/>
    <w:uiPriority w:val="34"/>
    <w:pPr>
      <w:ind w:firstLine="420" w:firstLineChars="200"/>
    </w:pPr>
  </w:style>
  <w:style w:type="paragraph" w:customStyle="1" w:styleId="58">
    <w:name w:val="Char Char Char Char Char Char Char1 Char"/>
    <w:basedOn w:val="1"/>
    <w:autoRedefine/>
    <w:qFormat/>
    <w:uiPriority w:val="0"/>
    <w:rPr>
      <w:rFonts w:ascii="Arial" w:hAnsi="Arial" w:eastAsia="宋体" w:cs="Arial"/>
      <w:sz w:val="24"/>
    </w:rPr>
  </w:style>
  <w:style w:type="table" w:customStyle="1" w:styleId="59">
    <w:name w:val="网格表 1 浅色1"/>
    <w:basedOn w:val="2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1"/>
    <w:autoRedefine/>
    <w:semiHidden/>
    <w:qFormat/>
    <w:uiPriority w:val="99"/>
    <w:rPr>
      <w:rFonts w:ascii="@仿宋_GB2312" w:hAnsi="@仿宋_GB2312" w:eastAsia="@仿宋_GB2312" w:cs="@仿宋_GB2312"/>
      <w:szCs w:val="20"/>
    </w:rPr>
  </w:style>
  <w:style w:type="character" w:customStyle="1" w:styleId="61">
    <w:name w:val="日期 Char"/>
    <w:link w:val="16"/>
    <w:autoRedefine/>
    <w:qFormat/>
    <w:uiPriority w:val="0"/>
    <w:rPr>
      <w:rFonts w:ascii="Arial" w:hAnsi="Arial" w:eastAsia="宋体" w:cs="Arial"/>
      <w:b/>
      <w:sz w:val="28"/>
      <w:szCs w:val="20"/>
    </w:rPr>
  </w:style>
  <w:style w:type="character" w:customStyle="1" w:styleId="62">
    <w:name w:val="纯文本 Char1"/>
    <w:link w:val="63"/>
    <w:autoRedefine/>
    <w:qFormat/>
    <w:locked/>
    <w:uiPriority w:val="0"/>
    <w:rPr>
      <w:rFonts w:ascii="Arial" w:hAnsi="Arial" w:eastAsia="Arial"/>
      <w:kern w:val="2"/>
      <w:sz w:val="21"/>
      <w:lang w:val="en-US" w:eastAsia="zh-CN" w:bidi="ar-SA"/>
    </w:rPr>
  </w:style>
  <w:style w:type="paragraph" w:customStyle="1" w:styleId="63">
    <w:name w:val="纯文本1"/>
    <w:basedOn w:val="1"/>
    <w:link w:val="62"/>
    <w:autoRedefine/>
    <w:qFormat/>
    <w:uiPriority w:val="0"/>
    <w:rPr>
      <w:rFonts w:ascii="Arial" w:hAnsi="Arial" w:eastAsia="Arial" w:cstheme="minorBidi"/>
      <w:szCs w:val="22"/>
    </w:rPr>
  </w:style>
  <w:style w:type="character" w:customStyle="1" w:styleId="64">
    <w:name w:val="批注文字 Char"/>
    <w:basedOn w:val="31"/>
    <w:autoRedefine/>
    <w:semiHidden/>
    <w:qFormat/>
    <w:uiPriority w:val="99"/>
    <w:rPr>
      <w:rFonts w:ascii="@仿宋_GB2312" w:hAnsi="@仿宋_GB2312" w:eastAsia="@仿宋_GB2312" w:cs="@仿宋_GB2312"/>
      <w:szCs w:val="20"/>
    </w:rPr>
  </w:style>
  <w:style w:type="character" w:customStyle="1" w:styleId="65">
    <w:name w:val="批注文字 Char1"/>
    <w:link w:val="9"/>
    <w:autoRedefine/>
    <w:qFormat/>
    <w:uiPriority w:val="0"/>
    <w:rPr>
      <w:rFonts w:ascii="Arial" w:hAnsi="Arial" w:eastAsia="黑体" w:cs="Arial"/>
      <w:szCs w:val="20"/>
    </w:rPr>
  </w:style>
  <w:style w:type="character" w:customStyle="1" w:styleId="66">
    <w:name w:val="标题 1 Char"/>
    <w:basedOn w:val="31"/>
    <w:link w:val="2"/>
    <w:autoRedefine/>
    <w:qFormat/>
    <w:uiPriority w:val="9"/>
    <w:rPr>
      <w:rFonts w:ascii="@仿宋_GB2312" w:hAnsi="@仿宋_GB2312" w:eastAsia="@仿宋_GB2312" w:cs="@仿宋_GB2312"/>
      <w:b/>
      <w:bCs/>
      <w:kern w:val="44"/>
      <w:sz w:val="44"/>
      <w:szCs w:val="44"/>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标题 3 Char"/>
    <w:basedOn w:val="31"/>
    <w:link w:val="4"/>
    <w:autoRedefine/>
    <w:semiHidden/>
    <w:qFormat/>
    <w:uiPriority w:val="9"/>
    <w:rPr>
      <w:rFonts w:ascii="@仿宋_GB2312" w:hAnsi="@仿宋_GB2312" w:eastAsia="@仿宋_GB2312" w:cs="@仿宋_GB2312"/>
      <w:b/>
      <w:bCs/>
      <w:sz w:val="32"/>
      <w:szCs w:val="32"/>
    </w:rPr>
  </w:style>
  <w:style w:type="character" w:customStyle="1" w:styleId="69">
    <w:name w:val="fontstyle01"/>
    <w:basedOn w:val="31"/>
    <w:autoRedefine/>
    <w:qFormat/>
    <w:uiPriority w:val="0"/>
    <w:rPr>
      <w:rFonts w:hint="eastAsia" w:ascii="宋体" w:hAnsi="宋体" w:eastAsia="宋体"/>
      <w:color w:val="000000"/>
      <w:sz w:val="22"/>
      <w:szCs w:val="22"/>
    </w:rPr>
  </w:style>
  <w:style w:type="character" w:customStyle="1" w:styleId="70">
    <w:name w:val="fontstyle21"/>
    <w:basedOn w:val="31"/>
    <w:autoRedefine/>
    <w:qFormat/>
    <w:uiPriority w:val="0"/>
    <w:rPr>
      <w:rFonts w:hint="default" w:ascii="TimesNewRomanPSMT" w:hAnsi="TimesNewRomanPSMT"/>
      <w:color w:val="000000"/>
      <w:sz w:val="22"/>
      <w:szCs w:val="22"/>
    </w:rPr>
  </w:style>
  <w:style w:type="character" w:customStyle="1" w:styleId="7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2">
    <w:name w:val="标题 4 字符"/>
    <w:basedOn w:val="31"/>
    <w:autoRedefine/>
    <w:semiHidden/>
    <w:qFormat/>
    <w:uiPriority w:val="9"/>
    <w:rPr>
      <w:rFonts w:asciiTheme="majorHAnsi" w:hAnsiTheme="majorHAnsi" w:eastAsiaTheme="majorEastAsia" w:cstheme="majorBidi"/>
      <w:b/>
      <w:bCs/>
      <w:sz w:val="28"/>
      <w:szCs w:val="28"/>
    </w:rPr>
  </w:style>
  <w:style w:type="character" w:customStyle="1" w:styleId="73">
    <w:name w:val="标题 4 Char"/>
    <w:link w:val="5"/>
    <w:autoRedefine/>
    <w:qFormat/>
    <w:uiPriority w:val="0"/>
    <w:rPr>
      <w:rFonts w:ascii="@仿宋_GB2312" w:hAnsi="@仿宋_GB2312" w:eastAsia="@仿宋_GB2312" w:cs="@仿宋_GB2312"/>
      <w:b/>
      <w:bCs/>
      <w:sz w:val="28"/>
      <w:szCs w:val="28"/>
    </w:rPr>
  </w:style>
  <w:style w:type="table" w:customStyle="1" w:styleId="74">
    <w:name w:val="Table Normal"/>
    <w:autoRedefine/>
    <w:semiHidden/>
    <w:unhideWhenUsed/>
    <w:qFormat/>
    <w:uiPriority w:val="0"/>
    <w:tblPr>
      <w:tblCellMar>
        <w:top w:w="0" w:type="dxa"/>
        <w:left w:w="0" w:type="dxa"/>
        <w:bottom w:w="0" w:type="dxa"/>
        <w:right w:w="0" w:type="dxa"/>
      </w:tblCellMar>
    </w:tblPr>
  </w:style>
  <w:style w:type="paragraph" w:customStyle="1" w:styleId="75">
    <w:name w:val="Table Text"/>
    <w:basedOn w:val="1"/>
    <w:autoRedefine/>
    <w:semiHidden/>
    <w:qFormat/>
    <w:uiPriority w:val="0"/>
    <w:rPr>
      <w:rFonts w:ascii="Arial" w:hAnsi="Arial" w:eastAsia="Arial" w:cs="Arial"/>
      <w:szCs w:val="21"/>
      <w:lang w:eastAsia="en-US"/>
    </w:rPr>
  </w:style>
  <w:style w:type="paragraph" w:customStyle="1" w:styleId="7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7">
    <w:name w:val="列出段落1"/>
    <w:basedOn w:val="1"/>
    <w:autoRedefine/>
    <w:qFormat/>
    <w:uiPriority w:val="0"/>
    <w:pPr>
      <w:ind w:firstLine="420" w:firstLineChars="200"/>
    </w:pPr>
    <w:rPr>
      <w:szCs w:val="21"/>
    </w:rPr>
  </w:style>
  <w:style w:type="character" w:customStyle="1" w:styleId="78">
    <w:name w:val="hover"/>
    <w:basedOn w:val="31"/>
    <w:qFormat/>
    <w:uiPriority w:val="0"/>
    <w:rPr>
      <w:color w:val="2590EB"/>
      <w:shd w:val="clear" w:color="auto" w:fill="E9F4FD"/>
    </w:rPr>
  </w:style>
  <w:style w:type="character" w:customStyle="1" w:styleId="79">
    <w:name w:val="hover1"/>
    <w:basedOn w:val="31"/>
    <w:qFormat/>
    <w:uiPriority w:val="0"/>
    <w:rPr>
      <w:color w:val="2590EB"/>
    </w:rPr>
  </w:style>
  <w:style w:type="character" w:customStyle="1" w:styleId="80">
    <w:name w:val="hover2"/>
    <w:basedOn w:val="31"/>
    <w:qFormat/>
    <w:uiPriority w:val="0"/>
    <w:rPr>
      <w:color w:val="2590EB"/>
    </w:rPr>
  </w:style>
  <w:style w:type="character" w:customStyle="1" w:styleId="81">
    <w:name w:val="hover3"/>
    <w:basedOn w:val="31"/>
    <w:qFormat/>
    <w:uiPriority w:val="0"/>
  </w:style>
  <w:style w:type="character" w:customStyle="1" w:styleId="82">
    <w:name w:val="hover4"/>
    <w:basedOn w:val="31"/>
    <w:qFormat/>
    <w:uiPriority w:val="0"/>
    <w:rPr>
      <w:color w:val="2590EB"/>
      <w:shd w:val="clear" w:color="auto" w:fill="E9F4FD"/>
    </w:rPr>
  </w:style>
  <w:style w:type="character" w:customStyle="1" w:styleId="83">
    <w:name w:val="layui-this"/>
    <w:basedOn w:val="31"/>
    <w:qFormat/>
    <w:uiPriority w:val="0"/>
    <w:rPr>
      <w:bdr w:val="single" w:color="EEEEEE" w:sz="6" w:space="0"/>
      <w:shd w:val="clear" w:fill="FFFFFF"/>
    </w:rPr>
  </w:style>
  <w:style w:type="character" w:customStyle="1" w:styleId="84">
    <w:name w:val="first-child"/>
    <w:basedOn w:val="31"/>
    <w:qFormat/>
    <w:uiPriority w:val="0"/>
  </w:style>
  <w:style w:type="character" w:customStyle="1" w:styleId="85">
    <w:name w:val="time"/>
    <w:basedOn w:val="31"/>
    <w:qFormat/>
    <w:uiPriority w:val="0"/>
  </w:style>
  <w:style w:type="character" w:customStyle="1" w:styleId="86">
    <w:name w:val="status"/>
    <w:basedOn w:val="31"/>
    <w:qFormat/>
    <w:uiPriority w:val="0"/>
    <w:rPr>
      <w:color w:val="0776DD"/>
    </w:rPr>
  </w:style>
  <w:style w:type="character" w:customStyle="1" w:styleId="87">
    <w:name w:val="font12"/>
    <w:basedOn w:val="31"/>
    <w:qFormat/>
    <w:uiPriority w:val="0"/>
    <w:rPr>
      <w:rFonts w:hint="default" w:ascii="Arial" w:hAnsi="Arial" w:cs="Arial"/>
      <w:color w:val="000000"/>
      <w:sz w:val="20"/>
      <w:szCs w:val="20"/>
      <w:u w:val="none"/>
    </w:rPr>
  </w:style>
  <w:style w:type="character" w:customStyle="1" w:styleId="88">
    <w:name w:val="font21"/>
    <w:basedOn w:val="31"/>
    <w:qFormat/>
    <w:uiPriority w:val="0"/>
    <w:rPr>
      <w:rFonts w:hint="eastAsia" w:ascii="宋体" w:hAnsi="宋体" w:eastAsia="宋体" w:cs="宋体"/>
      <w:color w:val="000000"/>
      <w:sz w:val="20"/>
      <w:szCs w:val="20"/>
      <w:u w:val="none"/>
    </w:rPr>
  </w:style>
  <w:style w:type="character" w:customStyle="1" w:styleId="89">
    <w:name w:val="font122"/>
    <w:basedOn w:val="31"/>
    <w:qFormat/>
    <w:uiPriority w:val="0"/>
    <w:rPr>
      <w:rFonts w:hint="eastAsia" w:ascii="宋体" w:hAnsi="宋体" w:eastAsia="宋体" w:cs="宋体"/>
      <w:color w:val="000000"/>
      <w:sz w:val="18"/>
      <w:szCs w:val="18"/>
      <w:u w:val="none"/>
    </w:rPr>
  </w:style>
  <w:style w:type="character" w:customStyle="1" w:styleId="90">
    <w:name w:val="font31"/>
    <w:basedOn w:val="31"/>
    <w:qFormat/>
    <w:uiPriority w:val="0"/>
    <w:rPr>
      <w:rFonts w:hint="default" w:ascii="Arial" w:hAnsi="Arial" w:cs="Arial"/>
      <w:color w:val="000000"/>
      <w:sz w:val="18"/>
      <w:szCs w:val="18"/>
      <w:u w:val="none"/>
    </w:rPr>
  </w:style>
  <w:style w:type="character" w:customStyle="1" w:styleId="91">
    <w:name w:val="last-child1"/>
    <w:basedOn w:val="31"/>
    <w:qFormat/>
    <w:uiPriority w:val="0"/>
  </w:style>
  <w:style w:type="character" w:customStyle="1" w:styleId="92">
    <w:name w:val="first-child1"/>
    <w:basedOn w:val="31"/>
    <w:qFormat/>
    <w:uiPriority w:val="0"/>
  </w:style>
  <w:style w:type="character" w:customStyle="1" w:styleId="93">
    <w:name w:val="last-child"/>
    <w:basedOn w:val="31"/>
    <w:qFormat/>
    <w:uiPriority w:val="0"/>
  </w:style>
  <w:style w:type="character" w:customStyle="1" w:styleId="94">
    <w:name w:val="font81"/>
    <w:basedOn w:val="31"/>
    <w:qFormat/>
    <w:uiPriority w:val="0"/>
    <w:rPr>
      <w:rFonts w:hint="eastAsia" w:ascii="宋体" w:hAnsi="宋体" w:eastAsia="宋体" w:cs="宋体"/>
      <w:color w:val="000000"/>
      <w:sz w:val="24"/>
      <w:szCs w:val="24"/>
      <w:u w:val="none"/>
    </w:rPr>
  </w:style>
  <w:style w:type="character" w:customStyle="1" w:styleId="95">
    <w:name w:val="font101"/>
    <w:basedOn w:val="31"/>
    <w:qFormat/>
    <w:uiPriority w:val="0"/>
    <w:rPr>
      <w:rFonts w:hint="default" w:ascii="Times New Roman" w:hAnsi="Times New Roman" w:cs="Times New Roman"/>
      <w:color w:val="000000"/>
      <w:sz w:val="24"/>
      <w:szCs w:val="24"/>
      <w:u w:val="single"/>
    </w:rPr>
  </w:style>
  <w:style w:type="character" w:customStyle="1" w:styleId="96">
    <w:name w:val="font91"/>
    <w:basedOn w:val="31"/>
    <w:qFormat/>
    <w:uiPriority w:val="0"/>
    <w:rPr>
      <w:rFonts w:hint="eastAsia" w:ascii="宋体" w:hAnsi="宋体" w:eastAsia="宋体" w:cs="宋体"/>
      <w:color w:val="000000"/>
      <w:sz w:val="24"/>
      <w:szCs w:val="24"/>
      <w:u w:val="single"/>
    </w:rPr>
  </w:style>
  <w:style w:type="character" w:customStyle="1" w:styleId="97">
    <w:name w:val="font112"/>
    <w:basedOn w:val="31"/>
    <w:qFormat/>
    <w:uiPriority w:val="0"/>
    <w:rPr>
      <w:rFonts w:hint="default" w:ascii="Times New Roman" w:hAnsi="Times New Roman" w:cs="Times New Roman"/>
      <w:color w:val="000000"/>
      <w:sz w:val="24"/>
      <w:szCs w:val="24"/>
      <w:u w:val="none"/>
    </w:rPr>
  </w:style>
  <w:style w:type="paragraph" w:customStyle="1" w:styleId="98">
    <w:name w:val="_Style 2"/>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52</Pages>
  <Words>26476</Words>
  <Characters>27517</Characters>
  <Lines>267</Lines>
  <Paragraphs>75</Paragraphs>
  <TotalTime>11</TotalTime>
  <ScaleCrop>false</ScaleCrop>
  <LinksUpToDate>false</LinksUpToDate>
  <CharactersWithSpaces>29877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2025-10-22T05:44:26Z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A7B632B6294E4C649E96C824136E789D_13</vt:lpwstr>
  </property>
  <property fmtid="{D5CDD505-2E9C-101B-9397-08002B2CF9AE}" pid="4" name="KSOTemplateDocerSaveRecord">
    <vt:lpwstr>eyJoZGlkIjoiOTc5MDNjMmIyODczM2YwMGZkZTNjYWY1NjIxZTY5YjciLCJ1c2VySWQiOiI1MDM3MjkwOTMifQ==</vt:lpwstr>
  </property>
</Properties>
</file>