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0C627">
      <w:pPr>
        <w:widowControl/>
        <w:spacing w:beforeLines="50" w:afterLines="50" w:line="360" w:lineRule="auto"/>
        <w:textAlignment w:val="baseline"/>
        <w:rPr>
          <w:color w:val="auto"/>
          <w:sz w:val="44"/>
          <w:szCs w:val="44"/>
          <w:highlight w:val="none"/>
        </w:rPr>
      </w:pPr>
      <w:bookmarkStart w:id="225" w:name="_GoBack"/>
    </w:p>
    <w:p w14:paraId="43374661">
      <w:pPr>
        <w:widowControl/>
        <w:spacing w:line="400" w:lineRule="atLeast"/>
        <w:jc w:val="center"/>
        <w:textAlignment w:val="baseline"/>
        <w:rPr>
          <w:rFonts w:ascii="宋体" w:hAnsi="宋体" w:eastAsia="宋体" w:cs="Times New Roman"/>
          <w:b/>
          <w:bCs/>
          <w:color w:val="auto"/>
          <w:spacing w:val="-10"/>
          <w:kern w:val="0"/>
          <w:sz w:val="52"/>
          <w:szCs w:val="52"/>
          <w:highlight w:val="none"/>
        </w:rPr>
      </w:pPr>
      <w:r>
        <w:rPr>
          <w:rFonts w:hint="eastAsia" w:ascii="宋体" w:hAnsi="宋体" w:eastAsia="宋体" w:cs="Times New Roman"/>
          <w:b/>
          <w:bCs/>
          <w:color w:val="auto"/>
          <w:spacing w:val="-10"/>
          <w:kern w:val="0"/>
          <w:sz w:val="52"/>
          <w:szCs w:val="52"/>
          <w:highlight w:val="none"/>
        </w:rPr>
        <w:t>先进光伏和新型储能产业宣传片编制项目</w:t>
      </w:r>
    </w:p>
    <w:p w14:paraId="3A20EAF9">
      <w:pPr>
        <w:widowControl/>
        <w:spacing w:line="360" w:lineRule="auto"/>
        <w:textAlignment w:val="baseline"/>
        <w:rPr>
          <w:rFonts w:ascii="宋体" w:hAnsi="宋体" w:cs="宋体"/>
          <w:b/>
          <w:color w:val="auto"/>
          <w:kern w:val="0"/>
          <w:sz w:val="56"/>
          <w:szCs w:val="56"/>
          <w:highlight w:val="none"/>
        </w:rPr>
      </w:pPr>
    </w:p>
    <w:p w14:paraId="6CB98535">
      <w:pPr>
        <w:widowControl/>
        <w:spacing w:line="400" w:lineRule="atLeast"/>
        <w:jc w:val="center"/>
        <w:textAlignment w:val="baseline"/>
        <w:rPr>
          <w:rFonts w:ascii="宋体" w:hAnsi="宋体" w:eastAsia="宋体" w:cs="宋体"/>
          <w:b/>
          <w:bCs/>
          <w:color w:val="auto"/>
          <w:kern w:val="0"/>
          <w:sz w:val="98"/>
          <w:szCs w:val="98"/>
          <w:highlight w:val="none"/>
        </w:rPr>
      </w:pPr>
    </w:p>
    <w:p w14:paraId="227F66D8">
      <w:pPr>
        <w:widowControl/>
        <w:spacing w:line="400" w:lineRule="atLeast"/>
        <w:jc w:val="center"/>
        <w:textAlignment w:val="baseline"/>
        <w:rPr>
          <w:rFonts w:ascii="宋体" w:hAnsi="宋体" w:eastAsia="宋体" w:cs="宋体"/>
          <w:b/>
          <w:bCs/>
          <w:color w:val="auto"/>
          <w:kern w:val="0"/>
          <w:sz w:val="98"/>
          <w:szCs w:val="98"/>
          <w:highlight w:val="none"/>
        </w:rPr>
      </w:pPr>
      <w:r>
        <w:rPr>
          <w:rFonts w:hint="eastAsia" w:ascii="宋体" w:hAnsi="宋体" w:eastAsia="宋体" w:cs="宋体"/>
          <w:b/>
          <w:bCs/>
          <w:color w:val="auto"/>
          <w:kern w:val="0"/>
          <w:sz w:val="98"/>
          <w:szCs w:val="98"/>
          <w:highlight w:val="none"/>
        </w:rPr>
        <w:t>竞争性谈判文件</w:t>
      </w:r>
    </w:p>
    <w:p w14:paraId="267D66FA">
      <w:pPr>
        <w:pStyle w:val="85"/>
        <w:rPr>
          <w:color w:val="auto"/>
          <w:highlight w:val="none"/>
        </w:rPr>
      </w:pPr>
    </w:p>
    <w:p w14:paraId="7C22E3FC">
      <w:pPr>
        <w:widowControl/>
        <w:spacing w:line="480" w:lineRule="exact"/>
        <w:jc w:val="center"/>
        <w:textAlignment w:val="baseline"/>
        <w:rPr>
          <w:rFonts w:ascii="宋体" w:hAnsi="宋体" w:eastAsia="宋体" w:cs="宋体"/>
          <w:color w:val="auto"/>
          <w:kern w:val="0"/>
          <w:sz w:val="32"/>
          <w:highlight w:val="none"/>
        </w:rPr>
      </w:pPr>
      <w:r>
        <w:rPr>
          <w:rFonts w:hint="eastAsia" w:ascii="宋体" w:hAnsi="宋体" w:eastAsia="宋体" w:cs="宋体"/>
          <w:color w:val="auto"/>
          <w:kern w:val="0"/>
          <w:sz w:val="32"/>
          <w:highlight w:val="none"/>
        </w:rPr>
        <w:t>项目编号：HXJY1110001042686001</w:t>
      </w:r>
      <w:r>
        <w:rPr>
          <w:rFonts w:hint="eastAsia" w:ascii="宋体" w:hAnsi="宋体" w:eastAsia="宋体" w:cs="宋体"/>
          <w:color w:val="auto"/>
          <w:kern w:val="0"/>
          <w:sz w:val="32"/>
          <w:highlight w:val="none"/>
          <w:lang w:val="en-US" w:eastAsia="zh-CN"/>
        </w:rPr>
        <w:t>001</w:t>
      </w:r>
      <w:r>
        <w:rPr>
          <w:rFonts w:hint="eastAsia" w:ascii="宋体" w:hAnsi="宋体" w:eastAsia="宋体" w:cs="宋体"/>
          <w:color w:val="auto"/>
          <w:kern w:val="0"/>
          <w:sz w:val="32"/>
          <w:highlight w:val="none"/>
        </w:rPr>
        <w:t xml:space="preserve">    </w:t>
      </w:r>
    </w:p>
    <w:p w14:paraId="0E08CE47">
      <w:pPr>
        <w:spacing w:line="480" w:lineRule="exact"/>
        <w:ind w:firstLine="643" w:firstLineChars="200"/>
        <w:jc w:val="center"/>
        <w:rPr>
          <w:rFonts w:ascii="宋体" w:hAnsi="宋体" w:cs="宋体"/>
          <w:b/>
          <w:color w:val="auto"/>
          <w:sz w:val="32"/>
          <w:highlight w:val="none"/>
        </w:rPr>
      </w:pPr>
    </w:p>
    <w:p w14:paraId="18600A34">
      <w:pPr>
        <w:spacing w:line="480" w:lineRule="exact"/>
        <w:ind w:firstLine="643" w:firstLineChars="200"/>
        <w:rPr>
          <w:rFonts w:ascii="宋体" w:hAnsi="宋体" w:cs="宋体"/>
          <w:b/>
          <w:color w:val="auto"/>
          <w:sz w:val="32"/>
          <w:highlight w:val="none"/>
        </w:rPr>
      </w:pPr>
    </w:p>
    <w:p w14:paraId="30680FFD">
      <w:pPr>
        <w:spacing w:line="480" w:lineRule="exact"/>
        <w:rPr>
          <w:rFonts w:ascii="宋体" w:hAnsi="宋体" w:cs="宋体"/>
          <w:b/>
          <w:color w:val="auto"/>
          <w:sz w:val="32"/>
          <w:highlight w:val="none"/>
        </w:rPr>
      </w:pPr>
    </w:p>
    <w:p w14:paraId="3AA9F3AD">
      <w:pPr>
        <w:pStyle w:val="2"/>
        <w:ind w:firstLine="315"/>
        <w:rPr>
          <w:rFonts w:ascii="宋体" w:hAnsi="宋体" w:cs="宋体"/>
          <w:b/>
          <w:color w:val="auto"/>
          <w:sz w:val="32"/>
          <w:highlight w:val="none"/>
        </w:rPr>
      </w:pPr>
    </w:p>
    <w:p w14:paraId="2F97B42B">
      <w:pPr>
        <w:pStyle w:val="2"/>
        <w:ind w:firstLine="315"/>
        <w:rPr>
          <w:rFonts w:ascii="宋体" w:hAnsi="宋体" w:cs="宋体"/>
          <w:b/>
          <w:color w:val="auto"/>
          <w:sz w:val="32"/>
          <w:highlight w:val="none"/>
        </w:rPr>
      </w:pPr>
    </w:p>
    <w:p w14:paraId="0C0396E5">
      <w:pPr>
        <w:pStyle w:val="2"/>
        <w:ind w:firstLine="315"/>
        <w:rPr>
          <w:rFonts w:ascii="宋体" w:hAnsi="宋体" w:cs="宋体"/>
          <w:b/>
          <w:color w:val="auto"/>
          <w:sz w:val="32"/>
          <w:highlight w:val="none"/>
        </w:rPr>
      </w:pPr>
    </w:p>
    <w:p w14:paraId="5E81EBD3">
      <w:pPr>
        <w:spacing w:line="800" w:lineRule="exact"/>
        <w:ind w:firstLine="560" w:firstLineChars="200"/>
        <w:rPr>
          <w:rFonts w:asciiTheme="majorEastAsia" w:hAnsiTheme="majorEastAsia" w:eastAsiaTheme="majorEastAsia" w:cstheme="majorEastAsia"/>
          <w:bCs/>
          <w:color w:val="auto"/>
          <w:sz w:val="28"/>
          <w:szCs w:val="28"/>
          <w:highlight w:val="none"/>
          <w:u w:val="single"/>
        </w:rPr>
      </w:pPr>
      <w:r>
        <w:rPr>
          <w:rFonts w:hint="eastAsia" w:asciiTheme="majorEastAsia" w:hAnsiTheme="majorEastAsia" w:eastAsiaTheme="majorEastAsia" w:cstheme="majorEastAsia"/>
          <w:bCs/>
          <w:color w:val="auto"/>
          <w:sz w:val="28"/>
          <w:szCs w:val="28"/>
          <w:highlight w:val="none"/>
        </w:rPr>
        <w:t>采  购 人 ：</w:t>
      </w:r>
      <w:r>
        <w:rPr>
          <w:rFonts w:hint="eastAsia" w:asciiTheme="majorEastAsia" w:hAnsiTheme="majorEastAsia" w:eastAsiaTheme="majorEastAsia" w:cstheme="majorEastAsia"/>
          <w:bCs/>
          <w:color w:val="auto"/>
          <w:sz w:val="28"/>
          <w:szCs w:val="28"/>
          <w:highlight w:val="none"/>
          <w:u w:val="single"/>
        </w:rPr>
        <w:t xml:space="preserve">       滁州市工业和信息化局        （盖章）</w:t>
      </w:r>
    </w:p>
    <w:p w14:paraId="470A1205">
      <w:pPr>
        <w:spacing w:line="1000" w:lineRule="exact"/>
        <w:ind w:firstLine="560" w:firstLineChars="200"/>
        <w:jc w:val="left"/>
        <w:rPr>
          <w:rFonts w:asciiTheme="majorEastAsia" w:hAnsiTheme="majorEastAsia" w:eastAsiaTheme="majorEastAsia" w:cstheme="majorEastAsia"/>
          <w:bCs/>
          <w:color w:val="auto"/>
          <w:sz w:val="28"/>
          <w:szCs w:val="28"/>
          <w:highlight w:val="none"/>
          <w:u w:val="thick"/>
        </w:rPr>
      </w:pPr>
      <w:r>
        <w:rPr>
          <w:rFonts w:hint="eastAsia" w:asciiTheme="majorEastAsia" w:hAnsiTheme="majorEastAsia" w:eastAsiaTheme="majorEastAsia" w:cstheme="majorEastAsia"/>
          <w:bCs/>
          <w:color w:val="auto"/>
          <w:sz w:val="28"/>
          <w:szCs w:val="28"/>
          <w:highlight w:val="none"/>
        </w:rPr>
        <w:t>采购代理机构：</w:t>
      </w:r>
      <w:r>
        <w:rPr>
          <w:rFonts w:hint="eastAsia" w:asciiTheme="majorEastAsia" w:hAnsiTheme="majorEastAsia" w:eastAsiaTheme="majorEastAsia" w:cstheme="majorEastAsia"/>
          <w:bCs/>
          <w:color w:val="auto"/>
          <w:sz w:val="28"/>
          <w:szCs w:val="28"/>
          <w:highlight w:val="none"/>
          <w:u w:val="single"/>
        </w:rPr>
        <w:t xml:space="preserve">  滁州市城投工程咨询管理有限公司 （盖章）</w:t>
      </w:r>
    </w:p>
    <w:p w14:paraId="06AF1145">
      <w:pPr>
        <w:spacing w:line="560" w:lineRule="exact"/>
        <w:ind w:firstLine="480" w:firstLineChars="200"/>
        <w:rPr>
          <w:rFonts w:asciiTheme="majorEastAsia" w:hAnsiTheme="majorEastAsia" w:eastAsiaTheme="majorEastAsia" w:cstheme="majorEastAsia"/>
          <w:bCs/>
          <w:color w:val="auto"/>
          <w:spacing w:val="-20"/>
          <w:sz w:val="28"/>
          <w:szCs w:val="28"/>
          <w:highlight w:val="none"/>
          <w:u w:val="thick"/>
        </w:rPr>
      </w:pPr>
    </w:p>
    <w:p w14:paraId="2173C160">
      <w:pPr>
        <w:spacing w:line="560" w:lineRule="exact"/>
        <w:ind w:firstLine="480" w:firstLineChars="200"/>
        <w:rPr>
          <w:rFonts w:asciiTheme="majorEastAsia" w:hAnsiTheme="majorEastAsia" w:eastAsiaTheme="majorEastAsia" w:cstheme="majorEastAsia"/>
          <w:b/>
          <w:color w:val="auto"/>
          <w:spacing w:val="20"/>
          <w:sz w:val="28"/>
          <w:szCs w:val="28"/>
          <w:highlight w:val="none"/>
          <w:u w:val="single"/>
        </w:rPr>
      </w:pPr>
      <w:r>
        <w:rPr>
          <w:rFonts w:hint="eastAsia" w:asciiTheme="majorEastAsia" w:hAnsiTheme="majorEastAsia" w:eastAsiaTheme="majorEastAsia" w:cstheme="majorEastAsia"/>
          <w:bCs/>
          <w:color w:val="auto"/>
          <w:spacing w:val="-20"/>
          <w:sz w:val="28"/>
          <w:szCs w:val="28"/>
          <w:highlight w:val="none"/>
        </w:rPr>
        <w:t xml:space="preserve"> 发 布 日 期   ：</w:t>
      </w:r>
      <w:r>
        <w:rPr>
          <w:rFonts w:hint="eastAsia" w:asciiTheme="majorEastAsia" w:hAnsiTheme="majorEastAsia" w:eastAsiaTheme="majorEastAsia" w:cstheme="majorEastAsia"/>
          <w:bCs/>
          <w:color w:val="auto"/>
          <w:sz w:val="28"/>
          <w:szCs w:val="28"/>
          <w:highlight w:val="none"/>
          <w:u w:val="single"/>
        </w:rPr>
        <w:t xml:space="preserve">            2025年9月                   </w:t>
      </w:r>
      <w:r>
        <w:rPr>
          <w:rFonts w:hint="eastAsia" w:asciiTheme="majorEastAsia" w:hAnsiTheme="majorEastAsia" w:eastAsiaTheme="majorEastAsia" w:cstheme="majorEastAsia"/>
          <w:b/>
          <w:color w:val="auto"/>
          <w:spacing w:val="-20"/>
          <w:sz w:val="28"/>
          <w:szCs w:val="28"/>
          <w:highlight w:val="none"/>
          <w:u w:val="single"/>
        </w:rPr>
        <w:t xml:space="preserve"> </w:t>
      </w:r>
    </w:p>
    <w:p w14:paraId="293C2D9D">
      <w:pPr>
        <w:pStyle w:val="29"/>
        <w:ind w:left="0" w:leftChars="0" w:firstLine="560"/>
        <w:rPr>
          <w:rFonts w:asciiTheme="majorEastAsia" w:hAnsiTheme="majorEastAsia" w:eastAsiaTheme="majorEastAsia" w:cstheme="majorEastAsia"/>
          <w:color w:val="auto"/>
          <w:sz w:val="28"/>
          <w:szCs w:val="28"/>
          <w:highlight w:val="none"/>
        </w:rPr>
      </w:pPr>
    </w:p>
    <w:p w14:paraId="4601BDB6">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p>
    <w:p w14:paraId="1F73CDAC">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p>
    <w:p w14:paraId="60232909">
      <w:pPr>
        <w:pStyle w:val="29"/>
        <w:ind w:firstLine="562"/>
        <w:rPr>
          <w:rFonts w:ascii="宋体" w:hAnsi="宋体" w:eastAsia="宋体"/>
          <w:b/>
          <w:color w:val="auto"/>
          <w:sz w:val="28"/>
          <w:highlight w:val="none"/>
        </w:rPr>
      </w:pPr>
    </w:p>
    <w:p w14:paraId="7CB6BD66">
      <w:pPr>
        <w:rPr>
          <w:color w:val="auto"/>
          <w:highlight w:val="none"/>
        </w:rPr>
      </w:pPr>
    </w:p>
    <w:p w14:paraId="7E479C83">
      <w:pPr>
        <w:rPr>
          <w:color w:val="auto"/>
          <w:highlight w:val="none"/>
        </w:rPr>
      </w:pPr>
    </w:p>
    <w:p w14:paraId="3CEE7FF4">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678F9CF4">
      <w:pPr>
        <w:pStyle w:val="22"/>
        <w:tabs>
          <w:tab w:val="right" w:leader="dot" w:pos="8279"/>
        </w:tabs>
        <w:rPr>
          <w:color w:val="auto"/>
          <w:highlight w:val="none"/>
        </w:rPr>
      </w:pPr>
      <w:r>
        <w:rPr>
          <w:rFonts w:asciiTheme="minorEastAsia" w:hAnsiTheme="minorEastAsia"/>
          <w:b/>
          <w:bCs/>
          <w:color w:val="auto"/>
          <w:sz w:val="24"/>
          <w:szCs w:val="24"/>
          <w:highlight w:val="none"/>
        </w:rPr>
        <w:fldChar w:fldCharType="begin"/>
      </w:r>
      <w:r>
        <w:rPr>
          <w:rFonts w:asciiTheme="minorEastAsia" w:hAnsiTheme="minorEastAsia"/>
          <w:b/>
          <w:bCs/>
          <w:color w:val="auto"/>
          <w:sz w:val="24"/>
          <w:szCs w:val="24"/>
          <w:highlight w:val="none"/>
        </w:rPr>
        <w:instrText xml:space="preserve"> </w:instrText>
      </w:r>
      <w:r>
        <w:rPr>
          <w:rFonts w:hint="eastAsia" w:asciiTheme="minorEastAsia" w:hAnsiTheme="minorEastAsia"/>
          <w:b/>
          <w:bCs/>
          <w:color w:val="auto"/>
          <w:sz w:val="24"/>
          <w:szCs w:val="24"/>
          <w:highlight w:val="none"/>
        </w:rPr>
        <w:instrText xml:space="preserve">TOC \o "1-2" \h \z \u</w:instrText>
      </w:r>
      <w:r>
        <w:rPr>
          <w:rFonts w:asciiTheme="minorEastAsia" w:hAnsiTheme="minorEastAsia"/>
          <w:b/>
          <w:bCs/>
          <w:color w:val="auto"/>
          <w:sz w:val="24"/>
          <w:szCs w:val="24"/>
          <w:highlight w:val="none"/>
        </w:rPr>
        <w:instrText xml:space="preserve"> </w:instrText>
      </w:r>
      <w:r>
        <w:rPr>
          <w:rFonts w:asciiTheme="minorEastAsia" w:hAnsiTheme="minorEastAsia"/>
          <w:b/>
          <w:bCs/>
          <w:color w:val="auto"/>
          <w:sz w:val="24"/>
          <w:szCs w:val="24"/>
          <w:highlight w:val="none"/>
        </w:rPr>
        <w:fldChar w:fldCharType="separate"/>
      </w:r>
      <w:r>
        <w:rPr>
          <w:color w:val="auto"/>
          <w:highlight w:val="none"/>
        </w:rPr>
        <w:fldChar w:fldCharType="begin"/>
      </w:r>
      <w:r>
        <w:rPr>
          <w:color w:val="auto"/>
          <w:highlight w:val="none"/>
        </w:rPr>
        <w:instrText xml:space="preserve"> HYPERLINK \l "_Toc21914" </w:instrText>
      </w:r>
      <w:r>
        <w:rPr>
          <w:color w:val="auto"/>
          <w:highlight w:val="none"/>
        </w:rPr>
        <w:fldChar w:fldCharType="separate"/>
      </w:r>
      <w:r>
        <w:rPr>
          <w:rFonts w:hint="eastAsia" w:asciiTheme="minorEastAsia" w:hAnsiTheme="minorEastAsia"/>
          <w:color w:val="auto"/>
          <w:highlight w:val="none"/>
        </w:rPr>
        <w:t xml:space="preserve">第一章 </w:t>
      </w:r>
      <w:r>
        <w:rPr>
          <w:rFonts w:asciiTheme="minorEastAsia" w:hAnsiTheme="minorEastAsia"/>
          <w:color w:val="auto"/>
          <w:highlight w:val="none"/>
        </w:rPr>
        <w:t xml:space="preserve"> </w:t>
      </w:r>
      <w:r>
        <w:rPr>
          <w:rFonts w:hint="eastAsia" w:asciiTheme="minorEastAsia" w:hAnsiTheme="minorEastAsia"/>
          <w:color w:val="auto"/>
          <w:highlight w:val="none"/>
        </w:rPr>
        <w:t>谈判邀请</w:t>
      </w:r>
      <w:r>
        <w:rPr>
          <w:color w:val="auto"/>
          <w:highlight w:val="none"/>
        </w:rPr>
        <w:tab/>
      </w:r>
      <w:r>
        <w:rPr>
          <w:rFonts w:hint="eastAsia"/>
          <w:color w:val="auto"/>
          <w:highlight w:val="none"/>
        </w:rPr>
        <w:t>3</w:t>
      </w:r>
      <w:r>
        <w:rPr>
          <w:rFonts w:hint="eastAsia"/>
          <w:color w:val="auto"/>
          <w:highlight w:val="none"/>
        </w:rPr>
        <w:fldChar w:fldCharType="end"/>
      </w:r>
    </w:p>
    <w:p w14:paraId="5D238424">
      <w:pPr>
        <w:pStyle w:val="22"/>
        <w:tabs>
          <w:tab w:val="right" w:leader="dot" w:pos="8279"/>
        </w:tabs>
        <w:rPr>
          <w:color w:val="auto"/>
          <w:highlight w:val="none"/>
        </w:rPr>
      </w:pPr>
      <w:r>
        <w:rPr>
          <w:color w:val="auto"/>
          <w:highlight w:val="none"/>
        </w:rPr>
        <w:fldChar w:fldCharType="begin"/>
      </w:r>
      <w:r>
        <w:rPr>
          <w:color w:val="auto"/>
          <w:highlight w:val="none"/>
        </w:rPr>
        <w:instrText xml:space="preserve"> HYPERLINK \l "_Toc5721" </w:instrText>
      </w:r>
      <w:r>
        <w:rPr>
          <w:color w:val="auto"/>
          <w:highlight w:val="none"/>
        </w:rPr>
        <w:fldChar w:fldCharType="separate"/>
      </w:r>
      <w:r>
        <w:rPr>
          <w:rFonts w:hint="eastAsia" w:asciiTheme="minorEastAsia" w:hAnsiTheme="minorEastAsia"/>
          <w:color w:val="auto"/>
          <w:highlight w:val="none"/>
        </w:rPr>
        <w:t>第二章</w:t>
      </w:r>
      <w:r>
        <w:rPr>
          <w:rFonts w:asciiTheme="minorEastAsia" w:hAnsiTheme="minorEastAsia"/>
          <w:color w:val="auto"/>
          <w:highlight w:val="none"/>
        </w:rPr>
        <w:t xml:space="preserve"> </w:t>
      </w:r>
      <w:r>
        <w:rPr>
          <w:rFonts w:hint="eastAsia" w:asciiTheme="minorEastAsia" w:hAnsiTheme="minorEastAsia"/>
          <w:color w:val="auto"/>
          <w:highlight w:val="none"/>
        </w:rPr>
        <w:t xml:space="preserve"> 供应商</w:t>
      </w:r>
      <w:r>
        <w:rPr>
          <w:rFonts w:asciiTheme="minorEastAsia" w:hAnsiTheme="minorEastAsia"/>
          <w:color w:val="auto"/>
          <w:highlight w:val="none"/>
        </w:rPr>
        <w:t>须知</w:t>
      </w:r>
      <w:r>
        <w:rPr>
          <w:color w:val="auto"/>
          <w:highlight w:val="none"/>
        </w:rPr>
        <w:tab/>
      </w:r>
      <w:r>
        <w:rPr>
          <w:rFonts w:hint="eastAsia"/>
          <w:color w:val="auto"/>
          <w:highlight w:val="none"/>
        </w:rPr>
        <w:t>6</w:t>
      </w:r>
      <w:r>
        <w:rPr>
          <w:rFonts w:hint="eastAsia"/>
          <w:color w:val="auto"/>
          <w:highlight w:val="none"/>
        </w:rPr>
        <w:fldChar w:fldCharType="end"/>
      </w:r>
    </w:p>
    <w:p w14:paraId="7CCF6E89">
      <w:pPr>
        <w:pStyle w:val="22"/>
        <w:tabs>
          <w:tab w:val="right" w:leader="dot" w:pos="8279"/>
        </w:tabs>
        <w:rPr>
          <w:color w:val="auto"/>
          <w:highlight w:val="none"/>
        </w:rPr>
      </w:pPr>
      <w:r>
        <w:rPr>
          <w:color w:val="auto"/>
          <w:highlight w:val="none"/>
        </w:rPr>
        <w:fldChar w:fldCharType="begin"/>
      </w:r>
      <w:r>
        <w:rPr>
          <w:color w:val="auto"/>
          <w:highlight w:val="none"/>
        </w:rPr>
        <w:instrText xml:space="preserve"> HYPERLINK \l "_Toc12846" </w:instrText>
      </w:r>
      <w:r>
        <w:rPr>
          <w:color w:val="auto"/>
          <w:highlight w:val="none"/>
        </w:rPr>
        <w:fldChar w:fldCharType="separate"/>
      </w:r>
      <w:r>
        <w:rPr>
          <w:rFonts w:hint="eastAsia" w:asciiTheme="minorEastAsia" w:hAnsiTheme="minorEastAsia"/>
          <w:color w:val="auto"/>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_Toc12846 \h </w:instrText>
      </w:r>
      <w:r>
        <w:rPr>
          <w:color w:val="auto"/>
          <w:highlight w:val="none"/>
        </w:rPr>
        <w:fldChar w:fldCharType="separate"/>
      </w:r>
      <w:r>
        <w:rPr>
          <w:rFonts w:hint="eastAsia"/>
          <w:color w:val="auto"/>
          <w:highlight w:val="none"/>
        </w:rPr>
        <w:t>18</w:t>
      </w:r>
      <w:r>
        <w:rPr>
          <w:color w:val="auto"/>
          <w:highlight w:val="none"/>
        </w:rPr>
        <w:fldChar w:fldCharType="end"/>
      </w:r>
      <w:r>
        <w:rPr>
          <w:color w:val="auto"/>
          <w:highlight w:val="none"/>
        </w:rPr>
        <w:fldChar w:fldCharType="end"/>
      </w:r>
    </w:p>
    <w:p w14:paraId="3E396145">
      <w:pPr>
        <w:pStyle w:val="22"/>
        <w:tabs>
          <w:tab w:val="right" w:leader="dot" w:pos="8279"/>
        </w:tabs>
        <w:rPr>
          <w:color w:val="auto"/>
          <w:highlight w:val="none"/>
        </w:rPr>
      </w:pPr>
      <w:r>
        <w:rPr>
          <w:color w:val="auto"/>
          <w:highlight w:val="none"/>
        </w:rPr>
        <w:fldChar w:fldCharType="begin"/>
      </w:r>
      <w:r>
        <w:rPr>
          <w:color w:val="auto"/>
          <w:highlight w:val="none"/>
        </w:rPr>
        <w:instrText xml:space="preserve"> HYPERLINK \l "_Toc23236" </w:instrText>
      </w:r>
      <w:r>
        <w:rPr>
          <w:color w:val="auto"/>
          <w:highlight w:val="none"/>
        </w:rPr>
        <w:fldChar w:fldCharType="separate"/>
      </w:r>
      <w:r>
        <w:rPr>
          <w:rFonts w:hint="eastAsia" w:asciiTheme="minorEastAsia" w:hAnsiTheme="minorEastAsia"/>
          <w:color w:val="auto"/>
          <w:highlight w:val="none"/>
        </w:rPr>
        <w:t>第四章  评审方法和标准</w:t>
      </w:r>
      <w:r>
        <w:rPr>
          <w:color w:val="auto"/>
          <w:highlight w:val="none"/>
        </w:rPr>
        <w:tab/>
      </w:r>
      <w:r>
        <w:rPr>
          <w:rFonts w:hint="eastAsia"/>
          <w:color w:val="auto"/>
          <w:highlight w:val="none"/>
        </w:rPr>
        <w:t>2</w:t>
      </w:r>
      <w:r>
        <w:rPr>
          <w:rFonts w:hint="eastAsia"/>
          <w:color w:val="auto"/>
          <w:highlight w:val="none"/>
        </w:rPr>
        <w:fldChar w:fldCharType="end"/>
      </w:r>
      <w:r>
        <w:rPr>
          <w:rFonts w:hint="eastAsia" w:asciiTheme="minorEastAsia" w:hAnsiTheme="minorEastAsia"/>
          <w:bCs/>
          <w:color w:val="auto"/>
          <w:szCs w:val="24"/>
          <w:highlight w:val="none"/>
        </w:rPr>
        <w:t>0</w:t>
      </w:r>
    </w:p>
    <w:p w14:paraId="5033591B">
      <w:pPr>
        <w:pStyle w:val="22"/>
        <w:tabs>
          <w:tab w:val="right" w:leader="dot" w:pos="8279"/>
        </w:tabs>
        <w:rPr>
          <w:color w:val="auto"/>
          <w:highlight w:val="none"/>
        </w:rPr>
      </w:pPr>
      <w:r>
        <w:rPr>
          <w:color w:val="auto"/>
          <w:highlight w:val="none"/>
        </w:rPr>
        <w:fldChar w:fldCharType="begin"/>
      </w:r>
      <w:r>
        <w:rPr>
          <w:color w:val="auto"/>
          <w:highlight w:val="none"/>
        </w:rPr>
        <w:instrText xml:space="preserve"> HYPERLINK \l "_Toc27310" </w:instrText>
      </w:r>
      <w:r>
        <w:rPr>
          <w:color w:val="auto"/>
          <w:highlight w:val="none"/>
        </w:rPr>
        <w:fldChar w:fldCharType="separate"/>
      </w:r>
      <w:r>
        <w:rPr>
          <w:rFonts w:hint="eastAsia" w:asciiTheme="minorEastAsia" w:hAnsiTheme="minorEastAsia"/>
          <w:color w:val="auto"/>
          <w:highlight w:val="none"/>
        </w:rPr>
        <w:t xml:space="preserve">第五章  </w:t>
      </w:r>
      <w:r>
        <w:rPr>
          <w:rFonts w:asciiTheme="minorEastAsia" w:hAnsiTheme="minorEastAsia"/>
          <w:color w:val="auto"/>
          <w:highlight w:val="none"/>
        </w:rPr>
        <w:t>政府采购合同</w:t>
      </w:r>
      <w:r>
        <w:rPr>
          <w:color w:val="auto"/>
          <w:highlight w:val="none"/>
        </w:rPr>
        <w:tab/>
      </w:r>
      <w:r>
        <w:rPr>
          <w:rFonts w:hint="eastAsia"/>
          <w:color w:val="auto"/>
          <w:highlight w:val="none"/>
        </w:rPr>
        <w:t>2</w:t>
      </w:r>
      <w:r>
        <w:rPr>
          <w:rFonts w:hint="eastAsia"/>
          <w:color w:val="auto"/>
          <w:highlight w:val="none"/>
        </w:rPr>
        <w:fldChar w:fldCharType="end"/>
      </w:r>
      <w:r>
        <w:rPr>
          <w:rFonts w:hint="eastAsia" w:asciiTheme="minorEastAsia" w:hAnsiTheme="minorEastAsia"/>
          <w:bCs/>
          <w:color w:val="auto"/>
          <w:szCs w:val="24"/>
          <w:highlight w:val="none"/>
        </w:rPr>
        <w:t>4</w:t>
      </w:r>
    </w:p>
    <w:p w14:paraId="04FACBD4">
      <w:pPr>
        <w:pStyle w:val="22"/>
        <w:tabs>
          <w:tab w:val="right" w:leader="dot" w:pos="8279"/>
        </w:tabs>
        <w:rPr>
          <w:color w:val="auto"/>
          <w:highlight w:val="none"/>
        </w:rPr>
      </w:pPr>
      <w:r>
        <w:rPr>
          <w:color w:val="auto"/>
          <w:highlight w:val="none"/>
        </w:rPr>
        <w:fldChar w:fldCharType="begin"/>
      </w:r>
      <w:r>
        <w:rPr>
          <w:color w:val="auto"/>
          <w:highlight w:val="none"/>
        </w:rPr>
        <w:instrText xml:space="preserve"> HYPERLINK \l "_Toc29374" </w:instrText>
      </w:r>
      <w:r>
        <w:rPr>
          <w:color w:val="auto"/>
          <w:highlight w:val="none"/>
        </w:rPr>
        <w:fldChar w:fldCharType="separate"/>
      </w:r>
      <w:r>
        <w:rPr>
          <w:rFonts w:hint="eastAsia" w:asciiTheme="minorEastAsia" w:hAnsiTheme="minorEastAsia"/>
          <w:color w:val="auto"/>
          <w:highlight w:val="none"/>
        </w:rPr>
        <w:t>第六章  响应文件格式</w:t>
      </w:r>
      <w:r>
        <w:rPr>
          <w:color w:val="auto"/>
          <w:highlight w:val="none"/>
        </w:rPr>
        <w:tab/>
      </w:r>
      <w:r>
        <w:rPr>
          <w:rFonts w:hint="eastAsia"/>
          <w:color w:val="auto"/>
          <w:highlight w:val="none"/>
        </w:rPr>
        <w:t>3</w:t>
      </w:r>
      <w:r>
        <w:rPr>
          <w:rFonts w:hint="eastAsia"/>
          <w:color w:val="auto"/>
          <w:highlight w:val="none"/>
        </w:rPr>
        <w:fldChar w:fldCharType="end"/>
      </w:r>
      <w:r>
        <w:rPr>
          <w:rFonts w:hint="eastAsia" w:asciiTheme="minorEastAsia" w:hAnsiTheme="minorEastAsia"/>
          <w:bCs/>
          <w:color w:val="auto"/>
          <w:szCs w:val="24"/>
          <w:highlight w:val="none"/>
        </w:rPr>
        <w:t>3</w:t>
      </w:r>
    </w:p>
    <w:p w14:paraId="54888958">
      <w:pPr>
        <w:pStyle w:val="22"/>
        <w:tabs>
          <w:tab w:val="right" w:leader="dot" w:pos="8279"/>
        </w:tabs>
        <w:rPr>
          <w:color w:val="auto"/>
          <w:highlight w:val="none"/>
        </w:rPr>
      </w:pPr>
      <w:r>
        <w:rPr>
          <w:color w:val="auto"/>
          <w:highlight w:val="none"/>
        </w:rPr>
        <w:fldChar w:fldCharType="begin"/>
      </w:r>
      <w:r>
        <w:rPr>
          <w:color w:val="auto"/>
          <w:highlight w:val="none"/>
        </w:rPr>
        <w:instrText xml:space="preserve"> HYPERLINK \l "_Toc19945" </w:instrText>
      </w:r>
      <w:r>
        <w:rPr>
          <w:color w:val="auto"/>
          <w:highlight w:val="none"/>
        </w:rPr>
        <w:fldChar w:fldCharType="separate"/>
      </w:r>
      <w:r>
        <w:rPr>
          <w:rFonts w:hint="eastAsia" w:ascii="宋体" w:hAnsi="宋体" w:eastAsia="宋体"/>
          <w:bCs/>
          <w:color w:val="auto"/>
          <w:highlight w:val="none"/>
        </w:rPr>
        <w:t xml:space="preserve">第七章 </w:t>
      </w:r>
      <w:r>
        <w:rPr>
          <w:rFonts w:hint="eastAsia"/>
          <w:bCs/>
          <w:color w:val="auto"/>
          <w:highlight w:val="none"/>
        </w:rPr>
        <w:t xml:space="preserve"> </w:t>
      </w:r>
      <w:r>
        <w:rPr>
          <w:rFonts w:hint="eastAsia" w:ascii="宋体" w:hAnsi="宋体" w:eastAsia="宋体"/>
          <w:bCs/>
          <w:color w:val="auto"/>
          <w:highlight w:val="none"/>
        </w:rPr>
        <w:t>政府采购</w:t>
      </w:r>
      <w:r>
        <w:rPr>
          <w:rFonts w:hint="eastAsia" w:asciiTheme="minorEastAsia" w:hAnsiTheme="minorEastAsia"/>
          <w:color w:val="auto"/>
          <w:highlight w:val="none"/>
        </w:rPr>
        <w:t>供应</w:t>
      </w:r>
      <w:r>
        <w:rPr>
          <w:rFonts w:hint="eastAsia" w:ascii="宋体" w:hAnsi="宋体" w:eastAsia="宋体"/>
          <w:bCs/>
          <w:color w:val="auto"/>
          <w:highlight w:val="none"/>
        </w:rPr>
        <w:t>商询问函和质疑函范本</w:t>
      </w:r>
      <w:r>
        <w:rPr>
          <w:color w:val="auto"/>
          <w:highlight w:val="none"/>
        </w:rPr>
        <w:tab/>
      </w:r>
      <w:r>
        <w:rPr>
          <w:rFonts w:hint="eastAsia"/>
          <w:color w:val="auto"/>
          <w:highlight w:val="none"/>
        </w:rPr>
        <w:t>4</w:t>
      </w:r>
      <w:r>
        <w:rPr>
          <w:rFonts w:hint="eastAsia"/>
          <w:color w:val="auto"/>
          <w:highlight w:val="none"/>
        </w:rPr>
        <w:fldChar w:fldCharType="end"/>
      </w:r>
      <w:r>
        <w:rPr>
          <w:rFonts w:hint="eastAsia" w:asciiTheme="minorEastAsia" w:hAnsiTheme="minorEastAsia"/>
          <w:bCs/>
          <w:color w:val="auto"/>
          <w:szCs w:val="24"/>
          <w:highlight w:val="none"/>
        </w:rPr>
        <w:t>4</w:t>
      </w:r>
    </w:p>
    <w:p w14:paraId="354E6001">
      <w:pPr>
        <w:pStyle w:val="24"/>
        <w:tabs>
          <w:tab w:val="right" w:leader="dot" w:pos="8296"/>
        </w:tabs>
        <w:rPr>
          <w:rFonts w:asciiTheme="minorEastAsia" w:hAnsiTheme="minorEastAsia"/>
          <w:b/>
          <w:color w:val="auto"/>
          <w:sz w:val="32"/>
          <w:highlight w:val="none"/>
        </w:rPr>
      </w:pPr>
      <w:r>
        <w:rPr>
          <w:rFonts w:asciiTheme="minorEastAsia" w:hAnsiTheme="minorEastAsia"/>
          <w:bCs/>
          <w:color w:val="auto"/>
          <w:szCs w:val="24"/>
          <w:highlight w:val="none"/>
        </w:rPr>
        <w:fldChar w:fldCharType="end"/>
      </w:r>
    </w:p>
    <w:p w14:paraId="366B5187">
      <w:pPr>
        <w:spacing w:line="360" w:lineRule="auto"/>
        <w:jc w:val="center"/>
        <w:outlineLvl w:val="1"/>
        <w:rPr>
          <w:rFonts w:asciiTheme="minorEastAsia" w:hAnsiTheme="minorEastAsia" w:eastAsiaTheme="minorEastAsia"/>
          <w:b/>
          <w:color w:val="auto"/>
          <w:sz w:val="28"/>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p>
    <w:p w14:paraId="54778684">
      <w:pPr>
        <w:spacing w:line="360" w:lineRule="auto"/>
        <w:jc w:val="center"/>
        <w:outlineLvl w:val="0"/>
        <w:rPr>
          <w:rFonts w:asciiTheme="minorEastAsia" w:hAnsiTheme="minorEastAsia" w:eastAsiaTheme="minorEastAsia"/>
          <w:b/>
          <w:color w:val="auto"/>
          <w:sz w:val="28"/>
          <w:highlight w:val="none"/>
        </w:rPr>
      </w:pPr>
      <w:bookmarkStart w:id="0" w:name="_Toc21914"/>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谈判邀请</w:t>
      </w:r>
      <w:bookmarkEnd w:id="0"/>
    </w:p>
    <w:p w14:paraId="02F70950">
      <w:pPr>
        <w:autoSpaceDE w:val="0"/>
        <w:autoSpaceDN w:val="0"/>
        <w:adjustRightInd w:val="0"/>
        <w:spacing w:line="480" w:lineRule="exact"/>
        <w:ind w:firstLine="439" w:firstLineChars="182"/>
        <w:jc w:val="left"/>
        <w:rPr>
          <w:rFonts w:ascii="宋体" w:hAnsi="宋体" w:eastAsia="宋体"/>
          <w:b/>
          <w:bCs/>
          <w:color w:val="auto"/>
          <w:sz w:val="24"/>
          <w:szCs w:val="18"/>
          <w:highlight w:val="none"/>
        </w:rPr>
      </w:pPr>
      <w:bookmarkStart w:id="1" w:name="_Toc7340"/>
      <w:bookmarkStart w:id="2" w:name="_Toc21967"/>
      <w:r>
        <w:rPr>
          <w:rFonts w:hint="eastAsia" w:ascii="宋体" w:hAnsi="宋体" w:eastAsia="宋体"/>
          <w:b/>
          <w:bCs/>
          <w:color w:val="auto"/>
          <w:sz w:val="24"/>
          <w:szCs w:val="18"/>
          <w:highlight w:val="none"/>
        </w:rPr>
        <w:t>项目概况</w:t>
      </w:r>
    </w:p>
    <w:p w14:paraId="061B5725">
      <w:pPr>
        <w:wordWrap w:val="0"/>
        <w:spacing w:line="360" w:lineRule="auto"/>
        <w:ind w:firstLine="437"/>
        <w:outlineLvl w:val="1"/>
        <w:rPr>
          <w:rFonts w:ascii="宋体" w:hAnsi="宋体" w:eastAsia="宋体"/>
          <w:b/>
          <w:bCs/>
          <w:color w:val="auto"/>
          <w:sz w:val="24"/>
          <w:szCs w:val="18"/>
          <w:highlight w:val="none"/>
        </w:rPr>
      </w:pPr>
      <w:r>
        <w:rPr>
          <w:rFonts w:hint="eastAsia" w:ascii="宋体" w:hAnsi="宋体" w:eastAsia="宋体"/>
          <w:color w:val="auto"/>
          <w:sz w:val="24"/>
          <w:szCs w:val="18"/>
          <w:highlight w:val="none"/>
          <w:u w:val="single"/>
        </w:rPr>
        <w:t>先进光伏和新型储能产业宣传片编制项目</w:t>
      </w:r>
      <w:r>
        <w:rPr>
          <w:rFonts w:hint="eastAsia" w:ascii="宋体" w:hAnsi="宋体" w:eastAsia="宋体"/>
          <w:color w:val="auto"/>
          <w:sz w:val="24"/>
          <w:szCs w:val="18"/>
          <w:highlight w:val="none"/>
        </w:rPr>
        <w:t>的潜在供应商应在</w:t>
      </w:r>
      <w:r>
        <w:rPr>
          <w:rFonts w:hint="eastAsia" w:ascii="宋体" w:hAnsi="宋体" w:eastAsia="宋体"/>
          <w:color w:val="auto"/>
          <w:sz w:val="24"/>
          <w:szCs w:val="18"/>
          <w:highlight w:val="none"/>
          <w:u w:val="single"/>
        </w:rPr>
        <w:t>滁州市城投工程咨询管理有限公司官网（https://www.czctgczx.com/）</w:t>
      </w:r>
      <w:r>
        <w:rPr>
          <w:rFonts w:hint="eastAsia" w:ascii="宋体" w:hAnsi="宋体" w:eastAsia="宋体"/>
          <w:color w:val="auto"/>
          <w:sz w:val="24"/>
          <w:szCs w:val="18"/>
          <w:highlight w:val="none"/>
        </w:rPr>
        <w:t>获取采购文件，并于2025年9月</w:t>
      </w:r>
      <w:r>
        <w:rPr>
          <w:rFonts w:hint="eastAsia" w:ascii="宋体" w:hAnsi="宋体" w:eastAsia="宋体"/>
          <w:color w:val="auto"/>
          <w:sz w:val="24"/>
          <w:szCs w:val="18"/>
          <w:highlight w:val="none"/>
          <w:lang w:val="en-US" w:eastAsia="zh-CN"/>
        </w:rPr>
        <w:t>10</w:t>
      </w:r>
      <w:r>
        <w:rPr>
          <w:rFonts w:hint="eastAsia" w:ascii="宋体" w:hAnsi="宋体" w:eastAsia="宋体"/>
          <w:color w:val="auto"/>
          <w:sz w:val="24"/>
          <w:szCs w:val="18"/>
          <w:highlight w:val="none"/>
        </w:rPr>
        <w:t>日15点00分（北京时间）前递交响应文件。</w:t>
      </w:r>
    </w:p>
    <w:p w14:paraId="1A03CF84">
      <w:pPr>
        <w:spacing w:line="360" w:lineRule="auto"/>
        <w:ind w:firstLine="435"/>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一、项目名称及内容</w:t>
      </w:r>
      <w:bookmarkEnd w:id="1"/>
      <w:bookmarkEnd w:id="2"/>
    </w:p>
    <w:p w14:paraId="4728D6EE">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项目编号：HXJY1110001042686001</w:t>
      </w:r>
      <w:r>
        <w:rPr>
          <w:rFonts w:hint="eastAsia" w:asciiTheme="minorEastAsia" w:hAnsiTheme="minorEastAsia" w:eastAsiaTheme="minorEastAsia"/>
          <w:color w:val="auto"/>
          <w:sz w:val="24"/>
          <w:highlight w:val="none"/>
          <w:lang w:val="en-US" w:eastAsia="zh-CN"/>
        </w:rPr>
        <w:t>001</w:t>
      </w:r>
      <w:r>
        <w:rPr>
          <w:rFonts w:hint="eastAsia" w:asciiTheme="minorEastAsia" w:hAnsiTheme="minorEastAsia" w:eastAsiaTheme="minorEastAsia"/>
          <w:color w:val="auto"/>
          <w:sz w:val="24"/>
          <w:highlight w:val="none"/>
        </w:rPr>
        <w:t xml:space="preserve">   </w:t>
      </w:r>
    </w:p>
    <w:p w14:paraId="48627EC4">
      <w:pPr>
        <w:autoSpaceDE w:val="0"/>
        <w:autoSpaceDN w:val="0"/>
        <w:adjustRightInd w:val="0"/>
        <w:spacing w:line="480" w:lineRule="exact"/>
        <w:ind w:firstLine="436" w:firstLineChars="182"/>
        <w:jc w:val="left"/>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项目名称：先进光伏和新型储能产业宣传片编制项目</w:t>
      </w:r>
    </w:p>
    <w:p w14:paraId="60B07F8B">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采购方式：竞争性谈判</w:t>
      </w:r>
    </w:p>
    <w:p w14:paraId="01C1401B">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邀请供应商方式：□公告 □从省级以上财政部门建立的供应商库中随机抽取 ☑采购人和评审专家分别书面推荐。</w:t>
      </w:r>
    </w:p>
    <w:p w14:paraId="6963869E">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预算金额：</w:t>
      </w:r>
      <w:r>
        <w:rPr>
          <w:rFonts w:hint="eastAsia" w:asciiTheme="minorEastAsia" w:hAnsiTheme="minorEastAsia" w:eastAsiaTheme="minorEastAsia"/>
          <w:color w:val="auto"/>
          <w:sz w:val="24"/>
          <w:highlight w:val="none"/>
          <w:lang w:val="en-US" w:eastAsia="zh-CN"/>
        </w:rPr>
        <w:t>29.8</w:t>
      </w:r>
      <w:r>
        <w:rPr>
          <w:rFonts w:hint="eastAsia" w:asciiTheme="minorEastAsia" w:hAnsiTheme="minorEastAsia" w:eastAsiaTheme="minorEastAsia"/>
          <w:color w:val="auto"/>
          <w:sz w:val="24"/>
          <w:highlight w:val="none"/>
        </w:rPr>
        <w:t>万元</w:t>
      </w:r>
    </w:p>
    <w:p w14:paraId="1B6D1C2B">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最高限价：</w:t>
      </w:r>
      <w:r>
        <w:rPr>
          <w:rFonts w:hint="eastAsia" w:asciiTheme="minorEastAsia" w:hAnsiTheme="minorEastAsia" w:eastAsiaTheme="minorEastAsia"/>
          <w:color w:val="auto"/>
          <w:sz w:val="24"/>
          <w:highlight w:val="none"/>
          <w:lang w:val="en-US" w:eastAsia="zh-CN"/>
        </w:rPr>
        <w:t>29.8</w:t>
      </w:r>
      <w:r>
        <w:rPr>
          <w:rFonts w:hint="eastAsia" w:asciiTheme="minorEastAsia" w:hAnsiTheme="minorEastAsia" w:eastAsiaTheme="minorEastAsia"/>
          <w:color w:val="auto"/>
          <w:sz w:val="24"/>
          <w:highlight w:val="none"/>
        </w:rPr>
        <w:t>万</w:t>
      </w:r>
      <w:r>
        <w:rPr>
          <w:rFonts w:hint="eastAsia" w:ascii="宋体" w:hAnsi="宋体" w:eastAsia="宋体"/>
          <w:color w:val="auto"/>
          <w:sz w:val="24"/>
          <w:szCs w:val="18"/>
          <w:highlight w:val="none"/>
        </w:rPr>
        <w:t>元，响应报价不得高于最高限价，否则按无效响应处理。</w:t>
      </w:r>
    </w:p>
    <w:p w14:paraId="2E3CA536">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采购需求：见采购需求。</w:t>
      </w:r>
    </w:p>
    <w:p w14:paraId="14352551">
      <w:pPr>
        <w:spacing w:line="480" w:lineRule="exact"/>
        <w:ind w:firstLine="435"/>
        <w:rPr>
          <w:rFonts w:eastAsia="宋体" w:asciiTheme="minorEastAsia" w:hAnsiTheme="minorEastAsia"/>
          <w:color w:val="auto"/>
          <w:sz w:val="24"/>
          <w:highlight w:val="none"/>
        </w:rPr>
      </w:pPr>
      <w:r>
        <w:rPr>
          <w:rFonts w:hint="eastAsia" w:asciiTheme="minorEastAsia" w:hAnsiTheme="minorEastAsia" w:eastAsiaTheme="minorEastAsia"/>
          <w:color w:val="auto"/>
          <w:sz w:val="24"/>
          <w:highlight w:val="none"/>
        </w:rPr>
        <w:t>合同履行期限：见采购需求</w:t>
      </w:r>
      <w:r>
        <w:rPr>
          <w:rFonts w:hint="eastAsia" w:ascii="宋体" w:hAnsi="宋体" w:eastAsia="宋体" w:cs="宋体"/>
          <w:color w:val="auto"/>
          <w:sz w:val="24"/>
          <w:szCs w:val="24"/>
          <w:highlight w:val="none"/>
        </w:rPr>
        <w:t>。</w:t>
      </w:r>
    </w:p>
    <w:p w14:paraId="21CFED66">
      <w:pPr>
        <w:autoSpaceDE w:val="0"/>
        <w:autoSpaceDN w:val="0"/>
        <w:adjustRightInd w:val="0"/>
        <w:spacing w:line="360" w:lineRule="auto"/>
        <w:ind w:firstLine="436" w:firstLineChars="182"/>
        <w:jc w:val="left"/>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本项目不接受联合体。</w:t>
      </w:r>
    </w:p>
    <w:p w14:paraId="36D38AAC">
      <w:pPr>
        <w:spacing w:line="360" w:lineRule="auto"/>
        <w:ind w:firstLine="435"/>
        <w:outlineLvl w:val="1"/>
        <w:rPr>
          <w:rFonts w:ascii="宋体" w:hAnsi="宋体" w:eastAsia="宋体"/>
          <w:b/>
          <w:bCs/>
          <w:color w:val="auto"/>
          <w:sz w:val="24"/>
          <w:szCs w:val="18"/>
          <w:highlight w:val="none"/>
        </w:rPr>
      </w:pPr>
      <w:bookmarkStart w:id="3" w:name="_Toc10226"/>
      <w:bookmarkStart w:id="4" w:name="_Toc9766"/>
      <w:r>
        <w:rPr>
          <w:rFonts w:hint="eastAsia" w:ascii="宋体" w:hAnsi="宋体" w:eastAsia="宋体"/>
          <w:b/>
          <w:bCs/>
          <w:color w:val="auto"/>
          <w:sz w:val="24"/>
          <w:szCs w:val="18"/>
          <w:highlight w:val="none"/>
        </w:rPr>
        <w:t>二</w:t>
      </w:r>
      <w:r>
        <w:rPr>
          <w:rFonts w:hint="eastAsia" w:asciiTheme="minorEastAsia" w:hAnsiTheme="minorEastAsia" w:eastAsiaTheme="minorEastAsia"/>
          <w:b/>
          <w:color w:val="auto"/>
          <w:sz w:val="24"/>
          <w:highlight w:val="none"/>
        </w:rPr>
        <w:t>、</w:t>
      </w:r>
      <w:bookmarkEnd w:id="3"/>
      <w:r>
        <w:rPr>
          <w:rFonts w:hint="eastAsia" w:ascii="宋体" w:hAnsi="宋体" w:eastAsia="宋体"/>
          <w:b/>
          <w:bCs/>
          <w:color w:val="auto"/>
          <w:sz w:val="24"/>
          <w:szCs w:val="18"/>
          <w:highlight w:val="none"/>
        </w:rPr>
        <w:t>申请人的资格要求</w:t>
      </w:r>
      <w:bookmarkEnd w:id="4"/>
    </w:p>
    <w:p w14:paraId="1B4AB93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1.具有相应的服务能力；</w:t>
      </w:r>
    </w:p>
    <w:p w14:paraId="54A3EF15">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bookmarkStart w:id="5" w:name="_Toc4607"/>
      <w:bookmarkStart w:id="6" w:name="_Toc31469"/>
      <w:r>
        <w:rPr>
          <w:rFonts w:hint="eastAsia" w:asciiTheme="minorEastAsia" w:hAnsiTheme="minorEastAsia" w:eastAsiaTheme="minorEastAsia"/>
          <w:color w:val="auto"/>
          <w:sz w:val="24"/>
          <w:highlight w:val="none"/>
        </w:rPr>
        <w:t>信誉要求：供应商不得存在以下情形：</w:t>
      </w:r>
    </w:p>
    <w:p w14:paraId="0B9552C6">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①供应商被人民法院列入失信被执行人的；</w:t>
      </w:r>
    </w:p>
    <w:p w14:paraId="17A653C2">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②供应商或其法定代表人或拟派项目负责人前三年有行贿犯罪行为的；</w:t>
      </w:r>
    </w:p>
    <w:p w14:paraId="102D272D">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③供应商被市场监督管理部门列入经营异常名录或者严重违法企业名单，且未被移除的；</w:t>
      </w:r>
    </w:p>
    <w:p w14:paraId="3678F44E">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④供应商被税务部门列入重大税收违法案件当事人的；</w:t>
      </w:r>
    </w:p>
    <w:p w14:paraId="226EFE51">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⑤供应商被政府采购监管部门列入政府采购严重违法失信行为记录名单的；</w:t>
      </w:r>
    </w:p>
    <w:p w14:paraId="7398A3D3">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⑥在“信用中国”网站上披露仍在公示期的严重失信行为的。</w:t>
      </w:r>
    </w:p>
    <w:p w14:paraId="66C3451A">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3.供应商所属分公司、办事处等分支机构存在第2款信誉要求①-⑥项情形之一的，接受供应商参加本项目。</w:t>
      </w:r>
    </w:p>
    <w:p w14:paraId="5C8C869F">
      <w:pPr>
        <w:spacing w:line="360" w:lineRule="auto"/>
        <w:ind w:firstLine="435"/>
        <w:outlineLvl w:val="1"/>
        <w:rPr>
          <w:rFonts w:ascii="宋体" w:hAnsi="宋体" w:eastAsiaTheme="minorEastAsia"/>
          <w:b/>
          <w:bCs/>
          <w:color w:val="auto"/>
          <w:sz w:val="24"/>
          <w:szCs w:val="18"/>
          <w:highlight w:val="none"/>
        </w:rPr>
      </w:pPr>
      <w:r>
        <w:rPr>
          <w:rFonts w:hint="eastAsia" w:asciiTheme="minorEastAsia" w:hAnsiTheme="minorEastAsia" w:eastAsiaTheme="minorEastAsia"/>
          <w:color w:val="auto"/>
          <w:sz w:val="24"/>
          <w:highlight w:val="none"/>
        </w:rPr>
        <w:t>备注：第2、3条按照“关于联合惩戒失信行为加强信用查询管理的通知”查询或承诺。</w:t>
      </w:r>
    </w:p>
    <w:p w14:paraId="03EFDFDE">
      <w:pPr>
        <w:spacing w:line="360" w:lineRule="auto"/>
        <w:ind w:firstLine="435"/>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三</w:t>
      </w:r>
      <w:r>
        <w:rPr>
          <w:rFonts w:hint="eastAsia" w:asciiTheme="minorEastAsia" w:hAnsiTheme="minorEastAsia" w:eastAsiaTheme="minorEastAsia"/>
          <w:b/>
          <w:color w:val="auto"/>
          <w:sz w:val="24"/>
          <w:highlight w:val="none"/>
        </w:rPr>
        <w:t>、</w:t>
      </w:r>
      <w:bookmarkEnd w:id="5"/>
      <w:r>
        <w:rPr>
          <w:rFonts w:hint="eastAsia" w:asciiTheme="minorEastAsia" w:hAnsiTheme="minorEastAsia" w:eastAsiaTheme="minorEastAsia"/>
          <w:b/>
          <w:color w:val="auto"/>
          <w:sz w:val="24"/>
          <w:highlight w:val="none"/>
        </w:rPr>
        <w:t>获取采购文件</w:t>
      </w:r>
      <w:bookmarkEnd w:id="6"/>
    </w:p>
    <w:p w14:paraId="2B95B010">
      <w:pPr>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color w:val="auto"/>
          <w:sz w:val="24"/>
          <w:szCs w:val="24"/>
          <w:highlight w:val="none"/>
          <w:u w:val="single"/>
        </w:rPr>
        <w:t>2025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9</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5</w:t>
      </w:r>
      <w:r>
        <w:rPr>
          <w:rFonts w:hint="eastAsia" w:asciiTheme="minorEastAsia" w:hAnsiTheme="minorEastAsia" w:eastAsiaTheme="minorEastAsia" w:cstheme="minorEastAsia"/>
          <w:color w:val="auto"/>
          <w:sz w:val="24"/>
          <w:szCs w:val="24"/>
          <w:highlight w:val="none"/>
        </w:rPr>
        <w:t>日至</w:t>
      </w:r>
      <w:r>
        <w:rPr>
          <w:rFonts w:hint="eastAsia" w:asciiTheme="minorEastAsia" w:hAnsiTheme="minorEastAsia" w:eastAsiaTheme="minorEastAsia" w:cstheme="minorEastAsia"/>
          <w:color w:val="auto"/>
          <w:sz w:val="24"/>
          <w:szCs w:val="24"/>
          <w:highlight w:val="none"/>
          <w:u w:val="single"/>
        </w:rPr>
        <w:t>2025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9</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10</w:t>
      </w:r>
      <w:r>
        <w:rPr>
          <w:rFonts w:hint="eastAsia" w:asciiTheme="minorEastAsia" w:hAnsiTheme="minorEastAsia" w:eastAsiaTheme="minorEastAsia" w:cstheme="minorEastAsia"/>
          <w:color w:val="auto"/>
          <w:sz w:val="24"/>
          <w:szCs w:val="24"/>
          <w:highlight w:val="none"/>
        </w:rPr>
        <w:t>日</w:t>
      </w:r>
    </w:p>
    <w:p w14:paraId="206908F7">
      <w:pPr>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地点：滁州市城投工程咨询管理有限公司官网（https://www.czctgczx.com/）</w:t>
      </w:r>
    </w:p>
    <w:p w14:paraId="7C5932C3">
      <w:pPr>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方式：（1）供应商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  </w:t>
      </w:r>
    </w:p>
    <w:p w14:paraId="14CC2A25">
      <w:pPr>
        <w:numPr>
          <w:ilvl w:val="0"/>
          <w:numId w:val="2"/>
        </w:numPr>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供应商登录新点电子交易平台【滁州专区】获取采购文件及其它资料（含澄清和补充说明等）。如在采购文件获取过程中遇到系统问题，请拨打技术支持服务热线4009280095或者网站首页在线客服。</w:t>
      </w:r>
    </w:p>
    <w:p w14:paraId="7969CF87">
      <w:pPr>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售价：0元</w:t>
      </w:r>
    </w:p>
    <w:p w14:paraId="5BCAD54D">
      <w:pPr>
        <w:spacing w:line="360" w:lineRule="auto"/>
        <w:ind w:firstLine="435"/>
        <w:outlineLvl w:val="1"/>
        <w:rPr>
          <w:rFonts w:ascii="宋体" w:hAnsi="宋体" w:eastAsia="宋体"/>
          <w:b/>
          <w:bCs/>
          <w:color w:val="auto"/>
          <w:sz w:val="24"/>
          <w:szCs w:val="18"/>
          <w:highlight w:val="none"/>
        </w:rPr>
      </w:pPr>
      <w:bookmarkStart w:id="7" w:name="_Toc19753"/>
      <w:bookmarkStart w:id="8" w:name="_Toc16674"/>
      <w:r>
        <w:rPr>
          <w:rFonts w:hint="eastAsia" w:ascii="宋体" w:hAnsi="宋体" w:eastAsia="宋体"/>
          <w:b/>
          <w:bCs/>
          <w:color w:val="auto"/>
          <w:sz w:val="24"/>
          <w:szCs w:val="18"/>
          <w:highlight w:val="none"/>
        </w:rPr>
        <w:t>四</w:t>
      </w:r>
      <w:r>
        <w:rPr>
          <w:rFonts w:hint="eastAsia" w:asciiTheme="minorEastAsia" w:hAnsiTheme="minorEastAsia" w:eastAsiaTheme="minorEastAsia"/>
          <w:b/>
          <w:color w:val="auto"/>
          <w:sz w:val="24"/>
          <w:highlight w:val="none"/>
        </w:rPr>
        <w:t>、</w:t>
      </w:r>
      <w:bookmarkEnd w:id="7"/>
      <w:r>
        <w:rPr>
          <w:rFonts w:hint="eastAsia" w:ascii="宋体" w:hAnsi="宋体" w:eastAsia="宋体"/>
          <w:b/>
          <w:bCs/>
          <w:color w:val="auto"/>
          <w:sz w:val="24"/>
          <w:highlight w:val="none"/>
        </w:rPr>
        <w:t>响应文件提交</w:t>
      </w:r>
      <w:bookmarkEnd w:id="8"/>
    </w:p>
    <w:p w14:paraId="41172AD4">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截止时间：</w:t>
      </w:r>
      <w:r>
        <w:rPr>
          <w:rFonts w:hint="eastAsia" w:asciiTheme="minorEastAsia" w:hAnsiTheme="minorEastAsia" w:eastAsiaTheme="minorEastAsia" w:cstheme="minorEastAsia"/>
          <w:b/>
          <w:color w:val="auto"/>
          <w:sz w:val="24"/>
          <w:szCs w:val="24"/>
          <w:highlight w:val="none"/>
          <w:u w:val="single"/>
        </w:rPr>
        <w:t>2025</w:t>
      </w:r>
      <w:r>
        <w:rPr>
          <w:rFonts w:hint="eastAsia" w:asciiTheme="minorEastAsia" w:hAnsiTheme="minorEastAsia" w:eastAsiaTheme="minorEastAsia" w:cstheme="minorEastAsia"/>
          <w:b/>
          <w:color w:val="auto"/>
          <w:sz w:val="24"/>
          <w:szCs w:val="24"/>
          <w:highlight w:val="none"/>
        </w:rPr>
        <w:t>年</w:t>
      </w:r>
      <w:r>
        <w:rPr>
          <w:rFonts w:hint="eastAsia" w:asciiTheme="minorEastAsia" w:hAnsiTheme="minorEastAsia" w:eastAsiaTheme="minorEastAsia" w:cstheme="minorEastAsia"/>
          <w:b/>
          <w:color w:val="auto"/>
          <w:sz w:val="24"/>
          <w:szCs w:val="24"/>
          <w:highlight w:val="none"/>
          <w:u w:val="single"/>
          <w:lang w:val="en-US" w:eastAsia="zh-CN"/>
        </w:rPr>
        <w:t>9</w:t>
      </w:r>
      <w:r>
        <w:rPr>
          <w:rFonts w:hint="eastAsia" w:asciiTheme="minorEastAsia" w:hAnsiTheme="minorEastAsia" w:eastAsiaTheme="minorEastAsia" w:cstheme="minorEastAsia"/>
          <w:b/>
          <w:color w:val="auto"/>
          <w:sz w:val="24"/>
          <w:szCs w:val="24"/>
          <w:highlight w:val="none"/>
        </w:rPr>
        <w:t>月</w:t>
      </w:r>
      <w:r>
        <w:rPr>
          <w:rFonts w:hint="eastAsia" w:asciiTheme="minorEastAsia" w:hAnsiTheme="minorEastAsia" w:eastAsiaTheme="minorEastAsia" w:cstheme="minorEastAsia"/>
          <w:b/>
          <w:color w:val="auto"/>
          <w:sz w:val="24"/>
          <w:szCs w:val="24"/>
          <w:highlight w:val="none"/>
          <w:u w:val="single"/>
          <w:lang w:val="en-US" w:eastAsia="zh-CN"/>
        </w:rPr>
        <w:t>10</w:t>
      </w:r>
      <w:r>
        <w:rPr>
          <w:rFonts w:hint="eastAsia" w:asciiTheme="minorEastAsia" w:hAnsiTheme="minorEastAsia" w:eastAsiaTheme="minorEastAsia" w:cstheme="minorEastAsia"/>
          <w:b/>
          <w:color w:val="auto"/>
          <w:sz w:val="24"/>
          <w:szCs w:val="24"/>
          <w:highlight w:val="none"/>
        </w:rPr>
        <w:t>日</w:t>
      </w:r>
      <w:r>
        <w:rPr>
          <w:rFonts w:hint="eastAsia" w:asciiTheme="minorEastAsia" w:hAnsiTheme="minorEastAsia" w:eastAsiaTheme="minorEastAsia" w:cstheme="minorEastAsia"/>
          <w:b/>
          <w:color w:val="auto"/>
          <w:sz w:val="24"/>
          <w:szCs w:val="24"/>
          <w:highlight w:val="none"/>
          <w:u w:val="single"/>
        </w:rPr>
        <w:t>15</w:t>
      </w:r>
      <w:r>
        <w:rPr>
          <w:rFonts w:hint="eastAsia" w:asciiTheme="minorEastAsia" w:hAnsiTheme="minorEastAsia" w:eastAsiaTheme="minorEastAsia" w:cstheme="minorEastAsia"/>
          <w:b/>
          <w:color w:val="auto"/>
          <w:sz w:val="24"/>
          <w:szCs w:val="24"/>
          <w:highlight w:val="none"/>
        </w:rPr>
        <w:t>点</w:t>
      </w:r>
      <w:r>
        <w:rPr>
          <w:rFonts w:hint="eastAsia" w:asciiTheme="minorEastAsia" w:hAnsiTheme="minorEastAsia" w:eastAsiaTheme="minorEastAsia" w:cstheme="minorEastAsia"/>
          <w:b/>
          <w:color w:val="auto"/>
          <w:sz w:val="24"/>
          <w:szCs w:val="24"/>
          <w:highlight w:val="none"/>
          <w:u w:val="single"/>
        </w:rPr>
        <w:t>00</w:t>
      </w:r>
      <w:r>
        <w:rPr>
          <w:rFonts w:hint="eastAsia" w:asciiTheme="minorEastAsia" w:hAnsiTheme="minorEastAsia" w:eastAsiaTheme="minorEastAsia" w:cstheme="minorEastAsia"/>
          <w:b/>
          <w:color w:val="auto"/>
          <w:sz w:val="24"/>
          <w:szCs w:val="24"/>
          <w:highlight w:val="none"/>
        </w:rPr>
        <w:t>分</w:t>
      </w:r>
      <w:r>
        <w:rPr>
          <w:rFonts w:hint="eastAsia" w:asciiTheme="minorEastAsia" w:hAnsiTheme="minorEastAsia" w:eastAsiaTheme="minorEastAsia" w:cstheme="minorEastAsia"/>
          <w:bCs/>
          <w:color w:val="auto"/>
          <w:sz w:val="24"/>
          <w:szCs w:val="24"/>
          <w:highlight w:val="none"/>
        </w:rPr>
        <w:t>（北京时间）</w:t>
      </w:r>
      <w:r>
        <w:rPr>
          <w:rFonts w:hint="eastAsia" w:asciiTheme="minorEastAsia" w:hAnsiTheme="minorEastAsia" w:eastAsiaTheme="minorEastAsia" w:cstheme="minorEastAsia"/>
          <w:iCs/>
          <w:color w:val="auto"/>
          <w:sz w:val="24"/>
          <w:szCs w:val="24"/>
          <w:highlight w:val="none"/>
        </w:rPr>
        <w:t>（</w:t>
      </w:r>
      <w:r>
        <w:rPr>
          <w:rFonts w:hint="eastAsia" w:asciiTheme="minorEastAsia" w:hAnsiTheme="minorEastAsia" w:eastAsiaTheme="minorEastAsia" w:cstheme="minorEastAsia"/>
          <w:i/>
          <w:color w:val="auto"/>
          <w:sz w:val="24"/>
          <w:szCs w:val="24"/>
          <w:highlight w:val="none"/>
        </w:rPr>
        <w:t>从谈判文件开始发出之日起至供应商提交首次响应文件截止之日止不得少于3个工作日</w:t>
      </w:r>
      <w:r>
        <w:rPr>
          <w:rFonts w:hint="eastAsia" w:asciiTheme="minorEastAsia" w:hAnsiTheme="minorEastAsia" w:eastAsiaTheme="minorEastAsia" w:cstheme="minorEastAsia"/>
          <w:iCs/>
          <w:color w:val="auto"/>
          <w:sz w:val="24"/>
          <w:szCs w:val="24"/>
          <w:highlight w:val="none"/>
        </w:rPr>
        <w:t>）</w:t>
      </w:r>
    </w:p>
    <w:p w14:paraId="2045CFC1">
      <w:pPr>
        <w:wordWrap w:val="0"/>
        <w:spacing w:line="360" w:lineRule="auto"/>
        <w:ind w:firstLine="437"/>
        <w:rPr>
          <w:rFonts w:ascii="宋体" w:hAnsi="宋体" w:eastAsiaTheme="minorEastAsia"/>
          <w:color w:val="auto"/>
          <w:sz w:val="24"/>
          <w:szCs w:val="18"/>
          <w:highlight w:val="none"/>
        </w:rPr>
      </w:pPr>
      <w:r>
        <w:rPr>
          <w:rFonts w:hint="eastAsia" w:asciiTheme="minorEastAsia" w:hAnsiTheme="minorEastAsia" w:eastAsiaTheme="minorEastAsia" w:cstheme="minorEastAsia"/>
          <w:color w:val="auto"/>
          <w:sz w:val="24"/>
          <w:szCs w:val="24"/>
          <w:highlight w:val="none"/>
        </w:rPr>
        <w:t>递交方式：本项目仅接受供应商提交首次响应文件截止之日前登录新点电子交易平台【滁州专区】（https://www.etrading.cn/BREpointSSO/login/oauth2login?regioncode=DQ_ChuZhou）交易系统递交的加密电子响应文件</w:t>
      </w:r>
    </w:p>
    <w:p w14:paraId="2526DDDA">
      <w:pPr>
        <w:spacing w:line="360" w:lineRule="auto"/>
        <w:ind w:firstLine="435"/>
        <w:outlineLvl w:val="1"/>
        <w:rPr>
          <w:rFonts w:ascii="宋体" w:hAnsi="宋体" w:eastAsia="宋体"/>
          <w:b/>
          <w:bCs/>
          <w:color w:val="auto"/>
          <w:sz w:val="24"/>
          <w:szCs w:val="18"/>
          <w:highlight w:val="none"/>
        </w:rPr>
      </w:pPr>
      <w:bookmarkStart w:id="9" w:name="_Toc8953"/>
      <w:bookmarkStart w:id="10" w:name="_Toc7959"/>
      <w:r>
        <w:rPr>
          <w:rFonts w:hint="eastAsia" w:ascii="宋体" w:hAnsi="宋体" w:eastAsia="宋体"/>
          <w:b/>
          <w:bCs/>
          <w:color w:val="auto"/>
          <w:sz w:val="24"/>
          <w:szCs w:val="18"/>
          <w:highlight w:val="none"/>
        </w:rPr>
        <w:t>五</w:t>
      </w:r>
      <w:r>
        <w:rPr>
          <w:rFonts w:hint="eastAsia" w:asciiTheme="minorEastAsia" w:hAnsiTheme="minorEastAsia" w:eastAsiaTheme="minorEastAsia"/>
          <w:b/>
          <w:color w:val="auto"/>
          <w:sz w:val="24"/>
          <w:highlight w:val="none"/>
        </w:rPr>
        <w:t>、</w:t>
      </w:r>
      <w:bookmarkEnd w:id="9"/>
      <w:r>
        <w:rPr>
          <w:rFonts w:hint="eastAsia" w:ascii="宋体" w:hAnsi="宋体" w:eastAsia="宋体"/>
          <w:b/>
          <w:bCs/>
          <w:color w:val="auto"/>
          <w:sz w:val="24"/>
          <w:highlight w:val="none"/>
        </w:rPr>
        <w:t>开启</w:t>
      </w:r>
      <w:bookmarkEnd w:id="10"/>
    </w:p>
    <w:p w14:paraId="0C872176">
      <w:pPr>
        <w:adjustRightInd w:val="0"/>
        <w:snapToGrid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时间：</w:t>
      </w:r>
      <w:r>
        <w:rPr>
          <w:rFonts w:hint="eastAsia" w:asciiTheme="minorEastAsia" w:hAnsiTheme="minorEastAsia" w:eastAsiaTheme="minorEastAsia" w:cstheme="minorEastAsia"/>
          <w:b/>
          <w:color w:val="auto"/>
          <w:sz w:val="24"/>
          <w:szCs w:val="24"/>
          <w:highlight w:val="none"/>
          <w:u w:val="single"/>
        </w:rPr>
        <w:t>2025</w:t>
      </w:r>
      <w:r>
        <w:rPr>
          <w:rFonts w:hint="eastAsia" w:asciiTheme="minorEastAsia" w:hAnsiTheme="minorEastAsia" w:eastAsiaTheme="minorEastAsia" w:cstheme="minorEastAsia"/>
          <w:b/>
          <w:color w:val="auto"/>
          <w:sz w:val="24"/>
          <w:szCs w:val="24"/>
          <w:highlight w:val="none"/>
        </w:rPr>
        <w:t>年</w:t>
      </w:r>
      <w:r>
        <w:rPr>
          <w:rFonts w:hint="eastAsia" w:asciiTheme="minorEastAsia" w:hAnsiTheme="minorEastAsia" w:eastAsiaTheme="minorEastAsia" w:cstheme="minorEastAsia"/>
          <w:b/>
          <w:color w:val="auto"/>
          <w:sz w:val="24"/>
          <w:szCs w:val="24"/>
          <w:highlight w:val="none"/>
          <w:u w:val="single"/>
          <w:lang w:val="en-US" w:eastAsia="zh-CN"/>
        </w:rPr>
        <w:t>9</w:t>
      </w:r>
      <w:r>
        <w:rPr>
          <w:rFonts w:hint="eastAsia" w:asciiTheme="minorEastAsia" w:hAnsiTheme="minorEastAsia" w:eastAsiaTheme="minorEastAsia" w:cstheme="minorEastAsia"/>
          <w:b/>
          <w:color w:val="auto"/>
          <w:sz w:val="24"/>
          <w:szCs w:val="24"/>
          <w:highlight w:val="none"/>
        </w:rPr>
        <w:t>月</w:t>
      </w:r>
      <w:r>
        <w:rPr>
          <w:rFonts w:hint="eastAsia" w:asciiTheme="minorEastAsia" w:hAnsiTheme="minorEastAsia" w:eastAsiaTheme="minorEastAsia" w:cstheme="minorEastAsia"/>
          <w:b/>
          <w:color w:val="auto"/>
          <w:sz w:val="24"/>
          <w:szCs w:val="24"/>
          <w:highlight w:val="none"/>
          <w:u w:val="single"/>
          <w:lang w:val="en-US" w:eastAsia="zh-CN"/>
        </w:rPr>
        <w:t>10</w:t>
      </w:r>
      <w:r>
        <w:rPr>
          <w:rFonts w:hint="eastAsia" w:asciiTheme="minorEastAsia" w:hAnsiTheme="minorEastAsia" w:eastAsiaTheme="minorEastAsia" w:cstheme="minorEastAsia"/>
          <w:b/>
          <w:color w:val="auto"/>
          <w:sz w:val="24"/>
          <w:szCs w:val="24"/>
          <w:highlight w:val="none"/>
        </w:rPr>
        <w:t>日</w:t>
      </w:r>
      <w:r>
        <w:rPr>
          <w:rFonts w:hint="eastAsia" w:asciiTheme="minorEastAsia" w:hAnsiTheme="minorEastAsia" w:eastAsiaTheme="minorEastAsia" w:cstheme="minorEastAsia"/>
          <w:b/>
          <w:color w:val="auto"/>
          <w:sz w:val="24"/>
          <w:szCs w:val="24"/>
          <w:highlight w:val="none"/>
          <w:u w:val="single"/>
        </w:rPr>
        <w:t>15</w:t>
      </w:r>
      <w:r>
        <w:rPr>
          <w:rFonts w:hint="eastAsia" w:asciiTheme="minorEastAsia" w:hAnsiTheme="minorEastAsia" w:eastAsiaTheme="minorEastAsia" w:cstheme="minorEastAsia"/>
          <w:b/>
          <w:color w:val="auto"/>
          <w:sz w:val="24"/>
          <w:szCs w:val="24"/>
          <w:highlight w:val="none"/>
        </w:rPr>
        <w:t>点</w:t>
      </w:r>
      <w:r>
        <w:rPr>
          <w:rFonts w:hint="eastAsia" w:asciiTheme="minorEastAsia" w:hAnsiTheme="minorEastAsia" w:eastAsiaTheme="minorEastAsia" w:cstheme="minorEastAsia"/>
          <w:b/>
          <w:color w:val="auto"/>
          <w:sz w:val="24"/>
          <w:szCs w:val="24"/>
          <w:highlight w:val="none"/>
          <w:u w:val="single"/>
        </w:rPr>
        <w:t>00</w:t>
      </w:r>
      <w:r>
        <w:rPr>
          <w:rFonts w:hint="eastAsia" w:asciiTheme="minorEastAsia" w:hAnsiTheme="minorEastAsia" w:eastAsiaTheme="minorEastAsia" w:cstheme="minorEastAsia"/>
          <w:b/>
          <w:color w:val="auto"/>
          <w:sz w:val="24"/>
          <w:szCs w:val="24"/>
          <w:highlight w:val="none"/>
        </w:rPr>
        <w:t>分</w:t>
      </w:r>
      <w:r>
        <w:rPr>
          <w:rFonts w:hint="eastAsia" w:asciiTheme="minorEastAsia" w:hAnsiTheme="minorEastAsia" w:eastAsiaTheme="minorEastAsia" w:cstheme="minorEastAsia"/>
          <w:bCs/>
          <w:color w:val="auto"/>
          <w:sz w:val="24"/>
          <w:szCs w:val="24"/>
          <w:highlight w:val="none"/>
        </w:rPr>
        <w:t>（北京时间）</w:t>
      </w:r>
    </w:p>
    <w:p w14:paraId="3760EA99">
      <w:pPr>
        <w:wordWrap w:val="0"/>
        <w:adjustRightInd w:val="0"/>
        <w:snapToGrid w:val="0"/>
        <w:spacing w:line="360" w:lineRule="auto"/>
        <w:ind w:firstLine="480" w:firstLineChars="200"/>
        <w:rPr>
          <w:rFonts w:ascii="宋体" w:hAnsi="宋体" w:eastAsia="宋体"/>
          <w:color w:val="auto"/>
          <w:sz w:val="24"/>
          <w:szCs w:val="18"/>
          <w:highlight w:val="none"/>
        </w:rPr>
      </w:pPr>
      <w:r>
        <w:rPr>
          <w:rFonts w:hint="eastAsia" w:asciiTheme="minorEastAsia" w:hAnsiTheme="minorEastAsia" w:eastAsiaTheme="minorEastAsia" w:cstheme="minorEastAsia"/>
          <w:color w:val="auto"/>
          <w:sz w:val="24"/>
          <w:szCs w:val="24"/>
          <w:highlight w:val="none"/>
        </w:rPr>
        <w:t>地点：采用不见面开启，供应商登录滁州市城投工程咨询有限公司不见面开标系统参与网上开标（网址：</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"http://js.etrading.cn/EpointBidOpening/bidopeninghallaction/hall/login）。"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http://js.etrading.cn/EpointBidOpening/bidopeninghallaction/hall/login）。</w:t>
      </w:r>
      <w:r>
        <w:rPr>
          <w:rFonts w:hint="eastAsia" w:asciiTheme="minorEastAsia" w:hAnsiTheme="minorEastAsia" w:eastAsiaTheme="minorEastAsia" w:cstheme="minorEastAsia"/>
          <w:color w:val="auto"/>
          <w:sz w:val="24"/>
          <w:szCs w:val="24"/>
          <w:highlight w:val="none"/>
        </w:rPr>
        <w:fldChar w:fldCharType="end"/>
      </w:r>
    </w:p>
    <w:p w14:paraId="560DA33A">
      <w:pPr>
        <w:spacing w:line="360" w:lineRule="auto"/>
        <w:ind w:firstLine="437"/>
        <w:outlineLvl w:val="1"/>
        <w:rPr>
          <w:rFonts w:ascii="宋体" w:hAnsi="宋体" w:eastAsia="宋体"/>
          <w:b/>
          <w:bCs/>
          <w:color w:val="auto"/>
          <w:sz w:val="24"/>
          <w:szCs w:val="18"/>
          <w:highlight w:val="none"/>
        </w:rPr>
      </w:pPr>
      <w:bookmarkStart w:id="11" w:name="_Toc14575"/>
      <w:bookmarkStart w:id="12" w:name="_Toc16203"/>
      <w:r>
        <w:rPr>
          <w:rFonts w:hint="eastAsia" w:ascii="宋体" w:hAnsi="宋体" w:eastAsia="宋体"/>
          <w:b/>
          <w:bCs/>
          <w:color w:val="auto"/>
          <w:sz w:val="24"/>
          <w:szCs w:val="18"/>
          <w:highlight w:val="none"/>
        </w:rPr>
        <w:t>六、公告期限</w:t>
      </w:r>
      <w:bookmarkEnd w:id="11"/>
    </w:p>
    <w:p w14:paraId="436595E3">
      <w:pPr>
        <w:adjustRightInd w:val="0"/>
        <w:snapToGrid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自本公告发布之日起3个工作日。</w:t>
      </w:r>
    </w:p>
    <w:p w14:paraId="69F115C3">
      <w:pPr>
        <w:spacing w:line="480" w:lineRule="exact"/>
        <w:ind w:firstLine="437"/>
        <w:outlineLvl w:val="1"/>
        <w:rPr>
          <w:rFonts w:ascii="宋体" w:hAnsi="宋体" w:eastAsia="宋体"/>
          <w:b/>
          <w:bCs/>
          <w:color w:val="auto"/>
          <w:sz w:val="24"/>
          <w:szCs w:val="18"/>
          <w:highlight w:val="none"/>
        </w:rPr>
      </w:pPr>
      <w:bookmarkStart w:id="13" w:name="_Toc10195"/>
      <w:bookmarkStart w:id="14" w:name="_Toc35393626"/>
      <w:bookmarkStart w:id="15" w:name="_Toc35393795"/>
      <w:bookmarkStart w:id="16" w:name="_Toc7755"/>
      <w:r>
        <w:rPr>
          <w:rFonts w:hint="eastAsia" w:ascii="宋体" w:hAnsi="宋体" w:eastAsia="宋体"/>
          <w:b/>
          <w:bCs/>
          <w:color w:val="auto"/>
          <w:sz w:val="24"/>
          <w:szCs w:val="18"/>
          <w:highlight w:val="none"/>
        </w:rPr>
        <w:t>七、保证金金额及缴纳账户</w:t>
      </w:r>
    </w:p>
    <w:p w14:paraId="5CB55176">
      <w:pPr>
        <w:adjustRightInd w:val="0"/>
        <w:snapToGrid w:val="0"/>
        <w:spacing w:line="480" w:lineRule="exact"/>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是否要求供应商提交保证金：不要求。</w:t>
      </w:r>
    </w:p>
    <w:p w14:paraId="7EEB0923">
      <w:pPr>
        <w:spacing w:line="360" w:lineRule="auto"/>
        <w:ind w:firstLine="435"/>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八</w:t>
      </w:r>
      <w:bookmarkEnd w:id="13"/>
      <w:bookmarkEnd w:id="14"/>
      <w:bookmarkEnd w:id="15"/>
      <w:r>
        <w:rPr>
          <w:rFonts w:hint="eastAsia" w:ascii="宋体" w:hAnsi="宋体" w:eastAsia="宋体"/>
          <w:b/>
          <w:bCs/>
          <w:color w:val="auto"/>
          <w:sz w:val="24"/>
          <w:szCs w:val="18"/>
          <w:highlight w:val="none"/>
        </w:rPr>
        <w:t>、</w:t>
      </w:r>
      <w:bookmarkEnd w:id="12"/>
      <w:r>
        <w:rPr>
          <w:rFonts w:hint="eastAsia" w:ascii="宋体" w:hAnsi="宋体" w:eastAsia="宋体"/>
          <w:b/>
          <w:bCs/>
          <w:color w:val="auto"/>
          <w:sz w:val="24"/>
          <w:szCs w:val="18"/>
          <w:highlight w:val="none"/>
        </w:rPr>
        <w:t>凡对本次采购提出询问，请按以下方式联系</w:t>
      </w:r>
      <w:bookmarkEnd w:id="16"/>
    </w:p>
    <w:p w14:paraId="28A9F9CF">
      <w:pPr>
        <w:spacing w:line="360" w:lineRule="auto"/>
        <w:ind w:firstLine="435"/>
        <w:outlineLvl w:val="2"/>
        <w:rPr>
          <w:rFonts w:ascii="宋体" w:hAnsi="宋体" w:eastAsia="宋体"/>
          <w:color w:val="auto"/>
          <w:sz w:val="24"/>
          <w:szCs w:val="18"/>
          <w:highlight w:val="none"/>
        </w:rPr>
      </w:pPr>
      <w:r>
        <w:rPr>
          <w:rFonts w:hint="eastAsia" w:ascii="宋体" w:hAnsi="宋体" w:eastAsia="宋体"/>
          <w:color w:val="auto"/>
          <w:sz w:val="24"/>
          <w:szCs w:val="18"/>
          <w:highlight w:val="none"/>
        </w:rPr>
        <w:t>1.采购人信息</w:t>
      </w:r>
    </w:p>
    <w:p w14:paraId="168498F6">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rPr>
        <w:t>名称</w:t>
      </w:r>
      <w:r>
        <w:rPr>
          <w:rFonts w:hint="eastAsia" w:ascii="宋体" w:hAnsi="宋体" w:eastAsia="宋体"/>
          <w:color w:val="auto"/>
          <w:sz w:val="24"/>
          <w:szCs w:val="18"/>
          <w:highlight w:val="none"/>
        </w:rPr>
        <w:t>：滁州市工业和信息化局</w:t>
      </w:r>
    </w:p>
    <w:p w14:paraId="0BF1DBD7">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地址：滁州市龙蟠大道99号市政务中心北一楼120室</w:t>
      </w:r>
    </w:p>
    <w:p w14:paraId="4B8B1C97">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联系人：吴邦勇</w:t>
      </w:r>
    </w:p>
    <w:p w14:paraId="67F7B8EA">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联系方式：</w:t>
      </w:r>
      <w:r>
        <w:rPr>
          <w:rFonts w:hint="eastAsia" w:ascii="宋体" w:hAnsi="宋体" w:eastAsia="宋体"/>
          <w:color w:val="auto"/>
          <w:sz w:val="24"/>
          <w:szCs w:val="18"/>
          <w:highlight w:val="none"/>
        </w:rPr>
        <w:t>0550-</w:t>
      </w:r>
      <w:r>
        <w:rPr>
          <w:rFonts w:ascii="宋体" w:hAnsi="宋体" w:eastAsia="宋体"/>
          <w:color w:val="auto"/>
          <w:sz w:val="24"/>
          <w:szCs w:val="18"/>
          <w:highlight w:val="none"/>
        </w:rPr>
        <w:t>3052258</w:t>
      </w:r>
    </w:p>
    <w:p w14:paraId="0A4F9F4D">
      <w:pPr>
        <w:spacing w:line="360" w:lineRule="auto"/>
        <w:ind w:firstLine="437"/>
        <w:rPr>
          <w:rFonts w:ascii="宋体" w:hAnsi="宋体" w:eastAsia="宋体"/>
          <w:color w:val="auto"/>
          <w:sz w:val="24"/>
          <w:szCs w:val="18"/>
          <w:highlight w:val="none"/>
        </w:rPr>
      </w:pPr>
      <w:r>
        <w:rPr>
          <w:rFonts w:ascii="宋体" w:hAnsi="宋体" w:eastAsia="宋体"/>
          <w:color w:val="auto"/>
          <w:sz w:val="24"/>
          <w:szCs w:val="18"/>
          <w:highlight w:val="none"/>
        </w:rPr>
        <w:t>2.代理机构</w:t>
      </w:r>
      <w:r>
        <w:rPr>
          <w:rFonts w:hint="eastAsia" w:ascii="宋体" w:hAnsi="宋体" w:eastAsia="宋体"/>
          <w:color w:val="auto"/>
          <w:sz w:val="24"/>
          <w:szCs w:val="18"/>
          <w:highlight w:val="none"/>
        </w:rPr>
        <w:t>信息</w:t>
      </w:r>
    </w:p>
    <w:p w14:paraId="34862920">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rPr>
        <w:t>名称</w:t>
      </w:r>
      <w:r>
        <w:rPr>
          <w:rFonts w:hint="eastAsia" w:ascii="宋体" w:hAnsi="宋体" w:eastAsia="宋体"/>
          <w:color w:val="auto"/>
          <w:sz w:val="24"/>
          <w:szCs w:val="18"/>
          <w:highlight w:val="none"/>
        </w:rPr>
        <w:t>：滁州市城投工程咨询管理有限公司</w:t>
      </w:r>
    </w:p>
    <w:p w14:paraId="1539FB6B">
      <w:pPr>
        <w:spacing w:line="360" w:lineRule="auto"/>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址：</w:t>
      </w:r>
      <w:r>
        <w:rPr>
          <w:rFonts w:hint="eastAsia" w:ascii="宋体" w:hAnsi="宋体" w:eastAsia="宋体"/>
          <w:color w:val="auto"/>
          <w:sz w:val="24"/>
          <w:szCs w:val="18"/>
          <w:highlight w:val="none"/>
        </w:rPr>
        <w:t>滁州市龙蟠大道109号房产大厦6楼620室</w:t>
      </w:r>
    </w:p>
    <w:p w14:paraId="28188D17">
      <w:pPr>
        <w:spacing w:line="360" w:lineRule="auto"/>
        <w:ind w:firstLine="435"/>
        <w:rPr>
          <w:rFonts w:eastAsia="宋体"/>
          <w:color w:val="auto"/>
          <w:highlight w:val="none"/>
        </w:rPr>
      </w:pPr>
      <w:r>
        <w:rPr>
          <w:rFonts w:hint="eastAsia" w:ascii="宋体" w:hAnsi="宋体" w:eastAsia="宋体"/>
          <w:color w:val="auto"/>
          <w:sz w:val="24"/>
          <w:szCs w:val="18"/>
          <w:highlight w:val="none"/>
        </w:rPr>
        <w:t>联系人：关勤勤</w:t>
      </w:r>
    </w:p>
    <w:p w14:paraId="62790D46">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联系方式：18909605753</w:t>
      </w:r>
    </w:p>
    <w:p w14:paraId="7E829C38">
      <w:pPr>
        <w:spacing w:line="360" w:lineRule="auto"/>
        <w:ind w:firstLine="435"/>
        <w:rPr>
          <w:rFonts w:ascii="宋体" w:hAnsi="宋体" w:eastAsia="宋体"/>
          <w:color w:val="auto"/>
          <w:sz w:val="24"/>
          <w:szCs w:val="18"/>
          <w:highlight w:val="none"/>
        </w:rPr>
      </w:pPr>
    </w:p>
    <w:p w14:paraId="23051BB7">
      <w:pPr>
        <w:pStyle w:val="18"/>
        <w:rPr>
          <w:rFonts w:ascii="宋体" w:hAnsi="宋体"/>
          <w:color w:val="auto"/>
          <w:szCs w:val="18"/>
          <w:highlight w:val="none"/>
        </w:rPr>
      </w:pPr>
    </w:p>
    <w:p w14:paraId="67C93135">
      <w:pPr>
        <w:rPr>
          <w:rFonts w:ascii="宋体" w:hAnsi="宋体" w:eastAsia="宋体"/>
          <w:color w:val="auto"/>
          <w:sz w:val="24"/>
          <w:szCs w:val="18"/>
          <w:highlight w:val="none"/>
        </w:rPr>
      </w:pPr>
    </w:p>
    <w:p w14:paraId="3D38B3A4">
      <w:pPr>
        <w:pStyle w:val="18"/>
        <w:rPr>
          <w:rFonts w:ascii="宋体" w:hAnsi="宋体"/>
          <w:color w:val="auto"/>
          <w:szCs w:val="18"/>
          <w:highlight w:val="none"/>
        </w:rPr>
      </w:pPr>
    </w:p>
    <w:p w14:paraId="2EE211E8">
      <w:pPr>
        <w:rPr>
          <w:rFonts w:ascii="宋体" w:hAnsi="宋体" w:eastAsia="宋体"/>
          <w:color w:val="auto"/>
          <w:sz w:val="24"/>
          <w:szCs w:val="18"/>
          <w:highlight w:val="none"/>
        </w:rPr>
      </w:pPr>
    </w:p>
    <w:p w14:paraId="405D4514">
      <w:pPr>
        <w:pStyle w:val="18"/>
        <w:rPr>
          <w:rFonts w:ascii="宋体" w:hAnsi="宋体"/>
          <w:color w:val="auto"/>
          <w:szCs w:val="18"/>
          <w:highlight w:val="none"/>
        </w:rPr>
      </w:pPr>
    </w:p>
    <w:p w14:paraId="59F7AFC8">
      <w:pPr>
        <w:rPr>
          <w:rFonts w:ascii="宋体" w:hAnsi="宋体" w:eastAsia="宋体"/>
          <w:color w:val="auto"/>
          <w:sz w:val="24"/>
          <w:szCs w:val="18"/>
          <w:highlight w:val="none"/>
        </w:rPr>
      </w:pPr>
    </w:p>
    <w:p w14:paraId="6F455425">
      <w:pPr>
        <w:pStyle w:val="18"/>
        <w:rPr>
          <w:rFonts w:ascii="宋体" w:hAnsi="宋体"/>
          <w:color w:val="auto"/>
          <w:szCs w:val="18"/>
          <w:highlight w:val="none"/>
        </w:rPr>
      </w:pPr>
    </w:p>
    <w:p w14:paraId="7B3C65FC">
      <w:pPr>
        <w:rPr>
          <w:rFonts w:ascii="宋体" w:hAnsi="宋体" w:eastAsia="宋体"/>
          <w:color w:val="auto"/>
          <w:sz w:val="24"/>
          <w:szCs w:val="18"/>
          <w:highlight w:val="none"/>
        </w:rPr>
      </w:pPr>
    </w:p>
    <w:p w14:paraId="56457576">
      <w:pPr>
        <w:pStyle w:val="18"/>
        <w:rPr>
          <w:rFonts w:ascii="宋体" w:hAnsi="宋体"/>
          <w:color w:val="auto"/>
          <w:szCs w:val="18"/>
          <w:highlight w:val="none"/>
        </w:rPr>
      </w:pPr>
    </w:p>
    <w:p w14:paraId="5F64AD99">
      <w:pPr>
        <w:rPr>
          <w:rFonts w:ascii="宋体" w:hAnsi="宋体" w:eastAsia="宋体"/>
          <w:color w:val="auto"/>
          <w:sz w:val="24"/>
          <w:szCs w:val="18"/>
          <w:highlight w:val="none"/>
        </w:rPr>
      </w:pPr>
    </w:p>
    <w:p w14:paraId="1CBFCD8B">
      <w:pPr>
        <w:pStyle w:val="18"/>
        <w:rPr>
          <w:rFonts w:ascii="宋体" w:hAnsi="宋体"/>
          <w:color w:val="auto"/>
          <w:szCs w:val="18"/>
          <w:highlight w:val="none"/>
        </w:rPr>
      </w:pPr>
    </w:p>
    <w:p w14:paraId="40AD08BB">
      <w:pPr>
        <w:rPr>
          <w:rFonts w:ascii="宋体" w:hAnsi="宋体" w:eastAsia="宋体"/>
          <w:color w:val="auto"/>
          <w:sz w:val="24"/>
          <w:szCs w:val="18"/>
          <w:highlight w:val="none"/>
        </w:rPr>
      </w:pPr>
    </w:p>
    <w:p w14:paraId="7F02DE16">
      <w:pPr>
        <w:pStyle w:val="18"/>
        <w:rPr>
          <w:rFonts w:ascii="宋体" w:hAnsi="宋体"/>
          <w:color w:val="auto"/>
          <w:szCs w:val="18"/>
          <w:highlight w:val="none"/>
        </w:rPr>
      </w:pPr>
    </w:p>
    <w:p w14:paraId="0FFE0E1F">
      <w:pPr>
        <w:rPr>
          <w:rFonts w:ascii="宋体" w:hAnsi="宋体" w:eastAsia="宋体"/>
          <w:color w:val="auto"/>
          <w:sz w:val="24"/>
          <w:szCs w:val="18"/>
          <w:highlight w:val="none"/>
        </w:rPr>
      </w:pPr>
    </w:p>
    <w:p w14:paraId="6DCF6803">
      <w:pPr>
        <w:pStyle w:val="18"/>
        <w:rPr>
          <w:rFonts w:ascii="宋体" w:hAnsi="宋体"/>
          <w:color w:val="auto"/>
          <w:szCs w:val="18"/>
          <w:highlight w:val="none"/>
        </w:rPr>
      </w:pPr>
    </w:p>
    <w:p w14:paraId="7C204928">
      <w:pPr>
        <w:rPr>
          <w:rFonts w:ascii="宋体" w:hAnsi="宋体" w:eastAsia="宋体"/>
          <w:color w:val="auto"/>
          <w:sz w:val="24"/>
          <w:szCs w:val="18"/>
          <w:highlight w:val="none"/>
        </w:rPr>
      </w:pPr>
    </w:p>
    <w:p w14:paraId="2510EAD1">
      <w:pPr>
        <w:pStyle w:val="18"/>
        <w:rPr>
          <w:rFonts w:ascii="宋体" w:hAnsi="宋体"/>
          <w:color w:val="auto"/>
          <w:szCs w:val="18"/>
          <w:highlight w:val="none"/>
        </w:rPr>
      </w:pPr>
    </w:p>
    <w:p w14:paraId="11569EEB">
      <w:pPr>
        <w:rPr>
          <w:rFonts w:ascii="宋体" w:hAnsi="宋体" w:eastAsia="宋体"/>
          <w:color w:val="auto"/>
          <w:sz w:val="24"/>
          <w:szCs w:val="18"/>
          <w:highlight w:val="none"/>
        </w:rPr>
      </w:pPr>
    </w:p>
    <w:p w14:paraId="20B01455">
      <w:pPr>
        <w:pStyle w:val="18"/>
        <w:rPr>
          <w:rFonts w:ascii="宋体" w:hAnsi="宋体"/>
          <w:color w:val="auto"/>
          <w:szCs w:val="18"/>
          <w:highlight w:val="none"/>
        </w:rPr>
      </w:pPr>
    </w:p>
    <w:p w14:paraId="043C7135">
      <w:pPr>
        <w:rPr>
          <w:rFonts w:ascii="宋体" w:hAnsi="宋体" w:eastAsia="宋体"/>
          <w:color w:val="auto"/>
          <w:sz w:val="24"/>
          <w:szCs w:val="18"/>
          <w:highlight w:val="none"/>
        </w:rPr>
      </w:pPr>
    </w:p>
    <w:p w14:paraId="6CA93A1C">
      <w:pPr>
        <w:pStyle w:val="18"/>
        <w:rPr>
          <w:rFonts w:ascii="宋体" w:hAnsi="宋体"/>
          <w:color w:val="auto"/>
          <w:szCs w:val="18"/>
          <w:highlight w:val="none"/>
        </w:rPr>
      </w:pPr>
    </w:p>
    <w:p w14:paraId="55E1AFD1">
      <w:pPr>
        <w:rPr>
          <w:rFonts w:ascii="宋体" w:hAnsi="宋体" w:eastAsia="宋体"/>
          <w:color w:val="auto"/>
          <w:sz w:val="24"/>
          <w:szCs w:val="18"/>
          <w:highlight w:val="none"/>
        </w:rPr>
      </w:pPr>
    </w:p>
    <w:p w14:paraId="777536D8">
      <w:pPr>
        <w:pStyle w:val="18"/>
        <w:rPr>
          <w:rFonts w:ascii="宋体" w:hAnsi="宋体"/>
          <w:color w:val="auto"/>
          <w:szCs w:val="18"/>
          <w:highlight w:val="none"/>
        </w:rPr>
      </w:pPr>
    </w:p>
    <w:p w14:paraId="535F7362">
      <w:pPr>
        <w:rPr>
          <w:rFonts w:ascii="宋体" w:hAnsi="宋体" w:eastAsia="宋体"/>
          <w:color w:val="auto"/>
          <w:sz w:val="24"/>
          <w:szCs w:val="18"/>
          <w:highlight w:val="none"/>
        </w:rPr>
      </w:pPr>
    </w:p>
    <w:p w14:paraId="5CABFAFA">
      <w:pPr>
        <w:pStyle w:val="18"/>
        <w:rPr>
          <w:rFonts w:ascii="宋体" w:hAnsi="宋体"/>
          <w:color w:val="auto"/>
          <w:szCs w:val="18"/>
          <w:highlight w:val="none"/>
        </w:rPr>
      </w:pPr>
    </w:p>
    <w:p w14:paraId="64801BE6">
      <w:pPr>
        <w:rPr>
          <w:color w:val="auto"/>
          <w:highlight w:val="none"/>
        </w:rPr>
      </w:pPr>
    </w:p>
    <w:p w14:paraId="7BBA6FCE">
      <w:pPr>
        <w:rPr>
          <w:rFonts w:ascii="宋体" w:hAnsi="宋体" w:eastAsia="宋体"/>
          <w:color w:val="auto"/>
          <w:sz w:val="24"/>
          <w:szCs w:val="18"/>
          <w:highlight w:val="none"/>
        </w:rPr>
      </w:pPr>
    </w:p>
    <w:p w14:paraId="785C8668">
      <w:pPr>
        <w:pStyle w:val="18"/>
        <w:rPr>
          <w:rFonts w:ascii="宋体" w:hAnsi="宋体"/>
          <w:color w:val="auto"/>
          <w:szCs w:val="18"/>
          <w:highlight w:val="none"/>
        </w:rPr>
      </w:pPr>
    </w:p>
    <w:p w14:paraId="1AED8753">
      <w:pPr>
        <w:rPr>
          <w:rFonts w:ascii="宋体" w:hAnsi="宋体" w:eastAsia="宋体"/>
          <w:color w:val="auto"/>
          <w:sz w:val="24"/>
          <w:szCs w:val="18"/>
          <w:highlight w:val="none"/>
        </w:rPr>
      </w:pPr>
    </w:p>
    <w:p w14:paraId="7F77A620">
      <w:pPr>
        <w:spacing w:line="360" w:lineRule="auto"/>
        <w:jc w:val="center"/>
        <w:outlineLvl w:val="0"/>
        <w:rPr>
          <w:rFonts w:asciiTheme="minorEastAsia" w:hAnsiTheme="minorEastAsia" w:eastAsiaTheme="minorEastAsia"/>
          <w:b/>
          <w:color w:val="auto"/>
          <w:sz w:val="28"/>
          <w:highlight w:val="none"/>
        </w:rPr>
      </w:pPr>
      <w:bookmarkStart w:id="17" w:name="_Toc5721"/>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17"/>
    </w:p>
    <w:p w14:paraId="5E8993AC">
      <w:pPr>
        <w:spacing w:line="360" w:lineRule="auto"/>
        <w:jc w:val="center"/>
        <w:outlineLvl w:val="1"/>
        <w:rPr>
          <w:rFonts w:asciiTheme="minorEastAsia" w:hAnsiTheme="minorEastAsia" w:eastAsiaTheme="minorEastAsia"/>
          <w:b/>
          <w:color w:val="auto"/>
          <w:sz w:val="24"/>
          <w:highlight w:val="none"/>
        </w:rPr>
      </w:pPr>
      <w:bookmarkStart w:id="18" w:name="_Toc16645"/>
      <w:bookmarkStart w:id="19" w:name="_Toc27956"/>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18"/>
      <w:bookmarkEnd w:id="19"/>
    </w:p>
    <w:p w14:paraId="5EB87037">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本表是本项目的具体要求，是对供应商须知的具体补充和修改，如有不一致，以本表为准。</w:t>
      </w:r>
    </w:p>
    <w:tbl>
      <w:tblPr>
        <w:tblStyle w:val="30"/>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2030"/>
        <w:gridCol w:w="5725"/>
      </w:tblGrid>
      <w:tr w14:paraId="29B0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5110BBF6">
            <w:pPr>
              <w:pStyle w:val="47"/>
              <w:widowControl w:val="0"/>
              <w:spacing w:before="0" w:beforeAutospacing="0" w:after="0" w:afterAutospacing="0" w:line="440" w:lineRule="exact"/>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59" w:type="pct"/>
            <w:vAlign w:val="center"/>
          </w:tcPr>
          <w:p w14:paraId="2774DCE8">
            <w:pPr>
              <w:pStyle w:val="47"/>
              <w:widowControl w:val="0"/>
              <w:spacing w:before="0" w:beforeAutospacing="0" w:after="0" w:afterAutospacing="0" w:line="440" w:lineRule="exact"/>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68" w:type="pct"/>
            <w:vAlign w:val="center"/>
          </w:tcPr>
          <w:p w14:paraId="1CD68712">
            <w:pPr>
              <w:pStyle w:val="47"/>
              <w:widowControl w:val="0"/>
              <w:spacing w:before="0" w:beforeAutospacing="0" w:after="0" w:afterAutospacing="0" w:line="440" w:lineRule="exact"/>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1CD0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0B24370C">
            <w:pPr>
              <w:pStyle w:val="48"/>
              <w:pBdr>
                <w:bottom w:val="none" w:color="auto" w:sz="0" w:space="0"/>
              </w:pBdr>
              <w:tabs>
                <w:tab w:val="clear" w:pos="4153"/>
                <w:tab w:val="clear" w:pos="8306"/>
              </w:tabs>
              <w:adjustRightInd/>
              <w:spacing w:line="440" w:lineRule="exact"/>
              <w:textAlignment w:val="auto"/>
              <w:rPr>
                <w:rFonts w:ascii="宋体" w:hAnsi="宋体" w:eastAsia="宋体"/>
                <w:bCs/>
                <w:color w:val="auto"/>
                <w:kern w:val="2"/>
                <w:highlight w:val="none"/>
              </w:rPr>
            </w:pPr>
            <w:r>
              <w:rPr>
                <w:rFonts w:hint="eastAsia"/>
                <w:bCs/>
                <w:color w:val="auto"/>
                <w:kern w:val="2"/>
                <w:highlight w:val="none"/>
              </w:rPr>
              <w:t>5</w:t>
            </w:r>
            <w:r>
              <w:rPr>
                <w:bCs/>
                <w:color w:val="auto"/>
                <w:kern w:val="2"/>
                <w:highlight w:val="none"/>
              </w:rPr>
              <w:t>.</w:t>
            </w:r>
            <w:r>
              <w:rPr>
                <w:rFonts w:hint="eastAsia"/>
                <w:bCs/>
                <w:color w:val="auto"/>
                <w:kern w:val="2"/>
                <w:highlight w:val="none"/>
              </w:rPr>
              <w:t>2</w:t>
            </w:r>
          </w:p>
        </w:tc>
        <w:tc>
          <w:tcPr>
            <w:tcW w:w="1159" w:type="pct"/>
            <w:vAlign w:val="center"/>
          </w:tcPr>
          <w:p w14:paraId="219CDAB9">
            <w:pPr>
              <w:pStyle w:val="47"/>
              <w:widowControl w:val="0"/>
              <w:spacing w:before="0" w:beforeAutospacing="0" w:after="0" w:afterAutospacing="0" w:line="440" w:lineRule="exact"/>
              <w:jc w:val="left"/>
              <w:rPr>
                <w:rFonts w:ascii="宋体" w:hAnsi="宋体" w:eastAsia="宋体"/>
                <w:b w:val="0"/>
                <w:color w:val="auto"/>
                <w:sz w:val="24"/>
                <w:highlight w:val="none"/>
              </w:rPr>
            </w:pPr>
            <w:r>
              <w:rPr>
                <w:rFonts w:hint="eastAsia" w:ascii="宋体" w:hAnsi="宋体" w:eastAsia="宋体"/>
                <w:b w:val="0"/>
                <w:color w:val="auto"/>
                <w:kern w:val="2"/>
                <w:sz w:val="24"/>
                <w:szCs w:val="22"/>
                <w:highlight w:val="none"/>
              </w:rPr>
              <w:t>现场考察或标前答疑会</w:t>
            </w:r>
          </w:p>
        </w:tc>
        <w:tc>
          <w:tcPr>
            <w:tcW w:w="3268" w:type="pct"/>
            <w:vAlign w:val="center"/>
          </w:tcPr>
          <w:p w14:paraId="4E5F2C17">
            <w:pPr>
              <w:spacing w:line="440" w:lineRule="exact"/>
              <w:rPr>
                <w:rFonts w:ascii="宋体" w:hAnsi="宋体" w:eastAsia="宋体"/>
                <w:bCs/>
                <w:color w:val="auto"/>
                <w:sz w:val="24"/>
                <w:highlight w:val="none"/>
              </w:rPr>
            </w:pPr>
            <w:r>
              <w:rPr>
                <w:rFonts w:hint="eastAsia" w:ascii="宋体" w:hAnsi="宋体" w:eastAsia="宋体"/>
                <w:bCs/>
                <w:color w:val="auto"/>
                <w:sz w:val="24"/>
                <w:szCs w:val="24"/>
                <w:highlight w:val="none"/>
              </w:rPr>
              <w:t>☑</w:t>
            </w:r>
            <w:r>
              <w:rPr>
                <w:rFonts w:hint="eastAsia" w:ascii="宋体" w:hAnsi="宋体" w:eastAsia="宋体"/>
                <w:color w:val="auto"/>
                <w:sz w:val="24"/>
                <w:highlight w:val="none"/>
              </w:rPr>
              <w:t>不组织或不召开</w:t>
            </w:r>
          </w:p>
          <w:p w14:paraId="0504E810">
            <w:pPr>
              <w:spacing w:line="440" w:lineRule="exact"/>
              <w:rPr>
                <w:rFonts w:ascii="宋体" w:hAnsi="宋体" w:eastAsia="宋体"/>
                <w:bCs/>
                <w:color w:val="auto"/>
                <w:sz w:val="24"/>
                <w:highlight w:val="none"/>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p>
          <w:p w14:paraId="2A7CF8E7">
            <w:pPr>
              <w:spacing w:line="440" w:lineRule="exact"/>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6694AD8B">
            <w:pPr>
              <w:spacing w:line="440" w:lineRule="exact"/>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w:t>
            </w:r>
          </w:p>
          <w:p w14:paraId="1B47E02B">
            <w:pPr>
              <w:spacing w:line="440" w:lineRule="exact"/>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w:t>
            </w:r>
          </w:p>
          <w:p w14:paraId="1DCCCC98">
            <w:pPr>
              <w:pStyle w:val="47"/>
              <w:widowControl w:val="0"/>
              <w:spacing w:before="0" w:beforeAutospacing="0" w:after="0" w:afterAutospacing="0" w:line="440" w:lineRule="exact"/>
              <w:jc w:val="both"/>
              <w:rPr>
                <w:rFonts w:ascii="宋体" w:hAnsi="宋体" w:eastAsia="宋体"/>
                <w:b w:val="0"/>
                <w:color w:val="auto"/>
                <w:sz w:val="24"/>
                <w:highlight w:val="none"/>
              </w:rPr>
            </w:pPr>
            <w:r>
              <w:rPr>
                <w:rFonts w:hint="eastAsia" w:ascii="宋体" w:hAnsi="宋体" w:eastAsia="宋体"/>
                <w:bCs w:val="0"/>
                <w:color w:val="auto"/>
                <w:sz w:val="24"/>
                <w:highlight w:val="none"/>
              </w:rPr>
              <w:t>注：如供应商未参加采购人统一组织的现场考察或采购人统一召开的标前答疑会，视同放弃现场考察或标前答疑会，由此引起的一切责任由供应商自行承担。</w:t>
            </w:r>
          </w:p>
        </w:tc>
      </w:tr>
      <w:tr w14:paraId="3A87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3174660">
            <w:pPr>
              <w:pStyle w:val="48"/>
              <w:pBdr>
                <w:bottom w:val="none" w:color="auto" w:sz="0" w:space="0"/>
              </w:pBdr>
              <w:tabs>
                <w:tab w:val="clear" w:pos="4153"/>
                <w:tab w:val="clear" w:pos="8306"/>
              </w:tabs>
              <w:adjustRightInd/>
              <w:spacing w:line="440" w:lineRule="exact"/>
              <w:textAlignment w:val="auto"/>
              <w:rPr>
                <w:rFonts w:ascii="宋体" w:hAnsi="宋体" w:eastAsia="宋体"/>
                <w:bCs/>
                <w:color w:val="auto"/>
                <w:kern w:val="2"/>
                <w:highlight w:val="none"/>
              </w:rPr>
            </w:pPr>
            <w:r>
              <w:rPr>
                <w:rFonts w:hint="eastAsia" w:ascii="宋体" w:hAnsi="宋体" w:eastAsia="宋体"/>
                <w:bCs/>
                <w:color w:val="auto"/>
                <w:kern w:val="2"/>
                <w:highlight w:val="none"/>
              </w:rPr>
              <w:t>6.1</w:t>
            </w:r>
          </w:p>
        </w:tc>
        <w:tc>
          <w:tcPr>
            <w:tcW w:w="1159" w:type="pct"/>
            <w:vAlign w:val="center"/>
          </w:tcPr>
          <w:p w14:paraId="5FA3CCB7">
            <w:pPr>
              <w:pStyle w:val="47"/>
              <w:widowControl w:val="0"/>
              <w:spacing w:before="0" w:beforeAutospacing="0" w:after="0" w:afterAutospacing="0" w:line="440" w:lineRule="exact"/>
              <w:jc w:val="left"/>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68" w:type="pct"/>
            <w:vAlign w:val="center"/>
          </w:tcPr>
          <w:p w14:paraId="6D34A5DD">
            <w:pPr>
              <w:pStyle w:val="47"/>
              <w:widowControl w:val="0"/>
              <w:spacing w:before="0" w:beforeAutospacing="0" w:after="0" w:afterAutospacing="0" w:line="440" w:lineRule="exact"/>
              <w:jc w:val="both"/>
              <w:rPr>
                <w:rFonts w:ascii="宋体" w:hAnsi="宋体" w:eastAsia="宋体"/>
                <w:b w:val="0"/>
                <w:color w:val="auto"/>
                <w:sz w:val="24"/>
                <w:highlight w:val="none"/>
              </w:rPr>
            </w:pPr>
            <w:r>
              <w:rPr>
                <w:rFonts w:hint="eastAsia" w:ascii="宋体" w:hAnsi="宋体" w:eastAsia="宋体"/>
                <w:bCs w:val="0"/>
                <w:color w:val="auto"/>
                <w:sz w:val="24"/>
                <w:highlight w:val="none"/>
                <w:u w:val="single"/>
              </w:rPr>
              <w:t>2025</w:t>
            </w:r>
            <w:r>
              <w:rPr>
                <w:rFonts w:ascii="宋体" w:hAnsi="宋体" w:eastAsia="宋体"/>
                <w:bCs w:val="0"/>
                <w:color w:val="auto"/>
                <w:sz w:val="24"/>
                <w:highlight w:val="none"/>
              </w:rPr>
              <w:t>年</w:t>
            </w:r>
            <w:r>
              <w:rPr>
                <w:rFonts w:hint="eastAsia" w:ascii="宋体" w:hAnsi="宋体" w:eastAsia="宋体"/>
                <w:bCs w:val="0"/>
                <w:color w:val="auto"/>
                <w:sz w:val="24"/>
                <w:highlight w:val="none"/>
                <w:u w:val="single"/>
                <w:lang w:val="en-US" w:eastAsia="zh-CN"/>
              </w:rPr>
              <w:t>9</w:t>
            </w:r>
            <w:r>
              <w:rPr>
                <w:rFonts w:ascii="宋体" w:hAnsi="宋体" w:eastAsia="宋体"/>
                <w:bCs w:val="0"/>
                <w:color w:val="auto"/>
                <w:sz w:val="24"/>
                <w:highlight w:val="none"/>
              </w:rPr>
              <w:t>月</w:t>
            </w:r>
            <w:r>
              <w:rPr>
                <w:rFonts w:hint="eastAsia" w:ascii="宋体" w:hAnsi="宋体" w:eastAsia="宋体"/>
                <w:bCs w:val="0"/>
                <w:color w:val="auto"/>
                <w:sz w:val="24"/>
                <w:highlight w:val="none"/>
                <w:u w:val="single"/>
                <w:lang w:val="en-US" w:eastAsia="zh-CN"/>
              </w:rPr>
              <w:t>9</w:t>
            </w:r>
            <w:r>
              <w:rPr>
                <w:rFonts w:ascii="宋体" w:hAnsi="宋体" w:eastAsia="宋体"/>
                <w:bCs w:val="0"/>
                <w:color w:val="auto"/>
                <w:sz w:val="24"/>
                <w:highlight w:val="none"/>
              </w:rPr>
              <w:t>日</w:t>
            </w:r>
            <w:r>
              <w:rPr>
                <w:rFonts w:hint="eastAsia" w:ascii="宋体" w:hAnsi="宋体" w:eastAsia="宋体"/>
                <w:bCs w:val="0"/>
                <w:color w:val="auto"/>
                <w:sz w:val="24"/>
                <w:highlight w:val="none"/>
                <w:u w:val="single"/>
                <w:lang w:val="en-US" w:eastAsia="zh-CN"/>
              </w:rPr>
              <w:t>11</w:t>
            </w:r>
            <w:r>
              <w:rPr>
                <w:rFonts w:ascii="宋体" w:hAnsi="宋体" w:eastAsia="宋体"/>
                <w:bCs w:val="0"/>
                <w:color w:val="auto"/>
                <w:sz w:val="24"/>
                <w:highlight w:val="none"/>
              </w:rPr>
              <w:t>时</w:t>
            </w:r>
            <w:r>
              <w:rPr>
                <w:rFonts w:hint="eastAsia" w:ascii="宋体" w:hAnsi="宋体" w:eastAsia="宋体"/>
                <w:bCs w:val="0"/>
                <w:color w:val="auto"/>
                <w:sz w:val="24"/>
                <w:highlight w:val="none"/>
                <w:u w:val="single"/>
              </w:rPr>
              <w:t>00</w:t>
            </w:r>
            <w:r>
              <w:rPr>
                <w:rFonts w:hint="eastAsia" w:ascii="宋体" w:hAnsi="宋体" w:eastAsia="宋体"/>
                <w:bCs w:val="0"/>
                <w:color w:val="auto"/>
                <w:sz w:val="24"/>
                <w:highlight w:val="none"/>
              </w:rPr>
              <w:t>分</w:t>
            </w:r>
          </w:p>
        </w:tc>
      </w:tr>
      <w:tr w14:paraId="1E1C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72" w:type="pct"/>
            <w:vAlign w:val="center"/>
          </w:tcPr>
          <w:p w14:paraId="7D9E4302">
            <w:pPr>
              <w:pStyle w:val="48"/>
              <w:pBdr>
                <w:bottom w:val="none" w:color="auto" w:sz="0" w:space="0"/>
              </w:pBdr>
              <w:tabs>
                <w:tab w:val="clear" w:pos="4153"/>
                <w:tab w:val="clear" w:pos="8306"/>
              </w:tabs>
              <w:adjustRightInd/>
              <w:spacing w:line="440" w:lineRule="exact"/>
              <w:textAlignment w:val="auto"/>
              <w:rPr>
                <w:rFonts w:ascii="宋体" w:hAnsi="宋体" w:eastAsia="宋体"/>
                <w:bCs/>
                <w:color w:val="auto"/>
                <w:kern w:val="2"/>
                <w:highlight w:val="none"/>
              </w:rPr>
            </w:pPr>
            <w:r>
              <w:rPr>
                <w:rFonts w:hint="eastAsia" w:ascii="宋体" w:hAnsi="宋体" w:eastAsia="宋体"/>
                <w:bCs/>
                <w:color w:val="auto"/>
                <w:kern w:val="2"/>
                <w:highlight w:val="none"/>
              </w:rPr>
              <w:t>7</w:t>
            </w:r>
            <w:r>
              <w:rPr>
                <w:rFonts w:ascii="宋体" w:hAnsi="宋体" w:eastAsia="宋体"/>
                <w:bCs/>
                <w:color w:val="auto"/>
                <w:kern w:val="2"/>
                <w:highlight w:val="none"/>
              </w:rPr>
              <w:t>.1</w:t>
            </w:r>
          </w:p>
        </w:tc>
        <w:tc>
          <w:tcPr>
            <w:tcW w:w="1159" w:type="pct"/>
            <w:vAlign w:val="center"/>
          </w:tcPr>
          <w:p w14:paraId="21C60118">
            <w:pPr>
              <w:pStyle w:val="47"/>
              <w:widowControl w:val="0"/>
              <w:spacing w:before="0" w:beforeAutospacing="0" w:after="0" w:afterAutospacing="0" w:line="440" w:lineRule="exact"/>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68" w:type="pct"/>
            <w:vAlign w:val="center"/>
          </w:tcPr>
          <w:p w14:paraId="75C64449">
            <w:pPr>
              <w:pStyle w:val="47"/>
              <w:widowControl w:val="0"/>
              <w:spacing w:before="0" w:beforeAutospacing="0" w:after="0" w:afterAutospacing="0" w:line="440" w:lineRule="exact"/>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rPr>
              <w:t>☑</w:t>
            </w:r>
            <w:r>
              <w:rPr>
                <w:rFonts w:ascii="宋体" w:hAnsi="宋体" w:eastAsia="宋体"/>
                <w:b w:val="0"/>
                <w:color w:val="auto"/>
                <w:sz w:val="24"/>
                <w:highlight w:val="none"/>
              </w:rPr>
              <w:t xml:space="preserve">不分包     </w:t>
            </w:r>
            <w:r>
              <w:rPr>
                <w:rFonts w:hint="eastAsia" w:ascii="宋体" w:hAnsi="宋体" w:eastAsia="宋体"/>
                <w:b w:val="0"/>
                <w:color w:val="auto"/>
                <w:sz w:val="24"/>
                <w:highlight w:val="none"/>
              </w:rPr>
              <w:t>□</w:t>
            </w:r>
            <w:r>
              <w:rPr>
                <w:rFonts w:ascii="宋体" w:hAnsi="宋体" w:eastAsia="宋体"/>
                <w:b w:val="0"/>
                <w:color w:val="auto"/>
                <w:sz w:val="24"/>
                <w:highlight w:val="none"/>
              </w:rPr>
              <w:t>分为</w:t>
            </w:r>
            <w:r>
              <w:rPr>
                <w:rFonts w:hint="eastAsia" w:ascii="宋体" w:hAnsi="宋体" w:eastAsia="宋体"/>
                <w:b w:val="0"/>
                <w:color w:val="auto"/>
                <w:sz w:val="24"/>
                <w:highlight w:val="none"/>
              </w:rPr>
              <w:t xml:space="preserve">  </w:t>
            </w:r>
            <w:r>
              <w:rPr>
                <w:rFonts w:ascii="宋体" w:hAnsi="宋体" w:eastAsia="宋体"/>
                <w:b w:val="0"/>
                <w:color w:val="auto"/>
                <w:sz w:val="24"/>
                <w:highlight w:val="none"/>
              </w:rPr>
              <w:t>个包</w:t>
            </w:r>
          </w:p>
          <w:p w14:paraId="0E2723A4">
            <w:pPr>
              <w:pStyle w:val="47"/>
              <w:widowControl w:val="0"/>
              <w:spacing w:before="0" w:beforeAutospacing="0" w:after="0" w:afterAutospacing="0" w:line="440" w:lineRule="exact"/>
              <w:jc w:val="both"/>
              <w:rPr>
                <w:rFonts w:ascii="宋体" w:hAnsi="宋体" w:eastAsia="宋体"/>
                <w:b w:val="0"/>
                <w:color w:val="auto"/>
                <w:sz w:val="24"/>
                <w:highlight w:val="none"/>
              </w:rPr>
            </w:pPr>
            <w:r>
              <w:rPr>
                <w:rFonts w:hint="eastAsia" w:ascii="宋体" w:hAnsi="宋体" w:eastAsia="宋体"/>
                <w:b w:val="0"/>
                <w:color w:val="auto"/>
                <w:sz w:val="24"/>
                <w:highlight w:val="none"/>
              </w:rPr>
              <w:t>供应商</w:t>
            </w:r>
            <w:r>
              <w:rPr>
                <w:rFonts w:hint="eastAsia" w:ascii="宋体" w:hAnsi="宋体" w:eastAsia="宋体"/>
                <w:b w:val="0"/>
                <w:bCs w:val="0"/>
                <w:color w:val="auto"/>
                <w:sz w:val="24"/>
                <w:szCs w:val="24"/>
                <w:highlight w:val="none"/>
              </w:rPr>
              <w:t>参加</w:t>
            </w:r>
            <w:r>
              <w:rPr>
                <w:rFonts w:hint="eastAsia" w:ascii="宋体" w:hAnsi="宋体" w:eastAsia="宋体"/>
                <w:b w:val="0"/>
                <w:color w:val="auto"/>
                <w:sz w:val="24"/>
                <w:highlight w:val="none"/>
              </w:rPr>
              <w:t>多个包谈判的成交</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Cs w:val="0"/>
                <w:color w:val="auto"/>
                <w:sz w:val="24"/>
                <w:highlight w:val="none"/>
                <w:u w:val="single"/>
              </w:rPr>
              <w:t>/</w:t>
            </w:r>
          </w:p>
        </w:tc>
      </w:tr>
      <w:tr w14:paraId="6014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72" w:type="pct"/>
            <w:vAlign w:val="center"/>
          </w:tcPr>
          <w:p w14:paraId="3FD14394">
            <w:pPr>
              <w:pStyle w:val="48"/>
              <w:pBdr>
                <w:bottom w:val="none" w:color="auto" w:sz="0" w:space="0"/>
              </w:pBdr>
              <w:tabs>
                <w:tab w:val="clear" w:pos="4153"/>
                <w:tab w:val="clear" w:pos="8306"/>
              </w:tabs>
              <w:adjustRightInd/>
              <w:spacing w:line="440" w:lineRule="exact"/>
              <w:textAlignment w:val="auto"/>
              <w:rPr>
                <w:rFonts w:ascii="宋体" w:hAnsi="宋体" w:eastAsia="宋体"/>
                <w:bCs/>
                <w:color w:val="auto"/>
                <w:kern w:val="2"/>
                <w:highlight w:val="none"/>
              </w:rPr>
            </w:pPr>
            <w:r>
              <w:rPr>
                <w:rFonts w:hint="eastAsia" w:ascii="宋体" w:hAnsi="宋体" w:eastAsia="宋体"/>
                <w:bCs/>
                <w:color w:val="auto"/>
                <w:kern w:val="2"/>
                <w:highlight w:val="none"/>
              </w:rPr>
              <w:t>10</w:t>
            </w:r>
            <w:r>
              <w:rPr>
                <w:rFonts w:ascii="宋体" w:hAnsi="宋体" w:eastAsia="宋体"/>
                <w:bCs/>
                <w:color w:val="auto"/>
                <w:kern w:val="2"/>
                <w:highlight w:val="none"/>
              </w:rPr>
              <w:t>.1</w:t>
            </w:r>
          </w:p>
        </w:tc>
        <w:tc>
          <w:tcPr>
            <w:tcW w:w="1159" w:type="pct"/>
            <w:vAlign w:val="center"/>
          </w:tcPr>
          <w:p w14:paraId="76753599">
            <w:pPr>
              <w:pStyle w:val="47"/>
              <w:widowControl w:val="0"/>
              <w:spacing w:before="0" w:beforeAutospacing="0" w:after="0" w:afterAutospacing="0" w:line="440" w:lineRule="exact"/>
              <w:jc w:val="left"/>
              <w:rPr>
                <w:rFonts w:ascii="宋体" w:hAnsi="宋体" w:eastAsia="宋体"/>
                <w:b w:val="0"/>
                <w:color w:val="auto"/>
                <w:sz w:val="24"/>
                <w:highlight w:val="none"/>
              </w:rPr>
            </w:pPr>
            <w:r>
              <w:rPr>
                <w:rFonts w:hint="eastAsia" w:ascii="宋体" w:hAnsi="宋体" w:eastAsia="宋体"/>
                <w:b w:val="0"/>
                <w:color w:val="auto"/>
                <w:sz w:val="24"/>
                <w:highlight w:val="none"/>
              </w:rPr>
              <w:t>谈判保证金</w:t>
            </w:r>
          </w:p>
        </w:tc>
        <w:tc>
          <w:tcPr>
            <w:tcW w:w="3268" w:type="pct"/>
            <w:vAlign w:val="center"/>
          </w:tcPr>
          <w:p w14:paraId="3DB4CA12">
            <w:pPr>
              <w:pStyle w:val="47"/>
              <w:widowControl w:val="0"/>
              <w:spacing w:before="0" w:beforeAutospacing="0" w:after="0" w:afterAutospacing="0" w:line="440" w:lineRule="exact"/>
              <w:jc w:val="both"/>
              <w:rPr>
                <w:rFonts w:ascii="宋体" w:hAnsi="宋体" w:eastAsia="宋体"/>
                <w:b w:val="0"/>
                <w:color w:val="auto"/>
                <w:sz w:val="24"/>
                <w:highlight w:val="none"/>
              </w:rPr>
            </w:pPr>
            <w:r>
              <w:rPr>
                <w:rFonts w:hint="eastAsia" w:ascii="宋体" w:hAnsi="宋体" w:eastAsia="宋体"/>
                <w:b w:val="0"/>
                <w:color w:val="auto"/>
                <w:sz w:val="24"/>
                <w:highlight w:val="none"/>
              </w:rPr>
              <w:t>不收取</w:t>
            </w:r>
          </w:p>
        </w:tc>
      </w:tr>
      <w:tr w14:paraId="359F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15CBCC68">
            <w:pPr>
              <w:pStyle w:val="48"/>
              <w:pBdr>
                <w:bottom w:val="none" w:color="auto" w:sz="0" w:space="0"/>
              </w:pBdr>
              <w:tabs>
                <w:tab w:val="clear" w:pos="4153"/>
                <w:tab w:val="clear" w:pos="8306"/>
              </w:tabs>
              <w:adjustRightInd/>
              <w:spacing w:line="440" w:lineRule="exact"/>
              <w:textAlignment w:val="auto"/>
              <w:rPr>
                <w:rFonts w:ascii="宋体" w:hAnsi="宋体" w:eastAsia="宋体"/>
                <w:bCs/>
                <w:color w:val="auto"/>
                <w:kern w:val="2"/>
                <w:highlight w:val="none"/>
              </w:rPr>
            </w:pPr>
            <w:r>
              <w:rPr>
                <w:rFonts w:hint="eastAsia" w:ascii="宋体" w:hAnsi="宋体" w:eastAsia="宋体"/>
                <w:bCs/>
                <w:color w:val="auto"/>
                <w:kern w:val="2"/>
                <w:highlight w:val="none"/>
              </w:rPr>
              <w:t>11</w:t>
            </w:r>
            <w:r>
              <w:rPr>
                <w:rFonts w:ascii="宋体" w:hAnsi="宋体" w:eastAsia="宋体"/>
                <w:bCs/>
                <w:color w:val="auto"/>
                <w:kern w:val="2"/>
                <w:highlight w:val="none"/>
              </w:rPr>
              <w:t>.1</w:t>
            </w:r>
          </w:p>
        </w:tc>
        <w:tc>
          <w:tcPr>
            <w:tcW w:w="1159" w:type="pct"/>
            <w:vAlign w:val="center"/>
          </w:tcPr>
          <w:p w14:paraId="371E6E4C">
            <w:pPr>
              <w:pStyle w:val="47"/>
              <w:widowControl w:val="0"/>
              <w:spacing w:before="0" w:beforeAutospacing="0" w:after="0" w:afterAutospacing="0" w:line="440" w:lineRule="exact"/>
              <w:jc w:val="both"/>
              <w:rPr>
                <w:rFonts w:ascii="宋体" w:hAnsi="宋体" w:eastAsia="宋体"/>
                <w:b w:val="0"/>
                <w:color w:val="auto"/>
                <w:sz w:val="24"/>
                <w:highlight w:val="none"/>
              </w:rPr>
            </w:pPr>
            <w:r>
              <w:rPr>
                <w:rFonts w:hint="eastAsia" w:ascii="宋体" w:hAnsi="宋体" w:eastAsia="宋体"/>
                <w:b w:val="0"/>
                <w:color w:val="auto"/>
                <w:sz w:val="24"/>
                <w:highlight w:val="none"/>
              </w:rPr>
              <w:t>谈判有效期</w:t>
            </w:r>
          </w:p>
        </w:tc>
        <w:tc>
          <w:tcPr>
            <w:tcW w:w="3268" w:type="pct"/>
            <w:vAlign w:val="center"/>
          </w:tcPr>
          <w:p w14:paraId="51D2AF20">
            <w:pPr>
              <w:pStyle w:val="47"/>
              <w:widowControl w:val="0"/>
              <w:spacing w:before="0" w:beforeAutospacing="0" w:after="0" w:afterAutospacing="0" w:line="440" w:lineRule="exact"/>
              <w:jc w:val="both"/>
              <w:rPr>
                <w:rFonts w:ascii="宋体" w:hAnsi="宋体" w:eastAsia="宋体"/>
                <w:b w:val="0"/>
                <w:color w:val="auto"/>
                <w:sz w:val="24"/>
                <w:highlight w:val="none"/>
              </w:rPr>
            </w:pPr>
            <w:r>
              <w:rPr>
                <w:rFonts w:hint="eastAsia" w:ascii="宋体" w:hAnsi="宋体" w:eastAsia="宋体"/>
                <w:b w:val="0"/>
                <w:color w:val="auto"/>
                <w:sz w:val="24"/>
                <w:highlight w:val="none"/>
                <w:u w:val="single"/>
              </w:rPr>
              <w:t>90</w:t>
            </w:r>
            <w:r>
              <w:rPr>
                <w:rFonts w:hint="eastAsia" w:ascii="宋体" w:hAnsi="宋体" w:eastAsia="宋体"/>
                <w:b w:val="0"/>
                <w:color w:val="auto"/>
                <w:sz w:val="24"/>
                <w:highlight w:val="none"/>
              </w:rPr>
              <w:t>日历日</w:t>
            </w:r>
          </w:p>
        </w:tc>
      </w:tr>
      <w:tr w14:paraId="24D1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5DC4192A">
            <w:pPr>
              <w:pStyle w:val="48"/>
              <w:pBdr>
                <w:bottom w:val="none" w:color="auto" w:sz="0" w:space="0"/>
              </w:pBdr>
              <w:tabs>
                <w:tab w:val="clear" w:pos="4153"/>
                <w:tab w:val="clear" w:pos="8306"/>
              </w:tabs>
              <w:adjustRightInd/>
              <w:spacing w:line="440" w:lineRule="exact"/>
              <w:textAlignment w:val="auto"/>
              <w:rPr>
                <w:rFonts w:ascii="宋体" w:hAnsi="宋体" w:eastAsia="宋体"/>
                <w:bCs/>
                <w:color w:val="auto"/>
                <w:kern w:val="2"/>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2.</w:t>
            </w:r>
            <w:r>
              <w:rPr>
                <w:rFonts w:asciiTheme="minorEastAsia" w:hAnsiTheme="minorEastAsia" w:eastAsiaTheme="minorEastAsia"/>
                <w:color w:val="auto"/>
                <w:highlight w:val="none"/>
              </w:rPr>
              <w:t>3</w:t>
            </w:r>
          </w:p>
        </w:tc>
        <w:tc>
          <w:tcPr>
            <w:tcW w:w="1159" w:type="pct"/>
            <w:vAlign w:val="center"/>
          </w:tcPr>
          <w:p w14:paraId="16606C67">
            <w:pPr>
              <w:pStyle w:val="47"/>
              <w:widowControl w:val="0"/>
              <w:spacing w:before="0" w:beforeAutospacing="0" w:after="0" w:afterAutospacing="0" w:line="440" w:lineRule="exact"/>
              <w:jc w:val="both"/>
              <w:rPr>
                <w:rFonts w:ascii="宋体" w:hAnsi="宋体" w:eastAsia="宋体"/>
                <w:b w:val="0"/>
                <w:color w:val="auto"/>
                <w:sz w:val="24"/>
                <w:highlight w:val="none"/>
              </w:rPr>
            </w:pPr>
            <w:r>
              <w:rPr>
                <w:rFonts w:hint="eastAsia" w:ascii="宋体" w:hAnsi="宋体" w:eastAsia="宋体"/>
                <w:b w:val="0"/>
                <w:color w:val="auto"/>
                <w:sz w:val="24"/>
                <w:highlight w:val="none"/>
              </w:rPr>
              <w:t>响应文件解密时间</w:t>
            </w:r>
          </w:p>
        </w:tc>
        <w:tc>
          <w:tcPr>
            <w:tcW w:w="3268" w:type="pct"/>
            <w:vAlign w:val="center"/>
          </w:tcPr>
          <w:p w14:paraId="50EB4445">
            <w:pPr>
              <w:pStyle w:val="47"/>
              <w:widowControl w:val="0"/>
              <w:spacing w:before="0" w:beforeAutospacing="0" w:after="0" w:afterAutospacing="0" w:line="440" w:lineRule="exact"/>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响应文件提交截止时间后</w:t>
            </w:r>
            <w:r>
              <w:rPr>
                <w:rFonts w:hint="eastAsia" w:ascii="宋体" w:hAnsi="宋体" w:eastAsia="宋体"/>
                <w:b w:val="0"/>
                <w:color w:val="auto"/>
                <w:sz w:val="24"/>
                <w:highlight w:val="none"/>
                <w:u w:val="single"/>
              </w:rPr>
              <w:t xml:space="preserve"> </w:t>
            </w:r>
            <w:r>
              <w:rPr>
                <w:rFonts w:hint="eastAsia" w:ascii="宋体" w:hAnsi="宋体" w:eastAsia="宋体"/>
                <w:bCs w:val="0"/>
                <w:color w:val="auto"/>
                <w:sz w:val="36"/>
                <w:szCs w:val="36"/>
                <w:highlight w:val="none"/>
                <w:u w:val="single"/>
              </w:rPr>
              <w:t>30</w:t>
            </w:r>
            <w:r>
              <w:rPr>
                <w:rFonts w:hint="eastAsia" w:ascii="宋体" w:hAnsi="宋体" w:eastAsia="宋体"/>
                <w:b w:val="0"/>
                <w:color w:val="auto"/>
                <w:sz w:val="24"/>
                <w:highlight w:val="none"/>
              </w:rPr>
              <w:t>分钟内</w:t>
            </w:r>
            <w:r>
              <w:rPr>
                <w:rFonts w:hint="eastAsia" w:ascii="宋体" w:hAnsi="宋体" w:eastAsia="宋体"/>
                <w:color w:val="auto"/>
                <w:sz w:val="24"/>
                <w:highlight w:val="none"/>
              </w:rPr>
              <w:t>（以本项目网上招投标系统解密倒计时为准）</w:t>
            </w:r>
          </w:p>
        </w:tc>
      </w:tr>
      <w:tr w14:paraId="39B1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EFB5F83">
            <w:pPr>
              <w:pStyle w:val="48"/>
              <w:pBdr>
                <w:bottom w:val="none" w:color="auto" w:sz="0" w:space="0"/>
              </w:pBdr>
              <w:tabs>
                <w:tab w:val="clear" w:pos="4153"/>
                <w:tab w:val="clear" w:pos="8306"/>
              </w:tabs>
              <w:adjustRightInd/>
              <w:spacing w:line="440" w:lineRule="exact"/>
              <w:textAlignment w:val="auto"/>
              <w:rPr>
                <w:rFonts w:ascii="宋体" w:hAnsi="宋体" w:eastAsia="宋体"/>
                <w:bCs/>
                <w:color w:val="auto"/>
                <w:kern w:val="2"/>
                <w:highlight w:val="none"/>
              </w:rPr>
            </w:pPr>
            <w:r>
              <w:rPr>
                <w:rFonts w:hint="eastAsia" w:ascii="宋体" w:hAnsi="宋体" w:eastAsia="宋体"/>
                <w:bCs/>
                <w:color w:val="auto"/>
                <w:kern w:val="2"/>
                <w:highlight w:val="none"/>
              </w:rPr>
              <w:t>14.3</w:t>
            </w:r>
          </w:p>
        </w:tc>
        <w:tc>
          <w:tcPr>
            <w:tcW w:w="1159" w:type="pct"/>
            <w:vAlign w:val="center"/>
          </w:tcPr>
          <w:p w14:paraId="0DEAD0A8">
            <w:pPr>
              <w:pStyle w:val="47"/>
              <w:widowControl w:val="0"/>
              <w:spacing w:before="0" w:beforeAutospacing="0" w:after="0" w:afterAutospacing="0" w:line="440" w:lineRule="exact"/>
              <w:jc w:val="both"/>
              <w:rPr>
                <w:rFonts w:ascii="宋体" w:hAnsi="宋体" w:eastAsia="宋体"/>
                <w:b w:val="0"/>
                <w:color w:val="auto"/>
                <w:sz w:val="24"/>
                <w:highlight w:val="none"/>
              </w:rPr>
            </w:pPr>
            <w:r>
              <w:rPr>
                <w:rFonts w:hint="eastAsia" w:ascii="宋体" w:hAnsi="宋体" w:eastAsia="宋体"/>
                <w:b w:val="0"/>
                <w:color w:val="auto"/>
                <w:sz w:val="24"/>
                <w:highlight w:val="none"/>
              </w:rPr>
              <w:t>评审方法</w:t>
            </w:r>
          </w:p>
        </w:tc>
        <w:tc>
          <w:tcPr>
            <w:tcW w:w="3268" w:type="pct"/>
            <w:vAlign w:val="center"/>
          </w:tcPr>
          <w:p w14:paraId="69B61E53">
            <w:pPr>
              <w:pStyle w:val="47"/>
              <w:widowControl w:val="0"/>
              <w:spacing w:before="0" w:beforeAutospacing="0" w:after="0" w:afterAutospacing="0" w:line="440" w:lineRule="exact"/>
              <w:jc w:val="both"/>
              <w:rPr>
                <w:rFonts w:ascii="宋体" w:hAnsi="宋体" w:eastAsia="宋体"/>
                <w:b w:val="0"/>
                <w:color w:val="auto"/>
                <w:sz w:val="24"/>
                <w:highlight w:val="none"/>
              </w:rPr>
            </w:pPr>
            <w:r>
              <w:rPr>
                <w:rFonts w:hint="eastAsia" w:ascii="宋体" w:hAnsi="宋体" w:eastAsia="宋体"/>
                <w:b w:val="0"/>
                <w:color w:val="auto"/>
                <w:sz w:val="24"/>
                <w:highlight w:val="none"/>
              </w:rPr>
              <w:t>最低价法</w:t>
            </w:r>
          </w:p>
        </w:tc>
      </w:tr>
      <w:tr w14:paraId="3939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restart"/>
            <w:vAlign w:val="center"/>
          </w:tcPr>
          <w:p w14:paraId="0A034FFB">
            <w:pPr>
              <w:pStyle w:val="48"/>
              <w:pBdr>
                <w:bottom w:val="none" w:color="auto" w:sz="0" w:space="0"/>
              </w:pBdr>
              <w:tabs>
                <w:tab w:val="clear" w:pos="4153"/>
                <w:tab w:val="clear" w:pos="8306"/>
              </w:tabs>
              <w:adjustRightInd/>
              <w:spacing w:line="440" w:lineRule="exact"/>
              <w:textAlignment w:val="auto"/>
              <w:rPr>
                <w:rFonts w:ascii="宋体" w:hAnsi="宋体" w:eastAsia="宋体"/>
                <w:bCs/>
                <w:color w:val="auto"/>
                <w:kern w:val="2"/>
                <w:highlight w:val="none"/>
              </w:rPr>
            </w:pPr>
            <w:r>
              <w:rPr>
                <w:rFonts w:hint="eastAsia" w:ascii="宋体" w:hAnsi="宋体" w:eastAsia="宋体"/>
                <w:bCs/>
                <w:color w:val="auto"/>
                <w:kern w:val="2"/>
                <w:highlight w:val="none"/>
              </w:rPr>
              <w:t>19</w:t>
            </w:r>
            <w:r>
              <w:rPr>
                <w:rFonts w:ascii="宋体" w:hAnsi="宋体" w:eastAsia="宋体"/>
                <w:bCs/>
                <w:color w:val="auto"/>
                <w:kern w:val="2"/>
                <w:highlight w:val="none"/>
              </w:rPr>
              <w:t>.</w:t>
            </w:r>
            <w:r>
              <w:rPr>
                <w:rFonts w:hint="eastAsia" w:ascii="宋体" w:hAnsi="宋体" w:eastAsia="宋体"/>
                <w:bCs/>
                <w:color w:val="auto"/>
                <w:kern w:val="2"/>
                <w:highlight w:val="none"/>
              </w:rPr>
              <w:t>1</w:t>
            </w:r>
          </w:p>
          <w:p w14:paraId="4519F847">
            <w:pPr>
              <w:pStyle w:val="48"/>
              <w:pBdr>
                <w:bottom w:val="none" w:color="auto" w:sz="0" w:space="0"/>
              </w:pBdr>
              <w:tabs>
                <w:tab w:val="clear" w:pos="4153"/>
                <w:tab w:val="clear" w:pos="8306"/>
              </w:tabs>
              <w:adjustRightInd/>
              <w:spacing w:line="440" w:lineRule="exact"/>
              <w:textAlignment w:val="auto"/>
              <w:rPr>
                <w:rFonts w:ascii="宋体" w:hAnsi="宋体" w:eastAsia="宋体"/>
                <w:bCs/>
                <w:color w:val="auto"/>
                <w:kern w:val="2"/>
                <w:highlight w:val="none"/>
              </w:rPr>
            </w:pPr>
          </w:p>
        </w:tc>
        <w:tc>
          <w:tcPr>
            <w:tcW w:w="1159" w:type="pct"/>
            <w:vMerge w:val="restart"/>
            <w:vAlign w:val="center"/>
          </w:tcPr>
          <w:p w14:paraId="5229CF0D">
            <w:pPr>
              <w:pStyle w:val="47"/>
              <w:widowControl w:val="0"/>
              <w:spacing w:before="0" w:beforeAutospacing="0" w:after="0" w:afterAutospacing="0" w:line="440" w:lineRule="exact"/>
              <w:jc w:val="both"/>
              <w:rPr>
                <w:rFonts w:ascii="宋体" w:hAnsi="宋体" w:eastAsia="宋体"/>
                <w:b w:val="0"/>
                <w:color w:val="auto"/>
                <w:sz w:val="24"/>
                <w:highlight w:val="none"/>
              </w:rPr>
            </w:pPr>
            <w:r>
              <w:rPr>
                <w:rFonts w:hint="eastAsia" w:ascii="宋体" w:hAnsi="宋体" w:eastAsia="宋体"/>
                <w:b w:val="0"/>
                <w:color w:val="auto"/>
                <w:sz w:val="24"/>
                <w:highlight w:val="none"/>
              </w:rPr>
              <w:t>确定成交候选人和成交供应商</w:t>
            </w:r>
          </w:p>
        </w:tc>
        <w:tc>
          <w:tcPr>
            <w:tcW w:w="3268" w:type="pct"/>
            <w:vAlign w:val="center"/>
          </w:tcPr>
          <w:p w14:paraId="1095600F">
            <w:pPr>
              <w:pStyle w:val="47"/>
              <w:widowControl w:val="0"/>
              <w:spacing w:before="0" w:beforeAutospacing="0" w:after="0" w:afterAutospacing="0" w:line="440" w:lineRule="exact"/>
              <w:jc w:val="both"/>
              <w:rPr>
                <w:rFonts w:ascii="宋体" w:hAnsi="宋体" w:eastAsia="宋体"/>
                <w:b w:val="0"/>
                <w:color w:val="auto"/>
                <w:sz w:val="24"/>
                <w:highlight w:val="none"/>
              </w:rPr>
            </w:pPr>
            <w:r>
              <w:rPr>
                <w:rFonts w:hint="eastAsia" w:ascii="宋体" w:hAnsi="宋体" w:eastAsia="宋体"/>
                <w:b w:val="0"/>
                <w:color w:val="auto"/>
                <w:sz w:val="24"/>
                <w:highlight w:val="none"/>
              </w:rPr>
              <w:t>谈判小组推荐成交候选人的</w:t>
            </w:r>
            <w:r>
              <w:rPr>
                <w:rFonts w:ascii="宋体" w:hAnsi="宋体" w:eastAsia="宋体"/>
                <w:b w:val="0"/>
                <w:color w:val="auto"/>
                <w:sz w:val="24"/>
                <w:highlight w:val="none"/>
              </w:rPr>
              <w:t>数量</w:t>
            </w:r>
            <w:r>
              <w:rPr>
                <w:rFonts w:hint="eastAsia" w:ascii="宋体" w:hAnsi="宋体" w:eastAsia="宋体"/>
                <w:b w:val="0"/>
                <w:color w:val="auto"/>
                <w:sz w:val="24"/>
                <w:highlight w:val="none"/>
              </w:rPr>
              <w:t>：3家</w:t>
            </w:r>
          </w:p>
          <w:p w14:paraId="70B52720">
            <w:pPr>
              <w:pStyle w:val="47"/>
              <w:widowControl w:val="0"/>
              <w:spacing w:before="0" w:beforeAutospacing="0" w:after="0" w:afterAutospacing="0" w:line="440" w:lineRule="exact"/>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注：法律、法规另有规定的，从其规定。</w:t>
            </w:r>
          </w:p>
        </w:tc>
      </w:tr>
      <w:tr w14:paraId="37D4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continue"/>
            <w:vAlign w:val="center"/>
          </w:tcPr>
          <w:p w14:paraId="29268AEE">
            <w:pPr>
              <w:pStyle w:val="48"/>
              <w:pBdr>
                <w:bottom w:val="none" w:color="auto" w:sz="0" w:space="0"/>
              </w:pBdr>
              <w:tabs>
                <w:tab w:val="clear" w:pos="4153"/>
                <w:tab w:val="clear" w:pos="8306"/>
              </w:tabs>
              <w:adjustRightInd/>
              <w:spacing w:line="440" w:lineRule="exact"/>
              <w:textAlignment w:val="auto"/>
              <w:rPr>
                <w:rFonts w:ascii="宋体" w:hAnsi="宋体" w:eastAsia="宋体"/>
                <w:bCs/>
                <w:color w:val="auto"/>
                <w:kern w:val="2"/>
                <w:highlight w:val="none"/>
              </w:rPr>
            </w:pPr>
          </w:p>
        </w:tc>
        <w:tc>
          <w:tcPr>
            <w:tcW w:w="1159" w:type="pct"/>
            <w:vMerge w:val="continue"/>
            <w:vAlign w:val="center"/>
          </w:tcPr>
          <w:p w14:paraId="6638085F">
            <w:pPr>
              <w:pStyle w:val="47"/>
              <w:widowControl w:val="0"/>
              <w:spacing w:before="0" w:beforeAutospacing="0" w:after="0" w:afterAutospacing="0" w:line="440" w:lineRule="exact"/>
              <w:jc w:val="both"/>
              <w:rPr>
                <w:rFonts w:ascii="宋体" w:hAnsi="宋体" w:eastAsia="宋体"/>
                <w:b w:val="0"/>
                <w:color w:val="auto"/>
                <w:sz w:val="24"/>
                <w:highlight w:val="none"/>
              </w:rPr>
            </w:pPr>
          </w:p>
        </w:tc>
        <w:tc>
          <w:tcPr>
            <w:tcW w:w="3268" w:type="pct"/>
            <w:vAlign w:val="center"/>
          </w:tcPr>
          <w:p w14:paraId="4F779F77">
            <w:pPr>
              <w:pStyle w:val="47"/>
              <w:widowControl w:val="0"/>
              <w:spacing w:before="0" w:beforeAutospacing="0" w:after="0" w:afterAutospacing="0" w:line="440" w:lineRule="exact"/>
              <w:jc w:val="both"/>
              <w:rPr>
                <w:rFonts w:ascii="宋体" w:hAnsi="宋体" w:eastAsia="宋体"/>
                <w:b w:val="0"/>
                <w:color w:val="auto"/>
                <w:sz w:val="24"/>
                <w:highlight w:val="none"/>
              </w:rPr>
            </w:pPr>
            <w:r>
              <w:rPr>
                <w:rFonts w:hint="eastAsia" w:ascii="宋体" w:hAnsi="宋体" w:eastAsia="宋体"/>
                <w:b w:val="0"/>
                <w:color w:val="auto"/>
                <w:sz w:val="24"/>
                <w:highlight w:val="none"/>
              </w:rPr>
              <w:t>确定成交供应商：</w:t>
            </w:r>
          </w:p>
          <w:p w14:paraId="71DC6972">
            <w:pPr>
              <w:pStyle w:val="47"/>
              <w:widowControl w:val="0"/>
              <w:spacing w:before="0" w:beforeAutospacing="0" w:after="0" w:afterAutospacing="0" w:line="440" w:lineRule="exact"/>
              <w:jc w:val="both"/>
              <w:rPr>
                <w:rFonts w:ascii="宋体" w:hAnsi="宋体" w:eastAsia="宋体"/>
                <w:b w:val="0"/>
                <w:color w:val="auto"/>
                <w:sz w:val="24"/>
                <w:highlight w:val="none"/>
              </w:rPr>
            </w:pPr>
            <w:r>
              <w:rPr>
                <w:rFonts w:hint="eastAsia" w:ascii="宋体" w:hAnsi="宋体" w:eastAsia="宋体"/>
                <w:b w:val="0"/>
                <w:color w:val="auto"/>
                <w:sz w:val="24"/>
                <w:highlight w:val="none"/>
              </w:rPr>
              <w:t xml:space="preserve">□采购人委托谈判小组确定 </w:t>
            </w:r>
            <w:r>
              <w:rPr>
                <w:rFonts w:ascii="宋体" w:hAnsi="宋体" w:eastAsia="宋体"/>
                <w:b w:val="0"/>
                <w:color w:val="auto"/>
                <w:sz w:val="24"/>
                <w:highlight w:val="none"/>
              </w:rPr>
              <w:t xml:space="preserve">   </w:t>
            </w:r>
            <w:r>
              <w:rPr>
                <w:rFonts w:hint="eastAsia" w:ascii="宋体" w:hAnsi="宋体" w:eastAsia="宋体"/>
                <w:b w:val="0"/>
                <w:color w:val="auto"/>
                <w:sz w:val="24"/>
                <w:highlight w:val="none"/>
              </w:rPr>
              <w:t xml:space="preserve"> ☑采购人确定</w:t>
            </w:r>
          </w:p>
        </w:tc>
      </w:tr>
      <w:tr w14:paraId="42C6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D3E8471">
            <w:pPr>
              <w:pStyle w:val="48"/>
              <w:pBdr>
                <w:bottom w:val="none" w:color="auto" w:sz="0" w:space="0"/>
              </w:pBdr>
              <w:tabs>
                <w:tab w:val="clear" w:pos="4153"/>
                <w:tab w:val="clear" w:pos="8306"/>
              </w:tabs>
              <w:adjustRightInd/>
              <w:spacing w:line="440" w:lineRule="exact"/>
              <w:textAlignment w:val="auto"/>
              <w:rPr>
                <w:rFonts w:ascii="宋体" w:hAnsi="宋体" w:eastAsia="宋体"/>
                <w:bCs/>
                <w:color w:val="auto"/>
                <w:kern w:val="2"/>
                <w:highlight w:val="none"/>
              </w:rPr>
            </w:pPr>
            <w:r>
              <w:rPr>
                <w:rFonts w:hint="eastAsia" w:ascii="宋体" w:hAnsi="宋体" w:eastAsia="宋体"/>
                <w:bCs/>
                <w:color w:val="auto"/>
                <w:kern w:val="2"/>
                <w:highlight w:val="none"/>
              </w:rPr>
              <w:t>23</w:t>
            </w:r>
            <w:r>
              <w:rPr>
                <w:rFonts w:ascii="宋体" w:hAnsi="宋体" w:eastAsia="宋体"/>
                <w:bCs/>
                <w:color w:val="auto"/>
                <w:kern w:val="2"/>
                <w:highlight w:val="none"/>
              </w:rPr>
              <w:t>.1</w:t>
            </w:r>
          </w:p>
        </w:tc>
        <w:tc>
          <w:tcPr>
            <w:tcW w:w="1159" w:type="pct"/>
            <w:vAlign w:val="center"/>
          </w:tcPr>
          <w:p w14:paraId="2CD61073">
            <w:pPr>
              <w:pStyle w:val="47"/>
              <w:widowControl w:val="0"/>
              <w:spacing w:before="0" w:beforeAutospacing="0" w:after="0" w:afterAutospacing="0" w:line="440" w:lineRule="exact"/>
              <w:jc w:val="both"/>
              <w:rPr>
                <w:rFonts w:ascii="宋体" w:hAnsi="宋体" w:eastAsia="宋体"/>
                <w:b w:val="0"/>
                <w:color w:val="auto"/>
                <w:sz w:val="24"/>
                <w:highlight w:val="none"/>
              </w:rPr>
            </w:pPr>
            <w:r>
              <w:rPr>
                <w:rFonts w:hint="eastAsia" w:ascii="宋体" w:hAnsi="宋体" w:eastAsia="宋体"/>
                <w:b w:val="0"/>
                <w:color w:val="auto"/>
                <w:sz w:val="24"/>
                <w:highlight w:val="none"/>
              </w:rPr>
              <w:t>成交通知书发出的形式</w:t>
            </w:r>
          </w:p>
        </w:tc>
        <w:tc>
          <w:tcPr>
            <w:tcW w:w="3268" w:type="pct"/>
            <w:vAlign w:val="center"/>
          </w:tcPr>
          <w:p w14:paraId="3CD42D4D">
            <w:pPr>
              <w:pStyle w:val="47"/>
              <w:widowControl w:val="0"/>
              <w:spacing w:before="0" w:beforeAutospacing="0" w:after="0" w:afterAutospacing="0" w:line="440" w:lineRule="exact"/>
              <w:jc w:val="both"/>
              <w:rPr>
                <w:rFonts w:ascii="宋体" w:hAnsi="宋体" w:eastAsia="宋体"/>
                <w:b w:val="0"/>
                <w:color w:val="auto"/>
                <w:sz w:val="24"/>
                <w:highlight w:val="none"/>
              </w:rPr>
            </w:pPr>
            <w:r>
              <w:rPr>
                <w:rFonts w:hint="eastAsia" w:ascii="宋体" w:hAnsi="宋体" w:eastAsia="宋体"/>
                <w:b w:val="0"/>
                <w:color w:val="auto"/>
                <w:sz w:val="24"/>
                <w:highlight w:val="none"/>
              </w:rPr>
              <w:t xml:space="preserve">☑书面 </w:t>
            </w:r>
            <w:r>
              <w:rPr>
                <w:rFonts w:ascii="宋体" w:hAnsi="宋体" w:eastAsia="宋体"/>
                <w:b w:val="0"/>
                <w:color w:val="auto"/>
                <w:sz w:val="24"/>
                <w:highlight w:val="none"/>
              </w:rPr>
              <w:t xml:space="preserve">    </w:t>
            </w:r>
            <w:r>
              <w:rPr>
                <w:rFonts w:hint="eastAsia" w:ascii="宋体" w:hAnsi="宋体" w:eastAsia="宋体"/>
                <w:b w:val="0"/>
                <w:color w:val="auto"/>
                <w:sz w:val="24"/>
                <w:highlight w:val="none"/>
              </w:rPr>
              <w:t>□数据电文</w:t>
            </w:r>
          </w:p>
        </w:tc>
      </w:tr>
      <w:tr w14:paraId="2BEE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20E25AE">
            <w:pPr>
              <w:pStyle w:val="48"/>
              <w:pBdr>
                <w:bottom w:val="none" w:color="auto" w:sz="0" w:space="0"/>
              </w:pBdr>
              <w:tabs>
                <w:tab w:val="clear" w:pos="4153"/>
                <w:tab w:val="clear" w:pos="8306"/>
              </w:tabs>
              <w:adjustRightInd/>
              <w:spacing w:line="440" w:lineRule="exact"/>
              <w:textAlignment w:val="auto"/>
              <w:rPr>
                <w:rFonts w:ascii="宋体" w:hAnsi="宋体" w:eastAsia="宋体"/>
                <w:bCs/>
                <w:color w:val="auto"/>
                <w:kern w:val="2"/>
                <w:highlight w:val="none"/>
              </w:rPr>
            </w:pPr>
            <w:r>
              <w:rPr>
                <w:rFonts w:hint="eastAsia" w:ascii="宋体" w:hAnsi="宋体" w:eastAsia="宋体" w:cs="宋体"/>
                <w:bCs/>
                <w:color w:val="auto"/>
                <w:szCs w:val="24"/>
                <w:highlight w:val="none"/>
              </w:rPr>
              <w:t>24.1</w:t>
            </w:r>
          </w:p>
        </w:tc>
        <w:tc>
          <w:tcPr>
            <w:tcW w:w="1159" w:type="pct"/>
            <w:vAlign w:val="center"/>
          </w:tcPr>
          <w:p w14:paraId="2E69925D">
            <w:pPr>
              <w:pStyle w:val="47"/>
              <w:widowControl w:val="0"/>
              <w:spacing w:before="0" w:beforeAutospacing="0" w:after="0" w:afterAutospacing="0" w:line="440" w:lineRule="exact"/>
              <w:jc w:val="both"/>
              <w:rPr>
                <w:rFonts w:ascii="宋体" w:hAnsi="宋体" w:eastAsia="宋体"/>
                <w:b w:val="0"/>
                <w:color w:val="auto"/>
                <w:sz w:val="24"/>
                <w:highlight w:val="none"/>
              </w:rPr>
            </w:pPr>
            <w:r>
              <w:rPr>
                <w:rFonts w:hint="eastAsia" w:ascii="宋体" w:hAnsi="宋体" w:eastAsia="宋体" w:cs="宋体"/>
                <w:b w:val="0"/>
                <w:color w:val="auto"/>
                <w:sz w:val="24"/>
                <w:szCs w:val="24"/>
                <w:highlight w:val="none"/>
              </w:rPr>
              <w:t>告知谈判结果的形式</w:t>
            </w:r>
          </w:p>
        </w:tc>
        <w:tc>
          <w:tcPr>
            <w:tcW w:w="3268" w:type="pct"/>
            <w:vAlign w:val="center"/>
          </w:tcPr>
          <w:p w14:paraId="137AF396">
            <w:pPr>
              <w:pStyle w:val="47"/>
              <w:widowControl w:val="0"/>
              <w:spacing w:before="0" w:beforeAutospacing="0" w:after="0" w:afterAutospacing="0" w:line="440" w:lineRule="exact"/>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☑供应商自行登录滁州市城投工程咨询管理有限公司官网（https://www.czctgczx.com/）查看</w:t>
            </w:r>
          </w:p>
          <w:p w14:paraId="2E122860">
            <w:pPr>
              <w:pStyle w:val="47"/>
              <w:widowControl w:val="0"/>
              <w:spacing w:before="0" w:beforeAutospacing="0" w:after="0" w:afterAutospacing="0" w:line="440" w:lineRule="exact"/>
              <w:jc w:val="both"/>
              <w:rPr>
                <w:rFonts w:ascii="宋体" w:hAnsi="宋体" w:eastAsia="宋体"/>
                <w:b w:val="0"/>
                <w:color w:val="auto"/>
                <w:sz w:val="24"/>
                <w:highlight w:val="none"/>
              </w:rPr>
            </w:pPr>
            <w:r>
              <w:rPr>
                <w:rFonts w:hint="eastAsia" w:ascii="宋体" w:hAnsi="宋体" w:eastAsia="宋体" w:cs="宋体"/>
                <w:b w:val="0"/>
                <w:color w:val="auto"/>
                <w:sz w:val="24"/>
                <w:szCs w:val="24"/>
                <w:highlight w:val="none"/>
              </w:rPr>
              <w:t>□</w:t>
            </w:r>
            <w:r>
              <w:rPr>
                <w:rFonts w:hint="eastAsia" w:ascii="宋体" w:hAnsi="宋体" w:eastAsia="宋体"/>
                <w:b w:val="0"/>
                <w:color w:val="auto"/>
                <w:sz w:val="24"/>
                <w:highlight w:val="none"/>
              </w:rPr>
              <w:t>谈判现场告知</w:t>
            </w:r>
          </w:p>
        </w:tc>
      </w:tr>
      <w:tr w14:paraId="5D66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5EAD17B1">
            <w:pPr>
              <w:pStyle w:val="48"/>
              <w:pBdr>
                <w:bottom w:val="none" w:color="auto" w:sz="0" w:space="0"/>
              </w:pBdr>
              <w:tabs>
                <w:tab w:val="clear" w:pos="4153"/>
                <w:tab w:val="clear" w:pos="8306"/>
              </w:tabs>
              <w:adjustRightInd/>
              <w:spacing w:line="440" w:lineRule="exact"/>
              <w:textAlignment w:val="auto"/>
              <w:rPr>
                <w:rFonts w:ascii="宋体" w:hAnsi="宋体" w:eastAsia="宋体"/>
                <w:bCs/>
                <w:color w:val="auto"/>
                <w:kern w:val="2"/>
                <w:highlight w:val="none"/>
              </w:rPr>
            </w:pPr>
            <w:r>
              <w:rPr>
                <w:rFonts w:hint="eastAsia" w:ascii="宋体" w:hAnsi="宋体" w:eastAsia="宋体"/>
                <w:bCs/>
                <w:color w:val="auto"/>
                <w:kern w:val="2"/>
                <w:highlight w:val="none"/>
              </w:rPr>
              <w:t>25</w:t>
            </w:r>
            <w:r>
              <w:rPr>
                <w:rFonts w:ascii="宋体" w:hAnsi="宋体" w:eastAsia="宋体"/>
                <w:bCs/>
                <w:color w:val="auto"/>
                <w:kern w:val="2"/>
                <w:highlight w:val="none"/>
              </w:rPr>
              <w:t>.1</w:t>
            </w:r>
          </w:p>
        </w:tc>
        <w:tc>
          <w:tcPr>
            <w:tcW w:w="1159" w:type="pct"/>
            <w:vAlign w:val="center"/>
          </w:tcPr>
          <w:p w14:paraId="60914020">
            <w:pPr>
              <w:pStyle w:val="47"/>
              <w:widowControl w:val="0"/>
              <w:spacing w:before="0" w:beforeAutospacing="0" w:after="0" w:afterAutospacing="0" w:line="440" w:lineRule="exact"/>
              <w:jc w:val="both"/>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68" w:type="pct"/>
          </w:tcPr>
          <w:p w14:paraId="4C69D9BE">
            <w:pPr>
              <w:pStyle w:val="47"/>
              <w:widowControl w:val="0"/>
              <w:spacing w:before="0" w:beforeAutospacing="0" w:after="0" w:afterAutospacing="0" w:line="440" w:lineRule="exact"/>
              <w:jc w:val="both"/>
              <w:rPr>
                <w:rFonts w:ascii="宋体" w:hAnsi="宋体" w:eastAsia="宋体"/>
                <w:b w:val="0"/>
                <w:color w:val="auto"/>
                <w:sz w:val="24"/>
                <w:highlight w:val="none"/>
              </w:rPr>
            </w:pPr>
            <w:r>
              <w:rPr>
                <w:rFonts w:hint="eastAsia" w:ascii="宋体" w:hAnsi="宋体" w:eastAsia="宋体"/>
                <w:b w:val="0"/>
                <w:color w:val="auto"/>
                <w:sz w:val="24"/>
                <w:szCs w:val="24"/>
                <w:highlight w:val="none"/>
              </w:rPr>
              <w:t>是否收取履约担保：□收取，☑不收取 。</w:t>
            </w:r>
          </w:p>
        </w:tc>
      </w:tr>
      <w:tr w14:paraId="1609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55A54965">
            <w:pPr>
              <w:pStyle w:val="48"/>
              <w:pBdr>
                <w:bottom w:val="none" w:color="auto" w:sz="0" w:space="0"/>
              </w:pBdr>
              <w:tabs>
                <w:tab w:val="clear" w:pos="4153"/>
                <w:tab w:val="clear" w:pos="8306"/>
              </w:tabs>
              <w:adjustRightInd/>
              <w:spacing w:line="440" w:lineRule="exact"/>
              <w:textAlignment w:val="auto"/>
              <w:rPr>
                <w:rFonts w:ascii="宋体" w:hAnsi="宋体" w:eastAsia="宋体"/>
                <w:bCs/>
                <w:color w:val="auto"/>
                <w:kern w:val="2"/>
                <w:highlight w:val="none"/>
              </w:rPr>
            </w:pPr>
            <w:r>
              <w:rPr>
                <w:rFonts w:hint="eastAsia" w:ascii="宋体" w:hAnsi="宋体" w:eastAsia="宋体"/>
                <w:bCs/>
                <w:color w:val="auto"/>
                <w:kern w:val="2"/>
                <w:highlight w:val="none"/>
              </w:rPr>
              <w:t>26</w:t>
            </w:r>
            <w:r>
              <w:rPr>
                <w:rFonts w:ascii="宋体" w:hAnsi="宋体" w:eastAsia="宋体"/>
                <w:bCs/>
                <w:color w:val="auto"/>
                <w:kern w:val="2"/>
                <w:highlight w:val="none"/>
              </w:rPr>
              <w:t>.1</w:t>
            </w:r>
          </w:p>
        </w:tc>
        <w:tc>
          <w:tcPr>
            <w:tcW w:w="1159" w:type="pct"/>
            <w:vAlign w:val="center"/>
          </w:tcPr>
          <w:p w14:paraId="4C723F1D">
            <w:pPr>
              <w:pStyle w:val="47"/>
              <w:widowControl w:val="0"/>
              <w:spacing w:before="0" w:beforeAutospacing="0" w:after="0" w:afterAutospacing="0" w:line="440" w:lineRule="exact"/>
              <w:jc w:val="both"/>
              <w:rPr>
                <w:rFonts w:ascii="宋体" w:hAnsi="宋体" w:eastAsia="宋体"/>
                <w:b w:val="0"/>
                <w:color w:val="auto"/>
                <w:sz w:val="24"/>
                <w:highlight w:val="none"/>
              </w:rPr>
            </w:pPr>
            <w:r>
              <w:rPr>
                <w:rFonts w:hint="eastAsia" w:ascii="宋体" w:hAnsi="宋体" w:eastAsia="宋体"/>
                <w:b w:val="0"/>
                <w:color w:val="auto"/>
                <w:sz w:val="24"/>
                <w:highlight w:val="none"/>
              </w:rPr>
              <w:t>代理费用及专家评审费</w:t>
            </w:r>
          </w:p>
        </w:tc>
        <w:tc>
          <w:tcPr>
            <w:tcW w:w="3268" w:type="pct"/>
            <w:vAlign w:val="center"/>
          </w:tcPr>
          <w:p w14:paraId="05EBE134">
            <w:pPr>
              <w:spacing w:line="440" w:lineRule="exact"/>
              <w:rPr>
                <w:rFonts w:ascii="宋体" w:hAnsi="宋体" w:eastAsia="宋体" w:cs="宋体"/>
                <w:color w:val="auto"/>
                <w:sz w:val="24"/>
                <w:szCs w:val="24"/>
                <w:highlight w:val="none"/>
              </w:rPr>
            </w:pPr>
            <w:r>
              <w:rPr>
                <w:rFonts w:hint="eastAsia" w:ascii="宋体" w:hAnsi="宋体" w:eastAsia="宋体"/>
                <w:bCs/>
                <w:color w:val="auto"/>
                <w:kern w:val="0"/>
                <w:sz w:val="24"/>
                <w:szCs w:val="28"/>
                <w:highlight w:val="none"/>
              </w:rPr>
              <w:t>（1）</w:t>
            </w:r>
            <w:r>
              <w:rPr>
                <w:rFonts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00A8"/>
            </w:r>
            <w:r>
              <w:rPr>
                <w:rFonts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rPr>
              <w:t xml:space="preserve">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rPr>
              <w:t>成交</w:t>
            </w:r>
            <w:r>
              <w:rPr>
                <w:rFonts w:hint="eastAsia" w:ascii="宋体" w:hAnsi="宋体" w:eastAsia="宋体" w:cs="宋体"/>
                <w:color w:val="auto"/>
                <w:spacing w:val="14"/>
                <w:sz w:val="24"/>
                <w:szCs w:val="24"/>
                <w:highlight w:val="none"/>
              </w:rPr>
              <w:t>供应商</w:t>
            </w:r>
          </w:p>
          <w:p w14:paraId="0FEBF356">
            <w:pPr>
              <w:spacing w:line="440" w:lineRule="exact"/>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成交供应商在获取成交通知书时一次性支付给代理机构</w:t>
            </w:r>
          </w:p>
          <w:p w14:paraId="4158C3FC">
            <w:pPr>
              <w:pStyle w:val="47"/>
              <w:widowControl w:val="0"/>
              <w:spacing w:before="0" w:beforeAutospacing="0" w:after="0" w:afterAutospacing="0" w:line="440" w:lineRule="exact"/>
              <w:jc w:val="both"/>
              <w:rPr>
                <w:rFonts w:ascii="宋体" w:hAnsi="宋体" w:eastAsia="宋体"/>
                <w:b w:val="0"/>
                <w:color w:val="auto"/>
                <w:sz w:val="24"/>
                <w:highlight w:val="none"/>
              </w:rPr>
            </w:pPr>
            <w:r>
              <w:rPr>
                <w:rFonts w:hint="eastAsia" w:ascii="宋体" w:hAnsi="宋体" w:eastAsia="宋体"/>
                <w:b w:val="0"/>
                <w:bCs w:val="0"/>
                <w:color w:val="auto"/>
                <w:sz w:val="24"/>
                <w:highlight w:val="none"/>
              </w:rPr>
              <w:t>（3）</w:t>
            </w:r>
            <w:r>
              <w:rPr>
                <w:rFonts w:ascii="宋体" w:hAnsi="宋体" w:eastAsia="宋体"/>
                <w:b w:val="0"/>
                <w:color w:val="auto"/>
                <w:sz w:val="24"/>
                <w:highlight w:val="none"/>
              </w:rPr>
              <w:t>收费标准：</w:t>
            </w:r>
            <w:r>
              <w:rPr>
                <w:rFonts w:hint="eastAsia" w:ascii="宋体" w:hAnsi="宋体" w:eastAsia="宋体" w:cs="宋体"/>
                <w:b w:val="0"/>
                <w:bCs w:val="0"/>
                <w:color w:val="auto"/>
                <w:kern w:val="2"/>
                <w:sz w:val="24"/>
                <w:szCs w:val="24"/>
                <w:highlight w:val="none"/>
                <w:u w:val="single"/>
              </w:rPr>
              <w:t>本项目代理费为</w:t>
            </w:r>
            <w:r>
              <w:rPr>
                <w:rFonts w:hint="eastAsia" w:ascii="宋体" w:hAnsi="宋体" w:eastAsia="宋体" w:cs="宋体"/>
                <w:b w:val="0"/>
                <w:bCs w:val="0"/>
                <w:color w:val="auto"/>
                <w:kern w:val="2"/>
                <w:sz w:val="24"/>
                <w:szCs w:val="24"/>
                <w:highlight w:val="none"/>
                <w:u w:val="single"/>
                <w:lang w:val="en-US" w:eastAsia="zh-CN"/>
              </w:rPr>
              <w:t>3000</w:t>
            </w:r>
            <w:r>
              <w:rPr>
                <w:rFonts w:hint="eastAsia" w:ascii="宋体" w:hAnsi="宋体" w:eastAsia="宋体" w:cs="宋体"/>
                <w:b w:val="0"/>
                <w:bCs w:val="0"/>
                <w:color w:val="auto"/>
                <w:kern w:val="2"/>
                <w:sz w:val="24"/>
                <w:szCs w:val="24"/>
                <w:highlight w:val="none"/>
                <w:u w:val="single"/>
              </w:rPr>
              <w:t>元，专家评审费另计（以实际发生为准）</w:t>
            </w:r>
            <w:r>
              <w:rPr>
                <w:rFonts w:hint="eastAsia" w:ascii="宋体" w:hAnsi="宋体" w:eastAsia="宋体" w:cs="宋体"/>
                <w:b w:val="0"/>
                <w:bCs w:val="0"/>
                <w:color w:val="auto"/>
                <w:kern w:val="2"/>
                <w:sz w:val="24"/>
                <w:szCs w:val="24"/>
                <w:highlight w:val="none"/>
                <w:u w:val="single"/>
              </w:rPr>
              <w:t>。</w:t>
            </w:r>
          </w:p>
        </w:tc>
      </w:tr>
      <w:tr w14:paraId="7A62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76F9A4EA">
            <w:pPr>
              <w:pStyle w:val="48"/>
              <w:pBdr>
                <w:bottom w:val="none" w:color="auto" w:sz="0" w:space="0"/>
              </w:pBdr>
              <w:tabs>
                <w:tab w:val="clear" w:pos="4153"/>
                <w:tab w:val="clear" w:pos="8306"/>
              </w:tabs>
              <w:adjustRightInd/>
              <w:spacing w:line="440" w:lineRule="exact"/>
              <w:textAlignment w:val="auto"/>
              <w:rPr>
                <w:rFonts w:ascii="宋体" w:hAnsi="宋体" w:eastAsia="宋体"/>
                <w:bCs/>
                <w:color w:val="auto"/>
                <w:kern w:val="2"/>
                <w:highlight w:val="none"/>
              </w:rPr>
            </w:pPr>
            <w:r>
              <w:rPr>
                <w:rFonts w:hint="eastAsia" w:ascii="宋体" w:hAnsi="宋体" w:eastAsia="宋体"/>
                <w:bCs/>
                <w:color w:val="auto"/>
                <w:kern w:val="2"/>
                <w:highlight w:val="none"/>
              </w:rPr>
              <w:t>27.1</w:t>
            </w:r>
          </w:p>
        </w:tc>
        <w:tc>
          <w:tcPr>
            <w:tcW w:w="1159" w:type="pct"/>
            <w:vAlign w:val="center"/>
          </w:tcPr>
          <w:p w14:paraId="260DE44C">
            <w:pPr>
              <w:pStyle w:val="47"/>
              <w:widowControl w:val="0"/>
              <w:spacing w:before="0" w:beforeAutospacing="0" w:after="0" w:afterAutospacing="0" w:line="440" w:lineRule="exact"/>
              <w:jc w:val="both"/>
              <w:rPr>
                <w:rFonts w:ascii="宋体" w:hAnsi="宋体" w:eastAsia="宋体"/>
                <w:b w:val="0"/>
                <w:color w:val="auto"/>
                <w:sz w:val="24"/>
                <w:highlight w:val="none"/>
              </w:rPr>
            </w:pPr>
            <w:r>
              <w:rPr>
                <w:rFonts w:hint="eastAsia" w:ascii="宋体" w:hAnsi="宋体" w:eastAsia="宋体"/>
                <w:b w:val="0"/>
                <w:color w:val="auto"/>
                <w:sz w:val="24"/>
                <w:highlight w:val="none"/>
              </w:rPr>
              <w:t>签订合同</w:t>
            </w:r>
          </w:p>
        </w:tc>
        <w:tc>
          <w:tcPr>
            <w:tcW w:w="3268" w:type="pct"/>
            <w:vAlign w:val="center"/>
          </w:tcPr>
          <w:p w14:paraId="538CF937">
            <w:pPr>
              <w:pStyle w:val="47"/>
              <w:widowControl w:val="0"/>
              <w:spacing w:before="0" w:beforeAutospacing="0" w:after="0" w:afterAutospacing="0" w:line="440" w:lineRule="exact"/>
              <w:jc w:val="both"/>
              <w:rPr>
                <w:rFonts w:ascii="宋体" w:hAnsi="宋体" w:eastAsia="宋体"/>
                <w:b w:val="0"/>
                <w:color w:val="auto"/>
                <w:sz w:val="24"/>
                <w:highlight w:val="none"/>
              </w:rPr>
            </w:pPr>
            <w:r>
              <w:rPr>
                <w:rFonts w:hint="eastAsia" w:ascii="宋体" w:hAnsi="宋体" w:eastAsia="宋体"/>
                <w:bCs w:val="0"/>
                <w:color w:val="auto"/>
                <w:sz w:val="24"/>
                <w:highlight w:val="none"/>
              </w:rPr>
              <w:t>采购人与成交供应商应当自发出成交通知书之日起</w:t>
            </w:r>
            <w:r>
              <w:rPr>
                <w:rFonts w:hint="eastAsia" w:ascii="宋体" w:hAnsi="宋体" w:eastAsia="宋体"/>
                <w:bCs w:val="0"/>
                <w:color w:val="auto"/>
                <w:sz w:val="24"/>
                <w:highlight w:val="none"/>
              </w:rPr>
              <w:t>10日</w:t>
            </w:r>
            <w:r>
              <w:rPr>
                <w:rFonts w:hint="eastAsia" w:ascii="宋体" w:hAnsi="宋体" w:eastAsia="宋体"/>
                <w:bCs w:val="0"/>
                <w:color w:val="auto"/>
                <w:sz w:val="24"/>
                <w:highlight w:val="none"/>
              </w:rPr>
              <w:t>内签订合同。</w:t>
            </w:r>
          </w:p>
        </w:tc>
      </w:tr>
      <w:tr w14:paraId="7709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0AD0FD56">
            <w:pPr>
              <w:pStyle w:val="48"/>
              <w:pBdr>
                <w:bottom w:val="none" w:color="auto" w:sz="0" w:space="0"/>
              </w:pBdr>
              <w:tabs>
                <w:tab w:val="clear" w:pos="4153"/>
                <w:tab w:val="clear" w:pos="8306"/>
              </w:tabs>
              <w:adjustRightInd/>
              <w:spacing w:line="440" w:lineRule="exact"/>
              <w:textAlignment w:val="auto"/>
              <w:rPr>
                <w:rFonts w:ascii="宋体" w:hAnsi="宋体" w:eastAsia="宋体"/>
                <w:bCs/>
                <w:color w:val="auto"/>
                <w:kern w:val="2"/>
                <w:highlight w:val="none"/>
              </w:rPr>
            </w:pPr>
            <w:r>
              <w:rPr>
                <w:rFonts w:hint="eastAsia" w:ascii="宋体" w:hAnsi="宋体" w:eastAsia="宋体"/>
                <w:bCs/>
                <w:color w:val="auto"/>
                <w:kern w:val="2"/>
                <w:highlight w:val="none"/>
              </w:rPr>
              <w:t>29</w:t>
            </w:r>
            <w:r>
              <w:rPr>
                <w:rFonts w:ascii="宋体" w:hAnsi="宋体" w:eastAsia="宋体"/>
                <w:bCs/>
                <w:color w:val="auto"/>
                <w:kern w:val="2"/>
                <w:highlight w:val="none"/>
              </w:rPr>
              <w:t>.</w:t>
            </w:r>
            <w:r>
              <w:rPr>
                <w:rFonts w:hint="eastAsia" w:ascii="宋体" w:hAnsi="宋体" w:eastAsia="宋体"/>
                <w:bCs/>
                <w:color w:val="auto"/>
                <w:kern w:val="2"/>
                <w:highlight w:val="none"/>
              </w:rPr>
              <w:t>3</w:t>
            </w:r>
          </w:p>
        </w:tc>
        <w:tc>
          <w:tcPr>
            <w:tcW w:w="1159" w:type="pct"/>
            <w:vAlign w:val="center"/>
          </w:tcPr>
          <w:p w14:paraId="5E901056">
            <w:pPr>
              <w:pStyle w:val="47"/>
              <w:widowControl w:val="0"/>
              <w:spacing w:before="0" w:beforeAutospacing="0" w:after="0" w:afterAutospacing="0" w:line="440" w:lineRule="exact"/>
              <w:jc w:val="both"/>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68" w:type="pct"/>
            <w:vAlign w:val="center"/>
          </w:tcPr>
          <w:p w14:paraId="703B961E">
            <w:pPr>
              <w:pStyle w:val="47"/>
              <w:widowControl w:val="0"/>
              <w:spacing w:before="0" w:beforeAutospacing="0" w:after="0" w:afterAutospacing="0" w:line="440" w:lineRule="exact"/>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递交方式：</w:t>
            </w:r>
            <w:r>
              <w:rPr>
                <w:rFonts w:hint="eastAsia" w:ascii="宋体" w:hAnsi="宋体" w:eastAsia="宋体" w:cs="宋体"/>
                <w:b w:val="0"/>
                <w:color w:val="auto"/>
                <w:sz w:val="24"/>
                <w:szCs w:val="24"/>
                <w:highlight w:val="none"/>
                <w:u w:val="single"/>
              </w:rPr>
              <w:t>如供应商对谈判文件有质疑，依据中华人民共和国财政部令第94号《政府采购质疑和投诉办法》规定提出质疑；</w:t>
            </w:r>
            <w:r>
              <w:rPr>
                <w:rFonts w:hint="eastAsia" w:ascii="宋体" w:hAnsi="宋体" w:eastAsia="宋体" w:cs="宋体"/>
                <w:b w:val="0"/>
                <w:bCs w:val="0"/>
                <w:color w:val="auto"/>
                <w:sz w:val="24"/>
                <w:szCs w:val="24"/>
                <w:highlight w:val="none"/>
                <w:u w:val="single"/>
              </w:rPr>
              <w:t xml:space="preserve">以书面形式提出。一份质疑函只能针对一个项目提出质疑，且针对同一采购程序环节的质疑应当一次性提出。 </w:t>
            </w:r>
          </w:p>
          <w:p w14:paraId="472553F6">
            <w:pPr>
              <w:pStyle w:val="47"/>
              <w:widowControl w:val="0"/>
              <w:spacing w:before="0" w:beforeAutospacing="0" w:after="0" w:afterAutospacing="0" w:line="440" w:lineRule="exact"/>
              <w:jc w:val="both"/>
              <w:rPr>
                <w:rFonts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rPr>
              <w:t>接收部门：</w:t>
            </w:r>
            <w:r>
              <w:rPr>
                <w:rFonts w:hint="eastAsia" w:ascii="宋体" w:hAnsi="宋体" w:eastAsia="宋体" w:cs="宋体"/>
                <w:b w:val="0"/>
                <w:color w:val="auto"/>
                <w:sz w:val="24"/>
                <w:szCs w:val="24"/>
                <w:highlight w:val="none"/>
                <w:u w:val="single"/>
              </w:rPr>
              <w:t>滁州市工业和信息化局</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rPr>
              <w:t>滁州市城投工程咨询管理有限公司</w:t>
            </w:r>
          </w:p>
          <w:p w14:paraId="5A5A5C1D">
            <w:pPr>
              <w:pStyle w:val="47"/>
              <w:widowControl w:val="0"/>
              <w:spacing w:before="0" w:beforeAutospacing="0" w:after="0" w:afterAutospacing="0" w:line="440" w:lineRule="exact"/>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联系电话：</w:t>
            </w:r>
            <w:r>
              <w:rPr>
                <w:rFonts w:hint="eastAsia" w:ascii="宋体" w:hAnsi="宋体" w:eastAsia="宋体" w:cs="宋体"/>
                <w:b w:val="0"/>
                <w:color w:val="auto"/>
                <w:sz w:val="24"/>
                <w:szCs w:val="24"/>
                <w:highlight w:val="none"/>
                <w:u w:val="single"/>
                <w:lang w:val="en-US" w:eastAsia="zh-CN"/>
              </w:rPr>
              <w:t>0550-</w:t>
            </w:r>
            <w:r>
              <w:rPr>
                <w:rFonts w:ascii="宋体" w:hAnsi="宋体" w:eastAsia="宋体" w:cs="宋体"/>
                <w:b w:val="0"/>
                <w:color w:val="auto"/>
                <w:sz w:val="24"/>
                <w:szCs w:val="24"/>
                <w:highlight w:val="none"/>
                <w:u w:val="single"/>
              </w:rPr>
              <w:t>3052258</w:t>
            </w:r>
            <w:r>
              <w:rPr>
                <w:rFonts w:hint="eastAsia" w:ascii="宋体" w:hAnsi="宋体" w:eastAsia="宋体" w:cs="宋体"/>
                <w:b w:val="0"/>
                <w:color w:val="auto"/>
                <w:sz w:val="24"/>
                <w:szCs w:val="24"/>
                <w:highlight w:val="none"/>
                <w:u w:val="single"/>
                <w:lang w:eastAsia="zh-CN"/>
              </w:rPr>
              <w:t>、</w:t>
            </w:r>
            <w:r>
              <w:rPr>
                <w:rFonts w:hint="eastAsia" w:ascii="宋体" w:hAnsi="宋体" w:eastAsia="宋体" w:cs="宋体"/>
                <w:b w:val="0"/>
                <w:color w:val="auto"/>
                <w:sz w:val="24"/>
                <w:szCs w:val="24"/>
                <w:highlight w:val="none"/>
                <w:u w:val="single"/>
              </w:rPr>
              <w:t xml:space="preserve">18909605753 </w:t>
            </w:r>
          </w:p>
          <w:p w14:paraId="4BAB5A55">
            <w:pPr>
              <w:pStyle w:val="47"/>
              <w:widowControl w:val="0"/>
              <w:spacing w:before="0" w:beforeAutospacing="0" w:after="0" w:afterAutospacing="0" w:line="440" w:lineRule="exact"/>
              <w:jc w:val="both"/>
              <w:rPr>
                <w:rFonts w:ascii="宋体" w:hAnsi="宋体" w:eastAsia="宋体"/>
                <w:b w:val="0"/>
                <w:color w:val="auto"/>
                <w:sz w:val="24"/>
                <w:highlight w:val="none"/>
              </w:rPr>
            </w:pPr>
            <w:r>
              <w:rPr>
                <w:rFonts w:hint="eastAsia" w:ascii="宋体" w:hAnsi="宋体" w:eastAsia="宋体" w:cs="宋体"/>
                <w:b w:val="0"/>
                <w:color w:val="auto"/>
                <w:sz w:val="24"/>
                <w:szCs w:val="24"/>
                <w:highlight w:val="none"/>
              </w:rPr>
              <w:t>通讯地址：</w:t>
            </w:r>
            <w:r>
              <w:rPr>
                <w:rFonts w:hint="eastAsia" w:ascii="宋体" w:hAnsi="宋体" w:eastAsia="宋体" w:cs="宋体"/>
                <w:b w:val="0"/>
                <w:color w:val="auto"/>
                <w:sz w:val="24"/>
                <w:szCs w:val="24"/>
                <w:highlight w:val="none"/>
                <w:u w:val="single"/>
              </w:rPr>
              <w:t>滁州市龙蟠大道99号市政务中心北一楼125室、滁州市龙蟠大道109号房产大厦6楼</w:t>
            </w:r>
          </w:p>
        </w:tc>
      </w:tr>
      <w:tr w14:paraId="5DE7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1E31B9FD">
            <w:pPr>
              <w:pStyle w:val="48"/>
              <w:pBdr>
                <w:bottom w:val="none" w:color="auto" w:sz="0" w:space="0"/>
              </w:pBdr>
              <w:tabs>
                <w:tab w:val="clear" w:pos="4153"/>
                <w:tab w:val="clear" w:pos="8306"/>
              </w:tabs>
              <w:adjustRightInd/>
              <w:spacing w:line="440" w:lineRule="exact"/>
              <w:textAlignment w:val="auto"/>
              <w:rPr>
                <w:rFonts w:ascii="宋体" w:hAnsi="宋体" w:eastAsia="宋体"/>
                <w:bCs/>
                <w:color w:val="auto"/>
                <w:kern w:val="2"/>
                <w:highlight w:val="none"/>
              </w:rPr>
            </w:pPr>
            <w:r>
              <w:rPr>
                <w:rFonts w:hint="eastAsia" w:ascii="宋体" w:hAnsi="宋体" w:eastAsia="宋体"/>
                <w:bCs/>
                <w:color w:val="auto"/>
                <w:kern w:val="2"/>
                <w:highlight w:val="none"/>
              </w:rPr>
              <w:t>30</w:t>
            </w:r>
          </w:p>
        </w:tc>
        <w:tc>
          <w:tcPr>
            <w:tcW w:w="1159" w:type="pct"/>
            <w:vAlign w:val="center"/>
          </w:tcPr>
          <w:p w14:paraId="68A23EA5">
            <w:pPr>
              <w:pStyle w:val="47"/>
              <w:widowControl w:val="0"/>
              <w:spacing w:before="0" w:beforeAutospacing="0" w:after="0" w:afterAutospacing="0" w:line="440" w:lineRule="exact"/>
              <w:jc w:val="both"/>
              <w:rPr>
                <w:rFonts w:ascii="宋体" w:hAnsi="宋体" w:eastAsia="宋体"/>
                <w:b w:val="0"/>
                <w:color w:val="auto"/>
                <w:sz w:val="24"/>
                <w:highlight w:val="none"/>
              </w:rPr>
            </w:pPr>
            <w:r>
              <w:rPr>
                <w:rFonts w:hint="eastAsia" w:ascii="宋体" w:hAnsi="宋体" w:eastAsia="宋体"/>
                <w:b w:val="0"/>
                <w:color w:val="auto"/>
                <w:sz w:val="24"/>
                <w:highlight w:val="none"/>
              </w:rPr>
              <w:t>其他内容</w:t>
            </w:r>
          </w:p>
        </w:tc>
        <w:tc>
          <w:tcPr>
            <w:tcW w:w="3268" w:type="pct"/>
            <w:vAlign w:val="center"/>
          </w:tcPr>
          <w:p w14:paraId="37ADE173">
            <w:pPr>
              <w:pStyle w:val="47"/>
              <w:widowControl w:val="0"/>
              <w:spacing w:before="0" w:beforeAutospacing="0" w:after="0" w:afterAutospacing="0" w:line="440" w:lineRule="exact"/>
              <w:jc w:val="both"/>
              <w:rPr>
                <w:rFonts w:ascii="宋体" w:hAnsi="宋体" w:eastAsia="宋体"/>
                <w:b w:val="0"/>
                <w:color w:val="auto"/>
                <w:sz w:val="24"/>
                <w:highlight w:val="none"/>
              </w:rPr>
            </w:pPr>
            <w:r>
              <w:rPr>
                <w:rFonts w:hint="eastAsia" w:ascii="宋体" w:hAnsi="宋体" w:eastAsia="宋体"/>
                <w:b w:val="0"/>
                <w:color w:val="auto"/>
                <w:sz w:val="24"/>
                <w:highlight w:val="none"/>
              </w:rPr>
              <w:t>1、解释权：</w:t>
            </w:r>
          </w:p>
          <w:p w14:paraId="3603DD0A">
            <w:pPr>
              <w:spacing w:line="440" w:lineRule="exact"/>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rPr>
              <w:t>谈判</w:t>
            </w:r>
            <w:r>
              <w:rPr>
                <w:rFonts w:asciiTheme="minorEastAsia" w:hAnsiTheme="minorEastAsia" w:eastAsiaTheme="minorEastAsia"/>
                <w:bCs/>
                <w:color w:val="auto"/>
                <w:sz w:val="24"/>
                <w:szCs w:val="24"/>
                <w:highlight w:val="none"/>
              </w:rPr>
              <w:t>文件的各个组成文件应互为解释，互为说明；</w:t>
            </w:r>
          </w:p>
          <w:p w14:paraId="16C73819">
            <w:pPr>
              <w:spacing w:line="440" w:lineRule="exact"/>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1F5FD9C1">
            <w:pPr>
              <w:spacing w:line="440" w:lineRule="exact"/>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3E187CC0">
            <w:pPr>
              <w:spacing w:line="440" w:lineRule="exact"/>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rPr>
              <w:t>谈判</w:t>
            </w:r>
            <w:r>
              <w:rPr>
                <w:rFonts w:asciiTheme="minorEastAsia" w:hAnsiTheme="minorEastAsia" w:eastAsiaTheme="minorEastAsia"/>
                <w:bCs/>
                <w:color w:val="auto"/>
                <w:sz w:val="24"/>
                <w:szCs w:val="24"/>
                <w:highlight w:val="none"/>
              </w:rPr>
              <w:t>文件中有特别规定外，仅适用于</w:t>
            </w:r>
            <w:r>
              <w:rPr>
                <w:rFonts w:hint="eastAsia" w:asciiTheme="minorEastAsia" w:hAnsiTheme="minorEastAsia" w:eastAsiaTheme="minorEastAsia"/>
                <w:bCs/>
                <w:color w:val="auto"/>
                <w:sz w:val="24"/>
                <w:szCs w:val="24"/>
                <w:highlight w:val="none"/>
              </w:rPr>
              <w:t>谈判及响应文件提交</w:t>
            </w:r>
            <w:r>
              <w:rPr>
                <w:rFonts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竞争性谈判</w:t>
            </w:r>
            <w:r>
              <w:rPr>
                <w:rFonts w:asciiTheme="minorEastAsia" w:hAnsiTheme="minorEastAsia" w:eastAsiaTheme="minorEastAsia"/>
                <w:bCs/>
                <w:color w:val="auto"/>
                <w:sz w:val="24"/>
                <w:szCs w:val="24"/>
                <w:highlight w:val="none"/>
              </w:rPr>
              <w:t>公告、</w:t>
            </w:r>
            <w:r>
              <w:rPr>
                <w:rFonts w:hint="eastAsia" w:asciiTheme="minorEastAsia" w:hAnsiTheme="minorEastAsia" w:eastAsiaTheme="minorEastAsia"/>
                <w:bCs/>
                <w:color w:val="auto"/>
                <w:sz w:val="24"/>
                <w:szCs w:val="24"/>
                <w:highlight w:val="none"/>
              </w:rPr>
              <w:t>谈判邀请、供应商</w:t>
            </w:r>
            <w:r>
              <w:rPr>
                <w:rFonts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asciiTheme="minorEastAsia" w:hAnsiTheme="minorEastAsia" w:eastAsiaTheme="minorEastAsia"/>
                <w:bCs/>
                <w:color w:val="auto"/>
                <w:sz w:val="24"/>
                <w:szCs w:val="24"/>
                <w:highlight w:val="none"/>
              </w:rPr>
              <w:t>文件格式的先后顺序解释；</w:t>
            </w:r>
          </w:p>
          <w:p w14:paraId="402573C8">
            <w:pPr>
              <w:pStyle w:val="47"/>
              <w:widowControl w:val="0"/>
              <w:spacing w:before="0" w:beforeAutospacing="0" w:after="0" w:afterAutospacing="0" w:line="440" w:lineRule="exact"/>
              <w:jc w:val="both"/>
              <w:rPr>
                <w:rFonts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（5）</w:t>
            </w:r>
            <w:r>
              <w:rPr>
                <w:rFonts w:asciiTheme="minorEastAsia" w:hAnsiTheme="minorEastAsia" w:eastAsiaTheme="minorEastAsia"/>
                <w:b w:val="0"/>
                <w:color w:val="auto"/>
                <w:kern w:val="2"/>
                <w:sz w:val="24"/>
                <w:szCs w:val="24"/>
                <w:highlight w:val="none"/>
              </w:rPr>
              <w:t>按本款前述规定仍不能形成结论的，由</w:t>
            </w:r>
            <w:r>
              <w:rPr>
                <w:rFonts w:hint="eastAsia" w:asciiTheme="minorEastAsia" w:hAnsiTheme="minorEastAsia" w:eastAsiaTheme="minorEastAsia"/>
                <w:b w:val="0"/>
                <w:color w:val="auto"/>
                <w:kern w:val="2"/>
                <w:sz w:val="24"/>
                <w:szCs w:val="24"/>
                <w:highlight w:val="none"/>
              </w:rPr>
              <w:t>采购</w:t>
            </w:r>
            <w:r>
              <w:rPr>
                <w:rFonts w:asciiTheme="minorEastAsia" w:hAnsiTheme="minorEastAsia" w:eastAsiaTheme="minorEastAsia"/>
                <w:b w:val="0"/>
                <w:color w:val="auto"/>
                <w:kern w:val="2"/>
                <w:sz w:val="24"/>
                <w:szCs w:val="24"/>
                <w:highlight w:val="none"/>
              </w:rPr>
              <w:t>人负责解释。</w:t>
            </w:r>
          </w:p>
        </w:tc>
      </w:tr>
      <w:tr w14:paraId="6D0C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3"/>
            <w:vAlign w:val="center"/>
          </w:tcPr>
          <w:p w14:paraId="71AE489E">
            <w:pPr>
              <w:spacing w:line="360" w:lineRule="exact"/>
              <w:jc w:val="lef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（1）供应商若为银行、保险、石油化工、电力、电信、邮政等有行业特殊情况的企业，接受总公司或其分支机构（分公司）参加谈判；</w:t>
            </w:r>
          </w:p>
          <w:p w14:paraId="6EF23002">
            <w:pPr>
              <w:pStyle w:val="16"/>
              <w:spacing w:line="360" w:lineRule="exact"/>
              <w:rPr>
                <w:rFonts w:cs="@仿宋_GB2312" w:asciiTheme="minorEastAsia" w:hAnsiTheme="minorEastAsia"/>
                <w:b/>
                <w:color w:val="auto"/>
                <w:sz w:val="24"/>
                <w:szCs w:val="24"/>
                <w:highlight w:val="none"/>
              </w:rPr>
            </w:pPr>
            <w:r>
              <w:rPr>
                <w:rFonts w:hint="eastAsia" w:cs="@仿宋_GB2312" w:asciiTheme="minorEastAsia" w:hAnsiTheme="minorEastAsia"/>
                <w:b/>
                <w:color w:val="auto"/>
                <w:sz w:val="24"/>
                <w:szCs w:val="24"/>
                <w:highlight w:val="none"/>
              </w:rPr>
              <w:t>（2）若供应商为分支机构，谈判文件中对法定代表人的相关要求、材料及签字或盖章对应的为该分支机构负责人的相关要求、材料及签字或盖章。</w:t>
            </w:r>
          </w:p>
          <w:p w14:paraId="0B98FDC7">
            <w:pPr>
              <w:pStyle w:val="16"/>
              <w:spacing w:line="360" w:lineRule="exact"/>
              <w:rPr>
                <w:rFonts w:cs="@仿宋_GB2312" w:asciiTheme="minorEastAsia" w:hAnsiTheme="minorEastAsia"/>
                <w:b/>
                <w:color w:val="auto"/>
                <w:sz w:val="24"/>
                <w:szCs w:val="24"/>
                <w:highlight w:val="none"/>
              </w:rPr>
            </w:pPr>
            <w:r>
              <w:rPr>
                <w:rFonts w:hint="eastAsia" w:cs="@仿宋_GB2312" w:asciiTheme="minorEastAsia" w:hAnsiTheme="minorEastAsia"/>
                <w:b/>
                <w:color w:val="auto"/>
                <w:sz w:val="24"/>
                <w:szCs w:val="24"/>
                <w:highlight w:val="none"/>
              </w:rPr>
              <w:t>（3）若供应商为分支机构，其提供的总公司与其各分公司的人员、证书均认可为供应商提供。</w:t>
            </w:r>
          </w:p>
          <w:p w14:paraId="5C06C71E">
            <w:pPr>
              <w:pStyle w:val="47"/>
              <w:widowControl w:val="0"/>
              <w:spacing w:before="0" w:beforeAutospacing="0" w:after="0" w:afterAutospacing="0" w:line="360" w:lineRule="exact"/>
              <w:jc w:val="both"/>
              <w:rPr>
                <w:rFonts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Cs w:val="0"/>
                <w:color w:val="auto"/>
                <w:kern w:val="2"/>
                <w:sz w:val="24"/>
                <w:szCs w:val="24"/>
                <w:highlight w:val="none"/>
              </w:rPr>
              <w:t>（4）若供应商为分支机构，其总公司与其各分公司被认定为一个供应商。</w:t>
            </w:r>
          </w:p>
        </w:tc>
      </w:tr>
      <w:tr w14:paraId="493C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3"/>
            <w:vAlign w:val="center"/>
          </w:tcPr>
          <w:p w14:paraId="521B5F6C">
            <w:pPr>
              <w:pStyle w:val="47"/>
              <w:widowControl w:val="0"/>
              <w:wordWrap w:val="0"/>
              <w:spacing w:before="0" w:beforeAutospacing="0" w:after="0" w:afterAutospacing="0" w:line="360" w:lineRule="exact"/>
              <w:jc w:val="both"/>
              <w:rPr>
                <w:rFonts w:asciiTheme="minorEastAsia" w:hAnsiTheme="minorEastAsia" w:eastAsiaTheme="minorEastAsia"/>
                <w:bCs w:val="0"/>
                <w:color w:val="auto"/>
                <w:kern w:val="2"/>
                <w:sz w:val="24"/>
                <w:szCs w:val="24"/>
                <w:highlight w:val="none"/>
              </w:rPr>
            </w:pPr>
            <w:r>
              <w:rPr>
                <w:rFonts w:hint="eastAsia" w:asciiTheme="minorEastAsia" w:hAnsiTheme="minorEastAsia" w:eastAsiaTheme="minorEastAsia"/>
                <w:bCs w:val="0"/>
                <w:color w:val="auto"/>
                <w:kern w:val="2"/>
                <w:sz w:val="24"/>
                <w:szCs w:val="24"/>
                <w:highlight w:val="none"/>
              </w:rPr>
              <w:t>重要提醒</w:t>
            </w:r>
          </w:p>
          <w:p w14:paraId="3711C02A">
            <w:pPr>
              <w:pStyle w:val="47"/>
              <w:widowControl w:val="0"/>
              <w:wordWrap w:val="0"/>
              <w:spacing w:before="0" w:beforeAutospacing="0" w:after="0" w:afterAutospacing="0" w:line="360" w:lineRule="exact"/>
              <w:jc w:val="both"/>
              <w:rPr>
                <w:rFonts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1.请于公告发布之日起从滁州市城投工程咨询管理有限公司官网（https://www.czctgczx.com/），点击项目招标公告下方【我要投标】，登录新点电子交易平台后在【滁州专区】（https://www.etrading.cn/BREpointSSO/login/oauth2login?regioncode=DQ_ChuZhou）下载本项目采购文件。供应商自行承担因未按要求获取采购文件导致无法上传电子响应文件的风险。</w:t>
            </w:r>
          </w:p>
          <w:p w14:paraId="3875FC6B">
            <w:pPr>
              <w:pStyle w:val="47"/>
              <w:widowControl w:val="0"/>
              <w:wordWrap w:val="0"/>
              <w:spacing w:before="0" w:beforeAutospacing="0" w:after="0" w:afterAutospacing="0" w:line="360" w:lineRule="exact"/>
              <w:jc w:val="both"/>
              <w:rPr>
                <w:rFonts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2.供应商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  </w:t>
            </w:r>
          </w:p>
          <w:p w14:paraId="589C0FEB">
            <w:pPr>
              <w:pStyle w:val="47"/>
              <w:widowControl w:val="0"/>
              <w:wordWrap w:val="0"/>
              <w:spacing w:before="0" w:beforeAutospacing="0" w:after="0" w:afterAutospacing="0" w:line="360" w:lineRule="exact"/>
              <w:jc w:val="both"/>
              <w:rPr>
                <w:rFonts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3.供应商登录新点电子交易平台【滁州专区】获取招标文件及其它资料（含澄清和补充说明等）。如在采购文件获取过程中遇到系统问题，请拨打技术支持服务热线4009280095或者网站首页在线客服。</w:t>
            </w:r>
          </w:p>
          <w:p w14:paraId="6F816E3E">
            <w:pPr>
              <w:pStyle w:val="47"/>
              <w:widowControl w:val="0"/>
              <w:wordWrap w:val="0"/>
              <w:spacing w:before="0" w:beforeAutospacing="0" w:after="0" w:afterAutospacing="0" w:line="360" w:lineRule="exact"/>
              <w:jc w:val="both"/>
              <w:rPr>
                <w:rFonts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4.本项目采用不见面开启，供应商登录滁州市城投工程咨询有限公司不见面开标系统参与网上开启（网址：http://js.etrading.cn/EpointBidOpening/bidopeninghallaction/hall/login）。</w:t>
            </w:r>
          </w:p>
          <w:p w14:paraId="31169242">
            <w:pPr>
              <w:pStyle w:val="47"/>
              <w:widowControl w:val="0"/>
              <w:wordWrap w:val="0"/>
              <w:spacing w:before="0" w:beforeAutospacing="0" w:after="0" w:afterAutospacing="0" w:line="360" w:lineRule="exact"/>
              <w:jc w:val="both"/>
              <w:rPr>
                <w:rFonts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5.供应商应在开启截止时间之前，登录新点电子交易平台【滁州专区】上传响应文件。供应商逾期上传响应文件的，电子系统不予受理。</w:t>
            </w:r>
          </w:p>
          <w:p w14:paraId="2EB06266">
            <w:pPr>
              <w:pStyle w:val="47"/>
              <w:widowControl w:val="0"/>
              <w:wordWrap w:val="0"/>
              <w:spacing w:before="0" w:beforeAutospacing="0" w:after="0" w:afterAutospacing="0" w:line="360" w:lineRule="exact"/>
              <w:jc w:val="both"/>
              <w:rPr>
                <w:rFonts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6.供应商的联系人电话(手机)、电子邮箱等通讯方式在谈判过程中必须保持畅通，否则因上述原因造成的后果，责任自负。</w:t>
            </w:r>
          </w:p>
          <w:p w14:paraId="47CED2F3">
            <w:pPr>
              <w:pStyle w:val="47"/>
              <w:widowControl w:val="0"/>
              <w:wordWrap w:val="0"/>
              <w:spacing w:before="0" w:beforeAutospacing="0" w:after="0" w:afterAutospacing="0" w:line="360" w:lineRule="exact"/>
              <w:jc w:val="both"/>
              <w:rPr>
                <w:rFonts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7.本项目采用电子招投标方式，请供应商在“新点电子交易平台”常用下载专区下载“新点电子交易平台专用投标文件制作软件”，仔细阅读采购文件要求和相关操作手册，以免影响投标文件编制，因供应商未及时关注相关信息对投标造成的不利后果由其自行承担。投标软件制作工具下载：</w:t>
            </w:r>
            <w:r>
              <w:rPr>
                <w:rFonts w:hint="eastAsia" w:asciiTheme="minorEastAsia" w:hAnsiTheme="minorEastAsia" w:eastAsiaTheme="minorEastAsia"/>
                <w:b w:val="0"/>
                <w:color w:val="auto"/>
                <w:kern w:val="2"/>
                <w:sz w:val="24"/>
                <w:szCs w:val="24"/>
                <w:highlight w:val="none"/>
              </w:rPr>
              <w:fldChar w:fldCharType="begin"/>
            </w:r>
            <w:r>
              <w:rPr>
                <w:rFonts w:hint="eastAsia" w:asciiTheme="minorEastAsia" w:hAnsiTheme="minorEastAsia" w:eastAsiaTheme="minorEastAsia"/>
                <w:b w:val="0"/>
                <w:color w:val="auto"/>
                <w:kern w:val="2"/>
                <w:sz w:val="24"/>
                <w:szCs w:val="24"/>
                <w:highlight w:val="none"/>
              </w:rPr>
              <w:instrText xml:space="preserve"> HYPERLINK "https://download.bqpoint.com/download/downloaddetail.html?SourceFrom=Ztb&amp;ZtbSoftXiaQuCode=0128&amp;ZtbSoftType=tballinclusive。" </w:instrText>
            </w:r>
            <w:r>
              <w:rPr>
                <w:rFonts w:hint="eastAsia" w:asciiTheme="minorEastAsia" w:hAnsiTheme="minorEastAsia" w:eastAsiaTheme="minorEastAsia"/>
                <w:b w:val="0"/>
                <w:color w:val="auto"/>
                <w:kern w:val="2"/>
                <w:sz w:val="24"/>
                <w:szCs w:val="24"/>
                <w:highlight w:val="none"/>
              </w:rPr>
              <w:fldChar w:fldCharType="separate"/>
            </w:r>
            <w:r>
              <w:rPr>
                <w:rFonts w:hint="eastAsia" w:asciiTheme="minorEastAsia" w:hAnsiTheme="minorEastAsia" w:eastAsiaTheme="minorEastAsia"/>
                <w:b w:val="0"/>
                <w:color w:val="auto"/>
                <w:kern w:val="2"/>
                <w:sz w:val="24"/>
                <w:szCs w:val="24"/>
                <w:highlight w:val="none"/>
              </w:rPr>
              <w:t>https://download.bqpoint.com/download/downloaddetail.html?SourceFrom=Ztb&amp;ZtbSoftXiaQuCode=0128&amp;ZtbSoftType=tballinclusive。</w:t>
            </w:r>
            <w:r>
              <w:rPr>
                <w:rFonts w:hint="eastAsia" w:asciiTheme="minorEastAsia" w:hAnsiTheme="minorEastAsia" w:eastAsiaTheme="minorEastAsia"/>
                <w:b w:val="0"/>
                <w:color w:val="auto"/>
                <w:kern w:val="2"/>
                <w:sz w:val="24"/>
                <w:szCs w:val="24"/>
                <w:highlight w:val="none"/>
              </w:rPr>
              <w:fldChar w:fldCharType="end"/>
            </w:r>
          </w:p>
          <w:p w14:paraId="30E87125">
            <w:pPr>
              <w:pStyle w:val="47"/>
              <w:widowControl w:val="0"/>
              <w:wordWrap w:val="0"/>
              <w:spacing w:before="0" w:beforeAutospacing="0" w:after="0" w:afterAutospacing="0" w:line="360" w:lineRule="exact"/>
              <w:jc w:val="both"/>
              <w:rPr>
                <w:rFonts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8.本项目开评标实行全流程电子化，在线完成开评标活动。开启时供应商无需到达开标现场，不接受现场解密，实行远程解密和在线询标。各供应商认真学习《新点电子交易平台投标人操作手册》，务必掌握远程解密方法和在线回复询标方法。</w:t>
            </w:r>
          </w:p>
        </w:tc>
      </w:tr>
    </w:tbl>
    <w:p w14:paraId="5BD761FD">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20" w:name="_Toc577"/>
      <w:bookmarkStart w:id="21" w:name="_Toc6109"/>
      <w:r>
        <w:rPr>
          <w:rFonts w:hint="eastAsia" w:asciiTheme="minorEastAsia" w:hAnsiTheme="minorEastAsia" w:eastAsiaTheme="minorEastAsia"/>
          <w:b/>
          <w:color w:val="auto"/>
          <w:sz w:val="24"/>
          <w:highlight w:val="none"/>
        </w:rPr>
        <w:t>二、供应商</w:t>
      </w:r>
      <w:r>
        <w:rPr>
          <w:rFonts w:asciiTheme="minorEastAsia" w:hAnsiTheme="minorEastAsia" w:eastAsiaTheme="minorEastAsia"/>
          <w:b/>
          <w:color w:val="auto"/>
          <w:sz w:val="24"/>
          <w:highlight w:val="none"/>
        </w:rPr>
        <w:t>须知</w:t>
      </w:r>
      <w:r>
        <w:rPr>
          <w:rFonts w:hint="eastAsia" w:asciiTheme="minorEastAsia" w:hAnsiTheme="minorEastAsia" w:eastAsiaTheme="minorEastAsia"/>
          <w:b/>
          <w:color w:val="auto"/>
          <w:sz w:val="24"/>
          <w:highlight w:val="none"/>
        </w:rPr>
        <w:t>正文</w:t>
      </w:r>
      <w:bookmarkEnd w:id="20"/>
      <w:bookmarkEnd w:id="21"/>
    </w:p>
    <w:p w14:paraId="6DF454D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6307BC5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.1采购人：</w:t>
      </w:r>
      <w:r>
        <w:rPr>
          <w:rFonts w:hint="eastAsia" w:ascii="宋体" w:hAnsi="宋体" w:eastAsia="宋体"/>
          <w:color w:val="auto"/>
          <w:sz w:val="24"/>
          <w:highlight w:val="none"/>
        </w:rPr>
        <w:t>滁州市工业和信息化局</w:t>
      </w:r>
      <w:r>
        <w:rPr>
          <w:rFonts w:ascii="宋体" w:hAnsi="宋体" w:eastAsia="宋体"/>
          <w:color w:val="auto"/>
          <w:sz w:val="24"/>
          <w:highlight w:val="none"/>
        </w:rPr>
        <w:t>。</w:t>
      </w:r>
    </w:p>
    <w:p w14:paraId="7968427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.2采购代理机构：</w:t>
      </w:r>
      <w:r>
        <w:rPr>
          <w:rFonts w:hint="eastAsia" w:asciiTheme="minorEastAsia" w:hAnsiTheme="minorEastAsia" w:eastAsiaTheme="minorEastAsia" w:cstheme="minorEastAsia"/>
          <w:color w:val="auto"/>
          <w:sz w:val="24"/>
          <w:szCs w:val="24"/>
          <w:highlight w:val="none"/>
        </w:rPr>
        <w:t>滁州市城投工程咨询管理有限公司</w:t>
      </w:r>
      <w:r>
        <w:rPr>
          <w:rFonts w:ascii="宋体" w:hAnsi="宋体" w:eastAsia="宋体"/>
          <w:color w:val="auto"/>
          <w:sz w:val="24"/>
          <w:highlight w:val="none"/>
        </w:rPr>
        <w:t>。</w:t>
      </w:r>
    </w:p>
    <w:p w14:paraId="36897D6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滁州市工业和信息化局</w:t>
      </w:r>
      <w:r>
        <w:rPr>
          <w:rFonts w:hint="eastAsia" w:ascii="宋体" w:hAnsi="宋体" w:eastAsia="宋体"/>
          <w:color w:val="auto"/>
          <w:sz w:val="24"/>
          <w:highlight w:val="none"/>
        </w:rPr>
        <w:t>同级纪检或监督部门。</w:t>
      </w:r>
    </w:p>
    <w:p w14:paraId="1559B5E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供应商</w:t>
      </w:r>
      <w:r>
        <w:rPr>
          <w:rFonts w:ascii="宋体" w:hAnsi="宋体" w:eastAsia="宋体"/>
          <w:color w:val="auto"/>
          <w:sz w:val="24"/>
          <w:highlight w:val="none"/>
        </w:rPr>
        <w:t>：是指向采购人提供服务的法人、</w:t>
      </w:r>
      <w:r>
        <w:rPr>
          <w:rFonts w:hint="eastAsia" w:ascii="宋体" w:hAnsi="宋体" w:eastAsia="宋体"/>
          <w:color w:val="auto"/>
          <w:sz w:val="24"/>
          <w:highlight w:val="none"/>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bookmarkStart w:id="22" w:name="_Hlk60610946"/>
      <w:r>
        <w:rPr>
          <w:rFonts w:ascii="宋体" w:hAnsi="宋体" w:eastAsia="宋体"/>
          <w:color w:val="auto"/>
          <w:sz w:val="24"/>
          <w:highlight w:val="none"/>
        </w:rPr>
        <w:t>本项目的</w:t>
      </w:r>
      <w:r>
        <w:rPr>
          <w:rFonts w:hint="eastAsia" w:ascii="宋体" w:hAnsi="宋体" w:eastAsia="宋体"/>
          <w:color w:val="auto"/>
          <w:sz w:val="24"/>
          <w:highlight w:val="none"/>
        </w:rPr>
        <w:t>供应商</w:t>
      </w:r>
      <w:r>
        <w:rPr>
          <w:rFonts w:ascii="宋体" w:hAnsi="宋体" w:eastAsia="宋体"/>
          <w:color w:val="auto"/>
          <w:sz w:val="24"/>
          <w:highlight w:val="none"/>
        </w:rPr>
        <w:t>须满足以下条件：</w:t>
      </w:r>
    </w:p>
    <w:p w14:paraId="6C71487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5E7FFC5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2</w:t>
      </w:r>
      <w:r>
        <w:rPr>
          <w:rFonts w:ascii="宋体" w:hAnsi="宋体" w:eastAsia="宋体"/>
          <w:color w:val="auto"/>
          <w:sz w:val="24"/>
          <w:highlight w:val="none"/>
        </w:rPr>
        <w:t>以采购代理机构认可的方式获得了本项目的</w:t>
      </w:r>
      <w:r>
        <w:rPr>
          <w:rFonts w:hint="eastAsia" w:ascii="宋体" w:hAnsi="宋体" w:eastAsia="宋体"/>
          <w:color w:val="auto"/>
          <w:sz w:val="24"/>
          <w:highlight w:val="none"/>
        </w:rPr>
        <w:t>谈判</w:t>
      </w:r>
      <w:r>
        <w:rPr>
          <w:rFonts w:ascii="宋体" w:hAnsi="宋体" w:eastAsia="宋体"/>
          <w:color w:val="auto"/>
          <w:sz w:val="24"/>
          <w:highlight w:val="none"/>
        </w:rPr>
        <w:t>文件。</w:t>
      </w:r>
    </w:p>
    <w:bookmarkEnd w:id="22"/>
    <w:p w14:paraId="16451E03">
      <w:pPr>
        <w:spacing w:line="360" w:lineRule="auto"/>
        <w:ind w:firstLine="435"/>
        <w:rPr>
          <w:rFonts w:ascii="宋体" w:hAnsi="宋体" w:eastAsia="宋体"/>
          <w:b/>
          <w:color w:val="auto"/>
          <w:sz w:val="24"/>
          <w:highlight w:val="none"/>
        </w:rPr>
      </w:pPr>
      <w:r>
        <w:rPr>
          <w:rFonts w:hint="eastAsia" w:ascii="宋体" w:hAnsi="宋体" w:eastAsia="宋体"/>
          <w:bCs/>
          <w:color w:val="auto"/>
          <w:kern w:val="0"/>
          <w:sz w:val="24"/>
          <w:szCs w:val="28"/>
          <w:highlight w:val="none"/>
        </w:rPr>
        <w:t>1</w:t>
      </w:r>
      <w:r>
        <w:rPr>
          <w:rFonts w:ascii="宋体" w:hAnsi="宋体" w:eastAsia="宋体"/>
          <w:bCs/>
          <w:color w:val="auto"/>
          <w:kern w:val="0"/>
          <w:sz w:val="24"/>
          <w:szCs w:val="28"/>
          <w:highlight w:val="none"/>
        </w:rPr>
        <w:t>.5</w:t>
      </w:r>
      <w:r>
        <w:rPr>
          <w:rFonts w:hint="eastAsia" w:ascii="宋体" w:hAnsi="宋体" w:eastAsia="宋体"/>
          <w:bCs/>
          <w:color w:val="auto"/>
          <w:kern w:val="0"/>
          <w:sz w:val="24"/>
          <w:szCs w:val="28"/>
          <w:highlight w:val="none"/>
        </w:rPr>
        <w:t>若竞争性谈判公告</w:t>
      </w:r>
      <w:r>
        <w:rPr>
          <w:rFonts w:ascii="宋体" w:hAnsi="宋体" w:eastAsia="宋体"/>
          <w:bCs/>
          <w:color w:val="auto"/>
          <w:kern w:val="0"/>
          <w:sz w:val="24"/>
          <w:szCs w:val="28"/>
          <w:highlight w:val="none"/>
        </w:rPr>
        <w:t>中允许联合体</w:t>
      </w:r>
      <w:r>
        <w:rPr>
          <w:rFonts w:hint="eastAsia" w:ascii="宋体" w:hAnsi="宋体" w:eastAsia="宋体"/>
          <w:bCs/>
          <w:color w:val="auto"/>
          <w:kern w:val="0"/>
          <w:sz w:val="24"/>
          <w:szCs w:val="28"/>
          <w:highlight w:val="none"/>
        </w:rPr>
        <w:t>参加谈判</w:t>
      </w:r>
      <w:r>
        <w:rPr>
          <w:rFonts w:ascii="宋体" w:hAnsi="宋体" w:eastAsia="宋体"/>
          <w:bCs/>
          <w:color w:val="auto"/>
          <w:kern w:val="0"/>
          <w:sz w:val="24"/>
          <w:szCs w:val="28"/>
          <w:highlight w:val="none"/>
        </w:rPr>
        <w:t>，对联合体规定如下：</w:t>
      </w:r>
      <w:r>
        <w:rPr>
          <w:rFonts w:hint="eastAsia" w:ascii="宋体" w:hAnsi="宋体" w:eastAsia="宋体"/>
          <w:b/>
          <w:color w:val="auto"/>
          <w:kern w:val="0"/>
          <w:sz w:val="24"/>
          <w:szCs w:val="28"/>
          <w:highlight w:val="none"/>
        </w:rPr>
        <w:t>（本项目不接受联合体）</w:t>
      </w:r>
    </w:p>
    <w:p w14:paraId="4FB5E81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资金落实情况</w:t>
      </w:r>
    </w:p>
    <w:p w14:paraId="43C37E8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本项目的采购人已获得足以支付本次谈判后所签订的合同项下的资金。</w:t>
      </w:r>
    </w:p>
    <w:p w14:paraId="32CA351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谈判费用</w:t>
      </w:r>
    </w:p>
    <w:p w14:paraId="6FCE007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不论谈判的结果如何，供应商应承担其所有与准备和参加谈判有关的费用。</w:t>
      </w:r>
    </w:p>
    <w:p w14:paraId="3F533E7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14:paraId="1E203C57">
      <w:pPr>
        <w:spacing w:line="360" w:lineRule="auto"/>
        <w:ind w:firstLine="435"/>
        <w:rPr>
          <w:rFonts w:asciiTheme="minorEastAsia" w:hAnsiTheme="minorEastAsia" w:eastAsiaTheme="minorEastAsia"/>
          <w:color w:val="auto"/>
          <w:sz w:val="24"/>
          <w:highlight w:val="none"/>
        </w:rPr>
      </w:pPr>
      <w:r>
        <w:rPr>
          <w:rFonts w:hint="eastAsia" w:ascii="宋体" w:hAnsi="宋体" w:eastAsia="宋体"/>
          <w:color w:val="auto"/>
          <w:sz w:val="24"/>
          <w:highlight w:val="none"/>
        </w:rPr>
        <w:t>本项目采购人、采购代理机构、供应商、谈判小组的相关行为均受《中华人民共和国政府采购法》、《中华人民共和国政府采购法实施条例》及本项目本级和上级财政部门、政府采购监督管理部门的政府采购有关规定的约束，其权利受到上述法律法规的保护。</w:t>
      </w:r>
    </w:p>
    <w:p w14:paraId="09AB131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谈判文件构成</w:t>
      </w:r>
    </w:p>
    <w:p w14:paraId="20097BA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5.1谈判文件包括下列内容：</w:t>
      </w:r>
    </w:p>
    <w:p w14:paraId="404C922B">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谈判邀请</w:t>
      </w:r>
    </w:p>
    <w:p w14:paraId="45A0EC58">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须知</w:t>
      </w:r>
    </w:p>
    <w:p w14:paraId="439A2A79">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5954739A">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评审方法</w:t>
      </w:r>
      <w:r>
        <w:rPr>
          <w:rFonts w:asciiTheme="minorEastAsia" w:hAnsiTheme="minorEastAsia" w:eastAsiaTheme="minorEastAsia"/>
          <w:color w:val="auto"/>
          <w:sz w:val="24"/>
          <w:highlight w:val="none"/>
        </w:rPr>
        <w:t>和标准</w:t>
      </w:r>
    </w:p>
    <w:p w14:paraId="67C4AD6B">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2C7662A4">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w:t>
      </w:r>
    </w:p>
    <w:p w14:paraId="18783FAD">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第七章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594348E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踏勘（</w:t>
      </w:r>
      <w:r>
        <w:rPr>
          <w:rFonts w:hint="eastAsia" w:ascii="宋体" w:hAnsi="宋体" w:eastAsia="宋体"/>
          <w:bCs/>
          <w:color w:val="auto"/>
          <w:sz w:val="24"/>
          <w:szCs w:val="22"/>
          <w:highlight w:val="none"/>
        </w:rPr>
        <w:t>标前答疑会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33DD7E1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3供应商</w:t>
      </w:r>
      <w:r>
        <w:rPr>
          <w:rFonts w:asciiTheme="minorEastAsia" w:hAnsiTheme="minorEastAsia" w:eastAsiaTheme="minorEastAsia"/>
          <w:color w:val="auto"/>
          <w:sz w:val="24"/>
          <w:highlight w:val="none"/>
        </w:rPr>
        <w:t>应认真阅读</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文件所有的事项、格式、条款和技术规范等。</w:t>
      </w:r>
    </w:p>
    <w:p w14:paraId="3C02197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谈判文件的澄清与修改</w:t>
      </w:r>
    </w:p>
    <w:p w14:paraId="0638047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1供应商</w:t>
      </w:r>
      <w:r>
        <w:rPr>
          <w:rFonts w:asciiTheme="minorEastAsia" w:hAnsiTheme="minorEastAsia" w:eastAsiaTheme="minorEastAsia"/>
          <w:color w:val="auto"/>
          <w:sz w:val="24"/>
          <w:highlight w:val="none"/>
        </w:rPr>
        <w:t>如对</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文件内容有疑问，必须在</w:t>
      </w:r>
      <w:r>
        <w:rPr>
          <w:rFonts w:ascii="宋体" w:hAnsi="宋体" w:eastAsia="宋体"/>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截止时间前提交给采购代理机构。</w:t>
      </w:r>
    </w:p>
    <w:p w14:paraId="6229C043">
      <w:pPr>
        <w:wordWrap w:val="0"/>
        <w:spacing w:line="360" w:lineRule="auto"/>
        <w:ind w:firstLine="43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2采购人可主动地或在答复供应商提出的询问时对谈判文件进行澄清与修改。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在滁州市城投工程咨询管理有限公司官网（https://www.czctgczx.com/）以发布更正公告的方式澄清或者修改谈判文件，更正公告的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起约束作用</w:t>
      </w:r>
      <w:r>
        <w:rPr>
          <w:rFonts w:hint="eastAsia" w:asciiTheme="minorEastAsia" w:hAnsiTheme="minorEastAsia" w:eastAsiaTheme="minorEastAsia"/>
          <w:color w:val="auto"/>
          <w:sz w:val="24"/>
          <w:highlight w:val="none"/>
        </w:rPr>
        <w:t>。供应商应主动上网查询。采购代理机构不承担供应商未及时关注相关信息引发的相关责任。</w:t>
      </w:r>
    </w:p>
    <w:p w14:paraId="33777AE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6.3任何人或任何组织向供应商提供的任何书面或口头资料，未经采购代理机构在网上发布或书面通知，均作无效处理，不得作为谈判文件的组成部分。采购代理机构对供应商由此而做出的推论、理解和结论概不负责。</w:t>
      </w:r>
    </w:p>
    <w:p w14:paraId="3625BB20">
      <w:pPr>
        <w:spacing w:line="360" w:lineRule="auto"/>
        <w:ind w:firstLine="435"/>
        <w:rPr>
          <w:rFonts w:asciiTheme="minorEastAsia" w:hAnsiTheme="minorEastAsia" w:eastAsiaTheme="minorEastAsia"/>
          <w:iCs/>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本谈判</w:t>
      </w:r>
      <w:r>
        <w:rPr>
          <w:rFonts w:asciiTheme="minorEastAsia" w:hAnsiTheme="minorEastAsia" w:eastAsiaTheme="minorEastAsia"/>
          <w:color w:val="auto"/>
          <w:sz w:val="24"/>
          <w:highlight w:val="none"/>
        </w:rPr>
        <w:t>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Cs/>
          <w:color w:val="auto"/>
          <w:sz w:val="24"/>
          <w:highlight w:val="none"/>
        </w:rPr>
        <w:t>。</w:t>
      </w:r>
    </w:p>
    <w:p w14:paraId="311961F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谈判范围及响应文件中标准和计量单位的使用</w:t>
      </w:r>
    </w:p>
    <w:p w14:paraId="02A41E2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参与</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谈判，</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61DA8C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7.2供应商</w:t>
      </w:r>
      <w:r>
        <w:rPr>
          <w:rFonts w:asciiTheme="minorEastAsia" w:hAnsiTheme="minorEastAsia" w:eastAsiaTheme="minorEastAsia"/>
          <w:color w:val="auto"/>
          <w:sz w:val="24"/>
          <w:highlight w:val="none"/>
        </w:rPr>
        <w:t>应当对所投分包</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所投包别的响应</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7FD8703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无论谈判文件中是否要求，供应商所投</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及伴随的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和工程均应符合国家强制性标准。</w:t>
      </w:r>
    </w:p>
    <w:p w14:paraId="577F8BB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w:t>
      </w:r>
    </w:p>
    <w:p w14:paraId="68AC8CE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除谈判文件中有特殊要求外，响应文件中所使用的计量单位，应采用中华人民共和国法定计量单位。</w:t>
      </w:r>
    </w:p>
    <w:p w14:paraId="7FA34A1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46A0989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8</w:t>
      </w:r>
      <w:r>
        <w:rPr>
          <w:rFonts w:ascii="宋体" w:hAnsi="宋体" w:eastAsia="宋体"/>
          <w:color w:val="auto"/>
          <w:sz w:val="24"/>
          <w:highlight w:val="none"/>
        </w:rPr>
        <w:t>.1供应商应完整地按谈判文件提供的响应文件格式及要求编写响应文件，具体内容详见</w:t>
      </w:r>
      <w:r>
        <w:rPr>
          <w:rFonts w:hint="eastAsia" w:ascii="宋体" w:hAnsi="宋体" w:eastAsia="宋体"/>
          <w:color w:val="auto"/>
          <w:sz w:val="24"/>
          <w:highlight w:val="none"/>
        </w:rPr>
        <w:t>本项目</w:t>
      </w:r>
      <w:r>
        <w:rPr>
          <w:rFonts w:ascii="宋体" w:hAnsi="宋体" w:eastAsia="宋体"/>
          <w:color w:val="auto"/>
          <w:sz w:val="24"/>
          <w:highlight w:val="none"/>
        </w:rPr>
        <w:t>响应文件格式的相关内容。</w:t>
      </w:r>
    </w:p>
    <w:p w14:paraId="369ECF4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8.2</w:t>
      </w:r>
      <w:r>
        <w:rPr>
          <w:rFonts w:hint="eastAsia" w:ascii="宋体" w:hAnsi="宋体" w:eastAsia="宋体"/>
          <w:color w:val="auto"/>
          <w:sz w:val="24"/>
          <w:highlight w:val="none"/>
        </w:rPr>
        <w:t>供应商应提交谈判文件要求的证明文件，证明其响应内容符合谈判文件规定。该证明文件是响应文件的一部分</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rPr>
        <w:t>形式</w:t>
      </w:r>
      <w:r>
        <w:rPr>
          <w:rFonts w:asciiTheme="minorEastAsia" w:hAnsiTheme="minorEastAsia" w:eastAsiaTheme="minorEastAsia"/>
          <w:color w:val="auto"/>
          <w:sz w:val="24"/>
          <w:highlight w:val="none"/>
        </w:rPr>
        <w:t>可以是文字资料、图纸和数据</w:t>
      </w:r>
      <w:bookmarkStart w:id="23" w:name="_Hlk11703583"/>
      <w:r>
        <w:rPr>
          <w:rFonts w:hint="eastAsia" w:asciiTheme="minorEastAsia" w:hAnsiTheme="minorEastAsia" w:eastAsiaTheme="minorEastAsia"/>
          <w:color w:val="auto"/>
          <w:sz w:val="24"/>
          <w:highlight w:val="none"/>
        </w:rPr>
        <w:t>。</w:t>
      </w:r>
    </w:p>
    <w:bookmarkEnd w:id="23"/>
    <w:p w14:paraId="1830FF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公正，除非谈判文件另有规定或说明，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对同一项目</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备选谈判</w:t>
      </w:r>
      <w:r>
        <w:rPr>
          <w:rFonts w:asciiTheme="minorEastAsia" w:hAnsiTheme="minorEastAsia" w:eastAsiaTheme="minorEastAsia"/>
          <w:color w:val="auto"/>
          <w:sz w:val="24"/>
          <w:highlight w:val="none"/>
        </w:rPr>
        <w:t>方案。</w:t>
      </w:r>
    </w:p>
    <w:p w14:paraId="1C2EDDD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6DA185F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的报价应当包括满足本次</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全部采购需求所应提供的</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以及伴随的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和工程</w:t>
      </w:r>
      <w:r>
        <w:rPr>
          <w:rFonts w:hint="eastAsia" w:asciiTheme="minorEastAsia" w:hAnsiTheme="minorEastAsia" w:eastAsiaTheme="minorEastAsia"/>
          <w:color w:val="auto"/>
          <w:sz w:val="24"/>
          <w:highlight w:val="none"/>
        </w:rPr>
        <w:t>。除谈判文件另有规定外，所有内容均应以人民币报价，供应商的谈判报价应遵守《中华人民共和国价格法》。</w:t>
      </w:r>
    </w:p>
    <w:p w14:paraId="15C089D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.2供应商应</w:t>
      </w:r>
      <w:r>
        <w:rPr>
          <w:rFonts w:hint="eastAsia" w:asciiTheme="minorEastAsia" w:hAnsiTheme="minorEastAsia" w:eastAsiaTheme="minorEastAsia"/>
          <w:color w:val="auto"/>
          <w:sz w:val="24"/>
          <w:highlight w:val="none"/>
        </w:rPr>
        <w:t>在分项报价表上标明分项服务、伴随的货物和工程的价格（如适用）和总价，未标明的视同包含在谈判报价中。</w:t>
      </w:r>
    </w:p>
    <w:p w14:paraId="27E7D9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除非谈判文件另有规定或经采购人同意支付的，最后报价均不得高于谈判文件（公告）列明的项目预算，否则其响应文件将被认定为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35A41A3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，其</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316CCD2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采购人不接受具有附加条件的报价。</w:t>
      </w:r>
    </w:p>
    <w:p w14:paraId="028ACE5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谈判保证金</w:t>
      </w:r>
    </w:p>
    <w:p w14:paraId="0E65145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10.1本项目不收取谈判保证金。</w:t>
      </w:r>
    </w:p>
    <w:p w14:paraId="0CB1EB5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谈判有效期</w:t>
      </w:r>
    </w:p>
    <w:p w14:paraId="7F09DC1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r>
        <w:rPr>
          <w:rFonts w:asciiTheme="minorEastAsia" w:hAnsiTheme="minorEastAsia" w:eastAsiaTheme="minorEastAsia"/>
          <w:color w:val="auto"/>
          <w:sz w:val="24"/>
          <w:highlight w:val="none"/>
        </w:rPr>
        <w:t>.1谈判有效期为从响应文件提交截止之日算起的日历天数，谈判有效期详见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064423C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r>
        <w:rPr>
          <w:rFonts w:asciiTheme="minorEastAsia" w:hAnsiTheme="minorEastAsia" w:eastAsiaTheme="minorEastAsia"/>
          <w:color w:val="auto"/>
          <w:sz w:val="24"/>
          <w:highlight w:val="none"/>
        </w:rPr>
        <w:t>.2在谈判有效期内，供应商的谈判保持有效，供应商不得要求撤销或修改其响应文件。谈判有效期不满足要求的响应，其响应文件将被认定为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6D2E058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r>
        <w:rPr>
          <w:rFonts w:asciiTheme="minorEastAsia" w:hAnsiTheme="minorEastAsia" w:eastAsiaTheme="minorEastAsia"/>
          <w:color w:val="auto"/>
          <w:sz w:val="24"/>
          <w:highlight w:val="none"/>
        </w:rPr>
        <w:t>.3为保证有充分时间签订合同，采购人或采购代理机构可根据实际情况，在原谈判有效期截止之前，要求供应商延长谈判有效期。接受该要求的供应商将不会被要求和允许修正其响应文件。供应商可以拒绝延长谈判有效期的要求，且不承担任何责任。上述要求和答复都应以书面形式提交。</w:t>
      </w:r>
    </w:p>
    <w:p w14:paraId="1B89944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27C006A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12.1供应商应当在竞争性谈判公告规定的响应文件提交截止时间前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63D8586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12.2供应商应当在响应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提交截止时间前完成响应文件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r>
        <w:rPr>
          <w:rFonts w:asciiTheme="minorEastAsia" w:hAnsiTheme="minorEastAsia" w:eastAsiaTheme="minorEastAsia"/>
          <w:color w:val="auto"/>
          <w:sz w:val="24"/>
          <w:highlight w:val="none"/>
        </w:rPr>
        <w:t>。</w:t>
      </w:r>
    </w:p>
    <w:p w14:paraId="5EA039B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规定的解密时间前对其响应文件进行解密。未在规定时间内进行解密的，</w:t>
      </w:r>
      <w:r>
        <w:rPr>
          <w:rFonts w:hint="eastAsia" w:asciiTheme="minorEastAsia" w:hAnsiTheme="minorEastAsia" w:eastAsiaTheme="minorEastAsia"/>
          <w:b/>
          <w:bCs/>
          <w:color w:val="auto"/>
          <w:sz w:val="24"/>
          <w:highlight w:val="none"/>
        </w:rPr>
        <w:t>响应无效</w:t>
      </w:r>
      <w:r>
        <w:rPr>
          <w:rFonts w:hint="eastAsia" w:asciiTheme="minorEastAsia" w:hAnsiTheme="minorEastAsia" w:eastAsiaTheme="minorEastAsia"/>
          <w:color w:val="auto"/>
          <w:sz w:val="24"/>
          <w:highlight w:val="none"/>
        </w:rPr>
        <w:t>。</w:t>
      </w:r>
    </w:p>
    <w:p w14:paraId="7C31A202">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12.4在响应文件提交截止时间之后，供应商不得对其响应文件做任何修改。</w:t>
      </w:r>
      <w:r>
        <w:rPr>
          <w:rFonts w:hint="eastAsia" w:ascii="宋体" w:hAnsi="宋体" w:eastAsia="宋体"/>
          <w:color w:val="auto"/>
          <w:sz w:val="24"/>
          <w:highlight w:val="none"/>
        </w:rPr>
        <w:t>但属于谈判小组在评审中发现的计算错误并进行核实的修改、按照谈判文件的变动情况和谈判小组的要求重新提交响应文件的，不在此列。</w:t>
      </w:r>
    </w:p>
    <w:p w14:paraId="4ACB73F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谈判小组</w:t>
      </w:r>
    </w:p>
    <w:p w14:paraId="5CF1639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r>
        <w:rPr>
          <w:rFonts w:asciiTheme="minorEastAsia" w:hAnsiTheme="minorEastAsia" w:eastAsiaTheme="minorEastAsia"/>
          <w:color w:val="auto"/>
          <w:sz w:val="24"/>
          <w:highlight w:val="none"/>
        </w:rPr>
        <w:t>.1本项目将依法组建谈判小组，谈判小组成员由3人以上单数组成，谈判小组及其成员应当依照政府采购的有关规定履行相关职责和义务。</w:t>
      </w:r>
    </w:p>
    <w:p w14:paraId="23F37EE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r>
        <w:rPr>
          <w:rFonts w:asciiTheme="minorEastAsia" w:hAnsiTheme="minorEastAsia" w:eastAsiaTheme="minorEastAsia"/>
          <w:color w:val="auto"/>
          <w:sz w:val="24"/>
          <w:highlight w:val="none"/>
        </w:rPr>
        <w:t>.2谈判小组依法对响应文件进行评审，并根据谈判文件规定的程序、评定成交的标准等事项与实质性响应谈判文件要求的供应商进行谈判。</w:t>
      </w:r>
    </w:p>
    <w:p w14:paraId="1627FBA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r>
        <w:rPr>
          <w:rFonts w:asciiTheme="minorEastAsia" w:hAnsiTheme="minorEastAsia" w:eastAsiaTheme="minorEastAsia"/>
          <w:color w:val="auto"/>
          <w:sz w:val="24"/>
          <w:highlight w:val="none"/>
        </w:rPr>
        <w:t>.3谈判小组应当从质量和服务均能满足谈判文件实质性响应要求的供应商中，按照</w:t>
      </w:r>
      <w:r>
        <w:rPr>
          <w:rFonts w:hint="eastAsia" w:asciiTheme="minorEastAsia" w:hAnsiTheme="minorEastAsia" w:eastAsiaTheme="minorEastAsia"/>
          <w:color w:val="auto"/>
          <w:sz w:val="24"/>
          <w:highlight w:val="none"/>
        </w:rPr>
        <w:t>评审方法和标准推荐</w:t>
      </w:r>
      <w:r>
        <w:rPr>
          <w:rFonts w:asciiTheme="minorEastAsia" w:hAnsiTheme="minorEastAsia" w:eastAsiaTheme="minorEastAsia"/>
          <w:color w:val="auto"/>
          <w:sz w:val="24"/>
          <w:highlight w:val="none"/>
        </w:rPr>
        <w:t>成交候选人，并编写</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报告。</w:t>
      </w:r>
    </w:p>
    <w:p w14:paraId="7FE4B155">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.响应文件的评审与谈判</w:t>
      </w:r>
    </w:p>
    <w:p w14:paraId="487E284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1采购人和采购代理机构将在竞争性谈判公告规定的时间和地点组织谈判。</w:t>
      </w:r>
    </w:p>
    <w:p w14:paraId="62ECF35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 竞争性谈判采用最低价法评审。</w:t>
      </w:r>
    </w:p>
    <w:p w14:paraId="6524FFF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最低价法，是指响应文件满足谈判文件全部实质性要求且最后报价最低的供应商为成交候选人的评标方法。</w:t>
      </w:r>
    </w:p>
    <w:p w14:paraId="2E14CA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14.3谈判小组将按照谈判文件规定的评审方法和标准对供应商独立进行评审。评审程序如下：</w:t>
      </w:r>
    </w:p>
    <w:p w14:paraId="70F2B3C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14.3.1初审。谈判小组对供应商必须满足和实质性响应的内容进行评审，供应商未实质性响应谈判文件要求导致响应无效的，谈判小组将以书面询标的方式告知有关供应商。</w:t>
      </w:r>
    </w:p>
    <w:p w14:paraId="0D44A928">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信用查询记录，采购人或采购代理机构将下载查询结果页面后与其他采购文件一并保存。供应商不良信用记录以采购人或采购代理机构查询结果为准。在本采购文件规定的查询时间之外，网站信息发生的任何变更均不作为初审依据。供应商自行提供的与网站信息不一致的其他证明材料亦不作为初审依据。</w:t>
      </w:r>
    </w:p>
    <w:p w14:paraId="211B0E1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14.3.2谈判。初审合格后，谈判小组将按网上加密电子响应文件提交顺序集中与单一供应商分别进行谈判，并给予所有参加谈判的供应商平等的谈判机会。</w:t>
      </w:r>
    </w:p>
    <w:p w14:paraId="0994200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14.3.3</w:t>
      </w:r>
      <w:r>
        <w:rPr>
          <w:rFonts w:asciiTheme="minorEastAsia" w:hAnsiTheme="minorEastAsia" w:eastAsiaTheme="minorEastAsia"/>
          <w:color w:val="auto"/>
          <w:sz w:val="24"/>
          <w:highlight w:val="none"/>
        </w:rPr>
        <w:t>报价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谈判结束后，谈判小组应当要求所有</w:t>
      </w:r>
      <w:r>
        <w:rPr>
          <w:rFonts w:hint="eastAsia" w:asciiTheme="minorEastAsia" w:hAnsiTheme="minorEastAsia" w:eastAsiaTheme="minorEastAsia"/>
          <w:color w:val="auto"/>
          <w:sz w:val="24"/>
          <w:highlight w:val="none"/>
        </w:rPr>
        <w:t>继续参加谈判</w:t>
      </w:r>
      <w:r>
        <w:rPr>
          <w:rFonts w:asciiTheme="minorEastAsia" w:hAnsiTheme="minorEastAsia" w:eastAsiaTheme="minorEastAsia"/>
          <w:color w:val="auto"/>
          <w:sz w:val="24"/>
          <w:highlight w:val="none"/>
        </w:rPr>
        <w:t>的供应商在规定时间内提交最后报价</w:t>
      </w:r>
      <w:r>
        <w:rPr>
          <w:rFonts w:hint="eastAsia" w:ascii="宋体" w:hAnsi="宋体" w:eastAsia="宋体"/>
          <w:color w:val="auto"/>
          <w:sz w:val="24"/>
          <w:highlight w:val="none"/>
        </w:rPr>
        <w:t>。</w:t>
      </w:r>
    </w:p>
    <w:p w14:paraId="50664CF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14.4相关说明。</w:t>
      </w:r>
    </w:p>
    <w:p w14:paraId="1D81D62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14.4.1为保证谈判活动顺利进行，供应商可派相关技术人员进行网上答疑；</w:t>
      </w:r>
    </w:p>
    <w:p w14:paraId="141A0B2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14.4.2谈判</w:t>
      </w:r>
      <w:r>
        <w:rPr>
          <w:rFonts w:asciiTheme="minorEastAsia" w:hAnsiTheme="minorEastAsia" w:eastAsiaTheme="minorEastAsia"/>
          <w:color w:val="auto"/>
          <w:sz w:val="24"/>
          <w:highlight w:val="none"/>
        </w:rPr>
        <w:t>小组根据与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谈判情况可能实质性变动</w:t>
      </w:r>
      <w:r>
        <w:rPr>
          <w:rFonts w:hint="eastAsia" w:asciiTheme="minorEastAsia" w:hAnsiTheme="minorEastAsia" w:eastAsiaTheme="minorEastAsia"/>
          <w:color w:val="auto"/>
          <w:sz w:val="24"/>
          <w:highlight w:val="none"/>
        </w:rPr>
        <w:t>谈判文件</w:t>
      </w:r>
      <w:r>
        <w:rPr>
          <w:rFonts w:asciiTheme="minorEastAsia" w:hAnsiTheme="minorEastAsia" w:eastAsiaTheme="minorEastAsia"/>
          <w:color w:val="auto"/>
          <w:sz w:val="24"/>
          <w:highlight w:val="none"/>
        </w:rPr>
        <w:t>的内容，包括采购需求中的技术、服务要求以及合同草案条款。谈判文件有实质性变动的，</w:t>
      </w:r>
      <w:r>
        <w:rPr>
          <w:rFonts w:hint="eastAsia" w:asciiTheme="minorEastAsia" w:hAnsiTheme="minorEastAsia" w:eastAsiaTheme="minorEastAsia"/>
          <w:color w:val="auto"/>
          <w:sz w:val="24"/>
          <w:highlight w:val="none"/>
        </w:rPr>
        <w:t>经采购人代表确认作为谈判文件的有效组成部分，</w:t>
      </w:r>
      <w:r>
        <w:rPr>
          <w:rFonts w:asciiTheme="minorEastAsia" w:hAnsiTheme="minorEastAsia" w:eastAsiaTheme="minorEastAsia"/>
          <w:color w:val="auto"/>
          <w:sz w:val="24"/>
          <w:highlight w:val="none"/>
        </w:rPr>
        <w:t>谈判小组</w:t>
      </w:r>
      <w:r>
        <w:rPr>
          <w:rFonts w:hint="eastAsia" w:asciiTheme="minorEastAsia" w:hAnsiTheme="minorEastAsia" w:eastAsiaTheme="minorEastAsia"/>
          <w:color w:val="auto"/>
          <w:sz w:val="24"/>
          <w:highlight w:val="none"/>
        </w:rPr>
        <w:t>将</w:t>
      </w:r>
      <w:r>
        <w:rPr>
          <w:rFonts w:asciiTheme="minorEastAsia" w:hAnsiTheme="minorEastAsia" w:eastAsiaTheme="minorEastAsia"/>
          <w:color w:val="auto"/>
          <w:sz w:val="24"/>
          <w:highlight w:val="none"/>
        </w:rPr>
        <w:t>以书面形式通知所有参加谈判的供应商。</w:t>
      </w:r>
    </w:p>
    <w:p w14:paraId="782066F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14.4.3谈判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Theme="minorEastAsia" w:hAnsiTheme="minorEastAsia" w:eastAsiaTheme="minorEastAsia"/>
          <w:b/>
          <w:color w:val="auto"/>
          <w:sz w:val="24"/>
          <w:highlight w:val="none"/>
        </w:rPr>
        <w:t>响应无效</w:t>
      </w:r>
      <w:r>
        <w:rPr>
          <w:rFonts w:hint="eastAsia" w:asciiTheme="minorEastAsia" w:hAnsiTheme="minorEastAsia" w:eastAsiaTheme="minorEastAsia"/>
          <w:color w:val="auto"/>
          <w:sz w:val="24"/>
          <w:highlight w:val="none"/>
        </w:rPr>
        <w:t>。</w:t>
      </w:r>
    </w:p>
    <w:p w14:paraId="3CA137A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14.4.4</w:t>
      </w:r>
      <w:r>
        <w:rPr>
          <w:rFonts w:asciiTheme="minorEastAsia" w:hAnsiTheme="minorEastAsia" w:eastAsiaTheme="minorEastAsia"/>
          <w:color w:val="auto"/>
          <w:sz w:val="24"/>
          <w:highlight w:val="none"/>
        </w:rPr>
        <w:t>无论何种原因，即使供应商</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时携带了证书材料的原件，但响应文件中未提供与之内容完全一致的</w:t>
      </w:r>
      <w:r>
        <w:rPr>
          <w:rFonts w:hint="eastAsia" w:asciiTheme="minorEastAsia" w:hAnsiTheme="minorEastAsia" w:eastAsiaTheme="minorEastAsia"/>
          <w:color w:val="auto"/>
          <w:sz w:val="24"/>
          <w:highlight w:val="none"/>
        </w:rPr>
        <w:t>扫描件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小组可以视同其未提供。</w:t>
      </w:r>
    </w:p>
    <w:p w14:paraId="612FBAC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14.4.5谈判</w:t>
      </w:r>
      <w:r>
        <w:rPr>
          <w:rFonts w:asciiTheme="minorEastAsia" w:hAnsiTheme="minorEastAsia" w:eastAsiaTheme="minorEastAsia"/>
          <w:color w:val="auto"/>
          <w:sz w:val="24"/>
          <w:highlight w:val="none"/>
        </w:rPr>
        <w:t>小组决定响应文件的响应性及符合性只根据响应文件本身的内容，而不寻求其他外部证据。</w:t>
      </w:r>
    </w:p>
    <w:p w14:paraId="73BC493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w:t>
      </w:r>
      <w:r>
        <w:rPr>
          <w:rFonts w:asciiTheme="minorEastAsia" w:hAnsiTheme="minorEastAsia" w:eastAsiaTheme="minorEastAsia"/>
          <w:color w:val="auto"/>
          <w:sz w:val="24"/>
          <w:highlight w:val="none"/>
        </w:rPr>
        <w:t>代表对</w:t>
      </w:r>
      <w:r>
        <w:rPr>
          <w:rFonts w:hint="eastAsia" w:asciiTheme="minorEastAsia" w:hAnsiTheme="minorEastAsia" w:eastAsiaTheme="minorEastAsia"/>
          <w:color w:val="auto"/>
          <w:sz w:val="24"/>
          <w:highlight w:val="none"/>
        </w:rPr>
        <w:t>谈判过程</w:t>
      </w:r>
      <w:r>
        <w:rPr>
          <w:rFonts w:asciiTheme="minorEastAsia" w:hAnsiTheme="minorEastAsia" w:eastAsiaTheme="minorEastAsia"/>
          <w:color w:val="auto"/>
          <w:sz w:val="24"/>
          <w:highlight w:val="none"/>
        </w:rPr>
        <w:t>有疑义，以及认为采购人、采购代理机构相关工作人员有需要回避的情形的，应当场提出询问或者回避申请</w:t>
      </w:r>
      <w:r>
        <w:rPr>
          <w:rFonts w:hint="eastAsia" w:asciiTheme="minorEastAsia" w:hAnsiTheme="minorEastAsia" w:eastAsiaTheme="minorEastAsia"/>
          <w:color w:val="auto"/>
          <w:sz w:val="24"/>
          <w:highlight w:val="none"/>
        </w:rPr>
        <w:t>，并说明理由。</w:t>
      </w:r>
      <w:r>
        <w:rPr>
          <w:rFonts w:asciiTheme="minorEastAsia" w:hAnsiTheme="minorEastAsia" w:eastAsiaTheme="minorEastAsia"/>
          <w:color w:val="auto"/>
          <w:sz w:val="24"/>
          <w:highlight w:val="none"/>
        </w:rPr>
        <w:t xml:space="preserve"> </w:t>
      </w:r>
    </w:p>
    <w:p w14:paraId="745B0F8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15</w:t>
      </w:r>
      <w:r>
        <w:rPr>
          <w:rFonts w:asciiTheme="minorEastAsia" w:hAnsiTheme="minorEastAsia" w:eastAsiaTheme="minorEastAsia"/>
          <w:b/>
          <w:color w:val="auto"/>
          <w:sz w:val="24"/>
          <w:highlight w:val="none"/>
        </w:rPr>
        <w:t>.终止竞争性谈判</w:t>
      </w:r>
    </w:p>
    <w:p w14:paraId="04E38C2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15.1出现下列情况之一时，采购人和采购代理机构有权宣布终止竞争性谈判采购，并将理由通知所有供应商：</w:t>
      </w:r>
    </w:p>
    <w:p w14:paraId="1B688F0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（1）有效供应商数量不足，导致本次谈判缺乏竞争的；</w:t>
      </w:r>
    </w:p>
    <w:p w14:paraId="48FC338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14:paraId="0BB42B2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（3）因重大变故，采购任务取消的；</w:t>
      </w:r>
    </w:p>
    <w:p w14:paraId="697EA6A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（4）政府采购法律法规规定的其他情形。</w:t>
      </w:r>
    </w:p>
    <w:p w14:paraId="29D1D06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16</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7E612AE9">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rPr>
        <w:t>16.1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5316B6EC">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rPr>
        <w:t>16.2谈判小组要求供应商澄清、说明或者更正响应文件应当以书面形式（询标）作出。供应商的澄清、说明或者更正应当由法定代表人或其授权代表签字或者加盖公章（电子签章）。</w:t>
      </w:r>
    </w:p>
    <w:p w14:paraId="34A3E2E0">
      <w:pPr>
        <w:spacing w:line="360" w:lineRule="auto"/>
        <w:ind w:firstLine="435"/>
        <w:rPr>
          <w:rFonts w:ascii="宋体" w:hAnsi="宋体" w:eastAsia="宋体"/>
          <w:color w:val="auto"/>
          <w:sz w:val="24"/>
          <w:highlight w:val="none"/>
        </w:rPr>
      </w:pPr>
      <w:r>
        <w:rPr>
          <w:rFonts w:hint="eastAsia" w:ascii="宋体" w:hAnsi="宋体" w:eastAsia="宋体"/>
          <w:b/>
          <w:color w:val="auto"/>
          <w:sz w:val="24"/>
          <w:highlight w:val="none"/>
        </w:rPr>
        <w:t>如有询标，授权代表（或法定代表人）可通过远程登录的方式接受网上询标，也可凭本人有效身份证明参加询标。因授权代表联系不上</w:t>
      </w:r>
      <w:r>
        <w:rPr>
          <w:rFonts w:hint="eastAsia" w:ascii="宋体" w:hAnsi="宋体" w:eastAsia="宋体"/>
          <w:b/>
          <w:bCs/>
          <w:color w:val="auto"/>
          <w:sz w:val="24"/>
          <w:highlight w:val="none"/>
        </w:rPr>
        <w:t>、没有及时登录系统等情形</w:t>
      </w:r>
      <w:r>
        <w:rPr>
          <w:rFonts w:hint="eastAsia" w:ascii="宋体" w:hAnsi="宋体" w:eastAsia="宋体"/>
          <w:b/>
          <w:color w:val="auto"/>
          <w:sz w:val="24"/>
          <w:highlight w:val="none"/>
        </w:rPr>
        <w:t>而无法接受谈判小组询标的，供应商自行承担相关风险。</w:t>
      </w:r>
    </w:p>
    <w:p w14:paraId="5E47605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w:t>
      </w:r>
      <w:r>
        <w:rPr>
          <w:rFonts w:asciiTheme="minorEastAsia" w:hAnsiTheme="minorEastAsia" w:eastAsiaTheme="minorEastAsia"/>
          <w:b/>
          <w:color w:val="auto"/>
          <w:sz w:val="24"/>
          <w:highlight w:val="none"/>
        </w:rPr>
        <w:t>.最后报价</w:t>
      </w:r>
    </w:p>
    <w:p w14:paraId="6BCFDCD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17.1</w:t>
      </w:r>
      <w:r>
        <w:rPr>
          <w:rFonts w:asciiTheme="minorEastAsia" w:hAnsiTheme="minorEastAsia" w:eastAsiaTheme="minorEastAsia"/>
          <w:color w:val="auto"/>
          <w:sz w:val="24"/>
          <w:highlight w:val="none"/>
        </w:rPr>
        <w:t>谈判并不限定只进行二轮报价，如果谈判小组认为有必要，可以要求供应商进行多轮报价。</w:t>
      </w:r>
      <w:r>
        <w:rPr>
          <w:rFonts w:hint="eastAsia" w:asciiTheme="minorEastAsia" w:hAnsiTheme="minorEastAsia" w:eastAsiaTheme="minorEastAsia"/>
          <w:b/>
          <w:bCs/>
          <w:color w:val="auto"/>
          <w:sz w:val="24"/>
          <w:highlight w:val="none"/>
        </w:rPr>
        <w:t>（本项目约定为二轮报价，第二次报价即为最后报价）</w:t>
      </w:r>
    </w:p>
    <w:p w14:paraId="60F7254A">
      <w:pPr>
        <w:spacing w:line="360" w:lineRule="auto"/>
        <w:ind w:firstLine="435"/>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第一轮报价为供应商在响应文件中填报的报价，第二轮报价在响应文件通过评审后，由谈判小组通过评标系统以询标方式，向响应文件评审有效的各供应商进行询标，各供应商应在评标系统询标规定的时间内，通过“评标澄清回复”进行第二轮报价。各供应商应及时查看系统质询问题并及时进行第二轮报价，第二轮报价即为最后报价，若供应商未在系统询标规定的时间内进行第二轮报价（最后报价）或第二轮报价被谈判小组认为不符合要求的，谈判小组默认其响应文件中填报的价格为供应商的最后报价，谈判价格以供应商的最后报价为准。望各供应商务必全程在线，及时进行回复，否则，因此给其造成相关后果，自行承担。</w:t>
      </w:r>
    </w:p>
    <w:p w14:paraId="2DFDCAD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w:t>
      </w:r>
      <w:r>
        <w:rPr>
          <w:rFonts w:asciiTheme="minorEastAsia" w:hAnsiTheme="minorEastAsia" w:eastAsiaTheme="minorEastAsia"/>
          <w:color w:val="auto"/>
          <w:sz w:val="24"/>
          <w:highlight w:val="none"/>
        </w:rPr>
        <w:t>在谈判内容不做实质性变更或重大调整的前提下，供应商下轮报价不得高于上一轮报价</w:t>
      </w:r>
      <w:r>
        <w:rPr>
          <w:rFonts w:hint="eastAsia" w:asciiTheme="minorEastAsia" w:hAnsiTheme="minorEastAsia" w:eastAsiaTheme="minorEastAsia"/>
          <w:color w:val="auto"/>
          <w:sz w:val="24"/>
          <w:highlight w:val="none"/>
        </w:rPr>
        <w:t>。</w:t>
      </w:r>
    </w:p>
    <w:p w14:paraId="2D9AC2E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17.3</w:t>
      </w:r>
      <w:r>
        <w:rPr>
          <w:rFonts w:asciiTheme="minorEastAsia" w:hAnsiTheme="minorEastAsia" w:eastAsiaTheme="minorEastAsia"/>
          <w:color w:val="auto"/>
          <w:sz w:val="24"/>
          <w:highlight w:val="none"/>
        </w:rPr>
        <w:t>最后报价是供应商响应文件的有效组成部分，最后报价也是签订合同的依据。</w:t>
      </w:r>
    </w:p>
    <w:p w14:paraId="5331122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成交候选人的推荐原则及标准</w:t>
      </w:r>
    </w:p>
    <w:p w14:paraId="4429EB8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18.1谈判小组</w:t>
      </w:r>
      <w:r>
        <w:rPr>
          <w:rFonts w:asciiTheme="minorEastAsia" w:hAnsiTheme="minorEastAsia" w:eastAsiaTheme="minorEastAsia"/>
          <w:color w:val="auto"/>
          <w:sz w:val="24"/>
          <w:highlight w:val="none"/>
        </w:rPr>
        <w:t>依据本项目</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文件所约定的</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方法</w:t>
      </w:r>
      <w:r>
        <w:rPr>
          <w:rFonts w:hint="eastAsia" w:asciiTheme="minorEastAsia" w:hAnsiTheme="minorEastAsia" w:eastAsiaTheme="minorEastAsia"/>
          <w:color w:val="auto"/>
          <w:sz w:val="24"/>
          <w:highlight w:val="none"/>
        </w:rPr>
        <w:t>和标准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按照最后报价由低到高的顺序依次推荐成交候选人。最后报价相同的，</w:t>
      </w:r>
      <w:r>
        <w:rPr>
          <w:rFonts w:asciiTheme="minorEastAsia" w:hAnsiTheme="minorEastAsia" w:eastAsiaTheme="minorEastAsia"/>
          <w:color w:val="auto"/>
          <w:sz w:val="24"/>
          <w:highlight w:val="none"/>
        </w:rPr>
        <w:t>则</w:t>
      </w:r>
      <w:r>
        <w:rPr>
          <w:rFonts w:hint="eastAsia" w:asciiTheme="minorEastAsia" w:hAnsiTheme="minorEastAsia" w:eastAsiaTheme="minorEastAsia"/>
          <w:color w:val="auto"/>
          <w:sz w:val="24"/>
          <w:highlight w:val="none"/>
        </w:rPr>
        <w:t>由谈判小组采取随机抽取方式确定。</w:t>
      </w:r>
    </w:p>
    <w:p w14:paraId="07B52AF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确定成交候选人和成交供应商</w:t>
      </w:r>
    </w:p>
    <w:p w14:paraId="39DBD63C">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19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 xml:space="preserve">1 </w:t>
      </w:r>
      <w:r>
        <w:rPr>
          <w:rFonts w:hint="eastAsia" w:ascii="宋体" w:hAnsi="宋体" w:eastAsia="宋体"/>
          <w:color w:val="auto"/>
          <w:sz w:val="24"/>
          <w:highlight w:val="none"/>
        </w:rPr>
        <w:t>谈判小组按照最后报价由低到高的顺序和</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w:t>
      </w:r>
      <w:r>
        <w:rPr>
          <w:rFonts w:hint="eastAsia" w:ascii="宋体" w:hAnsi="宋体" w:eastAsia="宋体"/>
          <w:color w:val="auto"/>
          <w:sz w:val="24"/>
          <w:highlight w:val="none"/>
        </w:rPr>
        <w:t>确定成交候选人，并标明排列顺序。</w:t>
      </w:r>
      <w:r>
        <w:rPr>
          <w:rFonts w:hint="eastAsia" w:asciiTheme="minorEastAsia" w:hAnsiTheme="minorEastAsia" w:eastAsiaTheme="minorEastAsia"/>
          <w:color w:val="auto"/>
          <w:sz w:val="24"/>
          <w:highlight w:val="none"/>
        </w:rPr>
        <w:t>按</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rPr>
        <w:t>谈判小组</w:t>
      </w:r>
      <w:r>
        <w:rPr>
          <w:rFonts w:asciiTheme="minorEastAsia" w:hAnsiTheme="minorEastAsia" w:eastAsiaTheme="minorEastAsia"/>
          <w:color w:val="auto"/>
          <w:sz w:val="24"/>
          <w:highlight w:val="none"/>
        </w:rPr>
        <w:t>或采购人确定</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w:t>
      </w:r>
    </w:p>
    <w:p w14:paraId="62E76C7B">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20</w:t>
      </w:r>
      <w:r>
        <w:rPr>
          <w:rFonts w:asciiTheme="minorEastAsia" w:hAnsiTheme="minorEastAsia" w:eastAsiaTheme="minorEastAsia"/>
          <w:b/>
          <w:color w:val="auto"/>
          <w:sz w:val="24"/>
          <w:highlight w:val="none"/>
        </w:rPr>
        <w:t>.编写评审报告</w:t>
      </w:r>
    </w:p>
    <w:p w14:paraId="22A0AC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20.1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14:paraId="32A08E1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70B6F26A">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1.1评审将在严格保密的情况下进行。</w:t>
      </w:r>
    </w:p>
    <w:p w14:paraId="7220E9CA">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1.2有关人员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w:t>
      </w:r>
      <w:r>
        <w:rPr>
          <w:rFonts w:hint="eastAsia" w:ascii="宋体" w:hAnsi="宋体" w:eastAsia="宋体"/>
          <w:color w:val="auto"/>
          <w:sz w:val="24"/>
          <w:highlight w:val="none"/>
        </w:rPr>
        <w:t>评审</w:t>
      </w:r>
      <w:r>
        <w:rPr>
          <w:rFonts w:ascii="宋体" w:hAnsi="宋体" w:eastAsia="宋体"/>
          <w:color w:val="auto"/>
          <w:sz w:val="24"/>
          <w:highlight w:val="none"/>
        </w:rPr>
        <w:t>工作纪律，不得</w:t>
      </w:r>
      <w:r>
        <w:rPr>
          <w:rFonts w:hint="eastAsia" w:ascii="宋体" w:hAnsi="宋体" w:eastAsia="宋体"/>
          <w:color w:val="auto"/>
          <w:sz w:val="24"/>
          <w:highlight w:val="none"/>
        </w:rPr>
        <w:t>泄露评审文件</w:t>
      </w:r>
      <w:r>
        <w:rPr>
          <w:rFonts w:ascii="宋体" w:hAnsi="宋体" w:eastAsia="宋体"/>
          <w:color w:val="auto"/>
          <w:sz w:val="24"/>
          <w:highlight w:val="none"/>
        </w:rPr>
        <w:t>、</w:t>
      </w:r>
      <w:r>
        <w:rPr>
          <w:rFonts w:hint="eastAsia" w:ascii="宋体" w:hAnsi="宋体" w:eastAsia="宋体"/>
          <w:color w:val="auto"/>
          <w:sz w:val="24"/>
          <w:highlight w:val="none"/>
        </w:rPr>
        <w:t>评审</w:t>
      </w:r>
      <w:r>
        <w:rPr>
          <w:rFonts w:ascii="宋体" w:hAnsi="宋体" w:eastAsia="宋体"/>
          <w:color w:val="auto"/>
          <w:sz w:val="24"/>
          <w:highlight w:val="none"/>
        </w:rPr>
        <w:t>情况和</w:t>
      </w:r>
      <w:r>
        <w:rPr>
          <w:rFonts w:hint="eastAsia" w:ascii="宋体" w:hAnsi="宋体" w:eastAsia="宋体"/>
          <w:color w:val="auto"/>
          <w:sz w:val="24"/>
          <w:highlight w:val="none"/>
        </w:rPr>
        <w:t>评审</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7DFD09FE">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7</w:t>
      </w:r>
      <w:r>
        <w:rPr>
          <w:rFonts w:asciiTheme="minorEastAsia" w:hAnsiTheme="minorEastAsia" w:eastAsiaTheme="minorEastAsia"/>
          <w:b/>
          <w:color w:val="auto"/>
          <w:sz w:val="24"/>
          <w:highlight w:val="none"/>
        </w:rPr>
        <w:t>.成交结果公告</w:t>
      </w:r>
    </w:p>
    <w:p w14:paraId="203ACD36">
      <w:pPr>
        <w:wordWrap w:val="0"/>
        <w:spacing w:line="360" w:lineRule="auto"/>
        <w:ind w:firstLine="437"/>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.1为体现“公开、公平、公正”的原则，谈判结束后，</w:t>
      </w:r>
      <w:r>
        <w:rPr>
          <w:rFonts w:hint="eastAsia" w:asciiTheme="minorEastAsia" w:hAnsiTheme="minorEastAsia" w:eastAsiaTheme="minorEastAsia"/>
          <w:color w:val="auto"/>
          <w:sz w:val="24"/>
          <w:highlight w:val="none"/>
        </w:rPr>
        <w:t>采购代理机构将</w:t>
      </w:r>
      <w:r>
        <w:rPr>
          <w:rFonts w:hint="eastAsia" w:ascii="宋体" w:hAnsi="宋体" w:eastAsia="宋体"/>
          <w:color w:val="auto"/>
          <w:sz w:val="24"/>
          <w:szCs w:val="18"/>
          <w:highlight w:val="none"/>
        </w:rPr>
        <w:t>在滁州市城投工程咨询管理有限公司（https://www.czctgczx.com/）上</w:t>
      </w:r>
      <w:r>
        <w:rPr>
          <w:rFonts w:asciiTheme="minorEastAsia" w:hAnsiTheme="minorEastAsia" w:eastAsiaTheme="minorEastAsia"/>
          <w:color w:val="auto"/>
          <w:sz w:val="24"/>
          <w:highlight w:val="none"/>
        </w:rPr>
        <w:t>发布成交结果公告。</w:t>
      </w:r>
    </w:p>
    <w:p w14:paraId="2720CB5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.2成交结果公告内容应当包括采购人及其委托的采购代理机构的名称、地址、联系方式，项目名称和项目编号，成交供应商名称、地址和成交金额，主要成交标的的名称</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服务要求，成交结果公告期限以及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46E9EFAA">
      <w:pPr>
        <w:spacing w:line="360" w:lineRule="auto"/>
        <w:ind w:firstLine="437"/>
        <w:outlineLvl w:val="2"/>
        <w:rPr>
          <w:rFonts w:ascii="宋体" w:hAnsi="宋体" w:eastAsia="宋体"/>
          <w:b/>
          <w:color w:val="auto"/>
          <w:sz w:val="24"/>
          <w:highlight w:val="none"/>
        </w:rPr>
      </w:pPr>
      <w:r>
        <w:rPr>
          <w:rFonts w:ascii="宋体" w:hAnsi="宋体" w:eastAsia="宋体"/>
          <w:b/>
          <w:color w:val="auto"/>
          <w:sz w:val="24"/>
          <w:highlight w:val="none"/>
        </w:rPr>
        <w:t>2</w:t>
      </w:r>
      <w:r>
        <w:rPr>
          <w:rFonts w:hint="eastAsia" w:ascii="宋体" w:hAnsi="宋体" w:eastAsia="宋体"/>
          <w:b/>
          <w:color w:val="auto"/>
          <w:sz w:val="24"/>
          <w:highlight w:val="none"/>
        </w:rPr>
        <w:t>3</w:t>
      </w:r>
      <w:r>
        <w:rPr>
          <w:rFonts w:ascii="宋体" w:hAnsi="宋体" w:eastAsia="宋体"/>
          <w:b/>
          <w:color w:val="auto"/>
          <w:sz w:val="24"/>
          <w:highlight w:val="none"/>
        </w:rPr>
        <w:t>.成交通知书</w:t>
      </w:r>
    </w:p>
    <w:p w14:paraId="7920AB60">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3</w:t>
      </w:r>
      <w:r>
        <w:rPr>
          <w:rFonts w:ascii="宋体" w:hAnsi="宋体" w:eastAsia="宋体"/>
          <w:color w:val="auto"/>
          <w:sz w:val="24"/>
          <w:highlight w:val="none"/>
        </w:rPr>
        <w:t>.1采购代理机构发布成交结果公告的同时</w:t>
      </w:r>
      <w:r>
        <w:rPr>
          <w:rFonts w:asciiTheme="minorEastAsia" w:hAnsiTheme="minorEastAsia" w:eastAsiaTheme="minorEastAsia"/>
          <w:color w:val="auto"/>
          <w:sz w:val="24"/>
          <w:highlight w:val="none"/>
        </w:rPr>
        <w:t>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ascii="宋体" w:hAnsi="宋体" w:eastAsia="宋体"/>
          <w:color w:val="auto"/>
          <w:sz w:val="24"/>
          <w:highlight w:val="none"/>
        </w:rPr>
        <w:t>向成交供应商发出成交通知书。</w:t>
      </w:r>
      <w:r>
        <w:rPr>
          <w:rFonts w:hint="eastAsia" w:asciiTheme="minorEastAsia" w:hAnsiTheme="minorEastAsia" w:eastAsiaTheme="minorEastAsia"/>
          <w:color w:val="auto"/>
          <w:sz w:val="24"/>
          <w:highlight w:val="none"/>
        </w:rPr>
        <w:t>成交通知书须加盖采购人、采购代理机构公章后，方可发出。</w:t>
      </w:r>
    </w:p>
    <w:p w14:paraId="160C64AA">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3</w:t>
      </w:r>
      <w:r>
        <w:rPr>
          <w:rFonts w:ascii="宋体" w:hAnsi="宋体" w:eastAsia="宋体"/>
          <w:color w:val="auto"/>
          <w:sz w:val="24"/>
          <w:highlight w:val="none"/>
        </w:rPr>
        <w:t>.2成交通知书对采购人和成交供应商具有同等法律效力。成交通知书发出以后，采购人改变成交结果或者成交供应商放弃成交资格，应当承担相应的法律责任。</w:t>
      </w:r>
    </w:p>
    <w:p w14:paraId="3AEA9C43">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3</w:t>
      </w:r>
      <w:r>
        <w:rPr>
          <w:rFonts w:ascii="宋体" w:hAnsi="宋体" w:eastAsia="宋体"/>
          <w:color w:val="auto"/>
          <w:sz w:val="24"/>
          <w:highlight w:val="none"/>
        </w:rPr>
        <w:t>.3成交通知书是合同的组成部分。</w:t>
      </w:r>
    </w:p>
    <w:p w14:paraId="43A33457">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24</w:t>
      </w:r>
      <w:r>
        <w:rPr>
          <w:rFonts w:ascii="宋体" w:hAnsi="宋体" w:eastAsia="宋体"/>
          <w:b/>
          <w:color w:val="auto"/>
          <w:sz w:val="24"/>
          <w:highlight w:val="none"/>
        </w:rPr>
        <w:t>.告知</w:t>
      </w:r>
      <w:r>
        <w:rPr>
          <w:rFonts w:hint="eastAsia" w:ascii="宋体" w:hAnsi="宋体" w:eastAsia="宋体"/>
          <w:b/>
          <w:color w:val="auto"/>
          <w:sz w:val="24"/>
          <w:highlight w:val="none"/>
        </w:rPr>
        <w:t>谈判</w:t>
      </w:r>
      <w:r>
        <w:rPr>
          <w:rFonts w:ascii="宋体" w:hAnsi="宋体" w:eastAsia="宋体"/>
          <w:b/>
          <w:color w:val="auto"/>
          <w:sz w:val="24"/>
          <w:highlight w:val="none"/>
        </w:rPr>
        <w:t>结果</w:t>
      </w:r>
    </w:p>
    <w:p w14:paraId="369762B9">
      <w:pPr>
        <w:spacing w:line="360" w:lineRule="auto"/>
        <w:ind w:firstLine="4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24.1在公告成交结果的同时，采购代理机构同时以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规定的形式告知未成交供应商本人的排序。</w:t>
      </w:r>
    </w:p>
    <w:p w14:paraId="4F12146B">
      <w:pPr>
        <w:spacing w:line="360" w:lineRule="auto"/>
        <w:ind w:firstLine="435"/>
        <w:rPr>
          <w:rFonts w:ascii="宋体" w:hAnsi="宋体" w:eastAsia="宋体"/>
          <w:color w:val="auto"/>
          <w:sz w:val="24"/>
          <w:highlight w:val="none"/>
        </w:rPr>
      </w:pPr>
      <w:r>
        <w:rPr>
          <w:rFonts w:hint="eastAsia" w:ascii="宋体" w:hAnsi="宋体" w:eastAsia="宋体" w:cs="宋体"/>
          <w:color w:val="auto"/>
          <w:sz w:val="24"/>
          <w:szCs w:val="24"/>
          <w:highlight w:val="none"/>
        </w:rPr>
        <w:t>24.2采购代理机构对未成交的供应商不做未成交原因的解释。</w:t>
      </w:r>
    </w:p>
    <w:p w14:paraId="03487522">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25</w:t>
      </w:r>
      <w:r>
        <w:rPr>
          <w:rFonts w:ascii="宋体" w:hAnsi="宋体" w:eastAsia="宋体"/>
          <w:b/>
          <w:color w:val="auto"/>
          <w:sz w:val="24"/>
          <w:highlight w:val="none"/>
        </w:rPr>
        <w:t>.履约</w:t>
      </w:r>
      <w:r>
        <w:rPr>
          <w:rFonts w:asciiTheme="minorEastAsia" w:hAnsiTheme="minorEastAsia" w:eastAsiaTheme="minorEastAsia"/>
          <w:b/>
          <w:color w:val="auto"/>
          <w:sz w:val="24"/>
          <w:highlight w:val="none"/>
        </w:rPr>
        <w:t>保证金</w:t>
      </w:r>
    </w:p>
    <w:p w14:paraId="321A807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25</w:t>
      </w:r>
      <w:r>
        <w:rPr>
          <w:rFonts w:ascii="宋体" w:hAnsi="宋体" w:eastAsia="宋体"/>
          <w:color w:val="auto"/>
          <w:sz w:val="24"/>
          <w:highlight w:val="none"/>
        </w:rPr>
        <w:t>.1成交供应商应按照</w:t>
      </w:r>
      <w:r>
        <w:rPr>
          <w:rFonts w:ascii="宋体" w:hAnsi="宋体" w:eastAsia="宋体"/>
          <w:color w:val="auto"/>
          <w:sz w:val="24"/>
          <w:highlight w:val="none"/>
          <w:u w:val="single"/>
        </w:rPr>
        <w:t>供应商须知前附表</w:t>
      </w:r>
      <w:r>
        <w:rPr>
          <w:rFonts w:ascii="宋体" w:hAnsi="宋体" w:eastAsia="宋体"/>
          <w:color w:val="auto"/>
          <w:sz w:val="24"/>
          <w:highlight w:val="none"/>
        </w:rPr>
        <w:t>规定</w:t>
      </w:r>
      <w:r>
        <w:rPr>
          <w:rFonts w:hint="eastAsia" w:ascii="宋体" w:hAnsi="宋体" w:eastAsia="宋体"/>
          <w:color w:val="auto"/>
          <w:sz w:val="24"/>
          <w:highlight w:val="none"/>
        </w:rPr>
        <w:t>缴纳</w:t>
      </w:r>
      <w:r>
        <w:rPr>
          <w:rFonts w:ascii="宋体" w:hAnsi="宋体" w:eastAsia="宋体"/>
          <w:color w:val="auto"/>
          <w:sz w:val="24"/>
          <w:highlight w:val="none"/>
        </w:rPr>
        <w:t>履约保证金。</w:t>
      </w:r>
    </w:p>
    <w:p w14:paraId="46BC8A0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25</w:t>
      </w:r>
      <w:r>
        <w:rPr>
          <w:rFonts w:ascii="宋体" w:hAnsi="宋体" w:eastAsia="宋体"/>
          <w:color w:val="auto"/>
          <w:sz w:val="24"/>
          <w:highlight w:val="none"/>
        </w:rPr>
        <w:t>.2如果成交供应商没有按照上述履约保证金的规定执行，将视为放弃成交资格。在此情况下，采购人可确定下一成交候选人为成交供应商，也可以重新开展采购活动。</w:t>
      </w:r>
    </w:p>
    <w:p w14:paraId="474E7CE0">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26</w:t>
      </w:r>
      <w:r>
        <w:rPr>
          <w:rFonts w:ascii="宋体" w:hAnsi="宋体" w:eastAsia="宋体"/>
          <w:b/>
          <w:color w:val="auto"/>
          <w:sz w:val="24"/>
          <w:highlight w:val="none"/>
        </w:rPr>
        <w:t>.</w:t>
      </w:r>
      <w:r>
        <w:rPr>
          <w:rFonts w:hint="eastAsia" w:ascii="宋体" w:hAnsi="宋体" w:eastAsia="宋体"/>
          <w:b/>
          <w:color w:val="auto"/>
          <w:sz w:val="24"/>
          <w:highlight w:val="none"/>
        </w:rPr>
        <w:t>代理费用</w:t>
      </w:r>
    </w:p>
    <w:p w14:paraId="3EB36E4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26</w:t>
      </w:r>
      <w:r>
        <w:rPr>
          <w:rFonts w:ascii="宋体" w:hAnsi="宋体" w:eastAsia="宋体"/>
          <w:color w:val="auto"/>
          <w:sz w:val="24"/>
          <w:highlight w:val="none"/>
        </w:rPr>
        <w:t>.1本项目</w:t>
      </w:r>
      <w:r>
        <w:rPr>
          <w:rFonts w:hint="eastAsia" w:ascii="宋体" w:hAnsi="宋体" w:eastAsia="宋体"/>
          <w:color w:val="auto"/>
          <w:sz w:val="24"/>
          <w:highlight w:val="none"/>
        </w:rPr>
        <w:t>代理费用</w:t>
      </w:r>
      <w:r>
        <w:rPr>
          <w:rFonts w:ascii="宋体" w:hAnsi="宋体" w:eastAsia="宋体"/>
          <w:color w:val="auto"/>
          <w:sz w:val="24"/>
          <w:highlight w:val="none"/>
        </w:rPr>
        <w:t>的收取按</w:t>
      </w:r>
      <w:r>
        <w:rPr>
          <w:rFonts w:hint="eastAsia" w:ascii="宋体" w:hAnsi="宋体" w:eastAsia="宋体"/>
          <w:color w:val="auto"/>
          <w:sz w:val="24"/>
          <w:highlight w:val="none"/>
          <w:u w:val="single"/>
        </w:rPr>
        <w:t>供应商</w:t>
      </w:r>
      <w:r>
        <w:rPr>
          <w:rFonts w:ascii="宋体" w:hAnsi="宋体" w:eastAsia="宋体"/>
          <w:color w:val="auto"/>
          <w:sz w:val="24"/>
          <w:highlight w:val="none"/>
          <w:u w:val="single"/>
        </w:rPr>
        <w:t>须知前附表</w:t>
      </w:r>
      <w:r>
        <w:rPr>
          <w:rFonts w:ascii="宋体" w:hAnsi="宋体" w:eastAsia="宋体"/>
          <w:color w:val="auto"/>
          <w:sz w:val="24"/>
          <w:highlight w:val="none"/>
        </w:rPr>
        <w:t>的规定执行。</w:t>
      </w:r>
    </w:p>
    <w:p w14:paraId="6CC09D22">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27</w:t>
      </w:r>
      <w:r>
        <w:rPr>
          <w:rFonts w:ascii="宋体" w:hAnsi="宋体" w:eastAsia="宋体"/>
          <w:b/>
          <w:color w:val="auto"/>
          <w:sz w:val="24"/>
          <w:highlight w:val="none"/>
        </w:rPr>
        <w:t>.签订合同</w:t>
      </w:r>
    </w:p>
    <w:p w14:paraId="796EBFEE">
      <w:pPr>
        <w:spacing w:line="360" w:lineRule="auto"/>
        <w:ind w:firstLine="435"/>
        <w:rPr>
          <w:rFonts w:ascii="宋体" w:hAnsi="宋体" w:eastAsia="宋体"/>
          <w:color w:val="auto"/>
          <w:sz w:val="24"/>
          <w:highlight w:val="none"/>
        </w:rPr>
      </w:pPr>
      <w:bookmarkStart w:id="24" w:name="_Hlk60264926"/>
      <w:r>
        <w:rPr>
          <w:rFonts w:hint="eastAsia" w:ascii="宋体" w:hAnsi="宋体" w:eastAsia="宋体"/>
          <w:color w:val="auto"/>
          <w:sz w:val="24"/>
          <w:highlight w:val="none"/>
        </w:rPr>
        <w:t>27</w:t>
      </w:r>
      <w:r>
        <w:rPr>
          <w:rFonts w:ascii="宋体" w:hAnsi="宋体" w:eastAsia="宋体"/>
          <w:color w:val="auto"/>
          <w:sz w:val="24"/>
          <w:highlight w:val="none"/>
        </w:rPr>
        <w:t>.1</w:t>
      </w:r>
      <w:r>
        <w:rPr>
          <w:rFonts w:hint="eastAsia" w:ascii="宋体" w:hAnsi="宋体" w:eastAsia="宋体" w:cs="宋体"/>
          <w:color w:val="auto"/>
          <w:sz w:val="24"/>
          <w:szCs w:val="24"/>
          <w:highlight w:val="none"/>
        </w:rPr>
        <w:t>采购人与成交供应商应当按照</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规定的时间内完成政府采购合同签订及合同公告。</w:t>
      </w:r>
    </w:p>
    <w:p w14:paraId="1E9D35D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27</w:t>
      </w:r>
      <w:r>
        <w:rPr>
          <w:rFonts w:ascii="宋体" w:hAnsi="宋体" w:eastAsia="宋体"/>
          <w:color w:val="auto"/>
          <w:sz w:val="24"/>
          <w:highlight w:val="none"/>
        </w:rPr>
        <w:t>.2谈判文件、成交供应商的响应文件及其澄清文件等，均为签订合同的依据。</w:t>
      </w:r>
    </w:p>
    <w:p w14:paraId="60F5949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27</w:t>
      </w:r>
      <w:r>
        <w:rPr>
          <w:rFonts w:ascii="宋体" w:hAnsi="宋体" w:eastAsia="宋体"/>
          <w:color w:val="auto"/>
          <w:sz w:val="24"/>
          <w:highlight w:val="none"/>
        </w:rPr>
        <w:t>.3 成交供应商拒绝与采购人签订合同的，采购人可以按照评审报告推荐的成交候选人名单排序，确定下一成交候选人为成交供应商，也可以重新开展采购活动。</w:t>
      </w:r>
      <w:r>
        <w:rPr>
          <w:rFonts w:hint="eastAsia" w:ascii="宋体" w:hAnsi="宋体" w:eastAsia="宋体"/>
          <w:color w:val="auto"/>
          <w:sz w:val="24"/>
          <w:highlight w:val="none"/>
        </w:rPr>
        <w:t>成交供应商拒绝签订政府采购合同的采购人有权上报监管部门，并保留追责权。</w:t>
      </w:r>
    </w:p>
    <w:bookmarkEnd w:id="24"/>
    <w:p w14:paraId="6B8FDD90">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28</w:t>
      </w:r>
      <w:r>
        <w:rPr>
          <w:rFonts w:ascii="宋体" w:hAnsi="宋体" w:eastAsia="宋体"/>
          <w:b/>
          <w:color w:val="auto"/>
          <w:sz w:val="24"/>
          <w:highlight w:val="none"/>
        </w:rPr>
        <w:t>.廉洁自律规定</w:t>
      </w:r>
    </w:p>
    <w:p w14:paraId="3A9DF1A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28</w:t>
      </w:r>
      <w:r>
        <w:rPr>
          <w:rFonts w:ascii="宋体" w:hAnsi="宋体" w:eastAsia="宋体"/>
          <w:color w:val="auto"/>
          <w:sz w:val="24"/>
          <w:highlight w:val="none"/>
        </w:rPr>
        <w:t>.1采购代理机构工作人员不得以不正当手段获取政府采购代理业务，不得与采购人、供应商恶意串通。</w:t>
      </w:r>
    </w:p>
    <w:p w14:paraId="0C7A368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28</w:t>
      </w:r>
      <w:r>
        <w:rPr>
          <w:rFonts w:ascii="宋体" w:hAnsi="宋体" w:eastAsia="宋体"/>
          <w:color w:val="auto"/>
          <w:sz w:val="24"/>
          <w:highlight w:val="none"/>
        </w:rPr>
        <w:t>.2采购代理机构工作人员不得接受采购人或者供应商组织的宴请、旅游、娱乐，不得收受礼品、现金、有价证券等，不得向采购人或者供应商报销应当由个人承担的费用。</w:t>
      </w:r>
    </w:p>
    <w:p w14:paraId="4477AAC1">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29</w:t>
      </w:r>
      <w:r>
        <w:rPr>
          <w:rFonts w:ascii="宋体" w:hAnsi="宋体" w:eastAsia="宋体"/>
          <w:b/>
          <w:color w:val="auto"/>
          <w:sz w:val="24"/>
          <w:highlight w:val="none"/>
        </w:rPr>
        <w:t>.质疑的提出与接收</w:t>
      </w:r>
    </w:p>
    <w:p w14:paraId="14CEF46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29.1供应商认为谈判文件、采购过程和成交结果使自己的权益受到损害的，可以在知道或者应知其权益受到损害之日起七个工作日内，以书面形式向采购人或其委托的采购代理机构提出质疑。</w:t>
      </w:r>
    </w:p>
    <w:p w14:paraId="0715F6B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29.2质疑供应商应按照财政部制定的《政府采购质疑函范本》格式和《政府采购质疑和投诉办法》的要求，在法定质疑期内以书面形式提出质疑，超出法定质疑期提交的质疑将被拒绝。针对同一采购程序环节的质疑应一次性提出。</w:t>
      </w:r>
    </w:p>
    <w:p w14:paraId="30D98AC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29.3采购代理机构质疑函接收部门、联系电话和通讯地址，见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rPr>
        <w:t>。</w:t>
      </w:r>
    </w:p>
    <w:p w14:paraId="3421E8A6">
      <w:pPr>
        <w:spacing w:line="440" w:lineRule="exact"/>
        <w:ind w:firstLine="435"/>
        <w:rPr>
          <w:rFonts w:ascii="宋体" w:hAnsi="宋体" w:eastAsia="宋体"/>
          <w:color w:val="auto"/>
          <w:sz w:val="24"/>
          <w:highlight w:val="none"/>
        </w:rPr>
      </w:pPr>
      <w:r>
        <w:rPr>
          <w:rFonts w:hint="eastAsia" w:ascii="宋体" w:hAnsi="宋体" w:eastAsia="宋体"/>
          <w:color w:val="auto"/>
          <w:sz w:val="24"/>
          <w:highlight w:val="none"/>
        </w:rPr>
        <w:t>29.4采购人或采购代理机构在收到供应商的质疑函后，将审查质疑函的格式、内容以及所附的证明文件是否符合要求。如不符合，说明原因退回供应商；如符合要求，则接受该质疑函。供应商对评审过程、成交结果提出质疑的，采购人、采购代理机构可以组织原谈判小组协助答复质疑。处理质疑的时间，从实际接受供应商质疑函的时间开始计算。</w:t>
      </w:r>
    </w:p>
    <w:p w14:paraId="7BF959F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注：上述条款中所要求的书面形式包含通过电子交易系统递交方式。</w:t>
      </w:r>
    </w:p>
    <w:p w14:paraId="475B65B9">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30</w:t>
      </w:r>
      <w:r>
        <w:rPr>
          <w:rFonts w:ascii="宋体" w:hAnsi="宋体" w:eastAsia="宋体"/>
          <w:b/>
          <w:color w:val="auto"/>
          <w:sz w:val="24"/>
          <w:highlight w:val="none"/>
        </w:rPr>
        <w:t>.</w:t>
      </w:r>
      <w:r>
        <w:rPr>
          <w:rFonts w:hint="eastAsia" w:ascii="宋体" w:hAnsi="宋体" w:eastAsia="宋体"/>
          <w:b/>
          <w:color w:val="auto"/>
          <w:sz w:val="24"/>
          <w:highlight w:val="none"/>
        </w:rPr>
        <w:t>投诉</w:t>
      </w:r>
    </w:p>
    <w:p w14:paraId="305F24F8">
      <w:pPr>
        <w:wordWrap w:val="0"/>
        <w:spacing w:line="360" w:lineRule="auto"/>
        <w:ind w:firstLine="437"/>
        <w:outlineLvl w:val="2"/>
        <w:rPr>
          <w:rFonts w:ascii="宋体" w:hAnsi="宋体" w:eastAsia="宋体"/>
          <w:bCs/>
          <w:color w:val="auto"/>
          <w:sz w:val="24"/>
          <w:highlight w:val="none"/>
        </w:rPr>
      </w:pPr>
      <w:r>
        <w:rPr>
          <w:rFonts w:hint="eastAsia" w:ascii="宋体" w:hAnsi="宋体" w:eastAsia="宋体"/>
          <w:bCs/>
          <w:color w:val="auto"/>
          <w:sz w:val="24"/>
          <w:highlight w:val="none"/>
        </w:rPr>
        <w:t>30.1质疑投标人对采购人、采购代理机构的答复不满意，或者采购人、采购代理机构未在规定的时间内答复的，可以在答复期满后十五个工作日内按有关规定，以书面形式向同级政府采购监督管理部门提出投诉。</w:t>
      </w:r>
    </w:p>
    <w:p w14:paraId="48038743">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31</w:t>
      </w:r>
      <w:r>
        <w:rPr>
          <w:rFonts w:ascii="宋体" w:hAnsi="宋体" w:eastAsia="宋体"/>
          <w:b/>
          <w:color w:val="auto"/>
          <w:sz w:val="24"/>
          <w:highlight w:val="none"/>
        </w:rPr>
        <w:t>.需要补充的其他内容</w:t>
      </w:r>
    </w:p>
    <w:p w14:paraId="062B334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需要补充的其他内容，见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rPr>
        <w:t>。</w:t>
      </w:r>
    </w:p>
    <w:p w14:paraId="596B8A2F">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768F5E53">
      <w:pPr>
        <w:spacing w:line="360" w:lineRule="auto"/>
        <w:jc w:val="center"/>
        <w:outlineLvl w:val="0"/>
        <w:rPr>
          <w:rFonts w:asciiTheme="minorEastAsia" w:hAnsiTheme="minorEastAsia" w:eastAsiaTheme="minorEastAsia"/>
          <w:b/>
          <w:color w:val="auto"/>
          <w:sz w:val="28"/>
          <w:highlight w:val="none"/>
        </w:rPr>
      </w:pPr>
      <w:bookmarkStart w:id="25" w:name="_Toc12846"/>
      <w:r>
        <w:rPr>
          <w:rFonts w:hint="eastAsia" w:asciiTheme="minorEastAsia" w:hAnsiTheme="minorEastAsia" w:eastAsiaTheme="minorEastAsia"/>
          <w:b/>
          <w:color w:val="auto"/>
          <w:sz w:val="28"/>
          <w:highlight w:val="none"/>
        </w:rPr>
        <w:t>第三章  采购需求</w:t>
      </w:r>
      <w:bookmarkEnd w:id="25"/>
    </w:p>
    <w:p w14:paraId="320137BD">
      <w:pPr>
        <w:spacing w:line="360" w:lineRule="auto"/>
        <w:ind w:firstLine="482" w:firstLineChars="200"/>
        <w:rPr>
          <w:rFonts w:asciiTheme="minorEastAsia" w:hAnsiTheme="minorEastAsia" w:eastAsiaTheme="minorEastAsia"/>
          <w:b/>
          <w:bCs/>
          <w:color w:val="auto"/>
          <w:sz w:val="24"/>
          <w:highlight w:val="none"/>
        </w:rPr>
      </w:pPr>
      <w:bookmarkStart w:id="26" w:name="_Toc30537"/>
      <w:bookmarkStart w:id="27" w:name="_Hlk16461016"/>
      <w:bookmarkStart w:id="28" w:name="_Toc15927"/>
      <w:r>
        <w:rPr>
          <w:rFonts w:hint="eastAsia" w:asciiTheme="minorEastAsia" w:hAnsiTheme="minorEastAsia" w:eastAsiaTheme="minorEastAsia"/>
          <w:b/>
          <w:bCs/>
          <w:color w:val="auto"/>
          <w:sz w:val="24"/>
          <w:highlight w:val="none"/>
        </w:rPr>
        <w:t>一、宣传片名称</w:t>
      </w:r>
    </w:p>
    <w:p w14:paraId="3E64461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光储融合 智造升级，聚力打造“世界光伏之都”（暂定）。</w:t>
      </w:r>
    </w:p>
    <w:p w14:paraId="1034CA85">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二、项目背景与目标</w:t>
      </w:r>
    </w:p>
    <w:p w14:paraId="69DBF0E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为配合“2025年9月18-19日中国光伏行业协会与滁州市政府共同举办的光伏储能产业创新成果对接会”，拟制作一部高质量宣传片，系统展示滁州市在先进光伏和新型储能产业方面的发展成就、产业生态、创新成果与未来规划，提升滁州“世界光伏之都”的品牌形象与影响力。</w:t>
      </w:r>
    </w:p>
    <w:p w14:paraId="5E998812">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三、宣传片内容要求</w:t>
      </w:r>
    </w:p>
    <w:p w14:paraId="06130BE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1、主题：以“光储融合 智造升级，聚力打造‘世界光伏之都’”为核心主题。</w:t>
      </w:r>
    </w:p>
    <w:p w14:paraId="48333AD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2、内容涵盖：</w:t>
      </w:r>
    </w:p>
    <w:p w14:paraId="34B4E18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滁州市光伏与储能产业发展历程与现状；</w:t>
      </w:r>
    </w:p>
    <w:p w14:paraId="51D2BCC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重点企业、重点项目介绍（如光伏组件、储能电池、系统集成等）；</w:t>
      </w:r>
    </w:p>
    <w:p w14:paraId="02BC148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技术创新与研发成果；</w:t>
      </w:r>
    </w:p>
    <w:p w14:paraId="03BA53B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产业链协同与集群优势；</w:t>
      </w:r>
    </w:p>
    <w:p w14:paraId="4CD4DF5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绿色发展与社会贡献；</w:t>
      </w:r>
    </w:p>
    <w:p w14:paraId="71497E1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未来发展规划与目标。</w:t>
      </w:r>
    </w:p>
    <w:p w14:paraId="6838C9C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3、表现形式：综合运用实景拍摄、无人机航拍、三维动画、数据可视化、人物访谈、中英文字幕等方式，确保画面精美、节奏紧凑、信息清晰、感染力强。</w:t>
      </w:r>
    </w:p>
    <w:p w14:paraId="072A60AE">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四、 服务要求</w:t>
      </w:r>
    </w:p>
    <w:p w14:paraId="0F7079C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1、总体要求</w:t>
      </w:r>
    </w:p>
    <w:p w14:paraId="52F72E1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（1）主题明确，创作思路清晰；</w:t>
      </w:r>
    </w:p>
    <w:p w14:paraId="717B532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（2）画面清晰流畅，表现形式有震撼力；</w:t>
      </w:r>
    </w:p>
    <w:p w14:paraId="1708632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（3）音乐、音效与画面情景交融，具有沉浸感；</w:t>
      </w:r>
    </w:p>
    <w:p w14:paraId="1366EA8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（4）成交供应商负责宣传片脚本的文字编写工作；</w:t>
      </w:r>
    </w:p>
    <w:p w14:paraId="37CA56A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（5）成交供应商负责宣传片的全程拍摄、制作及包装合成等各项工作；</w:t>
      </w:r>
    </w:p>
    <w:p w14:paraId="639C436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2、技术要求</w:t>
      </w:r>
    </w:p>
    <w:p w14:paraId="7160FB8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（1）宣传片时长6-8分钟。</w:t>
      </w:r>
    </w:p>
    <w:p w14:paraId="441C7BC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（2）画面标准：</w:t>
      </w:r>
    </w:p>
    <w:p w14:paraId="062E986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画面清晰、配乐合理。音乐、音效与画面情景交融，具有沉浸感，表现形式有震撼力；</w:t>
      </w:r>
    </w:p>
    <w:p w14:paraId="7A48301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分辨率：≥2K（2560×1440或以上）；</w:t>
      </w:r>
    </w:p>
    <w:p w14:paraId="66F0BE9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帧率：25fps或30fps；</w:t>
      </w:r>
    </w:p>
    <w:p w14:paraId="69F30BA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色彩：Rec.709或DCI-P3标准；</w:t>
      </w:r>
    </w:p>
    <w:p w14:paraId="48D0067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格式：MP4（H.264/H.265）、MOV（ProRes）、AVI（未压缩）等。</w:t>
      </w:r>
    </w:p>
    <w:p w14:paraId="6524FB5C">
      <w:pPr>
        <w:spacing w:line="360" w:lineRule="auto"/>
        <w:ind w:firstLine="480" w:firstLineChars="200"/>
        <w:rPr>
          <w:color w:val="auto"/>
          <w:highlight w:val="none"/>
        </w:rPr>
      </w:pPr>
      <w:r>
        <w:rPr>
          <w:rFonts w:hint="eastAsia" w:asciiTheme="minorEastAsia" w:hAnsiTheme="minorEastAsia" w:eastAsiaTheme="minorEastAsia"/>
          <w:color w:val="auto"/>
          <w:sz w:val="24"/>
          <w:highlight w:val="none"/>
        </w:rPr>
        <w:t>（3）音频标准：</w:t>
      </w:r>
    </w:p>
    <w:p w14:paraId="0EA28B1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语音标准、声画对位。片中语言与字幕同步播出，对位准确；</w:t>
      </w:r>
    </w:p>
    <w:p w14:paraId="45A1BCF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格式：WAV/MP3；</w:t>
      </w:r>
    </w:p>
    <w:p w14:paraId="5482A33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声道：立体声或5.1声道；</w:t>
      </w:r>
    </w:p>
    <w:p w14:paraId="095E68E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语音：普通话配音，发音标准，情绪饱满；</w:t>
      </w:r>
    </w:p>
    <w:p w14:paraId="0CE02AC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（4）中英文双语字幕，同步准确，字体清晰。</w:t>
      </w:r>
    </w:p>
    <w:p w14:paraId="2BA7248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（5）音乐与音效：原创或已获授权，与画面情绪契合，无版权纠纷。</w:t>
      </w:r>
    </w:p>
    <w:p w14:paraId="708AC19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（6）交付物清单：</w:t>
      </w:r>
    </w:p>
    <w:p w14:paraId="72B00FF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成片（2K及以上，提供 WMV、MP4、AVI 三种格式，适合在网络及高清播放机中播放）；</w:t>
      </w:r>
    </w:p>
    <w:p w14:paraId="23EF0DD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所有拍摄原始素材（视频、音频）；</w:t>
      </w:r>
    </w:p>
    <w:p w14:paraId="660D730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剪辑工程文件（如Premiere、Final Cut Pro工程文件）；</w:t>
      </w:r>
    </w:p>
    <w:p w14:paraId="2B79D24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字幕文件（SRT或ASS格式）；</w:t>
      </w:r>
    </w:p>
    <w:p w14:paraId="795FBF1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音乐、音效、字体等授权证明文件（如有）；</w:t>
      </w:r>
    </w:p>
    <w:p w14:paraId="41EDF7B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3、售后服务：免费提供数据修改（不涉及配音、镜头补拍）。</w:t>
      </w:r>
    </w:p>
    <w:p w14:paraId="7602490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4、版权与知识产权</w:t>
      </w:r>
    </w:p>
    <w:p w14:paraId="30697D5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（1）成片所有权、著作权、使用权归采购人所有。</w:t>
      </w:r>
    </w:p>
    <w:p w14:paraId="22A7AC5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（2）供应商应确保所有素材、音乐、字体、肖像等均获得合法授权，若发生侵权纠纷，由供应商承担全部法律责任。</w:t>
      </w:r>
    </w:p>
    <w:p w14:paraId="20644B6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（3）未经采购人书面同意，不得将成片或素材用于其他用途。</w:t>
      </w:r>
    </w:p>
    <w:p w14:paraId="28DE270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服务周期</w:t>
      </w:r>
    </w:p>
    <w:p w14:paraId="24D75F9A">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脚本初稿：2025年9月12日前；</w:t>
      </w:r>
    </w:p>
    <w:p w14:paraId="28327038">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成片交付：2025年9月15日前；</w:t>
      </w:r>
    </w:p>
    <w:p w14:paraId="52C7ED76">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修改周期：成片交付后3日内完成不超过2轮修改。</w:t>
      </w:r>
    </w:p>
    <w:p w14:paraId="225DAFC1">
      <w:pPr>
        <w:pStyle w:val="2"/>
        <w:ind w:firstLine="240"/>
        <w:rPr>
          <w:rFonts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lang w:val="en-US"/>
        </w:rPr>
        <w:t>6、验收标准</w:t>
      </w:r>
    </w:p>
    <w:p w14:paraId="2A736E9C">
      <w:pPr>
        <w:pStyle w:val="2"/>
        <w:ind w:firstLine="240"/>
        <w:rPr>
          <w:rFonts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lang w:val="en-US"/>
        </w:rPr>
        <w:t>符合采购需求中所有内容与技术标准；</w:t>
      </w:r>
    </w:p>
    <w:p w14:paraId="5957CE58">
      <w:pPr>
        <w:pStyle w:val="2"/>
        <w:ind w:firstLine="240"/>
        <w:rPr>
          <w:rFonts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lang w:val="en-US"/>
        </w:rPr>
        <w:t>画面流畅、音画同步、字幕准确；</w:t>
      </w:r>
    </w:p>
    <w:p w14:paraId="5BE7701B">
      <w:pPr>
        <w:pStyle w:val="2"/>
        <w:ind w:firstLine="240"/>
        <w:rPr>
          <w:rFonts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lang w:val="en-US"/>
        </w:rPr>
        <w:t>无政治性、技术性、法律性错误；</w:t>
      </w:r>
    </w:p>
    <w:p w14:paraId="1A840791">
      <w:pPr>
        <w:pStyle w:val="2"/>
        <w:ind w:firstLine="240"/>
        <w:rPr>
          <w:rFonts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lang w:val="en-US"/>
        </w:rPr>
        <w:t>采购人组织验收，验收通过后签署《验收报告》。</w:t>
      </w:r>
    </w:p>
    <w:p w14:paraId="7C433314">
      <w:pPr>
        <w:pStyle w:val="2"/>
        <w:ind w:firstLine="240"/>
        <w:rPr>
          <w:rFonts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lang w:val="en-US"/>
        </w:rPr>
        <w:t>7、售后服务</w:t>
      </w:r>
    </w:p>
    <w:p w14:paraId="45C59984">
      <w:pPr>
        <w:pStyle w:val="2"/>
        <w:ind w:firstLine="240"/>
        <w:rPr>
          <w:rFonts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lang w:val="en-US"/>
        </w:rPr>
        <w:t>提供1年内免费数据修改服务（不涉及补拍、重配音）；</w:t>
      </w:r>
    </w:p>
    <w:p w14:paraId="3EB0685C">
      <w:pPr>
        <w:pStyle w:val="2"/>
        <w:ind w:firstLine="240"/>
        <w:rPr>
          <w:rFonts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lang w:val="en-US"/>
        </w:rPr>
        <w:t>提供成片不同格式转码服务；</w:t>
      </w:r>
    </w:p>
    <w:p w14:paraId="3425846B">
      <w:pPr>
        <w:pStyle w:val="2"/>
        <w:ind w:firstLine="240"/>
        <w:rPr>
          <w:rFonts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lang w:val="en-US"/>
        </w:rPr>
        <w:t>提供宣传片播放技术支持。</w:t>
      </w:r>
    </w:p>
    <w:p w14:paraId="11BD5198">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lang w:val="en-US" w:eastAsia="zh-CN"/>
        </w:rPr>
        <w:t>五</w:t>
      </w:r>
      <w:r>
        <w:rPr>
          <w:rFonts w:hint="eastAsia" w:asciiTheme="minorEastAsia" w:hAnsiTheme="minorEastAsia" w:eastAsiaTheme="minorEastAsia"/>
          <w:b/>
          <w:bCs/>
          <w:color w:val="auto"/>
          <w:sz w:val="24"/>
          <w:highlight w:val="none"/>
        </w:rPr>
        <w:t>、</w:t>
      </w:r>
      <w:r>
        <w:rPr>
          <w:rFonts w:hint="eastAsia" w:ascii="宋体" w:hAnsi="宋体" w:eastAsia="宋体"/>
          <w:b/>
          <w:color w:val="auto"/>
          <w:sz w:val="24"/>
          <w:szCs w:val="18"/>
          <w:highlight w:val="none"/>
        </w:rPr>
        <w:t>报价要求</w:t>
      </w:r>
    </w:p>
    <w:p w14:paraId="5E57322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本项目报总价，供应商的报价含有</w:t>
      </w:r>
      <w:r>
        <w:rPr>
          <w:rFonts w:hint="eastAsia" w:asciiTheme="minorEastAsia" w:hAnsiTheme="minorEastAsia" w:eastAsiaTheme="minorEastAsia"/>
          <w:color w:val="auto"/>
          <w:sz w:val="24"/>
          <w:highlight w:val="none"/>
        </w:rPr>
        <w:t>脚本撰写、拍摄、剪辑、配音、字幕、音乐、版权、税费、代理费、评审费</w:t>
      </w:r>
      <w:r>
        <w:rPr>
          <w:rFonts w:hint="eastAsia" w:asciiTheme="minorEastAsia" w:hAnsiTheme="minorEastAsia" w:eastAsiaTheme="minorEastAsia"/>
          <w:color w:val="auto"/>
          <w:sz w:val="24"/>
          <w:highlight w:val="none"/>
        </w:rPr>
        <w:t>、利润、税金、政策性文件规定及合同包含的所有风险、责任、义务等，即为完成本项目服务内容所包含的一切应有费用，采购人后期不再追加任何费用，供应商自行考虑本项目报价风险。</w:t>
      </w:r>
    </w:p>
    <w:p w14:paraId="1C744265">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lang w:val="en-US" w:eastAsia="zh-CN"/>
        </w:rPr>
        <w:t>六</w:t>
      </w:r>
      <w:r>
        <w:rPr>
          <w:rFonts w:hint="eastAsia" w:asciiTheme="minorEastAsia" w:hAnsiTheme="minorEastAsia" w:eastAsiaTheme="minorEastAsia"/>
          <w:b/>
          <w:bCs/>
          <w:color w:val="auto"/>
          <w:sz w:val="24"/>
          <w:highlight w:val="none"/>
        </w:rPr>
        <w:t>、付款方式：成片验收合格后一次性付清合同款，采购人通知成交供应商开具发票，采购人按流程进行支付。</w:t>
      </w:r>
    </w:p>
    <w:bookmarkEnd w:id="26"/>
    <w:bookmarkEnd w:id="27"/>
    <w:bookmarkEnd w:id="28"/>
    <w:p w14:paraId="1B14E150">
      <w:pPr>
        <w:spacing w:line="360" w:lineRule="auto"/>
        <w:jc w:val="center"/>
        <w:outlineLvl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bookmarkStart w:id="29" w:name="_Toc23236"/>
      <w:r>
        <w:rPr>
          <w:rFonts w:hint="eastAsia" w:asciiTheme="minorEastAsia" w:hAnsiTheme="minorEastAsia" w:eastAsiaTheme="minorEastAsia"/>
          <w:b/>
          <w:color w:val="auto"/>
          <w:sz w:val="28"/>
          <w:highlight w:val="none"/>
        </w:rPr>
        <w:t>第四章  评审方法和标准</w:t>
      </w:r>
      <w:bookmarkEnd w:id="29"/>
    </w:p>
    <w:p w14:paraId="7D7663BC">
      <w:pPr>
        <w:spacing w:line="360" w:lineRule="auto"/>
        <w:ind w:firstLine="437"/>
        <w:outlineLvl w:val="1"/>
        <w:rPr>
          <w:rFonts w:asciiTheme="minorEastAsia" w:hAnsiTheme="minorEastAsia" w:eastAsiaTheme="minorEastAsia"/>
          <w:b/>
          <w:color w:val="auto"/>
          <w:sz w:val="24"/>
          <w:highlight w:val="none"/>
        </w:rPr>
      </w:pPr>
      <w:bookmarkStart w:id="30" w:name="_Toc20577"/>
      <w:bookmarkStart w:id="31" w:name="_Toc16905"/>
      <w:r>
        <w:rPr>
          <w:rFonts w:hint="eastAsia" w:asciiTheme="minorEastAsia" w:hAnsiTheme="minorEastAsia" w:eastAsiaTheme="minorEastAsia"/>
          <w:b/>
          <w:color w:val="auto"/>
          <w:sz w:val="24"/>
          <w:highlight w:val="none"/>
        </w:rPr>
        <w:t>一、总则</w:t>
      </w:r>
      <w:bookmarkEnd w:id="30"/>
      <w:bookmarkEnd w:id="31"/>
    </w:p>
    <w:p w14:paraId="6414AB4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本项目将按照谈判文件第二章 供应商须知的相关要求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w:t>
      </w:r>
    </w:p>
    <w:p w14:paraId="4FCB877A">
      <w:pPr>
        <w:spacing w:line="360" w:lineRule="auto"/>
        <w:ind w:firstLine="437"/>
        <w:outlineLvl w:val="1"/>
        <w:rPr>
          <w:rFonts w:asciiTheme="minorEastAsia" w:hAnsiTheme="minorEastAsia" w:eastAsiaTheme="minorEastAsia"/>
          <w:b/>
          <w:color w:val="auto"/>
          <w:sz w:val="24"/>
          <w:highlight w:val="none"/>
        </w:rPr>
      </w:pPr>
      <w:bookmarkStart w:id="32" w:name="_Toc28634"/>
      <w:bookmarkStart w:id="33" w:name="_Toc14705"/>
      <w:r>
        <w:rPr>
          <w:rFonts w:hint="eastAsia" w:asciiTheme="minorEastAsia" w:hAnsiTheme="minorEastAsia" w:eastAsiaTheme="minorEastAsia"/>
          <w:b/>
          <w:color w:val="auto"/>
          <w:sz w:val="24"/>
          <w:highlight w:val="none"/>
        </w:rPr>
        <w:t>二、评审方法</w:t>
      </w:r>
      <w:bookmarkEnd w:id="32"/>
      <w:bookmarkEnd w:id="33"/>
    </w:p>
    <w:p w14:paraId="3D38411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谈判小组对供应商的响应文件进行初审，以确定其是否满足谈判文件的实质性要求。初审表如下：</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367"/>
        <w:gridCol w:w="4379"/>
        <w:gridCol w:w="2084"/>
      </w:tblGrid>
      <w:tr w14:paraId="459A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48C11AEE">
            <w:pPr>
              <w:adjustRightInd w:val="0"/>
              <w:snapToGrid w:val="0"/>
              <w:spacing w:line="360" w:lineRule="auto"/>
              <w:ind w:right="-10"/>
              <w:jc w:val="center"/>
              <w:rPr>
                <w:rFonts w:ascii="宋体" w:hAnsi="宋体" w:eastAsia="宋体"/>
                <w:color w:val="auto"/>
                <w:sz w:val="24"/>
                <w:highlight w:val="none"/>
              </w:rPr>
            </w:pPr>
            <w:bookmarkStart w:id="34" w:name="_Hlk60612144"/>
            <w:r>
              <w:rPr>
                <w:rFonts w:hint="eastAsia" w:ascii="宋体" w:hAnsi="宋体" w:eastAsia="宋体"/>
                <w:b/>
                <w:color w:val="auto"/>
                <w:sz w:val="24"/>
                <w:szCs w:val="22"/>
                <w:highlight w:val="none"/>
              </w:rPr>
              <w:t>初审表</w:t>
            </w:r>
          </w:p>
        </w:tc>
      </w:tr>
      <w:tr w14:paraId="3131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Borders>
              <w:bottom w:val="single" w:color="auto" w:sz="4" w:space="0"/>
            </w:tcBorders>
            <w:vAlign w:val="center"/>
          </w:tcPr>
          <w:p w14:paraId="34979BBC">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802" w:type="pct"/>
            <w:tcBorders>
              <w:bottom w:val="single" w:color="auto" w:sz="4" w:space="0"/>
            </w:tcBorders>
            <w:vAlign w:val="center"/>
          </w:tcPr>
          <w:p w14:paraId="77ABE928">
            <w:pPr>
              <w:pStyle w:val="48"/>
              <w:pBdr>
                <w:bottom w:val="none" w:color="auto" w:sz="0" w:space="0"/>
              </w:pBdr>
              <w:tabs>
                <w:tab w:val="clear" w:pos="4153"/>
                <w:tab w:val="clear" w:pos="8306"/>
              </w:tabs>
              <w:snapToGrid w:val="0"/>
              <w:spacing w:line="360" w:lineRule="auto"/>
              <w:ind w:right="-10"/>
              <w:textAlignment w:val="auto"/>
              <w:rPr>
                <w:rFonts w:ascii="宋体" w:hAnsi="宋体" w:eastAsia="宋体"/>
                <w:color w:val="auto"/>
                <w:kern w:val="2"/>
                <w:szCs w:val="24"/>
                <w:highlight w:val="none"/>
              </w:rPr>
            </w:pPr>
            <w:r>
              <w:rPr>
                <w:rFonts w:hint="eastAsia" w:ascii="宋体" w:hAnsi="宋体" w:eastAsia="宋体"/>
                <w:color w:val="auto"/>
                <w:kern w:val="2"/>
                <w:szCs w:val="24"/>
                <w:highlight w:val="none"/>
              </w:rPr>
              <w:t>审查指标</w:t>
            </w:r>
          </w:p>
        </w:tc>
        <w:tc>
          <w:tcPr>
            <w:tcW w:w="2569" w:type="pct"/>
            <w:tcBorders>
              <w:bottom w:val="single" w:color="auto" w:sz="4" w:space="0"/>
            </w:tcBorders>
            <w:vAlign w:val="center"/>
          </w:tcPr>
          <w:p w14:paraId="070E228A">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审查标准</w:t>
            </w:r>
          </w:p>
        </w:tc>
        <w:tc>
          <w:tcPr>
            <w:tcW w:w="1222" w:type="pct"/>
            <w:tcBorders>
              <w:bottom w:val="single" w:color="auto" w:sz="4" w:space="0"/>
            </w:tcBorders>
            <w:vAlign w:val="center"/>
          </w:tcPr>
          <w:p w14:paraId="0391BE38">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552A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06" w:type="pct"/>
            <w:tcBorders>
              <w:bottom w:val="single" w:color="auto" w:sz="4" w:space="0"/>
            </w:tcBorders>
            <w:vAlign w:val="center"/>
          </w:tcPr>
          <w:p w14:paraId="4465A188">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802" w:type="pct"/>
            <w:tcBorders>
              <w:bottom w:val="single" w:color="auto" w:sz="4" w:space="0"/>
            </w:tcBorders>
            <w:vAlign w:val="center"/>
          </w:tcPr>
          <w:p w14:paraId="7B253A09">
            <w:pPr>
              <w:spacing w:after="50" w:line="360" w:lineRule="auto"/>
              <w:ind w:right="-10"/>
              <w:jc w:val="center"/>
              <w:rPr>
                <w:rFonts w:ascii="宋体" w:hAnsi="宋体" w:eastAsia="宋体"/>
                <w:color w:val="auto"/>
                <w:sz w:val="24"/>
                <w:szCs w:val="28"/>
                <w:highlight w:val="none"/>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2569" w:type="pct"/>
            <w:tcBorders>
              <w:bottom w:val="single" w:color="auto" w:sz="4" w:space="0"/>
            </w:tcBorders>
            <w:vAlign w:val="center"/>
          </w:tcPr>
          <w:p w14:paraId="36A14477">
            <w:pPr>
              <w:spacing w:after="50" w:line="360" w:lineRule="auto"/>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供有效的营业执照；</w:t>
            </w:r>
          </w:p>
          <w:p w14:paraId="0D69CEC8">
            <w:pPr>
              <w:spacing w:after="50" w:line="360" w:lineRule="auto"/>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供有效的事业单位法人证书；</w:t>
            </w:r>
          </w:p>
          <w:p w14:paraId="7ED1305E">
            <w:pPr>
              <w:spacing w:after="50" w:line="360" w:lineRule="auto"/>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w:t>
            </w:r>
            <w:r>
              <w:rPr>
                <w:rFonts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rPr>
              <w:t>或</w:t>
            </w:r>
            <w:r>
              <w:rPr>
                <w:rFonts w:ascii="宋体" w:hAnsi="宋体" w:eastAsia="宋体" w:cs="宋体"/>
                <w:color w:val="auto"/>
                <w:sz w:val="24"/>
                <w:szCs w:val="24"/>
                <w:highlight w:val="none"/>
              </w:rPr>
              <w:t>登记证书等证明文件；</w:t>
            </w:r>
          </w:p>
          <w:p w14:paraId="119A062A">
            <w:pPr>
              <w:spacing w:after="50" w:line="360" w:lineRule="auto"/>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w:t>
            </w:r>
            <w:r>
              <w:rPr>
                <w:rFonts w:ascii="宋体" w:hAnsi="宋体" w:eastAsia="宋体" w:cs="宋体"/>
                <w:color w:val="auto"/>
                <w:sz w:val="24"/>
                <w:szCs w:val="24"/>
                <w:highlight w:val="none"/>
              </w:rPr>
              <w:t>是个体工商户的，应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供有效的个体工商户营业执照；</w:t>
            </w:r>
          </w:p>
          <w:p w14:paraId="2E1ABBCD">
            <w:pPr>
              <w:spacing w:after="50" w:line="360" w:lineRule="auto"/>
              <w:ind w:right="-10"/>
              <w:jc w:val="left"/>
              <w:rPr>
                <w:rFonts w:ascii="宋体" w:hAnsi="宋体" w:eastAsia="宋体"/>
                <w:color w:val="auto"/>
                <w:sz w:val="24"/>
                <w:szCs w:val="28"/>
                <w:highlight w:val="none"/>
              </w:rPr>
            </w:pPr>
            <w:r>
              <w:rPr>
                <w:rFonts w:hint="eastAsia" w:ascii="宋体" w:hAnsi="宋体" w:eastAsia="宋体" w:cs="宋体"/>
                <w:color w:val="auto"/>
                <w:sz w:val="24"/>
                <w:szCs w:val="24"/>
                <w:highlight w:val="none"/>
              </w:rPr>
              <w:t>（5）供应商</w:t>
            </w:r>
            <w:r>
              <w:rPr>
                <w:rFonts w:ascii="宋体" w:hAnsi="宋体" w:eastAsia="宋体" w:cs="宋体"/>
                <w:color w:val="auto"/>
                <w:sz w:val="24"/>
                <w:szCs w:val="24"/>
                <w:highlight w:val="none"/>
              </w:rPr>
              <w:t>是自然人的，应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供有效的自然人身份证明</w:t>
            </w:r>
            <w:r>
              <w:rPr>
                <w:rFonts w:hint="eastAsia" w:ascii="宋体" w:hAnsi="宋体" w:eastAsia="宋体" w:cs="宋体"/>
                <w:color w:val="auto"/>
                <w:sz w:val="24"/>
                <w:szCs w:val="24"/>
                <w:highlight w:val="none"/>
              </w:rPr>
              <w:t>；</w:t>
            </w:r>
          </w:p>
        </w:tc>
        <w:tc>
          <w:tcPr>
            <w:tcW w:w="1222" w:type="pct"/>
            <w:vAlign w:val="center"/>
          </w:tcPr>
          <w:p w14:paraId="0F1DC2E6">
            <w:pPr>
              <w:spacing w:line="360" w:lineRule="auto"/>
              <w:jc w:val="left"/>
              <w:rPr>
                <w:rFonts w:ascii="宋体" w:hAnsi="宋体" w:eastAsia="宋体"/>
                <w:color w:val="auto"/>
                <w:sz w:val="24"/>
                <w:highlight w:val="none"/>
              </w:rPr>
            </w:pPr>
            <w:r>
              <w:rPr>
                <w:rFonts w:hint="eastAsia" w:ascii="宋体" w:hAnsi="宋体" w:eastAsia="宋体" w:cs="宋体"/>
                <w:color w:val="auto"/>
                <w:sz w:val="24"/>
                <w:szCs w:val="24"/>
                <w:highlight w:val="none"/>
              </w:rPr>
              <w:t>提供材料扫描件或电子证照，应完整的体现出材料或电子证照全部内容。联合体</w:t>
            </w:r>
            <w:r>
              <w:rPr>
                <w:rFonts w:hint="eastAsia" w:ascii="宋体" w:hAnsi="宋体" w:eastAsia="宋体"/>
                <w:color w:val="auto"/>
                <w:sz w:val="24"/>
                <w:highlight w:val="none"/>
              </w:rPr>
              <w:t>参加谈判的</w:t>
            </w:r>
            <w:r>
              <w:rPr>
                <w:rFonts w:hint="eastAsia" w:ascii="宋体" w:hAnsi="宋体" w:eastAsia="宋体" w:cs="宋体"/>
                <w:color w:val="auto"/>
                <w:sz w:val="24"/>
                <w:szCs w:val="24"/>
                <w:highlight w:val="none"/>
              </w:rPr>
              <w:t>联合体各方均须提供。</w:t>
            </w:r>
          </w:p>
        </w:tc>
      </w:tr>
      <w:tr w14:paraId="2CE2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Borders>
              <w:bottom w:val="single" w:color="auto" w:sz="4" w:space="0"/>
            </w:tcBorders>
            <w:vAlign w:val="center"/>
          </w:tcPr>
          <w:p w14:paraId="166674C9">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802" w:type="pct"/>
            <w:tcBorders>
              <w:bottom w:val="single" w:color="auto" w:sz="4" w:space="0"/>
            </w:tcBorders>
            <w:vAlign w:val="center"/>
          </w:tcPr>
          <w:p w14:paraId="533E6677">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18"/>
                <w:highlight w:val="none"/>
              </w:rPr>
              <w:t>供应商资格声明书</w:t>
            </w:r>
          </w:p>
        </w:tc>
        <w:tc>
          <w:tcPr>
            <w:tcW w:w="2569" w:type="pct"/>
            <w:tcBorders>
              <w:bottom w:val="single" w:color="auto" w:sz="4" w:space="0"/>
            </w:tcBorders>
            <w:vAlign w:val="center"/>
          </w:tcPr>
          <w:p w14:paraId="3FECF333">
            <w:pPr>
              <w:spacing w:after="50" w:line="360" w:lineRule="auto"/>
              <w:ind w:right="-10"/>
              <w:jc w:val="left"/>
              <w:rPr>
                <w:rFonts w:ascii="宋体" w:hAnsi="宋体" w:eastAsia="宋体"/>
                <w:color w:val="auto"/>
                <w:sz w:val="24"/>
                <w:szCs w:val="28"/>
                <w:highlight w:val="none"/>
              </w:rPr>
            </w:pP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供符合</w:t>
            </w:r>
            <w:r>
              <w:rPr>
                <w:rFonts w:hint="eastAsia" w:ascii="宋体" w:hAnsi="宋体" w:eastAsia="宋体" w:cs="宋体"/>
                <w:color w:val="auto"/>
                <w:sz w:val="24"/>
                <w:szCs w:val="24"/>
                <w:highlight w:val="none"/>
              </w:rPr>
              <w:t>谈判</w:t>
            </w:r>
            <w:r>
              <w:rPr>
                <w:rFonts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rPr>
              <w:t>。</w:t>
            </w:r>
          </w:p>
        </w:tc>
        <w:tc>
          <w:tcPr>
            <w:tcW w:w="1222" w:type="pct"/>
            <w:tcBorders>
              <w:bottom w:val="single" w:color="auto" w:sz="4" w:space="0"/>
            </w:tcBorders>
            <w:vAlign w:val="center"/>
          </w:tcPr>
          <w:p w14:paraId="12E4BDF2">
            <w:pPr>
              <w:spacing w:line="360" w:lineRule="auto"/>
              <w:jc w:val="left"/>
              <w:rPr>
                <w:rFonts w:ascii="宋体" w:hAnsi="宋体" w:eastAsia="宋体" w:cs="宋体"/>
                <w:color w:val="auto"/>
                <w:sz w:val="24"/>
                <w:szCs w:val="24"/>
                <w:highlight w:val="none"/>
              </w:rPr>
            </w:pPr>
            <w:r>
              <w:rPr>
                <w:rFonts w:hint="eastAsia" w:ascii="宋体" w:hAnsi="宋体" w:eastAsia="宋体"/>
                <w:color w:val="auto"/>
                <w:sz w:val="24"/>
                <w:highlight w:val="none"/>
              </w:rPr>
              <w:t>详见第六章响应文件格式。</w:t>
            </w:r>
          </w:p>
        </w:tc>
      </w:tr>
      <w:tr w14:paraId="38DF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Borders>
              <w:bottom w:val="single" w:color="auto" w:sz="4" w:space="0"/>
            </w:tcBorders>
            <w:vAlign w:val="center"/>
          </w:tcPr>
          <w:p w14:paraId="4A16D813">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802" w:type="pct"/>
            <w:tcBorders>
              <w:bottom w:val="single" w:color="auto" w:sz="4" w:space="0"/>
            </w:tcBorders>
            <w:vAlign w:val="center"/>
          </w:tcPr>
          <w:p w14:paraId="58B0ED12">
            <w:pPr>
              <w:spacing w:after="50" w:line="360" w:lineRule="auto"/>
              <w:ind w:right="-10"/>
              <w:jc w:val="center"/>
              <w:rPr>
                <w:rFonts w:ascii="宋体" w:hAnsi="宋体" w:eastAsia="宋体"/>
                <w:color w:val="auto"/>
                <w:sz w:val="24"/>
                <w:szCs w:val="28"/>
                <w:highlight w:val="none"/>
              </w:rPr>
            </w:pPr>
            <w:r>
              <w:rPr>
                <w:rFonts w:hint="eastAsia" w:ascii="宋体" w:hAnsi="宋体" w:eastAsia="宋体" w:cs="宋体"/>
                <w:color w:val="auto"/>
                <w:sz w:val="24"/>
                <w:szCs w:val="24"/>
                <w:highlight w:val="none"/>
              </w:rPr>
              <w:t>供应商信用记录</w:t>
            </w:r>
          </w:p>
        </w:tc>
        <w:tc>
          <w:tcPr>
            <w:tcW w:w="2569" w:type="pct"/>
            <w:tcBorders>
              <w:bottom w:val="single" w:color="auto" w:sz="4" w:space="0"/>
            </w:tcBorders>
            <w:vAlign w:val="center"/>
          </w:tcPr>
          <w:p w14:paraId="3525555D">
            <w:pPr>
              <w:wordWrap w:val="0"/>
              <w:spacing w:after="50" w:line="360" w:lineRule="auto"/>
              <w:ind w:right="-11"/>
              <w:jc w:val="left"/>
              <w:rPr>
                <w:color w:val="auto"/>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不得存在</w:t>
            </w:r>
            <w:r>
              <w:rPr>
                <w:rFonts w:hint="eastAsia" w:ascii="宋体" w:hAnsi="宋体" w:eastAsia="宋体" w:cs="宋体"/>
                <w:color w:val="auto"/>
                <w:sz w:val="24"/>
                <w:szCs w:val="24"/>
                <w:highlight w:val="none"/>
              </w:rPr>
              <w:t>第一章谈判邀请中申请人资格要求中的</w:t>
            </w:r>
            <w:r>
              <w:rPr>
                <w:rFonts w:hint="eastAsia" w:ascii="宋体" w:hAnsi="宋体" w:eastAsia="宋体"/>
                <w:color w:val="auto"/>
                <w:sz w:val="24"/>
                <w:szCs w:val="18"/>
                <w:highlight w:val="none"/>
              </w:rPr>
              <w:t>不良信用记录情形</w:t>
            </w:r>
          </w:p>
        </w:tc>
        <w:tc>
          <w:tcPr>
            <w:tcW w:w="1222" w:type="pct"/>
            <w:tcBorders>
              <w:bottom w:val="single" w:color="auto" w:sz="4" w:space="0"/>
            </w:tcBorders>
            <w:vAlign w:val="center"/>
          </w:tcPr>
          <w:p w14:paraId="161F751E">
            <w:pPr>
              <w:spacing w:line="360" w:lineRule="auto"/>
              <w:jc w:val="left"/>
              <w:rPr>
                <w:color w:val="auto"/>
                <w:highlight w:val="none"/>
              </w:rPr>
            </w:pPr>
            <w:r>
              <w:rPr>
                <w:rFonts w:hint="eastAsia" w:ascii="宋体" w:hAnsi="宋体" w:eastAsia="宋体" w:cs="宋体"/>
                <w:color w:val="auto"/>
                <w:sz w:val="24"/>
                <w:szCs w:val="24"/>
                <w:highlight w:val="none"/>
              </w:rPr>
              <w:t>无须供应商提供，由采购人或采购代理机构查询。</w:t>
            </w:r>
          </w:p>
        </w:tc>
      </w:tr>
      <w:tr w14:paraId="24CD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42912B07">
            <w:pPr>
              <w:adjustRightInd w:val="0"/>
              <w:snapToGrid w:val="0"/>
              <w:spacing w:line="360" w:lineRule="auto"/>
              <w:ind w:right="-10"/>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w:t>
            </w:r>
          </w:p>
        </w:tc>
        <w:tc>
          <w:tcPr>
            <w:tcW w:w="802" w:type="pct"/>
            <w:vAlign w:val="center"/>
          </w:tcPr>
          <w:p w14:paraId="6A792409">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谈判响应函</w:t>
            </w:r>
          </w:p>
        </w:tc>
        <w:tc>
          <w:tcPr>
            <w:tcW w:w="2569" w:type="pct"/>
            <w:vAlign w:val="center"/>
          </w:tcPr>
          <w:p w14:paraId="4F1D5C70">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格式、填写要求符合谈判文件规定并加盖供应商电子签章</w:t>
            </w:r>
          </w:p>
        </w:tc>
        <w:tc>
          <w:tcPr>
            <w:tcW w:w="1222" w:type="pct"/>
            <w:vAlign w:val="center"/>
          </w:tcPr>
          <w:p w14:paraId="7F1BEB3F">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详见第六章响应文件格式。</w:t>
            </w:r>
          </w:p>
        </w:tc>
      </w:tr>
      <w:tr w14:paraId="394C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2F539FCD">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5</w:t>
            </w:r>
          </w:p>
        </w:tc>
        <w:tc>
          <w:tcPr>
            <w:tcW w:w="802" w:type="pct"/>
            <w:vAlign w:val="center"/>
          </w:tcPr>
          <w:p w14:paraId="1B3A6F5F">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2569" w:type="pct"/>
            <w:vAlign w:val="center"/>
          </w:tcPr>
          <w:p w14:paraId="1D3CF2F4">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格式、填写要求符合谈判文件规定并加盖供应商电子签章</w:t>
            </w:r>
          </w:p>
        </w:tc>
        <w:tc>
          <w:tcPr>
            <w:tcW w:w="1222" w:type="pct"/>
            <w:vAlign w:val="center"/>
          </w:tcPr>
          <w:p w14:paraId="70337F5F">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法定代表人参加谈判的无需此件，提供身份证明即可。</w:t>
            </w:r>
            <w:r>
              <w:rPr>
                <w:rFonts w:hint="eastAsia" w:ascii="宋体" w:hAnsi="宋体" w:eastAsia="宋体"/>
                <w:color w:val="auto"/>
                <w:sz w:val="24"/>
                <w:highlight w:val="none"/>
              </w:rPr>
              <w:t>详见第六章响应文件格式。</w:t>
            </w:r>
          </w:p>
        </w:tc>
      </w:tr>
      <w:tr w14:paraId="6374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46151812">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6</w:t>
            </w:r>
          </w:p>
        </w:tc>
        <w:tc>
          <w:tcPr>
            <w:tcW w:w="802" w:type="pct"/>
            <w:vAlign w:val="center"/>
          </w:tcPr>
          <w:p w14:paraId="13D4D505">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谈判报价</w:t>
            </w:r>
          </w:p>
        </w:tc>
        <w:tc>
          <w:tcPr>
            <w:tcW w:w="2569" w:type="pct"/>
            <w:vAlign w:val="center"/>
          </w:tcPr>
          <w:p w14:paraId="22902977">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rPr>
              <w:t>谈判文件供应商须知正文第9条要求</w:t>
            </w:r>
          </w:p>
        </w:tc>
        <w:tc>
          <w:tcPr>
            <w:tcW w:w="1222" w:type="pct"/>
            <w:vAlign w:val="center"/>
          </w:tcPr>
          <w:p w14:paraId="5787CA29">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详见第六章响应文件格式。</w:t>
            </w:r>
          </w:p>
        </w:tc>
      </w:tr>
      <w:tr w14:paraId="349F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7B117D5F">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7</w:t>
            </w:r>
          </w:p>
        </w:tc>
        <w:tc>
          <w:tcPr>
            <w:tcW w:w="802" w:type="pct"/>
            <w:vAlign w:val="center"/>
          </w:tcPr>
          <w:p w14:paraId="7BE0E4AE">
            <w:pPr>
              <w:spacing w:after="50" w:line="480" w:lineRule="exact"/>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2569" w:type="pct"/>
            <w:vAlign w:val="center"/>
          </w:tcPr>
          <w:p w14:paraId="23F58F6A">
            <w:pPr>
              <w:spacing w:after="50" w:line="480" w:lineRule="exact"/>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rPr>
              <w:t>谈判</w:t>
            </w:r>
            <w:r>
              <w:rPr>
                <w:rFonts w:hint="eastAsia" w:asciiTheme="minorEastAsia" w:hAnsiTheme="minorEastAsia" w:eastAsiaTheme="minorEastAsia"/>
                <w:color w:val="auto"/>
                <w:sz w:val="24"/>
                <w:szCs w:val="28"/>
                <w:highlight w:val="none"/>
              </w:rPr>
              <w:t>文件采购需求中对付款方式、服务期、服务地点等实质性要求</w:t>
            </w:r>
          </w:p>
        </w:tc>
        <w:tc>
          <w:tcPr>
            <w:tcW w:w="1222" w:type="pct"/>
            <w:vAlign w:val="center"/>
          </w:tcPr>
          <w:p w14:paraId="5C634E4E">
            <w:pPr>
              <w:adjustRightInd w:val="0"/>
              <w:snapToGrid w:val="0"/>
              <w:spacing w:line="480" w:lineRule="exact"/>
              <w:ind w:right="-10"/>
              <w:jc w:val="center"/>
              <w:rPr>
                <w:rFonts w:ascii="宋体" w:hAnsi="宋体" w:eastAsia="宋体"/>
                <w:color w:val="auto"/>
                <w:sz w:val="24"/>
                <w:highlight w:val="none"/>
              </w:rPr>
            </w:pPr>
            <w:r>
              <w:rPr>
                <w:rFonts w:hint="eastAsia" w:ascii="宋体" w:hAnsi="宋体" w:eastAsia="宋体"/>
                <w:color w:val="auto"/>
                <w:sz w:val="24"/>
                <w:highlight w:val="none"/>
              </w:rPr>
              <w:t>详见第六章响应文件格式。</w:t>
            </w:r>
          </w:p>
        </w:tc>
      </w:tr>
      <w:bookmarkEnd w:id="34"/>
    </w:tbl>
    <w:p w14:paraId="24E3A5E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初审指标通过标准：</w:t>
      </w:r>
      <w:r>
        <w:rPr>
          <w:rFonts w:hint="eastAsia" w:asciiTheme="minorEastAsia" w:hAnsiTheme="minorEastAsia" w:eastAsiaTheme="minorEastAsia"/>
          <w:color w:val="auto"/>
          <w:sz w:val="24"/>
          <w:highlight w:val="none"/>
        </w:rPr>
        <w:t>供应商必须通过初审表中的全部评审指标。</w:t>
      </w:r>
    </w:p>
    <w:p w14:paraId="03BEAAC1">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7609B2D1">
      <w:pPr>
        <w:spacing w:line="360" w:lineRule="auto"/>
        <w:ind w:firstLine="437"/>
        <w:outlineLvl w:val="1"/>
        <w:rPr>
          <w:rFonts w:asciiTheme="minorEastAsia" w:hAnsiTheme="minorEastAsia" w:eastAsiaTheme="minorEastAsia"/>
          <w:b/>
          <w:color w:val="auto"/>
          <w:sz w:val="24"/>
          <w:highlight w:val="none"/>
        </w:rPr>
      </w:pPr>
      <w:bookmarkStart w:id="35" w:name="_Toc35526206"/>
      <w:bookmarkStart w:id="36" w:name="_Toc27310"/>
      <w:r>
        <w:rPr>
          <w:rFonts w:hint="eastAsia" w:asciiTheme="minorEastAsia" w:hAnsiTheme="minorEastAsia" w:eastAsiaTheme="minorEastAsia"/>
          <w:b/>
          <w:color w:val="auto"/>
          <w:sz w:val="24"/>
          <w:highlight w:val="none"/>
        </w:rPr>
        <w:t>三、无效响应条款</w:t>
      </w:r>
    </w:p>
    <w:p w14:paraId="33F75C1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3.1响应文件有下列情形之一的,其响应文件拒收:</w:t>
      </w:r>
    </w:p>
    <w:p w14:paraId="1660DA1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(1)未在响应文件递交截止时间前通过网上招标投标系统递交有效电子响应文件的，系统不予接收，其将被拒绝。</w:t>
      </w:r>
    </w:p>
    <w:p w14:paraId="4A0A19E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(2)供应商接到远程解密指令后，须在规定时间内解密。因供应商自身原因导致响应文件在规定时间内未能解密、解密失败或解密超时，响应文件无效。</w:t>
      </w:r>
    </w:p>
    <w:p w14:paraId="5FD97B1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3.2供应商有下列情形之一的,资格审查后其作无效响应处理：</w:t>
      </w:r>
    </w:p>
    <w:p w14:paraId="3440687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（1）供应商为本项目提供采购代理服务的；</w:t>
      </w:r>
    </w:p>
    <w:p w14:paraId="60B8668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（2）供应商与在本项目代理机构存在相互任职或工作的；</w:t>
      </w:r>
    </w:p>
    <w:p w14:paraId="222B713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（3）与采购人存在利害关系可能影响采购公正性的法人、其他组织或者个人；</w:t>
      </w:r>
    </w:p>
    <w:p w14:paraId="1B49DD7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（4）无法查看并检验电子响应文件中相关资料的；</w:t>
      </w:r>
    </w:p>
    <w:p w14:paraId="5C4D1C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（5）责令停产停业的；</w:t>
      </w:r>
    </w:p>
    <w:p w14:paraId="26B5DA7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（6）暂停或者取消参与政府采购项目资格的；</w:t>
      </w:r>
    </w:p>
    <w:p w14:paraId="28D055C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（7）单位负责人为同一人或者存在直接控股、管理关系的不同单位的；</w:t>
      </w:r>
    </w:p>
    <w:p w14:paraId="500F928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（8）供应商基本资格条件和特定资格条件中有一项及以上不符合要求的；</w:t>
      </w:r>
    </w:p>
    <w:p w14:paraId="20395A5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谈判评审时查询响应文件制作机器码、文件创建标识码及造价软件加密锁号。若存在响应文件制作机器码或创建标识码或造价软件加密锁号信息与其他供应商雷同的，响应无效、进行信用信息披露，行政监管部门将依据线索依法查处；</w:t>
      </w:r>
    </w:p>
    <w:p w14:paraId="29BA641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（10）其它情形按无效响应处理；</w:t>
      </w:r>
    </w:p>
    <w:p w14:paraId="5623A50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（11）供应商响应MAC地址或供应商联系人或联系电话相同的，由谈判小组否决其响应，并报告监管部门作不良行为处理和进一步调查；</w:t>
      </w:r>
    </w:p>
    <w:p w14:paraId="4A50172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（12）供应商单方面出现其他供应商材料的；</w:t>
      </w:r>
    </w:p>
    <w:p w14:paraId="5AA4B20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（13）谈判文件规定的其它无效情形。</w:t>
      </w:r>
    </w:p>
    <w:p w14:paraId="1284550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 供应商有下列情形之一的,符合性审查后其按无效响应处理：</w:t>
      </w:r>
    </w:p>
    <w:p w14:paraId="7E85EB5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（1）响应文件签章不全，经谈判小组一致认定对响应内容有实质性影响；</w:t>
      </w:r>
    </w:p>
    <w:p w14:paraId="38C1A01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（2）未按规定的格式填写导致实质性内容不全以及实质上不响应，或者关键字迹模糊、无法辨认；</w:t>
      </w:r>
    </w:p>
    <w:p w14:paraId="0597CFF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（3）同一供应商提交两个或以上不同的响应文件或者报价，但谈判文件规定提交备选方案的除外；</w:t>
      </w:r>
    </w:p>
    <w:p w14:paraId="6B6EBFC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（4）响应文件没有对谈判文件的实质性要求和条件作出响应；</w:t>
      </w:r>
    </w:p>
    <w:p w14:paraId="227A9BA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（5）报价超出规定的最高限价或公布的采购预算的或供应商的报价各项单价高于谈判文件给定的单价最高限价；</w:t>
      </w:r>
    </w:p>
    <w:p w14:paraId="3FF46BB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（6）不按谈判小组要求澄清、说明或补正的，或者谈判小组根据谈判文件的规定对谈判文件的计算错误进行修正后，供应商不接受修正的报价的。</w:t>
      </w:r>
    </w:p>
    <w:p w14:paraId="537592A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（7）其它情形，经谈判小组提出按无效响应处理；</w:t>
      </w:r>
    </w:p>
    <w:p w14:paraId="5E0BAD9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（8）响应文件含有采购人不能接受的附加条件的；</w:t>
      </w:r>
    </w:p>
    <w:p w14:paraId="4CDB341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（9）谈判文件规定的其它无效响应情形。</w:t>
      </w:r>
    </w:p>
    <w:p w14:paraId="1BAEC2F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 供应商有下列情形之一的, 详细评审后其按无效响应处理：</w:t>
      </w:r>
    </w:p>
    <w:p w14:paraId="7AA3DE5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（1）产品不符合必须强制执行的国家标准的；</w:t>
      </w:r>
    </w:p>
    <w:p w14:paraId="7885D7C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（2）供应商有串通、弄虚作假、行贿等违法行为；</w:t>
      </w:r>
    </w:p>
    <w:p w14:paraId="4CA1D86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（3）响应文件含有违反国家法律、法规的内容，或附有采购人不能接受的条件的；</w:t>
      </w:r>
    </w:p>
    <w:p w14:paraId="614973A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（4）报价明显低于其他供应商，且不能证明报价合理性的响应无效；</w:t>
      </w:r>
    </w:p>
    <w:p w14:paraId="098EE76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（5）拒不确认谈判小组评审修正的响应无效；</w:t>
      </w:r>
    </w:p>
    <w:p w14:paraId="19882DC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（6）其它情形，经谈判小组提出按无效响应处理；</w:t>
      </w:r>
    </w:p>
    <w:p w14:paraId="6BC05751">
      <w:pPr>
        <w:spacing w:line="360" w:lineRule="auto"/>
        <w:ind w:firstLine="480" w:firstLineChars="200"/>
        <w:jc w:val="left"/>
        <w:outlineLvl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（7）谈判文件规定的其它无效响应情形。</w:t>
      </w:r>
    </w:p>
    <w:p w14:paraId="1E651F91">
      <w:pPr>
        <w:spacing w:line="360" w:lineRule="auto"/>
        <w:jc w:val="center"/>
        <w:outlineLvl w:val="0"/>
        <w:rPr>
          <w:rFonts w:asciiTheme="minorEastAsia" w:hAnsiTheme="minorEastAsia" w:eastAsiaTheme="minorEastAsia"/>
          <w:color w:val="auto"/>
          <w:sz w:val="24"/>
          <w:highlight w:val="none"/>
        </w:rPr>
      </w:pPr>
    </w:p>
    <w:p w14:paraId="4376B60E">
      <w:pPr>
        <w:spacing w:line="360" w:lineRule="auto"/>
        <w:jc w:val="center"/>
        <w:outlineLvl w:val="0"/>
        <w:rPr>
          <w:rFonts w:asciiTheme="minorEastAsia" w:hAnsiTheme="minorEastAsia" w:eastAsiaTheme="minorEastAsia"/>
          <w:color w:val="auto"/>
          <w:sz w:val="24"/>
          <w:highlight w:val="none"/>
        </w:rPr>
      </w:pPr>
    </w:p>
    <w:p w14:paraId="1F815600">
      <w:pPr>
        <w:spacing w:line="360" w:lineRule="auto"/>
        <w:jc w:val="center"/>
        <w:outlineLvl w:val="0"/>
        <w:rPr>
          <w:rFonts w:asciiTheme="minorEastAsia" w:hAnsiTheme="minorEastAsia" w:eastAsiaTheme="minorEastAsia"/>
          <w:color w:val="auto"/>
          <w:sz w:val="24"/>
          <w:highlight w:val="none"/>
        </w:rPr>
      </w:pPr>
    </w:p>
    <w:p w14:paraId="3853D17E">
      <w:pPr>
        <w:spacing w:line="360" w:lineRule="auto"/>
        <w:jc w:val="center"/>
        <w:outlineLvl w:val="0"/>
        <w:rPr>
          <w:rFonts w:asciiTheme="minorEastAsia" w:hAnsiTheme="minorEastAsia" w:eastAsiaTheme="minorEastAsia"/>
          <w:color w:val="auto"/>
          <w:sz w:val="24"/>
          <w:highlight w:val="none"/>
        </w:rPr>
      </w:pPr>
    </w:p>
    <w:p w14:paraId="13932A39">
      <w:pPr>
        <w:spacing w:line="360" w:lineRule="auto"/>
        <w:jc w:val="center"/>
        <w:outlineLvl w:val="0"/>
        <w:rPr>
          <w:rFonts w:asciiTheme="minorEastAsia" w:hAnsiTheme="minorEastAsia" w:eastAsiaTheme="minorEastAsia"/>
          <w:b/>
          <w:color w:val="auto"/>
          <w:sz w:val="28"/>
          <w:highlight w:val="none"/>
        </w:rPr>
      </w:pPr>
    </w:p>
    <w:p w14:paraId="1372FED7">
      <w:pPr>
        <w:spacing w:line="360" w:lineRule="auto"/>
        <w:jc w:val="center"/>
        <w:outlineLvl w:val="0"/>
        <w:rPr>
          <w:rFonts w:asciiTheme="minorEastAsia" w:hAnsiTheme="minorEastAsia" w:eastAsiaTheme="minorEastAsia"/>
          <w:b/>
          <w:color w:val="auto"/>
          <w:sz w:val="28"/>
          <w:highlight w:val="none"/>
        </w:rPr>
      </w:pPr>
    </w:p>
    <w:p w14:paraId="342A654F">
      <w:pPr>
        <w:spacing w:line="360" w:lineRule="auto"/>
        <w:jc w:val="center"/>
        <w:outlineLvl w:val="0"/>
        <w:rPr>
          <w:rFonts w:asciiTheme="minorEastAsia" w:hAnsiTheme="minorEastAsia" w:eastAsiaTheme="minorEastAsia"/>
          <w:b/>
          <w:color w:val="auto"/>
          <w:sz w:val="28"/>
          <w:highlight w:val="none"/>
        </w:rPr>
      </w:pPr>
    </w:p>
    <w:p w14:paraId="5318A4E1">
      <w:pPr>
        <w:spacing w:line="360" w:lineRule="auto"/>
        <w:jc w:val="center"/>
        <w:outlineLvl w:val="0"/>
        <w:rPr>
          <w:rFonts w:asciiTheme="minorEastAsia" w:hAnsiTheme="minorEastAsia" w:eastAsiaTheme="minorEastAsia"/>
          <w:b/>
          <w:color w:val="auto"/>
          <w:sz w:val="28"/>
          <w:highlight w:val="none"/>
        </w:rPr>
      </w:pPr>
    </w:p>
    <w:p w14:paraId="3261FC28">
      <w:pPr>
        <w:spacing w:line="360" w:lineRule="auto"/>
        <w:jc w:val="center"/>
        <w:outlineLvl w:val="0"/>
        <w:rPr>
          <w:rFonts w:asciiTheme="minorEastAsia" w:hAnsiTheme="minorEastAsia" w:eastAsiaTheme="minorEastAsia"/>
          <w:b/>
          <w:color w:val="auto"/>
          <w:sz w:val="28"/>
          <w:highlight w:val="none"/>
        </w:rPr>
      </w:pPr>
    </w:p>
    <w:p w14:paraId="147E73F9">
      <w:pPr>
        <w:spacing w:line="360" w:lineRule="auto"/>
        <w:jc w:val="center"/>
        <w:outlineLvl w:val="0"/>
        <w:rPr>
          <w:rFonts w:asciiTheme="minorEastAsia" w:hAnsiTheme="minorEastAsia" w:eastAsiaTheme="minorEastAsia"/>
          <w:b/>
          <w:color w:val="auto"/>
          <w:sz w:val="28"/>
          <w:highlight w:val="none"/>
        </w:rPr>
      </w:pPr>
    </w:p>
    <w:p w14:paraId="18A505A3">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35"/>
      <w:bookmarkEnd w:id="36"/>
    </w:p>
    <w:p w14:paraId="4C69A8ED">
      <w:pPr>
        <w:snapToGrid w:val="0"/>
        <w:spacing w:line="348" w:lineRule="auto"/>
        <w:jc w:val="center"/>
        <w:rPr>
          <w:rFonts w:asciiTheme="majorEastAsia" w:hAnsiTheme="majorEastAsia" w:eastAsiaTheme="majorEastAsia" w:cstheme="majorEastAsia"/>
          <w:bCs/>
          <w:color w:val="auto"/>
          <w:sz w:val="24"/>
          <w:szCs w:val="24"/>
          <w:highlight w:val="none"/>
        </w:rPr>
      </w:pPr>
      <w:bookmarkStart w:id="37" w:name="_Toc29374"/>
    </w:p>
    <w:p w14:paraId="3527A6A0">
      <w:pPr>
        <w:snapToGrid w:val="0"/>
        <w:spacing w:line="348" w:lineRule="auto"/>
        <w:jc w:val="center"/>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（签订合同时，仅以此文本为基准，补充条款双方协定）</w:t>
      </w:r>
    </w:p>
    <w:p w14:paraId="25EE74EA">
      <w:pPr>
        <w:spacing w:line="480" w:lineRule="auto"/>
        <w:jc w:val="center"/>
        <w:rPr>
          <w:rFonts w:asciiTheme="majorEastAsia" w:hAnsiTheme="majorEastAsia" w:eastAsiaTheme="majorEastAsia" w:cstheme="majorEastAsia"/>
          <w:b/>
          <w:color w:val="auto"/>
          <w:sz w:val="24"/>
          <w:szCs w:val="24"/>
          <w:highlight w:val="none"/>
        </w:rPr>
      </w:pPr>
    </w:p>
    <w:p w14:paraId="024C0E9D">
      <w:pPr>
        <w:spacing w:line="480" w:lineRule="auto"/>
        <w:jc w:val="center"/>
        <w:outlineLvl w:val="1"/>
        <w:rPr>
          <w:rFonts w:ascii="宋体" w:hAnsi="宋体"/>
          <w:b/>
          <w:color w:val="auto"/>
          <w:sz w:val="32"/>
          <w:szCs w:val="32"/>
          <w:highlight w:val="none"/>
        </w:rPr>
      </w:pPr>
      <w:bookmarkStart w:id="38" w:name="_Toc9456"/>
      <w:r>
        <w:rPr>
          <w:rFonts w:ascii="宋体" w:hAnsi="宋体"/>
          <w:b/>
          <w:color w:val="auto"/>
          <w:sz w:val="32"/>
          <w:szCs w:val="32"/>
          <w:highlight w:val="none"/>
        </w:rPr>
        <w:t>政府采购合同</w:t>
      </w:r>
      <w:r>
        <w:rPr>
          <w:rFonts w:hint="eastAsia" w:ascii="宋体" w:hAnsi="宋体"/>
          <w:b/>
          <w:color w:val="auto"/>
          <w:sz w:val="32"/>
          <w:szCs w:val="32"/>
          <w:highlight w:val="none"/>
        </w:rPr>
        <w:t>参考范本</w:t>
      </w:r>
      <w:bookmarkEnd w:id="38"/>
    </w:p>
    <w:p w14:paraId="1A33D2F3">
      <w:pPr>
        <w:spacing w:line="480" w:lineRule="auto"/>
        <w:jc w:val="center"/>
        <w:outlineLvl w:val="1"/>
        <w:rPr>
          <w:rFonts w:ascii="宋体" w:hAnsi="宋体"/>
          <w:b/>
          <w:color w:val="auto"/>
          <w:sz w:val="32"/>
          <w:szCs w:val="32"/>
          <w:highlight w:val="none"/>
        </w:rPr>
      </w:pPr>
      <w:bookmarkStart w:id="39" w:name="_Toc26618"/>
      <w:r>
        <w:rPr>
          <w:rFonts w:hint="eastAsia" w:ascii="宋体" w:hAnsi="宋体"/>
          <w:b/>
          <w:color w:val="auto"/>
          <w:sz w:val="32"/>
          <w:szCs w:val="32"/>
          <w:highlight w:val="none"/>
        </w:rPr>
        <w:t>（服务类）</w:t>
      </w:r>
      <w:bookmarkEnd w:id="39"/>
    </w:p>
    <w:p w14:paraId="245A9E54">
      <w:pPr>
        <w:spacing w:line="480" w:lineRule="auto"/>
        <w:jc w:val="center"/>
        <w:rPr>
          <w:rFonts w:ascii="宋体" w:hAnsi="宋体"/>
          <w:b/>
          <w:color w:val="auto"/>
          <w:sz w:val="24"/>
          <w:highlight w:val="none"/>
        </w:rPr>
      </w:pPr>
    </w:p>
    <w:p w14:paraId="354B153E">
      <w:pPr>
        <w:spacing w:line="480" w:lineRule="auto"/>
        <w:jc w:val="center"/>
        <w:rPr>
          <w:rFonts w:ascii="宋体" w:hAnsi="宋体"/>
          <w:b/>
          <w:color w:val="auto"/>
          <w:sz w:val="24"/>
          <w:highlight w:val="none"/>
        </w:rPr>
      </w:pPr>
    </w:p>
    <w:p w14:paraId="42BB1833">
      <w:pPr>
        <w:spacing w:line="480" w:lineRule="auto"/>
        <w:jc w:val="center"/>
        <w:rPr>
          <w:rFonts w:ascii="宋体" w:hAnsi="宋体"/>
          <w:b/>
          <w:color w:val="auto"/>
          <w:sz w:val="24"/>
          <w:highlight w:val="none"/>
        </w:rPr>
      </w:pPr>
    </w:p>
    <w:p w14:paraId="1FF637C3">
      <w:pPr>
        <w:spacing w:line="480" w:lineRule="auto"/>
        <w:jc w:val="center"/>
        <w:outlineLvl w:val="1"/>
        <w:rPr>
          <w:rFonts w:ascii="宋体" w:hAnsi="宋体"/>
          <w:b/>
          <w:color w:val="auto"/>
          <w:sz w:val="32"/>
          <w:szCs w:val="32"/>
          <w:highlight w:val="none"/>
        </w:rPr>
      </w:pPr>
      <w:bookmarkStart w:id="40" w:name="_Toc18055"/>
      <w:r>
        <w:rPr>
          <w:rFonts w:hint="eastAsia" w:ascii="宋体" w:hAnsi="宋体"/>
          <w:b/>
          <w:color w:val="auto"/>
          <w:sz w:val="32"/>
          <w:szCs w:val="32"/>
          <w:highlight w:val="none"/>
        </w:rPr>
        <w:t>第一部分 合同书</w:t>
      </w:r>
      <w:bookmarkEnd w:id="40"/>
    </w:p>
    <w:p w14:paraId="2D477096">
      <w:pPr>
        <w:spacing w:line="480" w:lineRule="auto"/>
        <w:jc w:val="center"/>
        <w:rPr>
          <w:rFonts w:ascii="宋体" w:hAnsi="宋体"/>
          <w:b/>
          <w:color w:val="auto"/>
          <w:sz w:val="24"/>
          <w:highlight w:val="none"/>
        </w:rPr>
      </w:pPr>
    </w:p>
    <w:p w14:paraId="3162F988">
      <w:pPr>
        <w:spacing w:line="480" w:lineRule="auto"/>
        <w:jc w:val="center"/>
        <w:rPr>
          <w:rFonts w:ascii="宋体" w:hAnsi="宋体"/>
          <w:b/>
          <w:color w:val="auto"/>
          <w:sz w:val="24"/>
          <w:highlight w:val="none"/>
        </w:rPr>
      </w:pPr>
    </w:p>
    <w:p w14:paraId="794B4AB1">
      <w:pPr>
        <w:spacing w:line="480" w:lineRule="auto"/>
        <w:jc w:val="center"/>
        <w:rPr>
          <w:rFonts w:asciiTheme="minorEastAsia" w:hAnsiTheme="minorEastAsia" w:eastAsiaTheme="minorEastAsia" w:cstheme="minorEastAsia"/>
          <w:b/>
          <w:color w:val="auto"/>
          <w:sz w:val="24"/>
          <w:highlight w:val="none"/>
        </w:rPr>
      </w:pPr>
    </w:p>
    <w:p w14:paraId="296288FA">
      <w:pPr>
        <w:spacing w:before="120" w:line="480" w:lineRule="auto"/>
        <w:ind w:left="96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szCs w:val="24"/>
          <w:highlight w:val="none"/>
          <w:u w:val="single"/>
        </w:rPr>
        <w:t xml:space="preserve">                                         </w:t>
      </w:r>
    </w:p>
    <w:p w14:paraId="719C2EB7">
      <w:pPr>
        <w:spacing w:before="120" w:line="480" w:lineRule="auto"/>
        <w:ind w:left="96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甲方（采购人）：</w:t>
      </w:r>
      <w:r>
        <w:rPr>
          <w:rFonts w:hint="eastAsia" w:asciiTheme="minorEastAsia" w:hAnsiTheme="minorEastAsia" w:eastAsiaTheme="minorEastAsia" w:cstheme="minorEastAsia"/>
          <w:color w:val="auto"/>
          <w:sz w:val="24"/>
          <w:szCs w:val="24"/>
          <w:highlight w:val="none"/>
          <w:u w:val="single"/>
        </w:rPr>
        <w:t xml:space="preserve">                                 </w:t>
      </w:r>
    </w:p>
    <w:p w14:paraId="2C32B3EA">
      <w:pPr>
        <w:spacing w:before="120" w:line="480" w:lineRule="auto"/>
        <w:ind w:left="96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乙方（成交供应商）：</w:t>
      </w:r>
      <w:r>
        <w:rPr>
          <w:rFonts w:hint="eastAsia" w:asciiTheme="minorEastAsia" w:hAnsiTheme="minorEastAsia" w:eastAsiaTheme="minorEastAsia" w:cstheme="minorEastAsia"/>
          <w:color w:val="auto"/>
          <w:sz w:val="24"/>
          <w:highlight w:val="none"/>
          <w:u w:val="single"/>
        </w:rPr>
        <w:t xml:space="preserve">                          </w:t>
      </w:r>
    </w:p>
    <w:p w14:paraId="057F031D">
      <w:pPr>
        <w:spacing w:before="120" w:line="480" w:lineRule="auto"/>
        <w:ind w:firstLine="960" w:firstLineChars="4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szCs w:val="24"/>
          <w:highlight w:val="none"/>
          <w:u w:val="single"/>
        </w:rPr>
        <w:t xml:space="preserve">                                  </w:t>
      </w:r>
    </w:p>
    <w:p w14:paraId="57B2D780">
      <w:pPr>
        <w:spacing w:before="120" w:line="48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5D31A28E">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6C1D1BE9">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以下简称：甲方</w:t>
      </w:r>
      <w:r>
        <w:rPr>
          <w:rFonts w:hint="eastAsia" w:ascii="宋体" w:hAnsi="宋体" w:eastAsia="宋体" w:cs="宋体"/>
          <w:color w:val="auto"/>
          <w:sz w:val="24"/>
          <w:highlight w:val="none"/>
        </w:rPr>
        <w:t xml:space="preserve">）通过 </w:t>
      </w:r>
      <w:r>
        <w:rPr>
          <w:rFonts w:hint="eastAsia" w:ascii="宋体" w:hAnsi="宋体" w:eastAsia="宋体" w:cs="宋体"/>
          <w:color w:val="auto"/>
          <w:sz w:val="24"/>
          <w:highlight w:val="none"/>
          <w:u w:val="single"/>
        </w:rPr>
        <w:t>滁州市城投工程咨询管理有限公司</w:t>
      </w:r>
      <w:r>
        <w:rPr>
          <w:rFonts w:hint="eastAsia" w:ascii="宋体" w:hAnsi="宋体" w:eastAsia="宋体" w:cs="宋体"/>
          <w:color w:val="auto"/>
          <w:sz w:val="24"/>
          <w:highlight w:val="none"/>
        </w:rPr>
        <w:t>组织的竞争性谈判方式采购活动，经谈判小组评定，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以下简称：乙方</w:t>
      </w:r>
      <w:r>
        <w:rPr>
          <w:rFonts w:hint="eastAsia" w:ascii="宋体" w:hAnsi="宋体" w:eastAsia="宋体" w:cs="宋体"/>
          <w:color w:val="auto"/>
          <w:sz w:val="24"/>
          <w:highlight w:val="none"/>
        </w:rPr>
        <w:t>）为本项目成交供应商，现按照采购文件确定的事项签订本合同。</w:t>
      </w:r>
    </w:p>
    <w:p w14:paraId="668069FE">
      <w:pPr>
        <w:spacing w:line="360" w:lineRule="auto"/>
        <w:ind w:firstLine="435"/>
        <w:rPr>
          <w:rFonts w:ascii="宋体" w:hAnsi="宋体" w:eastAsia="宋体" w:cs="宋体"/>
          <w:color w:val="auto"/>
          <w:sz w:val="24"/>
          <w:highlight w:val="none"/>
          <w:lang w:val="zh-CN"/>
        </w:rPr>
      </w:pPr>
      <w:r>
        <w:rPr>
          <w:rFonts w:hint="eastAsia" w:ascii="宋体" w:hAnsi="宋体" w:eastAsia="宋体" w:cs="宋体"/>
          <w:color w:val="auto"/>
          <w:sz w:val="24"/>
          <w:highlight w:val="none"/>
        </w:rPr>
        <w:t>参照《中华人民共和国民法典》、《中华人民共和国政府采购法》等相关法律法规之规定，按照平等、自愿、公平和诚实信用的原则，经甲方和乙方协商一致，约定以下合同条款，以兹共同遵守、全面履行。</w:t>
      </w:r>
    </w:p>
    <w:p w14:paraId="2DB92BAC">
      <w:pPr>
        <w:spacing w:line="360" w:lineRule="auto"/>
        <w:ind w:firstLine="437"/>
        <w:outlineLvl w:val="2"/>
        <w:rPr>
          <w:rFonts w:ascii="宋体" w:hAnsi="宋体" w:eastAsia="宋体" w:cs="宋体"/>
          <w:b/>
          <w:bCs/>
          <w:color w:val="auto"/>
          <w:sz w:val="24"/>
          <w:highlight w:val="none"/>
          <w:lang w:val="zh-CN"/>
        </w:rPr>
      </w:pPr>
      <w:bookmarkStart w:id="41" w:name="_Toc3029"/>
      <w:bookmarkStart w:id="42" w:name="_Toc2232"/>
      <w:bookmarkStart w:id="43" w:name="_Toc24059"/>
      <w:r>
        <w:rPr>
          <w:rFonts w:hint="eastAsia" w:ascii="宋体" w:hAnsi="宋体" w:eastAsia="宋体" w:cs="宋体"/>
          <w:b/>
          <w:bCs/>
          <w:color w:val="auto"/>
          <w:sz w:val="24"/>
          <w:highlight w:val="none"/>
          <w:lang w:val="zh-CN"/>
        </w:rPr>
        <w:t>1.1 合同组成部分</w:t>
      </w:r>
      <w:bookmarkEnd w:id="41"/>
      <w:bookmarkEnd w:id="42"/>
      <w:bookmarkEnd w:id="43"/>
    </w:p>
    <w:p w14:paraId="20803548">
      <w:pPr>
        <w:spacing w:line="360" w:lineRule="auto"/>
        <w:ind w:firstLine="435"/>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66D4D2FE">
      <w:pPr>
        <w:spacing w:line="360" w:lineRule="auto"/>
        <w:ind w:firstLine="435"/>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1.1.1本合同及其补充合同、变更协议；</w:t>
      </w:r>
    </w:p>
    <w:p w14:paraId="1F6C11FF">
      <w:pPr>
        <w:spacing w:line="360" w:lineRule="auto"/>
        <w:ind w:firstLine="435"/>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1.1.2成交通知书；</w:t>
      </w:r>
    </w:p>
    <w:p w14:paraId="4901ED2A">
      <w:pPr>
        <w:spacing w:line="360" w:lineRule="auto"/>
        <w:ind w:firstLine="435"/>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1.1.3响应文件（含澄清或者说明文件）；</w:t>
      </w:r>
    </w:p>
    <w:p w14:paraId="3930AA6F">
      <w:pPr>
        <w:spacing w:line="360" w:lineRule="auto"/>
        <w:ind w:firstLine="435"/>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1.1.4</w:t>
      </w:r>
      <w:r>
        <w:rPr>
          <w:rFonts w:hint="eastAsia" w:ascii="宋体" w:hAnsi="宋体" w:eastAsia="宋体" w:cs="宋体"/>
          <w:color w:val="auto"/>
          <w:sz w:val="24"/>
          <w:highlight w:val="none"/>
        </w:rPr>
        <w:t>谈判</w:t>
      </w:r>
      <w:r>
        <w:rPr>
          <w:rFonts w:hint="eastAsia" w:ascii="宋体" w:hAnsi="宋体" w:eastAsia="宋体" w:cs="宋体"/>
          <w:color w:val="auto"/>
          <w:sz w:val="24"/>
          <w:highlight w:val="none"/>
          <w:lang w:val="zh-CN"/>
        </w:rPr>
        <w:t>文件（含澄清或者修改文件）；</w:t>
      </w:r>
    </w:p>
    <w:p w14:paraId="78F56C2E">
      <w:pPr>
        <w:spacing w:line="360" w:lineRule="auto"/>
        <w:ind w:firstLine="435"/>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1.1.5其他相关采购文件。</w:t>
      </w:r>
    </w:p>
    <w:p w14:paraId="2BAC6AA6">
      <w:pPr>
        <w:spacing w:line="360" w:lineRule="auto"/>
        <w:ind w:firstLine="437"/>
        <w:outlineLvl w:val="2"/>
        <w:rPr>
          <w:rFonts w:ascii="宋体" w:hAnsi="宋体" w:eastAsia="宋体" w:cs="宋体"/>
          <w:b/>
          <w:bCs/>
          <w:color w:val="auto"/>
          <w:sz w:val="24"/>
          <w:highlight w:val="none"/>
          <w:lang w:val="zh-CN"/>
        </w:rPr>
      </w:pPr>
      <w:bookmarkStart w:id="44" w:name="_Toc21295"/>
      <w:bookmarkStart w:id="45" w:name="_Toc24300"/>
      <w:bookmarkStart w:id="46" w:name="_Toc27126"/>
      <w:r>
        <w:rPr>
          <w:rFonts w:hint="eastAsia" w:ascii="宋体" w:hAnsi="宋体" w:eastAsia="宋体" w:cs="宋体"/>
          <w:b/>
          <w:bCs/>
          <w:color w:val="auto"/>
          <w:sz w:val="24"/>
          <w:highlight w:val="none"/>
          <w:lang w:val="zh-CN"/>
        </w:rPr>
        <w:t xml:space="preserve">1.2 </w:t>
      </w:r>
      <w:bookmarkEnd w:id="44"/>
      <w:bookmarkEnd w:id="45"/>
      <w:bookmarkEnd w:id="46"/>
      <w:r>
        <w:rPr>
          <w:rFonts w:hint="eastAsia" w:ascii="宋体" w:hAnsi="宋体" w:eastAsia="宋体" w:cs="宋体"/>
          <w:b/>
          <w:bCs/>
          <w:color w:val="auto"/>
          <w:sz w:val="24"/>
          <w:highlight w:val="none"/>
          <w:lang w:val="zh-CN"/>
        </w:rPr>
        <w:t>服务</w:t>
      </w:r>
    </w:p>
    <w:p w14:paraId="1E1B12F6">
      <w:pPr>
        <w:spacing w:line="360" w:lineRule="auto"/>
        <w:ind w:firstLine="435"/>
        <w:rPr>
          <w:rFonts w:ascii="宋体" w:hAnsi="宋体" w:eastAsia="宋体" w:cs="宋体"/>
          <w:color w:val="auto"/>
          <w:sz w:val="24"/>
          <w:szCs w:val="24"/>
          <w:highlight w:val="none"/>
          <w:u w:val="single"/>
        </w:rPr>
      </w:pPr>
      <w:bookmarkStart w:id="47" w:name="_Toc21631"/>
      <w:bookmarkStart w:id="48" w:name="_Toc23292"/>
      <w:bookmarkStart w:id="49" w:name="_Toc21551"/>
      <w:r>
        <w:rPr>
          <w:rFonts w:hint="eastAsia" w:ascii="宋体" w:hAnsi="宋体" w:eastAsia="宋体" w:cs="宋体"/>
          <w:color w:val="auto"/>
          <w:sz w:val="24"/>
          <w:szCs w:val="24"/>
          <w:highlight w:val="none"/>
        </w:rPr>
        <w:t>1.2.1服务名称：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CB4B0C9">
      <w:pPr>
        <w:spacing w:line="360" w:lineRule="auto"/>
        <w:ind w:firstLine="435"/>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1.2.2服务内容：</w:t>
      </w:r>
      <w:r>
        <w:rPr>
          <w:rFonts w:hint="eastAsia" w:ascii="宋体" w:hAnsi="宋体" w:eastAsia="宋体" w:cs="宋体"/>
          <w:color w:val="auto"/>
          <w:sz w:val="24"/>
          <w:highlight w:val="none"/>
          <w:u w:val="single"/>
        </w:rPr>
        <w:t>谈判</w:t>
      </w:r>
      <w:r>
        <w:rPr>
          <w:rFonts w:hint="eastAsia" w:ascii="宋体" w:hAnsi="宋体" w:eastAsia="宋体" w:cs="宋体"/>
          <w:color w:val="auto"/>
          <w:sz w:val="24"/>
          <w:highlight w:val="none"/>
          <w:u w:val="single"/>
          <w:lang w:val="zh-CN"/>
        </w:rPr>
        <w:t>文件</w:t>
      </w:r>
      <w:r>
        <w:rPr>
          <w:rFonts w:hint="eastAsia" w:ascii="宋体" w:hAnsi="宋体" w:eastAsia="宋体" w:cs="宋体"/>
          <w:color w:val="auto"/>
          <w:sz w:val="24"/>
          <w:highlight w:val="none"/>
          <w:u w:val="single"/>
        </w:rPr>
        <w:t>采购需求全部内容</w:t>
      </w:r>
      <w:r>
        <w:rPr>
          <w:rFonts w:hint="eastAsia" w:ascii="宋体" w:hAnsi="宋体" w:eastAsia="宋体" w:cs="宋体"/>
          <w:color w:val="auto"/>
          <w:sz w:val="24"/>
          <w:szCs w:val="24"/>
          <w:highlight w:val="none"/>
        </w:rPr>
        <w:t>；</w:t>
      </w:r>
    </w:p>
    <w:p w14:paraId="3FDBF3E3">
      <w:pPr>
        <w:spacing w:line="360" w:lineRule="auto"/>
        <w:ind w:firstLine="4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1.2.3服务质量：</w:t>
      </w:r>
      <w:r>
        <w:rPr>
          <w:rFonts w:hint="eastAsia" w:ascii="宋体" w:hAnsi="宋体" w:eastAsia="宋体" w:cs="宋体"/>
          <w:color w:val="auto"/>
          <w:sz w:val="24"/>
          <w:szCs w:val="24"/>
          <w:highlight w:val="none"/>
          <w:u w:val="single"/>
        </w:rPr>
        <w:t>满足谈判</w:t>
      </w:r>
      <w:r>
        <w:rPr>
          <w:rFonts w:hint="eastAsia" w:ascii="宋体" w:hAnsi="宋体" w:eastAsia="宋体" w:cs="宋体"/>
          <w:color w:val="auto"/>
          <w:sz w:val="24"/>
          <w:szCs w:val="24"/>
          <w:highlight w:val="none"/>
          <w:u w:val="single"/>
          <w:lang w:val="zh-CN"/>
        </w:rPr>
        <w:t>文件</w:t>
      </w:r>
      <w:r>
        <w:rPr>
          <w:rFonts w:hint="eastAsia" w:ascii="宋体" w:hAnsi="宋体" w:eastAsia="宋体" w:cs="宋体"/>
          <w:color w:val="auto"/>
          <w:sz w:val="24"/>
          <w:szCs w:val="24"/>
          <w:highlight w:val="none"/>
          <w:u w:val="single"/>
        </w:rPr>
        <w:t>要求及采购人相关要求</w:t>
      </w:r>
      <w:r>
        <w:rPr>
          <w:rFonts w:hint="eastAsia" w:ascii="宋体" w:hAnsi="宋体" w:eastAsia="宋体" w:cs="宋体"/>
          <w:color w:val="auto"/>
          <w:sz w:val="24"/>
          <w:szCs w:val="24"/>
          <w:highlight w:val="none"/>
        </w:rPr>
        <w:t>。</w:t>
      </w:r>
    </w:p>
    <w:p w14:paraId="46028521">
      <w:pPr>
        <w:spacing w:line="360" w:lineRule="auto"/>
        <w:ind w:firstLine="437"/>
        <w:outlineLvl w:val="2"/>
        <w:rPr>
          <w:rFonts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1.3 价款</w:t>
      </w:r>
      <w:bookmarkEnd w:id="47"/>
      <w:bookmarkEnd w:id="48"/>
      <w:bookmarkEnd w:id="49"/>
    </w:p>
    <w:p w14:paraId="25B92ACE">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 xml:space="preserve">本合同价为：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5980B376">
      <w:pPr>
        <w:spacing w:line="360" w:lineRule="auto"/>
        <w:ind w:firstLine="437"/>
        <w:outlineLvl w:val="2"/>
        <w:rPr>
          <w:rFonts w:ascii="宋体" w:hAnsi="宋体" w:eastAsia="宋体" w:cs="宋体"/>
          <w:b/>
          <w:bCs/>
          <w:color w:val="auto"/>
          <w:sz w:val="24"/>
          <w:highlight w:val="none"/>
          <w:lang w:val="zh-CN"/>
        </w:rPr>
      </w:pPr>
      <w:bookmarkStart w:id="50" w:name="_Toc10340"/>
      <w:bookmarkStart w:id="51" w:name="_Toc1814"/>
      <w:bookmarkStart w:id="52" w:name="_Toc22618"/>
      <w:r>
        <w:rPr>
          <w:rFonts w:hint="eastAsia" w:ascii="宋体" w:hAnsi="宋体" w:eastAsia="宋体" w:cs="宋体"/>
          <w:b/>
          <w:bCs/>
          <w:color w:val="auto"/>
          <w:sz w:val="24"/>
          <w:highlight w:val="none"/>
          <w:lang w:val="zh-CN"/>
        </w:rPr>
        <w:t>1.4 付款方式和发票开具方式</w:t>
      </w:r>
      <w:bookmarkEnd w:id="50"/>
      <w:bookmarkEnd w:id="51"/>
      <w:bookmarkEnd w:id="52"/>
    </w:p>
    <w:p w14:paraId="4C9F8504">
      <w:pPr>
        <w:pStyle w:val="47"/>
        <w:widowControl w:val="0"/>
        <w:spacing w:before="0" w:beforeAutospacing="0" w:after="0" w:afterAutospacing="0" w:line="360" w:lineRule="auto"/>
        <w:ind w:firstLine="482" w:firstLineChars="200"/>
        <w:jc w:val="both"/>
        <w:rPr>
          <w:rFonts w:ascii="宋体" w:hAnsi="宋体" w:eastAsia="宋体" w:cs="宋体"/>
          <w:b w:val="0"/>
          <w:color w:val="auto"/>
          <w:sz w:val="24"/>
          <w:highlight w:val="none"/>
        </w:rPr>
      </w:pPr>
      <w:r>
        <w:rPr>
          <w:rFonts w:hint="eastAsia" w:ascii="宋体" w:hAnsi="宋体" w:eastAsia="宋体" w:cs="宋体"/>
          <w:color w:val="auto"/>
          <w:sz w:val="24"/>
          <w:highlight w:val="none"/>
        </w:rPr>
        <w:t>1.4.1付款方式：</w:t>
      </w:r>
    </w:p>
    <w:p w14:paraId="6B506EE2">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1.4.2发票开具方式：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57A6732">
      <w:pPr>
        <w:spacing w:line="360" w:lineRule="auto"/>
        <w:ind w:firstLine="437"/>
        <w:outlineLvl w:val="2"/>
        <w:rPr>
          <w:rFonts w:ascii="宋体" w:hAnsi="宋体" w:eastAsia="宋体" w:cs="宋体"/>
          <w:b/>
          <w:bCs/>
          <w:color w:val="auto"/>
          <w:sz w:val="24"/>
          <w:highlight w:val="none"/>
          <w:lang w:val="zh-CN"/>
        </w:rPr>
      </w:pPr>
      <w:bookmarkStart w:id="53" w:name="_Toc2846"/>
      <w:bookmarkStart w:id="54" w:name="_Toc19304"/>
      <w:bookmarkStart w:id="55" w:name="_Toc32071"/>
      <w:r>
        <w:rPr>
          <w:rFonts w:hint="eastAsia" w:ascii="宋体" w:hAnsi="宋体" w:eastAsia="宋体" w:cs="宋体"/>
          <w:b/>
          <w:bCs/>
          <w:color w:val="auto"/>
          <w:sz w:val="24"/>
          <w:highlight w:val="none"/>
          <w:lang w:val="zh-CN"/>
        </w:rPr>
        <w:t xml:space="preserve">1.5 </w:t>
      </w:r>
      <w:bookmarkEnd w:id="53"/>
      <w:bookmarkEnd w:id="54"/>
      <w:bookmarkEnd w:id="55"/>
      <w:r>
        <w:rPr>
          <w:rFonts w:hint="eastAsia" w:ascii="宋体" w:hAnsi="宋体" w:eastAsia="宋体" w:cs="宋体"/>
          <w:b/>
          <w:bCs/>
          <w:color w:val="auto"/>
          <w:sz w:val="24"/>
          <w:highlight w:val="none"/>
          <w:lang w:val="zh-CN"/>
        </w:rPr>
        <w:t>服务期限、地点和方式</w:t>
      </w:r>
    </w:p>
    <w:p w14:paraId="4776D784">
      <w:pPr>
        <w:autoSpaceDE w:val="0"/>
        <w:autoSpaceDN w:val="0"/>
        <w:adjustRightInd w:val="0"/>
        <w:spacing w:line="480" w:lineRule="exact"/>
        <w:ind w:firstLine="436" w:firstLineChars="182"/>
        <w:jc w:val="left"/>
        <w:rPr>
          <w:rFonts w:ascii="宋体" w:hAnsi="宋体" w:eastAsia="宋体" w:cs="宋体"/>
          <w:color w:val="auto"/>
          <w:sz w:val="24"/>
          <w:highlight w:val="none"/>
        </w:rPr>
      </w:pPr>
      <w:r>
        <w:rPr>
          <w:rFonts w:hint="eastAsia" w:ascii="宋体" w:hAnsi="宋体" w:eastAsia="宋体" w:cs="宋体"/>
          <w:color w:val="auto"/>
          <w:sz w:val="24"/>
          <w:highlight w:val="none"/>
        </w:rPr>
        <w:t>1.5.1服务期限：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highlight w:val="none"/>
        </w:rPr>
        <w:t>；</w:t>
      </w:r>
    </w:p>
    <w:p w14:paraId="3EBEE413">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1.5.2服务地点：</w:t>
      </w:r>
      <w:r>
        <w:rPr>
          <w:rFonts w:hint="eastAsia" w:ascii="宋体" w:hAnsi="宋体" w:eastAsia="宋体" w:cs="宋体"/>
          <w:color w:val="auto"/>
          <w:sz w:val="24"/>
          <w:szCs w:val="24"/>
          <w:highlight w:val="none"/>
          <w:u w:val="single"/>
        </w:rPr>
        <w:t>甲方指定地点</w:t>
      </w:r>
      <w:r>
        <w:rPr>
          <w:rFonts w:hint="eastAsia" w:ascii="宋体" w:hAnsi="宋体" w:eastAsia="宋体" w:cs="宋体"/>
          <w:color w:val="auto"/>
          <w:sz w:val="24"/>
          <w:highlight w:val="none"/>
        </w:rPr>
        <w:t>；</w:t>
      </w:r>
    </w:p>
    <w:p w14:paraId="18195494">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1.5.3服务方式：</w:t>
      </w:r>
      <w:r>
        <w:rPr>
          <w:rFonts w:hint="eastAsia" w:ascii="宋体" w:hAnsi="宋体" w:eastAsia="宋体" w:cs="宋体"/>
          <w:color w:val="auto"/>
          <w:sz w:val="24"/>
          <w:szCs w:val="24"/>
          <w:highlight w:val="none"/>
          <w:u w:val="single"/>
        </w:rPr>
        <w:t>甲方指定方式</w:t>
      </w:r>
      <w:r>
        <w:rPr>
          <w:rFonts w:hint="eastAsia" w:ascii="宋体" w:hAnsi="宋体" w:eastAsia="宋体" w:cs="宋体"/>
          <w:color w:val="auto"/>
          <w:sz w:val="24"/>
          <w:highlight w:val="none"/>
        </w:rPr>
        <w:t>。</w:t>
      </w:r>
    </w:p>
    <w:p w14:paraId="3104996F">
      <w:pPr>
        <w:spacing w:line="360" w:lineRule="auto"/>
        <w:ind w:firstLine="437"/>
        <w:outlineLvl w:val="2"/>
        <w:rPr>
          <w:rFonts w:ascii="宋体" w:hAnsi="宋体" w:eastAsia="宋体" w:cs="宋体"/>
          <w:b/>
          <w:bCs/>
          <w:color w:val="auto"/>
          <w:sz w:val="24"/>
          <w:highlight w:val="none"/>
          <w:lang w:val="zh-CN"/>
        </w:rPr>
      </w:pPr>
      <w:bookmarkStart w:id="56" w:name="_Toc21423"/>
      <w:bookmarkStart w:id="57" w:name="_Toc19554"/>
      <w:bookmarkStart w:id="58" w:name="_Toc27250"/>
      <w:r>
        <w:rPr>
          <w:rFonts w:hint="eastAsia" w:ascii="宋体" w:hAnsi="宋体" w:eastAsia="宋体" w:cs="宋体"/>
          <w:b/>
          <w:bCs/>
          <w:color w:val="auto"/>
          <w:sz w:val="24"/>
          <w:highlight w:val="none"/>
          <w:lang w:val="zh-CN"/>
        </w:rPr>
        <w:t>1.6 违约责任</w:t>
      </w:r>
      <w:bookmarkEnd w:id="56"/>
      <w:bookmarkEnd w:id="57"/>
      <w:bookmarkEnd w:id="58"/>
    </w:p>
    <w:p w14:paraId="0D72DA3A">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highlight w:val="none"/>
          <w:u w:val="single"/>
        </w:rPr>
        <w:t xml:space="preserve"> 0.1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10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637886E9">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1.6.2除不可抗力外，如果甲方没有按照本合同约定的付款方式付款，那么乙方可要求甲方支付违约金，违约金按每迟延付款一日的应付而未付款的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0.1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10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370D10CC">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876C15E">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1056FE9">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A8854FA">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465AC396">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1.6.7因甲方未按合同约定支付价款、未按合同约定受领标的物、擅自解除合同、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r>
        <w:rPr>
          <w:rFonts w:hint="eastAsia" w:ascii="宋体" w:hAnsi="宋体" w:eastAsia="宋体" w:cs="宋体"/>
          <w:color w:val="auto"/>
          <w:sz w:val="24"/>
          <w:szCs w:val="24"/>
          <w:highlight w:val="none"/>
        </w:rPr>
        <w:t>。</w:t>
      </w:r>
    </w:p>
    <w:p w14:paraId="4363A6FA">
      <w:pPr>
        <w:spacing w:line="360" w:lineRule="auto"/>
        <w:ind w:firstLine="437"/>
        <w:outlineLvl w:val="2"/>
        <w:rPr>
          <w:rFonts w:ascii="宋体" w:hAnsi="宋体" w:eastAsia="宋体" w:cs="宋体"/>
          <w:b/>
          <w:bCs/>
          <w:color w:val="auto"/>
          <w:sz w:val="24"/>
          <w:highlight w:val="none"/>
          <w:lang w:val="zh-CN"/>
        </w:rPr>
      </w:pPr>
      <w:bookmarkStart w:id="59" w:name="_Toc15583"/>
      <w:bookmarkStart w:id="60" w:name="_Toc16021"/>
      <w:bookmarkStart w:id="61" w:name="_Toc28375"/>
      <w:r>
        <w:rPr>
          <w:rFonts w:hint="eastAsia" w:ascii="宋体" w:hAnsi="宋体" w:eastAsia="宋体" w:cs="宋体"/>
          <w:b/>
          <w:bCs/>
          <w:color w:val="auto"/>
          <w:sz w:val="24"/>
          <w:highlight w:val="none"/>
          <w:lang w:val="zh-CN"/>
        </w:rPr>
        <w:t>1.7 合同争议的解决</w:t>
      </w:r>
      <w:bookmarkEnd w:id="59"/>
      <w:bookmarkEnd w:id="60"/>
      <w:bookmarkEnd w:id="61"/>
    </w:p>
    <w:p w14:paraId="397C3AAF">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种方式解决：</w:t>
      </w:r>
    </w:p>
    <w:p w14:paraId="4CE4DB70">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1.7.1将争议提交</w:t>
      </w:r>
      <w:r>
        <w:rPr>
          <w:rFonts w:hint="eastAsia" w:ascii="宋体" w:hAnsi="宋体" w:eastAsia="宋体" w:cs="宋体"/>
          <w:color w:val="auto"/>
          <w:sz w:val="24"/>
          <w:highlight w:val="none"/>
          <w:u w:val="single"/>
        </w:rPr>
        <w:t xml:space="preserve">  滁州 </w:t>
      </w:r>
      <w:r>
        <w:rPr>
          <w:rFonts w:hint="eastAsia" w:ascii="宋体" w:hAnsi="宋体" w:eastAsia="宋体" w:cs="宋体"/>
          <w:color w:val="auto"/>
          <w:sz w:val="24"/>
          <w:highlight w:val="none"/>
        </w:rPr>
        <w:t>仲裁委员会依申请仲裁时其现行有效的仲裁规则裁决；</w:t>
      </w:r>
    </w:p>
    <w:p w14:paraId="43CC30E0">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1.7.2向</w:t>
      </w:r>
      <w:r>
        <w:rPr>
          <w:rFonts w:hint="eastAsia" w:ascii="宋体" w:hAnsi="宋体" w:eastAsia="宋体" w:cs="宋体"/>
          <w:color w:val="auto"/>
          <w:sz w:val="24"/>
          <w:highlight w:val="none"/>
          <w:u w:val="single"/>
        </w:rPr>
        <w:t xml:space="preserve">  甲方（采购人）所在地  </w:t>
      </w:r>
      <w:r>
        <w:rPr>
          <w:rFonts w:hint="eastAsia" w:ascii="宋体" w:hAnsi="宋体" w:eastAsia="宋体" w:cs="宋体"/>
          <w:color w:val="auto"/>
          <w:sz w:val="24"/>
          <w:highlight w:val="none"/>
        </w:rPr>
        <w:t>人民法院起诉。</w:t>
      </w:r>
    </w:p>
    <w:p w14:paraId="049BF8C8">
      <w:pPr>
        <w:spacing w:line="360" w:lineRule="auto"/>
        <w:ind w:firstLine="437"/>
        <w:outlineLvl w:val="2"/>
        <w:rPr>
          <w:rFonts w:ascii="宋体" w:hAnsi="宋体" w:eastAsia="宋体" w:cs="宋体"/>
          <w:b/>
          <w:bCs/>
          <w:color w:val="auto"/>
          <w:sz w:val="24"/>
          <w:highlight w:val="none"/>
          <w:lang w:val="zh-CN"/>
        </w:rPr>
      </w:pPr>
      <w:bookmarkStart w:id="62" w:name="_Toc15322"/>
      <w:bookmarkStart w:id="63" w:name="_Toc7245"/>
      <w:bookmarkStart w:id="64" w:name="_Toc11173"/>
      <w:r>
        <w:rPr>
          <w:rFonts w:hint="eastAsia" w:ascii="宋体" w:hAnsi="宋体" w:eastAsia="宋体" w:cs="宋体"/>
          <w:b/>
          <w:bCs/>
          <w:color w:val="auto"/>
          <w:sz w:val="24"/>
          <w:highlight w:val="none"/>
          <w:lang w:val="zh-CN"/>
        </w:rPr>
        <w:t>1.8 合同生效</w:t>
      </w:r>
      <w:bookmarkEnd w:id="62"/>
      <w:bookmarkEnd w:id="63"/>
      <w:bookmarkEnd w:id="64"/>
    </w:p>
    <w:p w14:paraId="17351D5A">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本合同自双方当事人盖章时生效。</w:t>
      </w:r>
    </w:p>
    <w:p w14:paraId="4DA718C7">
      <w:pPr>
        <w:autoSpaceDE w:val="0"/>
        <w:autoSpaceDN w:val="0"/>
        <w:adjustRightInd w:val="0"/>
        <w:spacing w:line="560" w:lineRule="exact"/>
        <w:rPr>
          <w:rFonts w:ascii="宋体" w:hAnsi="宋体" w:eastAsia="宋体" w:cs="宋体"/>
          <w:color w:val="auto"/>
          <w:sz w:val="24"/>
          <w:highlight w:val="none"/>
          <w:lang w:val="zh-CN"/>
        </w:rPr>
      </w:pPr>
    </w:p>
    <w:p w14:paraId="505D1981">
      <w:pPr>
        <w:autoSpaceDE w:val="0"/>
        <w:autoSpaceDN w:val="0"/>
        <w:adjustRightInd w:val="0"/>
        <w:spacing w:line="560" w:lineRule="exact"/>
        <w:rPr>
          <w:rFonts w:ascii="宋体" w:hAnsi="宋体" w:eastAsia="宋体" w:cs="宋体"/>
          <w:bCs/>
          <w:color w:val="auto"/>
          <w:sz w:val="24"/>
          <w:szCs w:val="24"/>
          <w:highlight w:val="none"/>
          <w:lang w:val="zh-CN"/>
        </w:rPr>
      </w:pPr>
      <w:bookmarkStart w:id="65" w:name="_Toc331685783"/>
      <w:r>
        <w:rPr>
          <w:rFonts w:hint="eastAsia" w:ascii="宋体" w:hAnsi="宋体" w:eastAsia="宋体" w:cs="宋体"/>
          <w:bCs/>
          <w:color w:val="auto"/>
          <w:sz w:val="24"/>
          <w:szCs w:val="24"/>
          <w:highlight w:val="none"/>
          <w:lang w:val="zh-CN"/>
        </w:rPr>
        <w:t>甲    方：</w:t>
      </w:r>
      <w:r>
        <w:rPr>
          <w:rFonts w:hint="eastAsia" w:ascii="宋体" w:hAnsi="宋体" w:eastAsia="宋体" w:cs="宋体"/>
          <w:bCs/>
          <w:color w:val="auto"/>
          <w:sz w:val="24"/>
          <w:szCs w:val="24"/>
          <w:highlight w:val="none"/>
          <w:u w:val="single"/>
          <w:lang w:val="zh-CN"/>
        </w:rPr>
        <w:t xml:space="preserve">    （单位盖章）     </w:t>
      </w:r>
      <w:r>
        <w:rPr>
          <w:rFonts w:hint="eastAsia" w:ascii="宋体" w:hAnsi="宋体" w:eastAsia="宋体" w:cs="宋体"/>
          <w:bCs/>
          <w:color w:val="auto"/>
          <w:sz w:val="24"/>
          <w:szCs w:val="24"/>
          <w:highlight w:val="none"/>
          <w:lang w:val="zh-CN"/>
        </w:rPr>
        <w:t xml:space="preserve">          乙方：</w:t>
      </w:r>
      <w:r>
        <w:rPr>
          <w:rFonts w:hint="eastAsia" w:ascii="宋体" w:hAnsi="宋体" w:eastAsia="宋体" w:cs="宋体"/>
          <w:bCs/>
          <w:color w:val="auto"/>
          <w:sz w:val="24"/>
          <w:szCs w:val="24"/>
          <w:highlight w:val="none"/>
          <w:u w:val="single"/>
          <w:lang w:val="zh-CN"/>
        </w:rPr>
        <w:t xml:space="preserve">    （单位盖章）     </w:t>
      </w:r>
    </w:p>
    <w:p w14:paraId="311DFFE8">
      <w:pPr>
        <w:autoSpaceDE w:val="0"/>
        <w:autoSpaceDN w:val="0"/>
        <w:adjustRightInd w:val="0"/>
        <w:spacing w:line="560" w:lineRule="exact"/>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                               法定代表人</w:t>
      </w:r>
    </w:p>
    <w:p w14:paraId="63298678">
      <w:pPr>
        <w:autoSpaceDE w:val="0"/>
        <w:autoSpaceDN w:val="0"/>
        <w:adjustRightInd w:val="0"/>
        <w:spacing w:line="560" w:lineRule="exact"/>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或授权代表（签字）：                      或授权代表（签字）：</w:t>
      </w:r>
    </w:p>
    <w:p w14:paraId="6D2C7D1F">
      <w:pPr>
        <w:widowControl/>
        <w:spacing w:line="560" w:lineRule="exact"/>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               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p>
    <w:p w14:paraId="5D8CBBDF">
      <w:pPr>
        <w:widowControl/>
        <w:spacing w:line="560" w:lineRule="exact"/>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乙方账户信息</w:t>
      </w:r>
    </w:p>
    <w:p w14:paraId="2E58E6F0">
      <w:pPr>
        <w:widowControl/>
        <w:spacing w:line="560" w:lineRule="exact"/>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户名：</w:t>
      </w:r>
      <w:r>
        <w:rPr>
          <w:rFonts w:hint="eastAsia" w:ascii="宋体" w:hAnsi="宋体" w:eastAsia="宋体" w:cs="宋体"/>
          <w:bCs/>
          <w:color w:val="auto"/>
          <w:sz w:val="24"/>
          <w:szCs w:val="24"/>
          <w:highlight w:val="none"/>
          <w:u w:val="single"/>
        </w:rPr>
        <w:t xml:space="preserve">                    </w:t>
      </w:r>
    </w:p>
    <w:p w14:paraId="1F3EDAE2">
      <w:pPr>
        <w:widowControl/>
        <w:spacing w:line="560" w:lineRule="exact"/>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账号：</w:t>
      </w:r>
      <w:r>
        <w:rPr>
          <w:rFonts w:hint="eastAsia" w:ascii="宋体" w:hAnsi="宋体" w:eastAsia="宋体" w:cs="宋体"/>
          <w:bCs/>
          <w:color w:val="auto"/>
          <w:sz w:val="24"/>
          <w:szCs w:val="24"/>
          <w:highlight w:val="none"/>
          <w:u w:val="single"/>
        </w:rPr>
        <w:t xml:space="preserve">                    </w:t>
      </w:r>
    </w:p>
    <w:p w14:paraId="765231E2">
      <w:pPr>
        <w:widowControl/>
        <w:spacing w:line="560" w:lineRule="exact"/>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开户银行：</w:t>
      </w:r>
      <w:r>
        <w:rPr>
          <w:rFonts w:hint="eastAsia" w:ascii="宋体" w:hAnsi="宋体" w:eastAsia="宋体" w:cs="宋体"/>
          <w:bCs/>
          <w:color w:val="auto"/>
          <w:sz w:val="24"/>
          <w:szCs w:val="24"/>
          <w:highlight w:val="none"/>
          <w:u w:val="single"/>
        </w:rPr>
        <w:t xml:space="preserve">                </w:t>
      </w:r>
    </w:p>
    <w:p w14:paraId="6679776B">
      <w:pPr>
        <w:widowControl/>
        <w:jc w:val="left"/>
        <w:rPr>
          <w:rFonts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2139FFCB">
      <w:pPr>
        <w:spacing w:line="360" w:lineRule="auto"/>
        <w:jc w:val="center"/>
        <w:outlineLvl w:val="1"/>
        <w:rPr>
          <w:rFonts w:ascii="宋体" w:hAnsi="宋体"/>
          <w:b/>
          <w:color w:val="auto"/>
          <w:sz w:val="24"/>
          <w:highlight w:val="none"/>
        </w:rPr>
      </w:pPr>
      <w:bookmarkStart w:id="66" w:name="_Toc20177"/>
      <w:r>
        <w:rPr>
          <w:rFonts w:hint="eastAsia" w:ascii="宋体" w:hAnsi="宋体"/>
          <w:b/>
          <w:color w:val="auto"/>
          <w:sz w:val="24"/>
          <w:highlight w:val="none"/>
        </w:rPr>
        <w:t>第二部分</w:t>
      </w:r>
      <w:r>
        <w:rPr>
          <w:rFonts w:ascii="宋体" w:hAnsi="宋体"/>
          <w:b/>
          <w:color w:val="auto"/>
          <w:sz w:val="24"/>
          <w:highlight w:val="none"/>
        </w:rPr>
        <w:t xml:space="preserve"> </w:t>
      </w:r>
      <w:r>
        <w:rPr>
          <w:rFonts w:hint="eastAsia" w:ascii="宋体" w:hAnsi="宋体"/>
          <w:b/>
          <w:color w:val="auto"/>
          <w:sz w:val="24"/>
          <w:highlight w:val="none"/>
        </w:rPr>
        <w:t>合同一般条款</w:t>
      </w:r>
      <w:bookmarkEnd w:id="65"/>
      <w:bookmarkEnd w:id="66"/>
    </w:p>
    <w:p w14:paraId="7B5AC2BC">
      <w:pPr>
        <w:spacing w:line="360" w:lineRule="auto"/>
        <w:ind w:firstLine="437"/>
        <w:outlineLvl w:val="2"/>
        <w:rPr>
          <w:rFonts w:ascii="宋体" w:hAnsi="宋体" w:eastAsia="宋体" w:cs="宋体"/>
          <w:b/>
          <w:bCs/>
          <w:color w:val="auto"/>
          <w:sz w:val="24"/>
          <w:highlight w:val="none"/>
          <w:lang w:val="zh-CN"/>
        </w:rPr>
      </w:pPr>
      <w:bookmarkStart w:id="67" w:name="_Toc16917"/>
      <w:bookmarkStart w:id="68" w:name="_Ref467379101"/>
      <w:bookmarkStart w:id="69" w:name="_Ref467379094"/>
      <w:bookmarkStart w:id="70" w:name="_Toc487900349"/>
      <w:bookmarkStart w:id="71" w:name="_Ref467379195"/>
      <w:bookmarkStart w:id="72" w:name="_Toc19614"/>
      <w:bookmarkStart w:id="73" w:name="_Ref467379109"/>
      <w:bookmarkStart w:id="74" w:name="_Toc259093669"/>
      <w:bookmarkStart w:id="75" w:name="_Ref467379214"/>
      <w:bookmarkStart w:id="76" w:name="_Toc279701240"/>
      <w:bookmarkStart w:id="77" w:name="_Toc28763"/>
      <w:bookmarkStart w:id="78" w:name="_Ref467378499"/>
      <w:bookmarkStart w:id="79" w:name="_Ref467378404"/>
      <w:bookmarkStart w:id="80" w:name="_Ref467379225"/>
      <w:bookmarkStart w:id="81" w:name="_Ref467379205"/>
      <w:bookmarkStart w:id="82" w:name="_Ref467378463"/>
      <w:r>
        <w:rPr>
          <w:rFonts w:hint="eastAsia" w:ascii="宋体" w:hAnsi="宋体" w:eastAsia="宋体" w:cs="宋体"/>
          <w:b/>
          <w:bCs/>
          <w:color w:val="auto"/>
          <w:sz w:val="24"/>
          <w:highlight w:val="none"/>
          <w:lang w:val="zh-CN"/>
        </w:rPr>
        <w:t>2.1 定义</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379EA61E">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本</w:t>
      </w:r>
      <w:bookmarkStart w:id="83" w:name="_Ref467379436"/>
      <w:r>
        <w:rPr>
          <w:rFonts w:hint="eastAsia" w:ascii="宋体" w:hAnsi="宋体" w:eastAsia="宋体" w:cs="宋体"/>
          <w:color w:val="auto"/>
          <w:sz w:val="24"/>
          <w:highlight w:val="none"/>
        </w:rPr>
        <w:t>合同中的下列词语应按以下内容进行解释：</w:t>
      </w:r>
    </w:p>
    <w:p w14:paraId="22CC412D">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2.1.1“合同”系指采购人和中标人签订的载明双方当事人所达成的协议，并包括所有的附件、附录和构成合同的其他文件。</w:t>
      </w:r>
    </w:p>
    <w:p w14:paraId="14538D7E">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2.1.2“合同价”系指根据合同约定，中标人在完全履行合同义务后，采购人应支付给中标人的价格。</w:t>
      </w:r>
    </w:p>
    <w:p w14:paraId="7EF64ABB">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2.1.3“服务”系指中标人根据合同约定应向采购人履行的除货物和工程以外的其他政府采购对象，包括采购人自身需要的服务和向社会公众提供的公共服务。</w:t>
      </w:r>
    </w:p>
    <w:p w14:paraId="57D1AC32">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2.1.4“甲方”系指与中标人签署合同的采购人；采购人委托采购代理机构代表其与乙方签订合同的，采购人的授权委托书作为合同附件。</w:t>
      </w:r>
    </w:p>
    <w:p w14:paraId="79E582B6">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2.1.5“乙方”系指根据合同约定提供服务的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3519D0EC">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2.1.6“现场”系指合同约定提供服务的地点。</w:t>
      </w:r>
      <w:bookmarkEnd w:id="83"/>
    </w:p>
    <w:p w14:paraId="3C4856BF">
      <w:pPr>
        <w:spacing w:line="360" w:lineRule="auto"/>
        <w:ind w:firstLine="437"/>
        <w:outlineLvl w:val="2"/>
        <w:rPr>
          <w:rFonts w:ascii="宋体" w:hAnsi="宋体" w:eastAsia="宋体" w:cs="宋体"/>
          <w:b/>
          <w:bCs/>
          <w:color w:val="auto"/>
          <w:sz w:val="24"/>
          <w:highlight w:val="none"/>
          <w:lang w:val="zh-CN"/>
        </w:rPr>
      </w:pPr>
      <w:bookmarkStart w:id="84" w:name="_Toc259093670"/>
      <w:bookmarkStart w:id="85" w:name="_Toc279701241"/>
      <w:bookmarkStart w:id="86" w:name="_Toc32504"/>
      <w:bookmarkStart w:id="87" w:name="_Toc13336"/>
      <w:bookmarkStart w:id="88" w:name="_Toc27635"/>
      <w:bookmarkStart w:id="89" w:name="_Toc487900350"/>
      <w:r>
        <w:rPr>
          <w:rFonts w:hint="eastAsia" w:ascii="宋体" w:hAnsi="宋体" w:eastAsia="宋体" w:cs="宋体"/>
          <w:b/>
          <w:bCs/>
          <w:color w:val="auto"/>
          <w:sz w:val="24"/>
          <w:highlight w:val="none"/>
          <w:lang w:val="zh-CN"/>
        </w:rPr>
        <w:t>2.2 技术规范</w:t>
      </w:r>
      <w:bookmarkEnd w:id="84"/>
      <w:bookmarkEnd w:id="85"/>
      <w:bookmarkEnd w:id="86"/>
      <w:bookmarkEnd w:id="87"/>
      <w:bookmarkEnd w:id="88"/>
      <w:bookmarkEnd w:id="89"/>
    </w:p>
    <w:p w14:paraId="1C89D718">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C28D909">
      <w:pPr>
        <w:spacing w:line="360" w:lineRule="auto"/>
        <w:ind w:firstLine="437"/>
        <w:outlineLvl w:val="2"/>
        <w:rPr>
          <w:rFonts w:ascii="宋体" w:hAnsi="宋体" w:eastAsia="宋体" w:cs="宋体"/>
          <w:b/>
          <w:bCs/>
          <w:color w:val="auto"/>
          <w:sz w:val="24"/>
          <w:highlight w:val="none"/>
          <w:lang w:val="zh-CN"/>
        </w:rPr>
      </w:pPr>
      <w:bookmarkStart w:id="90" w:name="_Toc27853"/>
      <w:bookmarkStart w:id="91" w:name="_Toc31634"/>
      <w:bookmarkStart w:id="92" w:name="_Toc259093671"/>
      <w:bookmarkStart w:id="93" w:name="_Toc487900351"/>
      <w:bookmarkStart w:id="94" w:name="_Toc9829"/>
      <w:bookmarkStart w:id="95" w:name="_Toc279701242"/>
      <w:r>
        <w:rPr>
          <w:rFonts w:hint="eastAsia" w:ascii="宋体" w:hAnsi="宋体" w:eastAsia="宋体" w:cs="宋体"/>
          <w:b/>
          <w:bCs/>
          <w:color w:val="auto"/>
          <w:sz w:val="24"/>
          <w:highlight w:val="none"/>
          <w:lang w:val="zh-CN"/>
        </w:rPr>
        <w:t>2.3 知识产权</w:t>
      </w:r>
      <w:bookmarkEnd w:id="90"/>
      <w:bookmarkEnd w:id="91"/>
      <w:bookmarkEnd w:id="92"/>
      <w:bookmarkEnd w:id="93"/>
      <w:bookmarkEnd w:id="94"/>
      <w:bookmarkEnd w:id="95"/>
    </w:p>
    <w:p w14:paraId="088722C2">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6FD5DCE5">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2.3.2具有知识产权的计算机软件等货物的知识产权归属，详见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E284DB9">
      <w:pPr>
        <w:spacing w:line="360" w:lineRule="auto"/>
        <w:ind w:firstLine="437"/>
        <w:outlineLvl w:val="2"/>
        <w:rPr>
          <w:rFonts w:ascii="宋体" w:hAnsi="宋体" w:eastAsia="宋体" w:cs="宋体"/>
          <w:b/>
          <w:color w:val="auto"/>
          <w:sz w:val="24"/>
          <w:highlight w:val="none"/>
        </w:rPr>
      </w:pPr>
      <w:bookmarkStart w:id="96" w:name="_Toc4194"/>
      <w:bookmarkStart w:id="97" w:name="_Toc11932"/>
      <w:bookmarkStart w:id="98" w:name="_Toc29149"/>
      <w:r>
        <w:rPr>
          <w:rFonts w:hint="eastAsia" w:ascii="宋体" w:hAnsi="宋体" w:eastAsia="宋体" w:cs="宋体"/>
          <w:b/>
          <w:bCs/>
          <w:color w:val="auto"/>
          <w:sz w:val="24"/>
          <w:highlight w:val="none"/>
          <w:lang w:val="zh-CN"/>
        </w:rPr>
        <w:t xml:space="preserve">2.4 </w:t>
      </w:r>
      <w:bookmarkEnd w:id="96"/>
      <w:bookmarkEnd w:id="97"/>
      <w:bookmarkEnd w:id="98"/>
      <w:r>
        <w:rPr>
          <w:rFonts w:hint="eastAsia" w:ascii="宋体" w:hAnsi="宋体" w:eastAsia="宋体" w:cs="宋体"/>
          <w:b/>
          <w:bCs/>
          <w:color w:val="auto"/>
          <w:sz w:val="24"/>
          <w:highlight w:val="none"/>
          <w:lang w:val="zh-CN"/>
        </w:rPr>
        <w:t>履约检查和问题反馈</w:t>
      </w:r>
    </w:p>
    <w:p w14:paraId="07ABF625">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14:paraId="0D4FF69C">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2.4.2合同履行期间，甲方有权将履行过程中出现的问题反馈给乙方，双方当事人应以书面形式约定需要完善和改进的内容。</w:t>
      </w:r>
    </w:p>
    <w:p w14:paraId="24715A47">
      <w:pPr>
        <w:spacing w:line="360" w:lineRule="auto"/>
        <w:ind w:firstLine="437"/>
        <w:outlineLvl w:val="2"/>
        <w:rPr>
          <w:rFonts w:ascii="宋体" w:hAnsi="宋体" w:eastAsia="宋体" w:cs="宋体"/>
          <w:b/>
          <w:bCs/>
          <w:color w:val="auto"/>
          <w:sz w:val="24"/>
          <w:highlight w:val="none"/>
          <w:lang w:val="zh-CN"/>
        </w:rPr>
      </w:pPr>
      <w:bookmarkStart w:id="99" w:name="_Ref467378541"/>
      <w:bookmarkStart w:id="100" w:name="_Ref467379536"/>
      <w:bookmarkStart w:id="101" w:name="_Toc279701245"/>
      <w:bookmarkStart w:id="102" w:name="_Ref467378591"/>
      <w:bookmarkStart w:id="103" w:name="_Toc487900354"/>
      <w:bookmarkStart w:id="104" w:name="_Ref467379527"/>
      <w:bookmarkStart w:id="105" w:name="_Toc259093674"/>
      <w:bookmarkStart w:id="106" w:name="_Ref467379542"/>
      <w:bookmarkStart w:id="107" w:name="_Toc30272"/>
      <w:bookmarkStart w:id="108" w:name="_Toc26182"/>
      <w:bookmarkStart w:id="109" w:name="_Toc19074"/>
      <w:r>
        <w:rPr>
          <w:rFonts w:hint="eastAsia" w:ascii="宋体" w:hAnsi="宋体" w:eastAsia="宋体" w:cs="宋体"/>
          <w:b/>
          <w:bCs/>
          <w:color w:val="auto"/>
          <w:sz w:val="24"/>
          <w:highlight w:val="none"/>
          <w:lang w:val="zh-CN"/>
        </w:rPr>
        <w:t>2.</w:t>
      </w:r>
      <w:bookmarkEnd w:id="99"/>
      <w:bookmarkEnd w:id="100"/>
      <w:bookmarkEnd w:id="101"/>
      <w:bookmarkEnd w:id="102"/>
      <w:bookmarkEnd w:id="103"/>
      <w:bookmarkEnd w:id="104"/>
      <w:bookmarkEnd w:id="105"/>
      <w:bookmarkEnd w:id="106"/>
      <w:r>
        <w:rPr>
          <w:rFonts w:hint="eastAsia" w:ascii="宋体" w:hAnsi="宋体" w:eastAsia="宋体" w:cs="宋体"/>
          <w:b/>
          <w:bCs/>
          <w:color w:val="auto"/>
          <w:sz w:val="24"/>
          <w:highlight w:val="none"/>
          <w:lang w:val="zh-CN"/>
        </w:rPr>
        <w:t xml:space="preserve">5 </w:t>
      </w:r>
      <w:bookmarkEnd w:id="107"/>
      <w:bookmarkEnd w:id="108"/>
      <w:bookmarkEnd w:id="109"/>
      <w:bookmarkStart w:id="110" w:name="_Toc487900357"/>
      <w:bookmarkStart w:id="111" w:name="_Ref467379807"/>
      <w:bookmarkStart w:id="112" w:name="_Toc279701247"/>
      <w:bookmarkStart w:id="113" w:name="_Toc7836"/>
      <w:bookmarkStart w:id="114" w:name="_Ref467379793"/>
      <w:bookmarkStart w:id="115" w:name="_Toc259093676"/>
      <w:bookmarkStart w:id="116" w:name="_Toc28451"/>
      <w:bookmarkStart w:id="117" w:name="_Toc19219"/>
      <w:r>
        <w:rPr>
          <w:rFonts w:hint="eastAsia" w:ascii="宋体" w:hAnsi="宋体" w:eastAsia="宋体" w:cs="宋体"/>
          <w:b/>
          <w:bCs/>
          <w:color w:val="auto"/>
          <w:sz w:val="24"/>
          <w:highlight w:val="none"/>
          <w:lang w:val="zh-CN"/>
        </w:rPr>
        <w:t>结算方式和付款条件</w:t>
      </w:r>
      <w:bookmarkEnd w:id="110"/>
      <w:bookmarkEnd w:id="111"/>
      <w:bookmarkEnd w:id="112"/>
      <w:bookmarkEnd w:id="113"/>
      <w:bookmarkEnd w:id="114"/>
      <w:bookmarkEnd w:id="115"/>
      <w:bookmarkEnd w:id="116"/>
      <w:bookmarkEnd w:id="117"/>
    </w:p>
    <w:p w14:paraId="640E3251">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52DD1C9">
      <w:pPr>
        <w:spacing w:line="360" w:lineRule="auto"/>
        <w:ind w:firstLine="437"/>
        <w:outlineLvl w:val="2"/>
        <w:rPr>
          <w:rFonts w:ascii="宋体" w:hAnsi="宋体" w:eastAsia="宋体" w:cs="宋体"/>
          <w:b/>
          <w:bCs/>
          <w:color w:val="auto"/>
          <w:sz w:val="24"/>
          <w:highlight w:val="none"/>
          <w:lang w:val="zh-CN"/>
        </w:rPr>
      </w:pPr>
      <w:bookmarkStart w:id="118" w:name="_Ref467379852"/>
      <w:bookmarkStart w:id="119" w:name="_Ref467379923"/>
      <w:bookmarkStart w:id="120" w:name="_Toc487900358"/>
      <w:bookmarkStart w:id="121" w:name="_Ref467379863"/>
      <w:bookmarkStart w:id="122" w:name="_Toc279701248"/>
      <w:bookmarkStart w:id="123" w:name="_Toc259093677"/>
      <w:bookmarkStart w:id="124" w:name="_Toc3225"/>
      <w:bookmarkStart w:id="125" w:name="_Toc16110"/>
      <w:bookmarkStart w:id="126" w:name="_Toc774"/>
      <w:r>
        <w:rPr>
          <w:rFonts w:hint="eastAsia" w:ascii="宋体" w:hAnsi="宋体" w:eastAsia="宋体" w:cs="宋体"/>
          <w:b/>
          <w:bCs/>
          <w:color w:val="auto"/>
          <w:sz w:val="24"/>
          <w:highlight w:val="none"/>
          <w:lang w:val="zh-CN"/>
        </w:rPr>
        <w:t>2.</w:t>
      </w:r>
      <w:r>
        <w:rPr>
          <w:rFonts w:hint="eastAsia" w:ascii="宋体" w:hAnsi="宋体" w:eastAsia="宋体" w:cs="宋体"/>
          <w:b/>
          <w:bCs/>
          <w:color w:val="auto"/>
          <w:sz w:val="24"/>
          <w:highlight w:val="none"/>
        </w:rPr>
        <w:t>6</w:t>
      </w:r>
      <w:r>
        <w:rPr>
          <w:rFonts w:hint="eastAsia" w:ascii="宋体" w:hAnsi="宋体" w:eastAsia="宋体" w:cs="宋体"/>
          <w:b/>
          <w:bCs/>
          <w:color w:val="auto"/>
          <w:sz w:val="24"/>
          <w:highlight w:val="none"/>
          <w:lang w:val="zh-CN"/>
        </w:rPr>
        <w:t xml:space="preserve"> 技术资料</w:t>
      </w:r>
      <w:bookmarkEnd w:id="118"/>
      <w:bookmarkEnd w:id="119"/>
      <w:bookmarkEnd w:id="120"/>
      <w:bookmarkEnd w:id="121"/>
      <w:bookmarkEnd w:id="122"/>
      <w:bookmarkEnd w:id="123"/>
      <w:r>
        <w:rPr>
          <w:rFonts w:hint="eastAsia" w:ascii="宋体" w:hAnsi="宋体" w:eastAsia="宋体" w:cs="宋体"/>
          <w:b/>
          <w:bCs/>
          <w:color w:val="auto"/>
          <w:sz w:val="24"/>
          <w:highlight w:val="none"/>
          <w:lang w:val="zh-CN"/>
        </w:rPr>
        <w:t>和保密义务</w:t>
      </w:r>
      <w:bookmarkEnd w:id="124"/>
      <w:bookmarkEnd w:id="125"/>
      <w:bookmarkEnd w:id="126"/>
    </w:p>
    <w:p w14:paraId="0A2BF544">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2.6.1乙方有权依据合同约定和项目需要，向甲方了解有关情况，调阅有关资料等，甲方应予积极配合；</w:t>
      </w:r>
    </w:p>
    <w:p w14:paraId="17092A08">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2.6.2乙方有义务妥善保管和保护由甲方提供的前款信息和资料等；</w:t>
      </w:r>
    </w:p>
    <w:p w14:paraId="6FB247D8">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B3613B9">
      <w:pPr>
        <w:spacing w:line="360" w:lineRule="auto"/>
        <w:ind w:firstLine="437"/>
        <w:outlineLvl w:val="2"/>
        <w:rPr>
          <w:rFonts w:ascii="宋体" w:hAnsi="宋体" w:eastAsia="宋体" w:cs="宋体"/>
          <w:b/>
          <w:bCs/>
          <w:color w:val="auto"/>
          <w:sz w:val="24"/>
          <w:highlight w:val="none"/>
          <w:lang w:val="zh-CN"/>
        </w:rPr>
      </w:pPr>
      <w:bookmarkStart w:id="127" w:name="_Toc7860"/>
      <w:r>
        <w:rPr>
          <w:rFonts w:hint="eastAsia" w:ascii="宋体" w:hAnsi="宋体" w:eastAsia="宋体" w:cs="宋体"/>
          <w:b/>
          <w:bCs/>
          <w:color w:val="auto"/>
          <w:sz w:val="24"/>
          <w:highlight w:val="none"/>
          <w:lang w:val="zh-CN"/>
        </w:rPr>
        <w:t>2.</w:t>
      </w:r>
      <w:r>
        <w:rPr>
          <w:rFonts w:hint="eastAsia" w:ascii="宋体" w:hAnsi="宋体" w:eastAsia="宋体" w:cs="宋体"/>
          <w:b/>
          <w:bCs/>
          <w:color w:val="auto"/>
          <w:sz w:val="24"/>
          <w:highlight w:val="none"/>
        </w:rPr>
        <w:t>7</w:t>
      </w:r>
      <w:r>
        <w:rPr>
          <w:rFonts w:hint="eastAsia" w:ascii="宋体" w:hAnsi="宋体" w:eastAsia="宋体" w:cs="宋体"/>
          <w:b/>
          <w:bCs/>
          <w:color w:val="auto"/>
          <w:sz w:val="24"/>
          <w:highlight w:val="none"/>
          <w:lang w:val="zh-CN"/>
        </w:rPr>
        <w:t xml:space="preserve"> 质量保证</w:t>
      </w:r>
      <w:bookmarkEnd w:id="127"/>
    </w:p>
    <w:p w14:paraId="31F93D86">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2.7.1乙方应建立和完善履行合同的内部质量保证体系，并提供相关内部规章制度给甲方，以便甲方进行监督检查；</w:t>
      </w:r>
    </w:p>
    <w:p w14:paraId="06FBD047">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2.7.2乙方应保证履行合同的人员数量和素质、软件和硬件设备的配置、场地、环境和设施等满足全面履行合同的要求，并应接受甲方的监督检查。</w:t>
      </w:r>
    </w:p>
    <w:p w14:paraId="7D70050C">
      <w:pPr>
        <w:spacing w:line="360" w:lineRule="auto"/>
        <w:ind w:firstLine="437"/>
        <w:outlineLvl w:val="2"/>
        <w:rPr>
          <w:rFonts w:ascii="宋体" w:hAnsi="宋体" w:eastAsia="宋体" w:cs="宋体"/>
          <w:b/>
          <w:bCs/>
          <w:color w:val="auto"/>
          <w:sz w:val="24"/>
          <w:highlight w:val="none"/>
          <w:lang w:val="zh-CN"/>
        </w:rPr>
      </w:pPr>
      <w:bookmarkStart w:id="128" w:name="_Toc17244"/>
      <w:bookmarkStart w:id="129" w:name="_Toc279701252"/>
      <w:bookmarkStart w:id="130" w:name="_Toc259093681"/>
      <w:bookmarkStart w:id="131" w:name="_Toc487900362"/>
      <w:r>
        <w:rPr>
          <w:rFonts w:hint="eastAsia" w:ascii="宋体" w:hAnsi="宋体" w:eastAsia="宋体" w:cs="宋体"/>
          <w:b/>
          <w:bCs/>
          <w:color w:val="auto"/>
          <w:sz w:val="24"/>
          <w:highlight w:val="none"/>
          <w:lang w:val="zh-CN"/>
        </w:rPr>
        <w:t>2.</w:t>
      </w:r>
      <w:r>
        <w:rPr>
          <w:rFonts w:hint="eastAsia" w:ascii="宋体" w:hAnsi="宋体" w:eastAsia="宋体" w:cs="宋体"/>
          <w:b/>
          <w:bCs/>
          <w:color w:val="auto"/>
          <w:sz w:val="24"/>
          <w:highlight w:val="none"/>
        </w:rPr>
        <w:t>8</w:t>
      </w:r>
      <w:r>
        <w:rPr>
          <w:rFonts w:hint="eastAsia" w:ascii="宋体" w:hAnsi="宋体" w:eastAsia="宋体" w:cs="宋体"/>
          <w:b/>
          <w:bCs/>
          <w:color w:val="auto"/>
          <w:sz w:val="24"/>
          <w:highlight w:val="none"/>
          <w:lang w:val="zh-CN"/>
        </w:rPr>
        <w:t xml:space="preserve"> </w:t>
      </w:r>
      <w:bookmarkEnd w:id="128"/>
      <w:bookmarkEnd w:id="129"/>
      <w:bookmarkEnd w:id="130"/>
      <w:bookmarkEnd w:id="131"/>
      <w:r>
        <w:rPr>
          <w:rFonts w:hint="eastAsia" w:ascii="宋体" w:hAnsi="宋体" w:eastAsia="宋体" w:cs="宋体"/>
          <w:b/>
          <w:bCs/>
          <w:color w:val="auto"/>
          <w:sz w:val="24"/>
          <w:highlight w:val="none"/>
          <w:lang w:val="zh-CN"/>
        </w:rPr>
        <w:t>延迟履行</w:t>
      </w:r>
    </w:p>
    <w:p w14:paraId="116CE36C">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476F2C4">
      <w:pPr>
        <w:spacing w:line="360" w:lineRule="auto"/>
        <w:ind w:firstLine="437"/>
        <w:outlineLvl w:val="2"/>
        <w:rPr>
          <w:rFonts w:ascii="宋体" w:hAnsi="宋体" w:eastAsia="宋体" w:cs="宋体"/>
          <w:b/>
          <w:bCs/>
          <w:color w:val="auto"/>
          <w:sz w:val="24"/>
          <w:highlight w:val="none"/>
          <w:lang w:val="zh-CN"/>
        </w:rPr>
      </w:pPr>
      <w:bookmarkStart w:id="132" w:name="_Toc7502"/>
      <w:bookmarkStart w:id="133" w:name="_Ref467378121"/>
      <w:bookmarkStart w:id="134" w:name="_Toc279701254"/>
      <w:bookmarkStart w:id="135" w:name="_Toc487900364"/>
      <w:bookmarkStart w:id="136" w:name="_Toc259093683"/>
      <w:r>
        <w:rPr>
          <w:rFonts w:hint="eastAsia" w:ascii="宋体" w:hAnsi="宋体" w:eastAsia="宋体" w:cs="宋体"/>
          <w:b/>
          <w:bCs/>
          <w:color w:val="auto"/>
          <w:sz w:val="24"/>
          <w:highlight w:val="none"/>
          <w:lang w:val="zh-CN"/>
        </w:rPr>
        <w:t>2.</w:t>
      </w:r>
      <w:r>
        <w:rPr>
          <w:rFonts w:hint="eastAsia" w:ascii="宋体" w:hAnsi="宋体" w:eastAsia="宋体" w:cs="宋体"/>
          <w:b/>
          <w:bCs/>
          <w:color w:val="auto"/>
          <w:sz w:val="24"/>
          <w:highlight w:val="none"/>
        </w:rPr>
        <w:t>9</w:t>
      </w:r>
      <w:r>
        <w:rPr>
          <w:rFonts w:hint="eastAsia" w:ascii="宋体" w:hAnsi="宋体" w:eastAsia="宋体" w:cs="宋体"/>
          <w:b/>
          <w:bCs/>
          <w:color w:val="auto"/>
          <w:sz w:val="24"/>
          <w:highlight w:val="none"/>
          <w:lang w:val="zh-CN"/>
        </w:rPr>
        <w:t xml:space="preserve"> 合同变更</w:t>
      </w:r>
      <w:bookmarkEnd w:id="132"/>
    </w:p>
    <w:p w14:paraId="502BBD0E">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2.9.1双方当事人协商一致，可以签订书面补充合同的形式变更合同，但不得违背采购文件确定的事项；</w:t>
      </w:r>
    </w:p>
    <w:p w14:paraId="215A8868">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2.9.2合同继续履行将损害国家利益和社会公共利益的，双方当事人应当以书面形式变更合同。有过错的一方应当承担赔偿责任，双方当事人都有过错的，各自承担相应的责任。</w:t>
      </w:r>
      <w:bookmarkStart w:id="137" w:name="_Toc487900369"/>
      <w:bookmarkStart w:id="138" w:name="_Toc279701259"/>
      <w:bookmarkStart w:id="139" w:name="_Toc259093688"/>
    </w:p>
    <w:p w14:paraId="37B015D2">
      <w:pPr>
        <w:spacing w:line="360" w:lineRule="auto"/>
        <w:ind w:firstLine="437"/>
        <w:outlineLvl w:val="2"/>
        <w:rPr>
          <w:rFonts w:ascii="宋体" w:hAnsi="宋体" w:eastAsia="宋体" w:cs="宋体"/>
          <w:b/>
          <w:bCs/>
          <w:color w:val="auto"/>
          <w:sz w:val="24"/>
          <w:highlight w:val="none"/>
          <w:lang w:val="zh-CN"/>
        </w:rPr>
      </w:pPr>
      <w:bookmarkStart w:id="140" w:name="_Toc22955"/>
      <w:bookmarkStart w:id="141" w:name="_Toc15237"/>
      <w:bookmarkStart w:id="142" w:name="_Toc10366"/>
      <w:r>
        <w:rPr>
          <w:rFonts w:hint="eastAsia" w:ascii="宋体" w:hAnsi="宋体" w:eastAsia="宋体" w:cs="宋体"/>
          <w:b/>
          <w:bCs/>
          <w:color w:val="auto"/>
          <w:sz w:val="24"/>
          <w:highlight w:val="none"/>
          <w:lang w:val="zh-CN"/>
        </w:rPr>
        <w:t>2.1</w:t>
      </w:r>
      <w:r>
        <w:rPr>
          <w:rFonts w:hint="eastAsia" w:ascii="宋体" w:hAnsi="宋体" w:eastAsia="宋体" w:cs="宋体"/>
          <w:b/>
          <w:bCs/>
          <w:color w:val="auto"/>
          <w:sz w:val="24"/>
          <w:highlight w:val="none"/>
        </w:rPr>
        <w:t>0</w:t>
      </w:r>
      <w:r>
        <w:rPr>
          <w:rFonts w:hint="eastAsia" w:ascii="宋体" w:hAnsi="宋体" w:eastAsia="宋体" w:cs="宋体"/>
          <w:b/>
          <w:bCs/>
          <w:color w:val="auto"/>
          <w:sz w:val="24"/>
          <w:highlight w:val="none"/>
          <w:lang w:val="zh-CN"/>
        </w:rPr>
        <w:t xml:space="preserve"> 合同转让</w:t>
      </w:r>
      <w:bookmarkEnd w:id="137"/>
      <w:bookmarkEnd w:id="138"/>
      <w:bookmarkEnd w:id="139"/>
      <w:r>
        <w:rPr>
          <w:rFonts w:hint="eastAsia" w:ascii="宋体" w:hAnsi="宋体" w:eastAsia="宋体" w:cs="宋体"/>
          <w:b/>
          <w:bCs/>
          <w:color w:val="auto"/>
          <w:sz w:val="24"/>
          <w:highlight w:val="none"/>
          <w:lang w:val="zh-CN"/>
        </w:rPr>
        <w:t>和分包</w:t>
      </w:r>
      <w:bookmarkEnd w:id="140"/>
      <w:bookmarkEnd w:id="141"/>
      <w:bookmarkEnd w:id="142"/>
    </w:p>
    <w:p w14:paraId="558880A3">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A209E03">
      <w:pPr>
        <w:spacing w:line="360" w:lineRule="auto"/>
        <w:ind w:firstLine="437"/>
        <w:outlineLvl w:val="2"/>
        <w:rPr>
          <w:rFonts w:ascii="宋体" w:hAnsi="宋体" w:eastAsia="宋体" w:cs="宋体"/>
          <w:b/>
          <w:bCs/>
          <w:color w:val="auto"/>
          <w:sz w:val="24"/>
          <w:highlight w:val="none"/>
          <w:lang w:val="zh-CN"/>
        </w:rPr>
      </w:pPr>
      <w:bookmarkStart w:id="143" w:name="_Toc13566"/>
      <w:bookmarkStart w:id="144" w:name="_Toc16508"/>
      <w:bookmarkStart w:id="145" w:name="_Toc14066"/>
      <w:r>
        <w:rPr>
          <w:rFonts w:hint="eastAsia" w:ascii="宋体" w:hAnsi="宋体" w:eastAsia="宋体" w:cs="宋体"/>
          <w:b/>
          <w:bCs/>
          <w:color w:val="auto"/>
          <w:sz w:val="24"/>
          <w:highlight w:val="none"/>
          <w:lang w:val="zh-CN"/>
        </w:rPr>
        <w:t>2.1</w:t>
      </w: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zh-CN"/>
        </w:rPr>
        <w:t xml:space="preserve"> 不可抗力</w:t>
      </w:r>
      <w:bookmarkEnd w:id="143"/>
      <w:bookmarkEnd w:id="144"/>
      <w:bookmarkEnd w:id="145"/>
    </w:p>
    <w:p w14:paraId="447D6AFB">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0DAE7B44">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2.11.2因不可抗力致使不能实现合同目的的，当事人可以解除合同；</w:t>
      </w:r>
    </w:p>
    <w:p w14:paraId="240607B8">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2.11.3因不可抗力致使合同有变更必要的，双方当事人应在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6041409A">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530AE374">
      <w:pPr>
        <w:spacing w:line="360" w:lineRule="auto"/>
        <w:ind w:firstLine="437"/>
        <w:outlineLvl w:val="2"/>
        <w:rPr>
          <w:rFonts w:ascii="宋体" w:hAnsi="宋体" w:eastAsia="宋体" w:cs="宋体"/>
          <w:b/>
          <w:bCs/>
          <w:color w:val="auto"/>
          <w:sz w:val="24"/>
          <w:highlight w:val="none"/>
          <w:lang w:val="zh-CN"/>
        </w:rPr>
      </w:pPr>
      <w:bookmarkStart w:id="146" w:name="_Toc487900365"/>
      <w:bookmarkStart w:id="147" w:name="_Toc6969"/>
      <w:bookmarkStart w:id="148" w:name="_Toc689"/>
      <w:bookmarkStart w:id="149" w:name="_Toc259093684"/>
      <w:bookmarkStart w:id="150" w:name="_Toc30676"/>
      <w:bookmarkStart w:id="151" w:name="_Toc279701255"/>
      <w:r>
        <w:rPr>
          <w:rFonts w:hint="eastAsia" w:ascii="宋体" w:hAnsi="宋体" w:eastAsia="宋体" w:cs="宋体"/>
          <w:b/>
          <w:bCs/>
          <w:color w:val="auto"/>
          <w:sz w:val="24"/>
          <w:highlight w:val="none"/>
          <w:lang w:val="zh-CN"/>
        </w:rPr>
        <w:t>2.1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税费</w:t>
      </w:r>
      <w:bookmarkEnd w:id="146"/>
      <w:bookmarkEnd w:id="147"/>
      <w:bookmarkEnd w:id="148"/>
      <w:bookmarkEnd w:id="149"/>
      <w:bookmarkEnd w:id="150"/>
      <w:bookmarkEnd w:id="151"/>
    </w:p>
    <w:p w14:paraId="23CE126F">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3AABA505">
      <w:pPr>
        <w:spacing w:line="360" w:lineRule="auto"/>
        <w:ind w:firstLine="437"/>
        <w:outlineLvl w:val="2"/>
        <w:rPr>
          <w:rFonts w:ascii="宋体" w:hAnsi="宋体" w:eastAsia="宋体" w:cs="宋体"/>
          <w:b/>
          <w:bCs/>
          <w:color w:val="auto"/>
          <w:sz w:val="24"/>
          <w:highlight w:val="none"/>
          <w:lang w:val="zh-CN"/>
        </w:rPr>
      </w:pPr>
      <w:bookmarkStart w:id="152" w:name="_Toc259093687"/>
      <w:bookmarkStart w:id="153" w:name="_Toc487900368"/>
      <w:bookmarkStart w:id="154" w:name="_Toc7102"/>
      <w:bookmarkStart w:id="155" w:name="_Toc279701258"/>
      <w:bookmarkStart w:id="156" w:name="_Toc16959"/>
      <w:bookmarkStart w:id="157" w:name="_Toc8298"/>
      <w:r>
        <w:rPr>
          <w:rFonts w:hint="eastAsia" w:ascii="宋体" w:hAnsi="宋体" w:eastAsia="宋体" w:cs="宋体"/>
          <w:b/>
          <w:bCs/>
          <w:color w:val="auto"/>
          <w:sz w:val="24"/>
          <w:highlight w:val="none"/>
          <w:lang w:val="zh-CN"/>
        </w:rPr>
        <w:t>2.1</w:t>
      </w: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zh-CN"/>
        </w:rPr>
        <w:t xml:space="preserve"> 乙方破产</w:t>
      </w:r>
      <w:bookmarkEnd w:id="152"/>
      <w:bookmarkEnd w:id="153"/>
      <w:bookmarkEnd w:id="154"/>
      <w:bookmarkEnd w:id="155"/>
      <w:bookmarkEnd w:id="156"/>
      <w:bookmarkEnd w:id="157"/>
    </w:p>
    <w:p w14:paraId="3E12DF40">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9D0508C">
      <w:pPr>
        <w:spacing w:line="360" w:lineRule="auto"/>
        <w:ind w:firstLine="437"/>
        <w:outlineLvl w:val="2"/>
        <w:rPr>
          <w:rFonts w:ascii="宋体" w:hAnsi="宋体" w:eastAsia="宋体" w:cs="宋体"/>
          <w:b/>
          <w:color w:val="auto"/>
          <w:sz w:val="24"/>
          <w:highlight w:val="none"/>
        </w:rPr>
      </w:pPr>
      <w:bookmarkStart w:id="158" w:name="_Toc15387"/>
      <w:bookmarkStart w:id="159" w:name="_Toc6134"/>
      <w:bookmarkStart w:id="160" w:name="_Toc29333"/>
      <w:r>
        <w:rPr>
          <w:rFonts w:hint="eastAsia" w:ascii="宋体" w:hAnsi="宋体" w:eastAsia="宋体" w:cs="宋体"/>
          <w:b/>
          <w:bCs/>
          <w:color w:val="auto"/>
          <w:sz w:val="24"/>
          <w:highlight w:val="none"/>
          <w:lang w:val="zh-CN"/>
        </w:rPr>
        <w:t>2.1</w:t>
      </w:r>
      <w:r>
        <w:rPr>
          <w:rFonts w:hint="eastAsia" w:ascii="宋体" w:hAnsi="宋体" w:eastAsia="宋体" w:cs="宋体"/>
          <w:b/>
          <w:bCs/>
          <w:color w:val="auto"/>
          <w:sz w:val="24"/>
          <w:highlight w:val="none"/>
        </w:rPr>
        <w:t>4</w:t>
      </w:r>
      <w:r>
        <w:rPr>
          <w:rFonts w:hint="eastAsia" w:ascii="宋体" w:hAnsi="宋体" w:eastAsia="宋体" w:cs="宋体"/>
          <w:b/>
          <w:bCs/>
          <w:color w:val="auto"/>
          <w:sz w:val="24"/>
          <w:highlight w:val="none"/>
          <w:lang w:val="zh-CN"/>
        </w:rPr>
        <w:t xml:space="preserve"> 合同中止、终止</w:t>
      </w:r>
      <w:bookmarkEnd w:id="158"/>
      <w:bookmarkEnd w:id="159"/>
      <w:bookmarkEnd w:id="160"/>
    </w:p>
    <w:p w14:paraId="0C08BB6A">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2.14.1双方当事人不得擅自中止或者终止合同；</w:t>
      </w:r>
    </w:p>
    <w:p w14:paraId="241A16E0">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0247ECE">
      <w:pPr>
        <w:spacing w:line="360" w:lineRule="auto"/>
        <w:ind w:firstLine="437"/>
        <w:outlineLvl w:val="2"/>
        <w:rPr>
          <w:rFonts w:ascii="宋体" w:hAnsi="宋体" w:eastAsia="宋体" w:cs="宋体"/>
          <w:b/>
          <w:bCs/>
          <w:color w:val="auto"/>
          <w:sz w:val="24"/>
          <w:highlight w:val="none"/>
          <w:lang w:val="zh-CN"/>
        </w:rPr>
      </w:pPr>
      <w:bookmarkStart w:id="161" w:name="_Toc1125"/>
      <w:bookmarkStart w:id="162" w:name="_Toc6596"/>
      <w:bookmarkStart w:id="163" w:name="_Toc14563"/>
      <w:r>
        <w:rPr>
          <w:rFonts w:hint="eastAsia" w:ascii="宋体" w:hAnsi="宋体" w:eastAsia="宋体" w:cs="宋体"/>
          <w:b/>
          <w:bCs/>
          <w:color w:val="auto"/>
          <w:sz w:val="24"/>
          <w:highlight w:val="none"/>
          <w:lang w:val="zh-CN"/>
        </w:rPr>
        <w:t>2.1</w:t>
      </w:r>
      <w:r>
        <w:rPr>
          <w:rFonts w:hint="eastAsia" w:ascii="宋体" w:hAnsi="宋体" w:eastAsia="宋体" w:cs="宋体"/>
          <w:b/>
          <w:bCs/>
          <w:color w:val="auto"/>
          <w:sz w:val="24"/>
          <w:highlight w:val="none"/>
        </w:rPr>
        <w:t>5</w:t>
      </w:r>
      <w:r>
        <w:rPr>
          <w:rFonts w:hint="eastAsia" w:ascii="宋体" w:hAnsi="宋体" w:eastAsia="宋体" w:cs="宋体"/>
          <w:b/>
          <w:bCs/>
          <w:color w:val="auto"/>
          <w:sz w:val="24"/>
          <w:highlight w:val="none"/>
          <w:lang w:val="zh-CN"/>
        </w:rPr>
        <w:t xml:space="preserve"> 检验和验收</w:t>
      </w:r>
      <w:bookmarkEnd w:id="161"/>
      <w:bookmarkEnd w:id="162"/>
      <w:bookmarkEnd w:id="163"/>
    </w:p>
    <w:p w14:paraId="4E25EC31">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2.15.1乙方按照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7F30FD9E">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CB0DFE6">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2.15.3检验和验收标准、程序等具体内容以及前述验收书的效力详见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133"/>
    <w:bookmarkEnd w:id="134"/>
    <w:bookmarkEnd w:id="135"/>
    <w:bookmarkEnd w:id="136"/>
    <w:p w14:paraId="243FE611">
      <w:pPr>
        <w:spacing w:line="360" w:lineRule="auto"/>
        <w:ind w:firstLine="437"/>
        <w:outlineLvl w:val="2"/>
        <w:rPr>
          <w:rFonts w:ascii="宋体" w:hAnsi="宋体" w:eastAsia="宋体" w:cs="宋体"/>
          <w:b/>
          <w:bCs/>
          <w:color w:val="auto"/>
          <w:sz w:val="24"/>
          <w:highlight w:val="none"/>
        </w:rPr>
      </w:pPr>
      <w:bookmarkStart w:id="164" w:name="_Toc18540"/>
      <w:bookmarkStart w:id="165" w:name="_Toc279701262"/>
      <w:bookmarkStart w:id="166" w:name="_Toc259093691"/>
      <w:bookmarkStart w:id="167" w:name="_Toc4355"/>
      <w:bookmarkStart w:id="168" w:name="_Toc487900372"/>
      <w:bookmarkStart w:id="169" w:name="_Toc30599"/>
      <w:r>
        <w:rPr>
          <w:rFonts w:hint="eastAsia" w:ascii="宋体" w:hAnsi="宋体" w:eastAsia="宋体" w:cs="宋体"/>
          <w:b/>
          <w:bCs/>
          <w:color w:val="auto"/>
          <w:sz w:val="24"/>
          <w:highlight w:val="none"/>
        </w:rPr>
        <w:t>2.1</w:t>
      </w:r>
      <w:bookmarkEnd w:id="164"/>
      <w:bookmarkEnd w:id="165"/>
      <w:bookmarkEnd w:id="166"/>
      <w:bookmarkEnd w:id="167"/>
      <w:bookmarkEnd w:id="168"/>
      <w:bookmarkEnd w:id="169"/>
      <w:bookmarkStart w:id="170" w:name="_Toc487900373"/>
      <w:bookmarkStart w:id="171" w:name="_Toc279701263"/>
      <w:bookmarkStart w:id="172" w:name="_Toc10330"/>
      <w:bookmarkStart w:id="173" w:name="_Toc259093692"/>
      <w:bookmarkStart w:id="174" w:name="_Toc12773"/>
      <w:bookmarkStart w:id="175" w:name="_Toc18567"/>
      <w:r>
        <w:rPr>
          <w:rFonts w:hint="eastAsia" w:ascii="宋体" w:hAnsi="宋体" w:eastAsia="宋体" w:cs="宋体"/>
          <w:b/>
          <w:bCs/>
          <w:color w:val="auto"/>
          <w:sz w:val="24"/>
          <w:highlight w:val="none"/>
        </w:rPr>
        <w:t xml:space="preserve">6 </w:t>
      </w:r>
      <w:r>
        <w:rPr>
          <w:rFonts w:hint="eastAsia" w:ascii="宋体" w:hAnsi="宋体" w:eastAsia="宋体" w:cs="宋体"/>
          <w:b/>
          <w:bCs/>
          <w:color w:val="auto"/>
          <w:sz w:val="24"/>
          <w:highlight w:val="none"/>
          <w:lang w:val="zh-CN"/>
        </w:rPr>
        <w:t>合同使用的文字和适用的法律</w:t>
      </w:r>
      <w:bookmarkEnd w:id="170"/>
      <w:bookmarkEnd w:id="171"/>
      <w:bookmarkEnd w:id="172"/>
      <w:bookmarkEnd w:id="173"/>
      <w:bookmarkEnd w:id="174"/>
      <w:bookmarkEnd w:id="175"/>
    </w:p>
    <w:p w14:paraId="0EC6929B">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2.16.1合同使用汉语书就、变更和解释；</w:t>
      </w:r>
    </w:p>
    <w:p w14:paraId="49AF05F9">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2.16.2合同适用中华人民共和国法律。</w:t>
      </w:r>
    </w:p>
    <w:p w14:paraId="78B62F9F">
      <w:pPr>
        <w:spacing w:line="360" w:lineRule="auto"/>
        <w:ind w:firstLine="437"/>
        <w:outlineLvl w:val="2"/>
        <w:rPr>
          <w:rFonts w:ascii="宋体" w:hAnsi="宋体" w:eastAsia="宋体" w:cs="宋体"/>
          <w:b/>
          <w:color w:val="auto"/>
          <w:sz w:val="24"/>
          <w:highlight w:val="none"/>
        </w:rPr>
      </w:pPr>
      <w:bookmarkStart w:id="176" w:name="_Toc3148"/>
      <w:bookmarkStart w:id="177" w:name="_Toc12004"/>
      <w:bookmarkStart w:id="178" w:name="_Toc16673"/>
      <w:bookmarkStart w:id="179" w:name="_Toc279701264"/>
      <w:bookmarkStart w:id="180" w:name="_Toc259093693"/>
      <w:bookmarkStart w:id="181" w:name="_Toc487900374"/>
      <w:r>
        <w:rPr>
          <w:rFonts w:hint="eastAsia" w:ascii="宋体" w:hAnsi="宋体" w:eastAsia="宋体" w:cs="宋体"/>
          <w:b/>
          <w:bCs/>
          <w:color w:val="auto"/>
          <w:sz w:val="24"/>
          <w:highlight w:val="none"/>
          <w:lang w:val="zh-CN"/>
        </w:rPr>
        <w:t>2.</w:t>
      </w:r>
      <w:r>
        <w:rPr>
          <w:rFonts w:hint="eastAsia" w:ascii="宋体" w:hAnsi="宋体" w:eastAsia="宋体" w:cs="宋体"/>
          <w:b/>
          <w:bCs/>
          <w:color w:val="auto"/>
          <w:sz w:val="24"/>
          <w:highlight w:val="none"/>
        </w:rPr>
        <w:t>17</w:t>
      </w:r>
      <w:r>
        <w:rPr>
          <w:rFonts w:hint="eastAsia" w:ascii="宋体" w:hAnsi="宋体" w:eastAsia="宋体" w:cs="宋体"/>
          <w:b/>
          <w:bCs/>
          <w:color w:val="auto"/>
          <w:sz w:val="24"/>
          <w:highlight w:val="none"/>
          <w:lang w:val="zh-CN"/>
        </w:rPr>
        <w:t xml:space="preserve"> 履约保证金</w:t>
      </w:r>
      <w:bookmarkEnd w:id="176"/>
      <w:bookmarkEnd w:id="177"/>
      <w:bookmarkEnd w:id="178"/>
      <w:bookmarkEnd w:id="179"/>
      <w:bookmarkEnd w:id="180"/>
    </w:p>
    <w:p w14:paraId="51DE60C9">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2.17.1采购文件要求乙方提交履约保证金的，乙方应按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约定的方式，以支票、汇票、本票或者金融机构、担保机构出具的保函等非现金形式提交；</w:t>
      </w:r>
    </w:p>
    <w:p w14:paraId="327B9A2F">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2.17.2</w:t>
      </w:r>
      <w:r>
        <w:rPr>
          <w:rFonts w:hint="eastAsia" w:ascii="宋体" w:hAnsi="宋体" w:eastAsia="宋体" w:cs="宋体"/>
          <w:color w:val="auto"/>
          <w:sz w:val="24"/>
          <w:szCs w:val="24"/>
          <w:highlight w:val="none"/>
        </w:rPr>
        <w:t>履约保证金在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约定期间内不予退还或者应完全有效，前述约定期间届满之日起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个工作日内，甲方应将履约保证金退还乙方，甲方逾期退还履约保证金应承担违约责任。</w:t>
      </w:r>
    </w:p>
    <w:p w14:paraId="4EA0BBA7">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81"/>
    <w:p w14:paraId="5C766DF2">
      <w:pPr>
        <w:spacing w:line="360" w:lineRule="auto"/>
        <w:ind w:firstLine="437"/>
        <w:outlineLvl w:val="2"/>
        <w:rPr>
          <w:rFonts w:ascii="宋体" w:hAnsi="宋体" w:eastAsia="宋体" w:cs="宋体"/>
          <w:b/>
          <w:color w:val="auto"/>
          <w:sz w:val="24"/>
          <w:highlight w:val="none"/>
        </w:rPr>
      </w:pPr>
      <w:bookmarkStart w:id="182" w:name="_Toc19890"/>
      <w:bookmarkStart w:id="183" w:name="_Toc6885"/>
      <w:bookmarkStart w:id="184" w:name="_Toc14001"/>
      <w:r>
        <w:rPr>
          <w:rFonts w:hint="eastAsia" w:ascii="宋体" w:hAnsi="宋体" w:eastAsia="宋体" w:cs="宋体"/>
          <w:b/>
          <w:bCs/>
          <w:color w:val="auto"/>
          <w:sz w:val="24"/>
          <w:highlight w:val="none"/>
          <w:lang w:val="zh-CN"/>
        </w:rPr>
        <w:t>2.</w:t>
      </w:r>
      <w:r>
        <w:rPr>
          <w:rFonts w:hint="eastAsia" w:ascii="宋体" w:hAnsi="宋体" w:eastAsia="宋体" w:cs="宋体"/>
          <w:b/>
          <w:bCs/>
          <w:color w:val="auto"/>
          <w:sz w:val="24"/>
          <w:highlight w:val="none"/>
        </w:rPr>
        <w:t>18</w:t>
      </w:r>
      <w:r>
        <w:rPr>
          <w:rFonts w:hint="eastAsia" w:ascii="宋体" w:hAnsi="宋体" w:eastAsia="宋体" w:cs="宋体"/>
          <w:b/>
          <w:bCs/>
          <w:color w:val="auto"/>
          <w:sz w:val="24"/>
          <w:highlight w:val="none"/>
          <w:lang w:val="zh-CN"/>
        </w:rPr>
        <w:t xml:space="preserve"> 合同份数</w:t>
      </w:r>
      <w:bookmarkEnd w:id="182"/>
      <w:bookmarkEnd w:id="183"/>
      <w:bookmarkEnd w:id="184"/>
    </w:p>
    <w:p w14:paraId="03164C20">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624997B8">
      <w:pPr>
        <w:spacing w:line="360" w:lineRule="auto"/>
        <w:jc w:val="center"/>
        <w:outlineLvl w:val="1"/>
        <w:rPr>
          <w:rFonts w:ascii="宋体" w:hAnsi="宋体" w:eastAsia="宋体" w:cs="宋体"/>
          <w:b/>
          <w:color w:val="auto"/>
          <w:sz w:val="24"/>
          <w:highlight w:val="none"/>
        </w:rPr>
      </w:pPr>
      <w:r>
        <w:rPr>
          <w:rFonts w:ascii="宋体" w:hAnsi="宋体"/>
          <w:color w:val="auto"/>
          <w:sz w:val="24"/>
          <w:highlight w:val="none"/>
        </w:rPr>
        <w:br w:type="page"/>
      </w:r>
      <w:bookmarkStart w:id="185" w:name="_Toc331685784"/>
      <w:bookmarkStart w:id="186" w:name="_Toc14669"/>
      <w:r>
        <w:rPr>
          <w:rFonts w:hint="eastAsia" w:ascii="宋体" w:hAnsi="宋体" w:eastAsia="宋体" w:cs="宋体"/>
          <w:b/>
          <w:color w:val="auto"/>
          <w:sz w:val="24"/>
          <w:highlight w:val="none"/>
        </w:rPr>
        <w:t>第三部分 合同专用条款</w:t>
      </w:r>
      <w:bookmarkEnd w:id="185"/>
      <w:bookmarkEnd w:id="186"/>
    </w:p>
    <w:p w14:paraId="45FA7B29">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0"/>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5"/>
        <w:gridCol w:w="7507"/>
      </w:tblGrid>
      <w:tr w14:paraId="7DCA2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55" w:type="dxa"/>
            <w:tcBorders>
              <w:left w:val="single" w:color="auto" w:sz="4" w:space="0"/>
            </w:tcBorders>
            <w:vAlign w:val="center"/>
          </w:tcPr>
          <w:p w14:paraId="749157B3">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7507" w:type="dxa"/>
            <w:vAlign w:val="center"/>
          </w:tcPr>
          <w:p w14:paraId="50D5DBD2">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0E307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55" w:type="dxa"/>
            <w:tcBorders>
              <w:left w:val="single" w:color="auto" w:sz="4" w:space="0"/>
            </w:tcBorders>
            <w:vAlign w:val="center"/>
          </w:tcPr>
          <w:p w14:paraId="739C7B03">
            <w:pPr>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szCs w:val="24"/>
                <w:highlight w:val="none"/>
              </w:rPr>
              <w:t>2.11.3</w:t>
            </w:r>
          </w:p>
        </w:tc>
        <w:tc>
          <w:tcPr>
            <w:tcW w:w="7507" w:type="dxa"/>
            <w:vAlign w:val="center"/>
          </w:tcPr>
          <w:p w14:paraId="72892706">
            <w:pPr>
              <w:spacing w:line="440" w:lineRule="exact"/>
              <w:rPr>
                <w:rFonts w:ascii="宋体" w:hAnsi="宋体" w:eastAsia="宋体" w:cs="宋体"/>
                <w:color w:val="auto"/>
                <w:sz w:val="24"/>
                <w:highlight w:val="none"/>
              </w:rPr>
            </w:pPr>
            <w:r>
              <w:rPr>
                <w:rFonts w:hint="eastAsia" w:ascii="宋体" w:hAnsi="宋体" w:eastAsia="宋体" w:cs="宋体"/>
                <w:color w:val="auto"/>
                <w:sz w:val="24"/>
                <w:szCs w:val="24"/>
                <w:highlight w:val="none"/>
              </w:rPr>
              <w:t>因不可抗力致使合同有变更必要的，双方当事人应在不可抗力发生的3个工作日内以书面形式变更合同</w:t>
            </w:r>
          </w:p>
        </w:tc>
      </w:tr>
      <w:tr w14:paraId="0B553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55" w:type="dxa"/>
            <w:tcBorders>
              <w:left w:val="single" w:color="auto" w:sz="4" w:space="0"/>
            </w:tcBorders>
            <w:vAlign w:val="center"/>
          </w:tcPr>
          <w:p w14:paraId="6E16F8B8">
            <w:pPr>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szCs w:val="24"/>
                <w:highlight w:val="none"/>
              </w:rPr>
              <w:t>2.11.4</w:t>
            </w:r>
          </w:p>
        </w:tc>
        <w:tc>
          <w:tcPr>
            <w:tcW w:w="7507" w:type="dxa"/>
            <w:vAlign w:val="center"/>
          </w:tcPr>
          <w:p w14:paraId="36B90EEB">
            <w:pPr>
              <w:spacing w:line="440" w:lineRule="exact"/>
              <w:rPr>
                <w:rFonts w:ascii="宋体" w:hAnsi="宋体" w:eastAsia="宋体" w:cs="宋体"/>
                <w:color w:val="auto"/>
                <w:sz w:val="24"/>
                <w:highlight w:val="none"/>
              </w:rPr>
            </w:pPr>
            <w:r>
              <w:rPr>
                <w:rFonts w:hint="eastAsia" w:ascii="宋体" w:hAnsi="宋体" w:eastAsia="宋体" w:cs="宋体"/>
                <w:color w:val="auto"/>
                <w:sz w:val="24"/>
                <w:szCs w:val="24"/>
                <w:highlight w:val="none"/>
              </w:rPr>
              <w:t>受不可抗力影响的一方在不可抗力发生后，应在不可抗力发生的1个工作日内以书面形式通知对方当事人，并在1个工作日内，将有关部门出具的证明文件送达对方当事人</w:t>
            </w:r>
          </w:p>
        </w:tc>
      </w:tr>
      <w:tr w14:paraId="28D58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5" w:type="dxa"/>
            <w:tcBorders>
              <w:left w:val="single" w:color="auto" w:sz="4" w:space="0"/>
            </w:tcBorders>
            <w:vAlign w:val="center"/>
          </w:tcPr>
          <w:p w14:paraId="19084BE3">
            <w:pPr>
              <w:spacing w:line="5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2.17</w:t>
            </w:r>
          </w:p>
        </w:tc>
        <w:tc>
          <w:tcPr>
            <w:tcW w:w="7507" w:type="dxa"/>
            <w:vAlign w:val="center"/>
          </w:tcPr>
          <w:p w14:paraId="659D4B27">
            <w:pPr>
              <w:spacing w:line="440" w:lineRule="exact"/>
              <w:rPr>
                <w:rFonts w:ascii="宋体" w:hAnsi="宋体" w:eastAsia="宋体" w:cs="宋体"/>
                <w:color w:val="auto"/>
                <w:sz w:val="24"/>
                <w:highlight w:val="none"/>
                <w:u w:val="single"/>
              </w:rPr>
            </w:pPr>
            <w:r>
              <w:rPr>
                <w:rFonts w:hint="eastAsia" w:ascii="宋体" w:hAnsi="宋体" w:eastAsia="宋体" w:cs="宋体"/>
                <w:color w:val="auto"/>
                <w:sz w:val="24"/>
                <w:szCs w:val="24"/>
                <w:highlight w:val="none"/>
              </w:rPr>
              <w:t>本项目免收</w:t>
            </w:r>
            <w:r>
              <w:rPr>
                <w:rFonts w:hint="eastAsia" w:ascii="宋体" w:hAnsi="宋体" w:eastAsia="宋体" w:cs="宋体"/>
                <w:color w:val="auto"/>
                <w:sz w:val="24"/>
                <w:szCs w:val="24"/>
                <w:highlight w:val="none"/>
                <w:lang w:val="zh-CN"/>
              </w:rPr>
              <w:t>履约保证金</w:t>
            </w:r>
          </w:p>
        </w:tc>
      </w:tr>
      <w:tr w14:paraId="74775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5" w:type="dxa"/>
            <w:tcBorders>
              <w:left w:val="single" w:color="auto" w:sz="4" w:space="0"/>
            </w:tcBorders>
            <w:vAlign w:val="center"/>
          </w:tcPr>
          <w:p w14:paraId="172D4037">
            <w:pPr>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szCs w:val="24"/>
                <w:highlight w:val="none"/>
              </w:rPr>
              <w:t>2.18</w:t>
            </w:r>
          </w:p>
        </w:tc>
        <w:tc>
          <w:tcPr>
            <w:tcW w:w="7507" w:type="dxa"/>
            <w:vAlign w:val="center"/>
          </w:tcPr>
          <w:p w14:paraId="6BF7F77E">
            <w:pPr>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合同一式陆份，甲乙双方各执叁份。</w:t>
            </w:r>
          </w:p>
        </w:tc>
      </w:tr>
      <w:tr w14:paraId="01861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55" w:type="dxa"/>
            <w:tcBorders>
              <w:left w:val="single" w:color="auto" w:sz="4" w:space="0"/>
            </w:tcBorders>
            <w:vAlign w:val="center"/>
          </w:tcPr>
          <w:p w14:paraId="17420470">
            <w:pPr>
              <w:spacing w:line="440" w:lineRule="exact"/>
              <w:jc w:val="center"/>
              <w:rPr>
                <w:rFonts w:ascii="宋体" w:hAnsi="宋体" w:eastAsia="宋体" w:cs="宋体"/>
                <w:color w:val="auto"/>
                <w:sz w:val="24"/>
                <w:highlight w:val="none"/>
              </w:rPr>
            </w:pPr>
          </w:p>
        </w:tc>
        <w:tc>
          <w:tcPr>
            <w:tcW w:w="7507" w:type="dxa"/>
            <w:vAlign w:val="center"/>
          </w:tcPr>
          <w:p w14:paraId="1A90B4B8">
            <w:pPr>
              <w:spacing w:line="440" w:lineRule="exact"/>
              <w:rPr>
                <w:rFonts w:ascii="宋体" w:hAnsi="宋体" w:eastAsia="宋体" w:cs="宋体"/>
                <w:color w:val="auto"/>
                <w:sz w:val="24"/>
                <w:highlight w:val="none"/>
                <w:u w:val="single"/>
              </w:rPr>
            </w:pPr>
            <w:r>
              <w:rPr>
                <w:rFonts w:hint="eastAsia" w:ascii="宋体" w:hAnsi="宋体" w:eastAsia="宋体" w:cs="宋体"/>
                <w:color w:val="auto"/>
                <w:sz w:val="24"/>
                <w:szCs w:val="24"/>
                <w:highlight w:val="none"/>
              </w:rPr>
              <w:t>（签订合同时可补充）</w:t>
            </w:r>
          </w:p>
        </w:tc>
      </w:tr>
      <w:tr w14:paraId="1EB1F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5" w:type="dxa"/>
            <w:tcBorders>
              <w:left w:val="single" w:color="auto" w:sz="4" w:space="0"/>
            </w:tcBorders>
            <w:vAlign w:val="center"/>
          </w:tcPr>
          <w:p w14:paraId="0C94BFD8">
            <w:pPr>
              <w:spacing w:line="560" w:lineRule="exact"/>
              <w:jc w:val="center"/>
              <w:rPr>
                <w:rFonts w:ascii="宋体" w:hAnsi="宋体" w:eastAsia="宋体" w:cs="宋体"/>
                <w:color w:val="auto"/>
                <w:sz w:val="24"/>
                <w:highlight w:val="none"/>
              </w:rPr>
            </w:pPr>
          </w:p>
        </w:tc>
        <w:tc>
          <w:tcPr>
            <w:tcW w:w="7507" w:type="dxa"/>
            <w:vAlign w:val="center"/>
          </w:tcPr>
          <w:p w14:paraId="3FDD46FB">
            <w:pPr>
              <w:spacing w:line="440" w:lineRule="exact"/>
              <w:rPr>
                <w:rFonts w:ascii="宋体" w:hAnsi="宋体" w:eastAsia="宋体" w:cs="宋体"/>
                <w:color w:val="auto"/>
                <w:sz w:val="24"/>
                <w:highlight w:val="none"/>
              </w:rPr>
            </w:pPr>
            <w:r>
              <w:rPr>
                <w:rFonts w:hint="eastAsia" w:ascii="宋体" w:hAnsi="宋体" w:eastAsia="宋体" w:cs="宋体"/>
                <w:b/>
                <w:bCs/>
                <w:color w:val="auto"/>
                <w:sz w:val="24"/>
                <w:highlight w:val="none"/>
              </w:rPr>
              <w:t>本项目谈判文件第三章采购需求签订合同补充至此。</w:t>
            </w:r>
          </w:p>
        </w:tc>
      </w:tr>
      <w:tr w14:paraId="53457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5" w:type="dxa"/>
            <w:tcBorders>
              <w:left w:val="single" w:color="auto" w:sz="4" w:space="0"/>
            </w:tcBorders>
            <w:vAlign w:val="center"/>
          </w:tcPr>
          <w:p w14:paraId="4FE9E798">
            <w:pPr>
              <w:spacing w:line="560" w:lineRule="exact"/>
              <w:jc w:val="center"/>
              <w:rPr>
                <w:rFonts w:ascii="宋体" w:hAnsi="宋体" w:eastAsia="宋体" w:cs="宋体"/>
                <w:color w:val="auto"/>
                <w:sz w:val="24"/>
                <w:highlight w:val="none"/>
              </w:rPr>
            </w:pPr>
          </w:p>
        </w:tc>
        <w:tc>
          <w:tcPr>
            <w:tcW w:w="7507" w:type="dxa"/>
            <w:vAlign w:val="center"/>
          </w:tcPr>
          <w:p w14:paraId="3A20699D">
            <w:pPr>
              <w:spacing w:line="440" w:lineRule="exact"/>
              <w:rPr>
                <w:rFonts w:ascii="宋体" w:hAnsi="宋体" w:eastAsia="宋体" w:cs="宋体"/>
                <w:color w:val="auto"/>
                <w:sz w:val="24"/>
                <w:highlight w:val="none"/>
              </w:rPr>
            </w:pPr>
          </w:p>
        </w:tc>
      </w:tr>
      <w:tr w14:paraId="6E385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5" w:type="dxa"/>
            <w:tcBorders>
              <w:left w:val="single" w:color="auto" w:sz="4" w:space="0"/>
            </w:tcBorders>
            <w:vAlign w:val="center"/>
          </w:tcPr>
          <w:p w14:paraId="49F45CA0">
            <w:pPr>
              <w:spacing w:line="560" w:lineRule="exact"/>
              <w:rPr>
                <w:rFonts w:ascii="宋体" w:hAnsi="宋体" w:eastAsia="宋体" w:cs="宋体"/>
                <w:color w:val="auto"/>
                <w:sz w:val="24"/>
                <w:highlight w:val="none"/>
              </w:rPr>
            </w:pPr>
          </w:p>
        </w:tc>
        <w:tc>
          <w:tcPr>
            <w:tcW w:w="7507" w:type="dxa"/>
            <w:vAlign w:val="center"/>
          </w:tcPr>
          <w:p w14:paraId="7038EEAB">
            <w:pPr>
              <w:spacing w:line="560" w:lineRule="exact"/>
              <w:rPr>
                <w:rFonts w:ascii="宋体" w:hAnsi="宋体" w:eastAsia="宋体" w:cs="宋体"/>
                <w:color w:val="auto"/>
                <w:sz w:val="24"/>
                <w:highlight w:val="none"/>
              </w:rPr>
            </w:pPr>
          </w:p>
        </w:tc>
      </w:tr>
      <w:tr w14:paraId="3BCD8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5" w:type="dxa"/>
            <w:tcBorders>
              <w:top w:val="single" w:color="auto" w:sz="6" w:space="0"/>
              <w:left w:val="single" w:color="auto" w:sz="4" w:space="0"/>
              <w:bottom w:val="single" w:color="auto" w:sz="6" w:space="0"/>
              <w:right w:val="single" w:color="auto" w:sz="6" w:space="0"/>
            </w:tcBorders>
            <w:vAlign w:val="center"/>
          </w:tcPr>
          <w:p w14:paraId="64F28247">
            <w:pPr>
              <w:spacing w:line="560" w:lineRule="exact"/>
              <w:rPr>
                <w:rFonts w:ascii="宋体" w:hAnsi="宋体" w:eastAsia="宋体" w:cs="宋体"/>
                <w:color w:val="auto"/>
                <w:sz w:val="24"/>
                <w:highlight w:val="none"/>
              </w:rPr>
            </w:pPr>
          </w:p>
        </w:tc>
        <w:tc>
          <w:tcPr>
            <w:tcW w:w="7507" w:type="dxa"/>
            <w:tcBorders>
              <w:top w:val="single" w:color="auto" w:sz="6" w:space="0"/>
              <w:left w:val="single" w:color="auto" w:sz="6" w:space="0"/>
              <w:bottom w:val="single" w:color="auto" w:sz="6" w:space="0"/>
              <w:right w:val="single" w:color="auto" w:sz="6" w:space="0"/>
            </w:tcBorders>
            <w:vAlign w:val="center"/>
          </w:tcPr>
          <w:p w14:paraId="524FB5BD">
            <w:pPr>
              <w:spacing w:line="560" w:lineRule="exact"/>
              <w:rPr>
                <w:rFonts w:ascii="宋体" w:hAnsi="宋体" w:eastAsia="宋体" w:cs="宋体"/>
                <w:color w:val="auto"/>
                <w:sz w:val="24"/>
                <w:highlight w:val="none"/>
              </w:rPr>
            </w:pPr>
          </w:p>
        </w:tc>
      </w:tr>
    </w:tbl>
    <w:p w14:paraId="45BE3E1F">
      <w:pPr>
        <w:rPr>
          <w:rFonts w:ascii="宋体" w:hAnsi="宋体" w:eastAsia="宋体" w:cs="宋体"/>
          <w:color w:val="auto"/>
          <w:highlight w:val="none"/>
        </w:rPr>
      </w:pPr>
    </w:p>
    <w:p w14:paraId="349F5181">
      <w:pPr>
        <w:spacing w:line="360" w:lineRule="auto"/>
        <w:jc w:val="center"/>
        <w:outlineLvl w:val="0"/>
        <w:rPr>
          <w:rFonts w:ascii="宋体" w:hAnsi="宋体" w:eastAsia="宋体" w:cs="宋体"/>
          <w:b/>
          <w:color w:val="auto"/>
          <w:sz w:val="28"/>
          <w:highlight w:val="none"/>
        </w:rPr>
      </w:pPr>
    </w:p>
    <w:p w14:paraId="3301F816">
      <w:pPr>
        <w:pStyle w:val="18"/>
        <w:ind w:firstLine="703"/>
        <w:rPr>
          <w:rFonts w:ascii="宋体" w:hAnsi="宋体" w:cs="宋体"/>
          <w:b/>
          <w:color w:val="auto"/>
          <w:sz w:val="28"/>
          <w:highlight w:val="none"/>
        </w:rPr>
      </w:pPr>
    </w:p>
    <w:p w14:paraId="1C3D65D5">
      <w:pPr>
        <w:rPr>
          <w:rFonts w:ascii="宋体" w:hAnsi="宋体" w:eastAsia="宋体" w:cs="宋体"/>
          <w:b/>
          <w:color w:val="auto"/>
          <w:sz w:val="28"/>
          <w:highlight w:val="none"/>
        </w:rPr>
      </w:pPr>
    </w:p>
    <w:p w14:paraId="6B98407B">
      <w:pPr>
        <w:pStyle w:val="18"/>
        <w:ind w:firstLine="703"/>
        <w:rPr>
          <w:rFonts w:ascii="宋体" w:hAnsi="宋体" w:cs="宋体"/>
          <w:b/>
          <w:color w:val="auto"/>
          <w:sz w:val="28"/>
          <w:highlight w:val="none"/>
        </w:rPr>
      </w:pPr>
    </w:p>
    <w:p w14:paraId="32879670">
      <w:pPr>
        <w:rPr>
          <w:rFonts w:ascii="宋体" w:hAnsi="宋体" w:eastAsia="宋体" w:cs="宋体"/>
          <w:b/>
          <w:color w:val="auto"/>
          <w:sz w:val="28"/>
          <w:highlight w:val="none"/>
        </w:rPr>
      </w:pPr>
    </w:p>
    <w:p w14:paraId="404B3E42">
      <w:pPr>
        <w:pStyle w:val="18"/>
        <w:ind w:firstLine="703"/>
        <w:rPr>
          <w:rFonts w:ascii="宋体" w:hAnsi="宋体" w:cs="宋体"/>
          <w:b/>
          <w:color w:val="auto"/>
          <w:sz w:val="28"/>
          <w:highlight w:val="none"/>
        </w:rPr>
      </w:pPr>
    </w:p>
    <w:p w14:paraId="204DC9BE">
      <w:pPr>
        <w:rPr>
          <w:color w:val="auto"/>
          <w:highlight w:val="none"/>
        </w:rPr>
      </w:pPr>
    </w:p>
    <w:p w14:paraId="3194E47A">
      <w:pPr>
        <w:rPr>
          <w:rFonts w:ascii="宋体" w:hAnsi="宋体" w:eastAsia="宋体" w:cs="宋体"/>
          <w:b/>
          <w:color w:val="auto"/>
          <w:sz w:val="28"/>
          <w:highlight w:val="none"/>
        </w:rPr>
      </w:pPr>
    </w:p>
    <w:p w14:paraId="5E99BEC1">
      <w:pPr>
        <w:pStyle w:val="18"/>
        <w:ind w:firstLine="703"/>
        <w:rPr>
          <w:rFonts w:ascii="宋体" w:hAnsi="宋体" w:cs="宋体"/>
          <w:b/>
          <w:color w:val="auto"/>
          <w:sz w:val="28"/>
          <w:highlight w:val="none"/>
        </w:rPr>
      </w:pPr>
    </w:p>
    <w:p w14:paraId="7EE54A9F">
      <w:pPr>
        <w:rPr>
          <w:rFonts w:ascii="宋体" w:hAnsi="宋体" w:eastAsia="宋体" w:cs="宋体"/>
          <w:b/>
          <w:color w:val="auto"/>
          <w:sz w:val="28"/>
          <w:highlight w:val="none"/>
        </w:rPr>
      </w:pPr>
    </w:p>
    <w:p w14:paraId="78419DEE">
      <w:pPr>
        <w:pStyle w:val="18"/>
        <w:rPr>
          <w:color w:val="auto"/>
          <w:highlight w:val="none"/>
        </w:rPr>
      </w:pPr>
    </w:p>
    <w:p w14:paraId="26EB1016">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第六章  响应文件格式</w:t>
      </w:r>
      <w:bookmarkEnd w:id="37"/>
    </w:p>
    <w:p w14:paraId="08FD64F1">
      <w:pPr>
        <w:spacing w:line="500" w:lineRule="exact"/>
        <w:jc w:val="center"/>
        <w:outlineLvl w:val="1"/>
        <w:rPr>
          <w:rFonts w:asciiTheme="minorEastAsia" w:hAnsiTheme="minorEastAsia" w:eastAsiaTheme="minorEastAsia"/>
          <w:b/>
          <w:color w:val="auto"/>
          <w:sz w:val="32"/>
          <w:highlight w:val="none"/>
        </w:rPr>
      </w:pPr>
    </w:p>
    <w:p w14:paraId="16AE2C29">
      <w:pPr>
        <w:spacing w:line="900" w:lineRule="exact"/>
        <w:jc w:val="center"/>
        <w:rPr>
          <w:rFonts w:asciiTheme="minorEastAsia" w:hAnsiTheme="minorEastAsia" w:eastAsiaTheme="minorEastAsia"/>
          <w:b/>
          <w:color w:val="auto"/>
          <w:sz w:val="72"/>
          <w:highlight w:val="none"/>
        </w:rPr>
      </w:pPr>
    </w:p>
    <w:p w14:paraId="16A1C1AE">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70AF9EBF">
      <w:pPr>
        <w:spacing w:line="900" w:lineRule="exact"/>
        <w:jc w:val="center"/>
        <w:rPr>
          <w:rFonts w:asciiTheme="minorEastAsia" w:hAnsiTheme="minorEastAsia" w:eastAsiaTheme="minorEastAsia"/>
          <w:b/>
          <w:color w:val="auto"/>
          <w:sz w:val="72"/>
          <w:highlight w:val="none"/>
        </w:rPr>
      </w:pPr>
    </w:p>
    <w:p w14:paraId="321EF024">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54FBC2DB">
      <w:pPr>
        <w:spacing w:line="900" w:lineRule="exact"/>
        <w:jc w:val="center"/>
        <w:rPr>
          <w:rFonts w:asciiTheme="minorEastAsia" w:hAnsiTheme="minorEastAsia" w:eastAsiaTheme="minorEastAsia"/>
          <w:b/>
          <w:color w:val="auto"/>
          <w:sz w:val="72"/>
          <w:highlight w:val="none"/>
        </w:rPr>
      </w:pPr>
    </w:p>
    <w:p w14:paraId="2AC2F5A7">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34D6BAFC">
      <w:pPr>
        <w:spacing w:line="900" w:lineRule="exact"/>
        <w:jc w:val="center"/>
        <w:rPr>
          <w:rFonts w:asciiTheme="minorEastAsia" w:hAnsiTheme="minorEastAsia" w:eastAsiaTheme="minorEastAsia"/>
          <w:b/>
          <w:color w:val="auto"/>
          <w:sz w:val="72"/>
          <w:highlight w:val="none"/>
        </w:rPr>
      </w:pPr>
    </w:p>
    <w:p w14:paraId="09F5AD36">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04BE3384">
      <w:pPr>
        <w:spacing w:afterLines="50"/>
        <w:jc w:val="center"/>
        <w:rPr>
          <w:rFonts w:asciiTheme="minorEastAsia" w:hAnsiTheme="minorEastAsia" w:eastAsiaTheme="minorEastAsia"/>
          <w:b/>
          <w:color w:val="auto"/>
          <w:sz w:val="72"/>
          <w:highlight w:val="none"/>
        </w:rPr>
      </w:pPr>
    </w:p>
    <w:p w14:paraId="3B4E2C8A">
      <w:pPr>
        <w:spacing w:afterLines="50" w:line="500" w:lineRule="exact"/>
        <w:jc w:val="center"/>
        <w:rPr>
          <w:rFonts w:asciiTheme="minorEastAsia" w:hAnsiTheme="minorEastAsia" w:eastAsiaTheme="minorEastAsia"/>
          <w:b/>
          <w:color w:val="auto"/>
          <w:sz w:val="28"/>
          <w:szCs w:val="28"/>
          <w:highlight w:val="none"/>
        </w:rPr>
      </w:pPr>
    </w:p>
    <w:p w14:paraId="2E818D93">
      <w:pPr>
        <w:tabs>
          <w:tab w:val="left" w:pos="2410"/>
        </w:tabs>
        <w:autoSpaceDE w:val="0"/>
        <w:autoSpaceDN w:val="0"/>
        <w:adjustRightInd w:val="0"/>
        <w:snapToGrid w:val="0"/>
        <w:spacing w:line="360" w:lineRule="auto"/>
        <w:ind w:firstLine="643" w:firstLineChars="200"/>
        <w:rPr>
          <w:rFonts w:ascii="宋体" w:hAnsi="宋体" w:eastAsia="宋体"/>
          <w:b/>
          <w:color w:val="auto"/>
          <w:spacing w:val="20"/>
          <w:kern w:val="0"/>
          <w:sz w:val="32"/>
          <w:szCs w:val="32"/>
          <w:highlight w:val="none"/>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p>
    <w:p w14:paraId="3FB9C2B7">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p>
    <w:p w14:paraId="610F301A">
      <w:pPr>
        <w:spacing w:afterLines="50" w:line="500" w:lineRule="exact"/>
        <w:ind w:firstLine="643" w:firstLineChars="200"/>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供 应 商：</w:t>
      </w:r>
      <w:r>
        <w:rPr>
          <w:rFonts w:hint="eastAsia" w:asciiTheme="minorEastAsia" w:hAnsiTheme="minorEastAsia" w:eastAsiaTheme="minorEastAsia"/>
          <w:b/>
          <w:color w:val="auto"/>
          <w:sz w:val="32"/>
          <w:highlight w:val="none"/>
          <w:u w:val="single"/>
        </w:rPr>
        <w:t xml:space="preserve">                  </w:t>
      </w:r>
    </w:p>
    <w:p w14:paraId="2D8ACDBF">
      <w:pPr>
        <w:spacing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187" w:name="_Toc25570"/>
      <w:bookmarkStart w:id="188" w:name="_Toc3338"/>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187"/>
      <w:bookmarkEnd w:id="188"/>
    </w:p>
    <w:p w14:paraId="1174744B">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7E85CDBD">
      <w:pPr>
        <w:spacing w:line="360" w:lineRule="auto"/>
        <w:jc w:val="center"/>
        <w:outlineLvl w:val="1"/>
        <w:rPr>
          <w:rFonts w:asciiTheme="minorEastAsia" w:hAnsiTheme="minorEastAsia" w:eastAsiaTheme="minorEastAsia"/>
          <w:b/>
          <w:color w:val="auto"/>
          <w:sz w:val="24"/>
          <w:highlight w:val="none"/>
        </w:rPr>
      </w:pPr>
      <w:bookmarkStart w:id="189" w:name="_Toc6837"/>
      <w:bookmarkStart w:id="190" w:name="_Toc17899"/>
      <w:r>
        <w:rPr>
          <w:rFonts w:hint="eastAsia" w:asciiTheme="minorEastAsia" w:hAnsiTheme="minorEastAsia" w:eastAsiaTheme="minorEastAsia"/>
          <w:b/>
          <w:color w:val="auto"/>
          <w:sz w:val="24"/>
          <w:highlight w:val="none"/>
        </w:rPr>
        <w:t>一、报价表格式</w:t>
      </w:r>
      <w:bookmarkEnd w:id="189"/>
      <w:bookmarkEnd w:id="190"/>
    </w:p>
    <w:p w14:paraId="14F5B6AA">
      <w:pPr>
        <w:spacing w:beforeLines="50" w:afterLines="50" w:line="360" w:lineRule="auto"/>
        <w:jc w:val="left"/>
        <w:outlineLvl w:val="2"/>
        <w:rPr>
          <w:rFonts w:ascii="宋体" w:hAnsi="宋体" w:eastAsia="宋体"/>
          <w:b/>
          <w:color w:val="auto"/>
          <w:sz w:val="24"/>
          <w:szCs w:val="28"/>
          <w:highlight w:val="none"/>
        </w:rPr>
      </w:pPr>
      <w:r>
        <w:rPr>
          <w:rFonts w:hint="eastAsia" w:ascii="宋体" w:hAnsi="宋体" w:eastAsia="宋体"/>
          <w:b/>
          <w:color w:val="auto"/>
          <w:sz w:val="24"/>
          <w:szCs w:val="28"/>
          <w:highlight w:val="none"/>
        </w:rPr>
        <w:t>1-1 报价表</w:t>
      </w:r>
    </w:p>
    <w:p w14:paraId="396DF56A">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p>
    <w:p w14:paraId="2E01423C">
      <w:pPr>
        <w:snapToGrid w:val="0"/>
        <w:spacing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4B30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7A1A28EA">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4FE610E6">
            <w:pPr>
              <w:spacing w:line="360" w:lineRule="auto"/>
              <w:rPr>
                <w:rFonts w:ascii="宋体" w:hAnsi="宋体" w:eastAsia="宋体"/>
                <w:b/>
                <w:color w:val="auto"/>
                <w:sz w:val="24"/>
                <w:highlight w:val="none"/>
              </w:rPr>
            </w:pPr>
          </w:p>
        </w:tc>
      </w:tr>
      <w:tr w14:paraId="6DCE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7800D3D">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谈判范围</w:t>
            </w:r>
          </w:p>
        </w:tc>
        <w:tc>
          <w:tcPr>
            <w:tcW w:w="3557" w:type="pct"/>
            <w:tcBorders>
              <w:left w:val="single" w:color="auto" w:sz="4" w:space="0"/>
            </w:tcBorders>
            <w:vAlign w:val="center"/>
          </w:tcPr>
          <w:p w14:paraId="15693FD3">
            <w:pPr>
              <w:widowControl/>
              <w:spacing w:line="360" w:lineRule="exact"/>
              <w:rPr>
                <w:rFonts w:ascii="宋体" w:hAnsi="宋体" w:eastAsia="宋体"/>
                <w:b/>
                <w:color w:val="auto"/>
                <w:sz w:val="24"/>
                <w:highlight w:val="none"/>
              </w:rPr>
            </w:pPr>
            <w:r>
              <w:rPr>
                <w:rFonts w:hint="eastAsia" w:ascii="宋体" w:hAnsi="宋体" w:eastAsia="宋体"/>
                <w:b/>
                <w:color w:val="auto"/>
                <w:sz w:val="24"/>
                <w:highlight w:val="none"/>
              </w:rPr>
              <w:t>全部</w:t>
            </w:r>
          </w:p>
        </w:tc>
      </w:tr>
      <w:tr w14:paraId="7565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5599F9E1">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7A4E017A">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429D9FFF">
            <w:pPr>
              <w:snapToGrid w:val="0"/>
              <w:spacing w:line="360" w:lineRule="auto"/>
              <w:rPr>
                <w:rFonts w:ascii="宋体" w:hAnsi="宋体" w:eastAsia="宋体"/>
                <w:color w:val="auto"/>
                <w:sz w:val="24"/>
                <w:szCs w:val="28"/>
                <w:highlight w:val="none"/>
              </w:rPr>
            </w:pPr>
          </w:p>
          <w:p w14:paraId="740D6AE2">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大写：</w:t>
            </w:r>
            <w:r>
              <w:rPr>
                <w:rFonts w:hint="eastAsia" w:ascii="宋体" w:hAnsi="宋体" w:eastAsia="宋体" w:cs="宋体"/>
                <w:bCs/>
                <w:color w:val="auto"/>
                <w:szCs w:val="21"/>
                <w:highlight w:val="none"/>
                <w:u w:val="single"/>
              </w:rPr>
              <w:t xml:space="preserve">                     </w:t>
            </w:r>
            <w:r>
              <w:rPr>
                <w:rFonts w:hint="eastAsia" w:ascii="宋体" w:hAnsi="宋体" w:eastAsia="宋体" w:cs="宋体"/>
                <w:b/>
                <w:color w:val="auto"/>
                <w:szCs w:val="21"/>
                <w:highlight w:val="none"/>
              </w:rPr>
              <w:t xml:space="preserve"> </w:t>
            </w:r>
          </w:p>
          <w:p w14:paraId="255E8FC3">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小写：</w:t>
            </w:r>
            <w:r>
              <w:rPr>
                <w:rFonts w:hint="eastAsia" w:ascii="宋体" w:hAnsi="宋体" w:eastAsia="宋体" w:cs="宋体"/>
                <w:bCs/>
                <w:color w:val="auto"/>
                <w:szCs w:val="21"/>
                <w:highlight w:val="none"/>
                <w:u w:val="single"/>
              </w:rPr>
              <w:t xml:space="preserve">                     </w:t>
            </w:r>
            <w:r>
              <w:rPr>
                <w:rFonts w:hint="eastAsia" w:ascii="宋体" w:hAnsi="宋体" w:eastAsia="宋体" w:cs="宋体"/>
                <w:b/>
                <w:color w:val="auto"/>
                <w:szCs w:val="21"/>
                <w:highlight w:val="none"/>
              </w:rPr>
              <w:t xml:space="preserve">   </w:t>
            </w:r>
          </w:p>
          <w:p w14:paraId="147B5875">
            <w:pPr>
              <w:snapToGrid w:val="0"/>
              <w:spacing w:line="360" w:lineRule="auto"/>
              <w:rPr>
                <w:rFonts w:ascii="宋体" w:hAnsi="宋体" w:eastAsia="宋体"/>
                <w:b/>
                <w:color w:val="auto"/>
                <w:sz w:val="24"/>
                <w:highlight w:val="none"/>
              </w:rPr>
            </w:pPr>
          </w:p>
        </w:tc>
      </w:tr>
      <w:tr w14:paraId="7262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328767AD">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65E8A43B">
            <w:pPr>
              <w:spacing w:line="360" w:lineRule="auto"/>
              <w:rPr>
                <w:rFonts w:ascii="宋体" w:hAnsi="宋体" w:eastAsia="宋体"/>
                <w:b/>
                <w:color w:val="auto"/>
                <w:sz w:val="24"/>
                <w:highlight w:val="none"/>
              </w:rPr>
            </w:pPr>
          </w:p>
        </w:tc>
      </w:tr>
    </w:tbl>
    <w:p w14:paraId="7BA6CE9C">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hint="eastAsia" w:ascii="宋体" w:hAnsi="宋体" w:eastAsia="宋体"/>
          <w:color w:val="auto"/>
          <w:sz w:val="24"/>
          <w:szCs w:val="24"/>
          <w:highlight w:val="none"/>
          <w:lang w:val="en-US" w:eastAsia="zh-CN"/>
        </w:rPr>
        <w:t>盖</w:t>
      </w:r>
      <w:r>
        <w:rPr>
          <w:rFonts w:hint="eastAsia" w:ascii="宋体" w:hAnsi="宋体" w:eastAsia="宋体"/>
          <w:color w:val="auto"/>
          <w:sz w:val="24"/>
          <w:szCs w:val="24"/>
          <w:highlight w:val="none"/>
        </w:rPr>
        <w:t>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52D8A4E7">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期：</w:t>
      </w:r>
      <w:r>
        <w:rPr>
          <w:rFonts w:hint="eastAsia" w:ascii="宋体" w:hAnsi="宋体" w:eastAsia="宋体"/>
          <w:color w:val="auto"/>
          <w:sz w:val="24"/>
          <w:szCs w:val="24"/>
          <w:highlight w:val="none"/>
          <w:u w:val="single"/>
        </w:rPr>
        <w:t xml:space="preserve">             </w:t>
      </w:r>
    </w:p>
    <w:p w14:paraId="374D20F8">
      <w:pPr>
        <w:snapToGrid w:val="0"/>
        <w:spacing w:line="360" w:lineRule="auto"/>
        <w:ind w:left="5550"/>
        <w:jc w:val="center"/>
        <w:rPr>
          <w:rFonts w:ascii="宋体" w:hAnsi="宋体" w:eastAsia="宋体"/>
          <w:color w:val="auto"/>
          <w:sz w:val="24"/>
          <w:highlight w:val="none"/>
        </w:rPr>
      </w:pPr>
      <w:r>
        <w:rPr>
          <w:rFonts w:hint="eastAsia" w:ascii="宋体" w:hAnsi="宋体" w:eastAsia="宋体"/>
          <w:color w:val="auto"/>
          <w:sz w:val="24"/>
          <w:highlight w:val="none"/>
        </w:rPr>
        <w:t xml:space="preserve"> </w:t>
      </w:r>
    </w:p>
    <w:p w14:paraId="24ABF050">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14:paraId="1303B90E">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1.特殊事项在备注中注明。</w:t>
      </w:r>
    </w:p>
    <w:p w14:paraId="54DD1A93">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2.表中大写金额与小写金额不一致的，以大写金额为准。</w:t>
      </w:r>
    </w:p>
    <w:p w14:paraId="0E385B83">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5AB9CFCA">
      <w:pPr>
        <w:spacing w:line="360" w:lineRule="auto"/>
        <w:jc w:val="center"/>
        <w:outlineLvl w:val="1"/>
        <w:rPr>
          <w:rFonts w:asciiTheme="minorEastAsia" w:hAnsiTheme="minorEastAsia" w:eastAsiaTheme="minorEastAsia"/>
          <w:b/>
          <w:color w:val="auto"/>
          <w:sz w:val="24"/>
          <w:highlight w:val="none"/>
        </w:rPr>
      </w:pPr>
      <w:bookmarkStart w:id="191" w:name="_Toc16379"/>
      <w:bookmarkStart w:id="192" w:name="_Toc30153"/>
      <w:r>
        <w:rPr>
          <w:rFonts w:hint="eastAsia" w:asciiTheme="minorEastAsia" w:hAnsiTheme="minorEastAsia" w:eastAsiaTheme="minorEastAsia"/>
          <w:b/>
          <w:color w:val="auto"/>
          <w:sz w:val="24"/>
          <w:highlight w:val="none"/>
        </w:rPr>
        <w:t>二、最后承诺报价表</w:t>
      </w:r>
      <w:bookmarkEnd w:id="191"/>
      <w:bookmarkEnd w:id="192"/>
    </w:p>
    <w:p w14:paraId="7ADEC3D6">
      <w:pPr>
        <w:spacing w:beforeLines="50" w:afterLines="50" w:line="360" w:lineRule="auto"/>
        <w:ind w:firstLine="236" w:firstLineChars="98"/>
        <w:jc w:val="center"/>
        <w:rPr>
          <w:rFonts w:ascii="宋体" w:hAnsi="宋体" w:eastAsia="宋体"/>
          <w:b/>
          <w:color w:val="auto"/>
          <w:sz w:val="24"/>
          <w:szCs w:val="28"/>
          <w:highlight w:val="none"/>
        </w:rPr>
      </w:pPr>
      <w:r>
        <w:rPr>
          <w:rFonts w:hint="eastAsia" w:ascii="宋体" w:hAnsi="宋体" w:eastAsia="宋体"/>
          <w:b/>
          <w:color w:val="auto"/>
          <w:sz w:val="24"/>
          <w:szCs w:val="28"/>
          <w:highlight w:val="none"/>
        </w:rPr>
        <w:t>（第</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rPr>
        <w:t>次报价书）</w:t>
      </w:r>
    </w:p>
    <w:p w14:paraId="54DDA19D">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p>
    <w:p w14:paraId="40E249F9">
      <w:pPr>
        <w:snapToGrid w:val="0"/>
        <w:spacing w:afterLines="50" w:line="360" w:lineRule="auto"/>
        <w:jc w:val="left"/>
        <w:rPr>
          <w:rFonts w:ascii="宋体" w:hAnsi="宋体" w:eastAsia="宋体"/>
          <w:b/>
          <w:bCs/>
          <w:color w:val="auto"/>
          <w:sz w:val="24"/>
          <w:szCs w:val="28"/>
          <w:highlight w:val="non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26B1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77AF591B">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24772935">
            <w:pPr>
              <w:spacing w:line="360" w:lineRule="auto"/>
              <w:rPr>
                <w:rFonts w:ascii="宋体" w:hAnsi="宋体" w:eastAsia="宋体"/>
                <w:b/>
                <w:color w:val="auto"/>
                <w:sz w:val="24"/>
                <w:highlight w:val="none"/>
              </w:rPr>
            </w:pPr>
          </w:p>
        </w:tc>
      </w:tr>
      <w:tr w14:paraId="1CA9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7021AE12">
            <w:pPr>
              <w:spacing w:line="360" w:lineRule="exact"/>
              <w:jc w:val="center"/>
              <w:rPr>
                <w:rFonts w:ascii="宋体" w:hAnsi="宋体" w:eastAsia="宋体"/>
                <w:b/>
                <w:color w:val="auto"/>
                <w:sz w:val="24"/>
                <w:highlight w:val="none"/>
              </w:rPr>
            </w:pPr>
            <w:r>
              <w:rPr>
                <w:rFonts w:hint="eastAsia" w:ascii="宋体" w:hAnsi="宋体" w:eastAsia="宋体"/>
                <w:b/>
                <w:bCs/>
                <w:color w:val="auto"/>
                <w:sz w:val="24"/>
                <w:szCs w:val="28"/>
                <w:highlight w:val="none"/>
              </w:rPr>
              <w:t>谈判</w:t>
            </w:r>
            <w:r>
              <w:rPr>
                <w:rFonts w:hint="eastAsia" w:ascii="宋体" w:hAnsi="宋体" w:eastAsia="宋体"/>
                <w:b/>
                <w:color w:val="auto"/>
                <w:sz w:val="24"/>
                <w:highlight w:val="none"/>
              </w:rPr>
              <w:t>范围</w:t>
            </w:r>
          </w:p>
        </w:tc>
        <w:tc>
          <w:tcPr>
            <w:tcW w:w="3557" w:type="pct"/>
            <w:tcBorders>
              <w:left w:val="single" w:color="auto" w:sz="4" w:space="0"/>
            </w:tcBorders>
            <w:vAlign w:val="center"/>
          </w:tcPr>
          <w:p w14:paraId="7C919779">
            <w:pPr>
              <w:widowControl/>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u w:val="single"/>
              </w:rPr>
              <w:t>全部</w:t>
            </w:r>
          </w:p>
        </w:tc>
      </w:tr>
      <w:tr w14:paraId="6E7DB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376E9A55">
            <w:pPr>
              <w:spacing w:line="360" w:lineRule="auto"/>
              <w:jc w:val="center"/>
              <w:rPr>
                <w:rFonts w:ascii="宋体" w:hAnsi="宋体" w:eastAsia="宋体"/>
                <w:b/>
                <w:color w:val="auto"/>
                <w:sz w:val="24"/>
                <w:highlight w:val="none"/>
              </w:rPr>
            </w:pPr>
            <w:r>
              <w:rPr>
                <w:rFonts w:hint="eastAsia" w:ascii="宋体" w:hAnsi="宋体" w:eastAsia="宋体"/>
                <w:b/>
                <w:bCs/>
                <w:color w:val="auto"/>
                <w:sz w:val="24"/>
                <w:szCs w:val="28"/>
                <w:highlight w:val="none"/>
              </w:rPr>
              <w:t>最后报价</w:t>
            </w:r>
          </w:p>
          <w:p w14:paraId="2E483D69">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33130BC6">
            <w:pPr>
              <w:snapToGrid w:val="0"/>
              <w:spacing w:line="360" w:lineRule="auto"/>
              <w:rPr>
                <w:rFonts w:ascii="宋体" w:hAnsi="宋体" w:eastAsia="宋体"/>
                <w:color w:val="auto"/>
                <w:sz w:val="24"/>
                <w:szCs w:val="28"/>
                <w:highlight w:val="none"/>
              </w:rPr>
            </w:pPr>
          </w:p>
          <w:p w14:paraId="351515E8">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大写：</w:t>
            </w:r>
            <w:r>
              <w:rPr>
                <w:rFonts w:hint="eastAsia" w:ascii="宋体" w:hAnsi="宋体" w:eastAsia="宋体" w:cs="宋体"/>
                <w:bCs/>
                <w:color w:val="auto"/>
                <w:szCs w:val="21"/>
                <w:highlight w:val="none"/>
                <w:u w:val="single"/>
              </w:rPr>
              <w:t xml:space="preserve">                        </w:t>
            </w:r>
          </w:p>
          <w:p w14:paraId="66FC8B58">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小写：</w:t>
            </w:r>
            <w:r>
              <w:rPr>
                <w:rFonts w:hint="eastAsia" w:ascii="宋体" w:hAnsi="宋体" w:eastAsia="宋体" w:cs="宋体"/>
                <w:bCs/>
                <w:color w:val="auto"/>
                <w:szCs w:val="21"/>
                <w:highlight w:val="none"/>
                <w:u w:val="single"/>
              </w:rPr>
              <w:t xml:space="preserve">                        </w:t>
            </w:r>
            <w:r>
              <w:rPr>
                <w:rFonts w:hint="eastAsia" w:ascii="宋体" w:hAnsi="宋体" w:eastAsia="宋体" w:cs="宋体"/>
                <w:b/>
                <w:color w:val="auto"/>
                <w:szCs w:val="21"/>
                <w:highlight w:val="none"/>
              </w:rPr>
              <w:t xml:space="preserve"> </w:t>
            </w:r>
          </w:p>
          <w:p w14:paraId="26619A12">
            <w:pPr>
              <w:snapToGrid w:val="0"/>
              <w:spacing w:line="360" w:lineRule="auto"/>
              <w:rPr>
                <w:rFonts w:ascii="宋体" w:hAnsi="宋体" w:eastAsia="宋体"/>
                <w:b/>
                <w:color w:val="auto"/>
                <w:sz w:val="24"/>
                <w:highlight w:val="none"/>
              </w:rPr>
            </w:pPr>
          </w:p>
        </w:tc>
      </w:tr>
      <w:tr w14:paraId="69D5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443" w:type="pct"/>
            <w:vAlign w:val="center"/>
          </w:tcPr>
          <w:p w14:paraId="39D94B60">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6AA1F5CC">
            <w:pPr>
              <w:spacing w:line="360" w:lineRule="auto"/>
              <w:rPr>
                <w:rFonts w:ascii="宋体" w:hAnsi="宋体" w:eastAsia="宋体"/>
                <w:b/>
                <w:color w:val="auto"/>
                <w:sz w:val="24"/>
                <w:highlight w:val="none"/>
              </w:rPr>
            </w:pPr>
            <w:r>
              <w:rPr>
                <w:rFonts w:hint="eastAsia" w:ascii="宋体" w:hAnsi="宋体" w:eastAsia="宋体"/>
                <w:b/>
                <w:i/>
                <w:color w:val="auto"/>
                <w:sz w:val="24"/>
                <w:highlight w:val="none"/>
              </w:rPr>
              <w:t>（此处可补充谈判小组根据与供应商谈判情况变动的谈判文件的内容，包括采购需求中的技术、服务要求以及合同草案条款。）</w:t>
            </w:r>
          </w:p>
        </w:tc>
      </w:tr>
      <w:tr w14:paraId="4826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62A7DA96">
            <w:pPr>
              <w:spacing w:line="360" w:lineRule="auto"/>
              <w:jc w:val="center"/>
              <w:rPr>
                <w:rFonts w:ascii="宋体" w:hAnsi="宋体" w:eastAsia="宋体"/>
                <w:b/>
                <w:color w:val="auto"/>
                <w:sz w:val="24"/>
                <w:highlight w:val="none"/>
              </w:rPr>
            </w:pPr>
            <w:r>
              <w:rPr>
                <w:rFonts w:hint="eastAsia" w:ascii="宋体" w:hAnsi="宋体" w:eastAsia="宋体"/>
                <w:b/>
                <w:bCs/>
                <w:color w:val="auto"/>
                <w:sz w:val="24"/>
                <w:szCs w:val="28"/>
                <w:highlight w:val="none"/>
              </w:rPr>
              <w:t>谈判小组</w:t>
            </w:r>
            <w:r>
              <w:rPr>
                <w:rFonts w:ascii="宋体" w:hAnsi="宋体" w:eastAsia="宋体"/>
                <w:b/>
                <w:bCs/>
                <w:color w:val="auto"/>
                <w:sz w:val="24"/>
                <w:szCs w:val="28"/>
                <w:highlight w:val="none"/>
              </w:rPr>
              <w:t>签字</w:t>
            </w:r>
          </w:p>
        </w:tc>
        <w:tc>
          <w:tcPr>
            <w:tcW w:w="3557" w:type="pct"/>
          </w:tcPr>
          <w:p w14:paraId="2053E751">
            <w:pPr>
              <w:spacing w:line="360" w:lineRule="auto"/>
              <w:rPr>
                <w:rFonts w:ascii="宋体" w:hAnsi="宋体" w:eastAsia="宋体"/>
                <w:b/>
                <w:color w:val="auto"/>
                <w:sz w:val="24"/>
                <w:highlight w:val="none"/>
              </w:rPr>
            </w:pPr>
          </w:p>
        </w:tc>
      </w:tr>
    </w:tbl>
    <w:p w14:paraId="600A2430">
      <w:pPr>
        <w:spacing w:line="360" w:lineRule="auto"/>
        <w:ind w:firstLine="1680" w:firstLineChars="700"/>
        <w:jc w:val="left"/>
        <w:rPr>
          <w:rFonts w:ascii="宋体" w:hAnsi="宋体" w:eastAsia="宋体"/>
          <w:color w:val="auto"/>
          <w:sz w:val="24"/>
          <w:highlight w:val="none"/>
        </w:rPr>
      </w:pPr>
      <w:r>
        <w:rPr>
          <w:rFonts w:hint="eastAsia" w:ascii="宋体" w:hAnsi="宋体" w:eastAsia="宋体"/>
          <w:color w:val="auto"/>
          <w:sz w:val="24"/>
          <w:highlight w:val="none"/>
        </w:rPr>
        <w:t xml:space="preserve">           供应商公章或授权代表签字：</w:t>
      </w:r>
      <w:r>
        <w:rPr>
          <w:rFonts w:hint="eastAsia" w:ascii="宋体" w:hAnsi="宋体" w:eastAsia="宋体"/>
          <w:color w:val="auto"/>
          <w:sz w:val="24"/>
          <w:highlight w:val="none"/>
          <w:u w:val="single"/>
        </w:rPr>
        <w:t xml:space="preserve">                  </w:t>
      </w:r>
    </w:p>
    <w:p w14:paraId="160EFF52">
      <w:pPr>
        <w:spacing w:line="360" w:lineRule="auto"/>
        <w:ind w:firstLine="4200" w:firstLineChars="1750"/>
        <w:jc w:val="left"/>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7E2F268D">
      <w:pPr>
        <w:adjustRightInd w:val="0"/>
        <w:snapToGrid w:val="0"/>
        <w:spacing w:line="360" w:lineRule="auto"/>
        <w:ind w:firstLine="482" w:firstLineChars="200"/>
        <w:rPr>
          <w:rFonts w:ascii="宋体" w:hAnsi="宋体" w:eastAsia="宋体"/>
          <w:b/>
          <w:bCs/>
          <w:color w:val="auto"/>
          <w:sz w:val="24"/>
          <w:szCs w:val="28"/>
          <w:highlight w:val="none"/>
        </w:rPr>
      </w:pPr>
    </w:p>
    <w:p w14:paraId="33FA7ACE">
      <w:pPr>
        <w:adjustRightInd w:val="0"/>
        <w:snapToGrid w:val="0"/>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szCs w:val="28"/>
          <w:highlight w:val="none"/>
        </w:rPr>
        <w:t>注：1.</w:t>
      </w:r>
      <w:r>
        <w:rPr>
          <w:rFonts w:hint="eastAsia" w:ascii="宋体" w:hAnsi="宋体" w:eastAsia="宋体"/>
          <w:b/>
          <w:bCs/>
          <w:color w:val="auto"/>
          <w:sz w:val="24"/>
          <w:highlight w:val="none"/>
        </w:rPr>
        <w:t>本页《报价表》由供应商在接到报价通知后依据谈判情况填写,并在规定时间内提交。</w:t>
      </w:r>
    </w:p>
    <w:p w14:paraId="1A4C796B">
      <w:pPr>
        <w:adjustRightInd w:val="0"/>
        <w:snapToGrid w:val="0"/>
        <w:spacing w:line="360" w:lineRule="auto"/>
        <w:ind w:firstLine="482" w:firstLineChars="200"/>
        <w:rPr>
          <w:rFonts w:ascii="宋体" w:hAnsi="宋体" w:eastAsia="宋体"/>
          <w:b/>
          <w:color w:val="auto"/>
          <w:sz w:val="24"/>
          <w:szCs w:val="28"/>
          <w:highlight w:val="none"/>
        </w:rPr>
      </w:pPr>
      <w:r>
        <w:rPr>
          <w:rFonts w:hint="eastAsia" w:ascii="宋体" w:hAnsi="宋体" w:eastAsia="宋体"/>
          <w:b/>
          <w:color w:val="auto"/>
          <w:sz w:val="24"/>
          <w:szCs w:val="28"/>
          <w:highlight w:val="none"/>
        </w:rPr>
        <w:t>2.表中大写金额与小写金额不一致的，以大写金额为准。</w:t>
      </w:r>
    </w:p>
    <w:p w14:paraId="0491CD45">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40E7A446">
      <w:pPr>
        <w:spacing w:line="360" w:lineRule="auto"/>
        <w:jc w:val="center"/>
        <w:outlineLvl w:val="1"/>
        <w:rPr>
          <w:rFonts w:asciiTheme="minorEastAsia" w:hAnsiTheme="minorEastAsia" w:eastAsiaTheme="minorEastAsia"/>
          <w:b/>
          <w:color w:val="auto"/>
          <w:sz w:val="24"/>
          <w:highlight w:val="none"/>
        </w:rPr>
      </w:pPr>
      <w:bookmarkStart w:id="193" w:name="_Toc9887"/>
      <w:bookmarkStart w:id="194" w:name="_Toc10325"/>
      <w:r>
        <w:rPr>
          <w:rFonts w:hint="eastAsia" w:asciiTheme="minorEastAsia" w:hAnsiTheme="minorEastAsia" w:eastAsiaTheme="minorEastAsia"/>
          <w:b/>
          <w:color w:val="auto"/>
          <w:sz w:val="24"/>
          <w:highlight w:val="none"/>
        </w:rPr>
        <w:t>三、谈判响应函</w:t>
      </w:r>
      <w:bookmarkEnd w:id="193"/>
      <w:bookmarkEnd w:id="194"/>
    </w:p>
    <w:p w14:paraId="19D9FDFE">
      <w:pPr>
        <w:pStyle w:val="17"/>
        <w:spacing w:line="360" w:lineRule="auto"/>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szCs w:val="24"/>
          <w:highlight w:val="none"/>
        </w:rPr>
        <w:t>采购人</w:t>
      </w:r>
    </w:p>
    <w:p w14:paraId="27A39546">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195" w:name="_Hlk44287576"/>
      <w:r>
        <w:rPr>
          <w:rFonts w:hint="eastAsia" w:ascii="宋体" w:hAnsi="宋体" w:eastAsia="宋体"/>
          <w:color w:val="auto"/>
          <w:sz w:val="24"/>
          <w:highlight w:val="none"/>
        </w:rPr>
        <w:t>竞争性谈判公告和谈判邀请</w:t>
      </w:r>
      <w:bookmarkEnd w:id="195"/>
      <w:r>
        <w:rPr>
          <w:rFonts w:hint="eastAsia" w:ascii="宋体" w:hAnsi="宋体" w:eastAsia="宋体"/>
          <w:color w:val="auto"/>
          <w:sz w:val="24"/>
          <w:highlight w:val="none"/>
        </w:rPr>
        <w:t>，我方兹宣布同意如下：</w:t>
      </w:r>
    </w:p>
    <w:p w14:paraId="5997C018">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1.我方根据本次谈判文件的规定，严格履行合同的责任和义务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并保证于买方要求的日期内完成，并通过买方验收。</w:t>
      </w:r>
    </w:p>
    <w:p w14:paraId="15B335D1">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2.我方已详细审核本次谈判文件，包括谈判文件附件及更正公告（如有），我方正式认可并遵守本次谈判文件，并对谈判文件各项条款、规定及要求均无异议。</w:t>
      </w:r>
    </w:p>
    <w:p w14:paraId="31E85B59">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3.我方同意从供应商须知规定的谈判日期起遵循本谈判文件，并在供应商须知规定的谈判有效期之前均具有约束力。</w:t>
      </w:r>
    </w:p>
    <w:p w14:paraId="1E81605A">
      <w:pPr>
        <w:spacing w:line="360" w:lineRule="auto"/>
        <w:ind w:firstLine="480" w:firstLineChars="200"/>
        <w:rPr>
          <w:rFonts w:ascii="宋体" w:hAnsi="宋体" w:eastAsia="宋体"/>
          <w:color w:val="auto"/>
          <w:sz w:val="24"/>
          <w:highlight w:val="none"/>
        </w:rPr>
      </w:pPr>
      <w:r>
        <w:rPr>
          <w:rFonts w:hint="eastAsia" w:asciiTheme="minorEastAsia" w:hAnsiTheme="minorEastAsia" w:eastAsiaTheme="minorEastAsia"/>
          <w:color w:val="auto"/>
          <w:sz w:val="24"/>
          <w:highlight w:val="none"/>
        </w:rPr>
        <w:t>4.我方声明响应文件所提供的一切资料均真实无误、及时、有效，企业运营正常。由于我方提供资料不实而造成的责任和后果由我方承担。我方同意按照贵方提出的要求，提供与谈判有关的任何证据、数据或资料。</w:t>
      </w:r>
    </w:p>
    <w:p w14:paraId="5D460D2A">
      <w:pPr>
        <w:spacing w:line="360" w:lineRule="auto"/>
        <w:ind w:firstLine="3600" w:firstLineChars="1500"/>
        <w:rPr>
          <w:rFonts w:ascii="宋体" w:hAnsi="宋体" w:eastAsia="宋体"/>
          <w:color w:val="auto"/>
          <w:sz w:val="24"/>
          <w:highlight w:val="none"/>
        </w:rPr>
      </w:pPr>
    </w:p>
    <w:p w14:paraId="21D168F5">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hint="eastAsia" w:ascii="宋体" w:hAnsi="宋体" w:eastAsia="宋体"/>
          <w:color w:val="auto"/>
          <w:sz w:val="24"/>
          <w:szCs w:val="24"/>
          <w:highlight w:val="none"/>
          <w:lang w:val="en-US" w:eastAsia="zh-CN"/>
        </w:rPr>
        <w:t>盖</w:t>
      </w:r>
      <w:r>
        <w:rPr>
          <w:rFonts w:hint="eastAsia" w:ascii="宋体" w:hAnsi="宋体" w:eastAsia="宋体"/>
          <w:color w:val="auto"/>
          <w:sz w:val="24"/>
          <w:szCs w:val="24"/>
          <w:highlight w:val="none"/>
        </w:rPr>
        <w:t>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37D1BC90">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期：</w:t>
      </w:r>
      <w:r>
        <w:rPr>
          <w:rFonts w:hint="eastAsia" w:ascii="宋体" w:hAnsi="宋体" w:eastAsia="宋体"/>
          <w:color w:val="auto"/>
          <w:sz w:val="24"/>
          <w:szCs w:val="24"/>
          <w:highlight w:val="none"/>
          <w:u w:val="single"/>
        </w:rPr>
        <w:t xml:space="preserve">             </w:t>
      </w:r>
    </w:p>
    <w:p w14:paraId="3F117A88">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0E6E62B2">
      <w:pPr>
        <w:spacing w:line="360" w:lineRule="auto"/>
        <w:jc w:val="center"/>
        <w:outlineLvl w:val="1"/>
        <w:rPr>
          <w:rFonts w:asciiTheme="minorEastAsia" w:hAnsiTheme="minorEastAsia" w:eastAsiaTheme="minorEastAsia"/>
          <w:b/>
          <w:color w:val="auto"/>
          <w:sz w:val="24"/>
          <w:highlight w:val="none"/>
        </w:rPr>
      </w:pPr>
      <w:bookmarkStart w:id="196" w:name="_Toc15886"/>
      <w:bookmarkStart w:id="197" w:name="_Toc27496"/>
      <w:r>
        <w:rPr>
          <w:rFonts w:hint="eastAsia" w:asciiTheme="minorEastAsia" w:hAnsiTheme="minorEastAsia" w:eastAsiaTheme="minorEastAsia"/>
          <w:b/>
          <w:color w:val="auto"/>
          <w:sz w:val="24"/>
          <w:highlight w:val="none"/>
        </w:rPr>
        <w:t>四、</w:t>
      </w:r>
      <w:bookmarkEnd w:id="196"/>
      <w:r>
        <w:rPr>
          <w:rFonts w:hint="eastAsia" w:asciiTheme="minorEastAsia" w:hAnsiTheme="minorEastAsia" w:eastAsiaTheme="minorEastAsia"/>
          <w:b/>
          <w:color w:val="auto"/>
          <w:sz w:val="24"/>
          <w:highlight w:val="none"/>
        </w:rPr>
        <w:t>供应商资格声明书</w:t>
      </w:r>
      <w:bookmarkEnd w:id="197"/>
      <w:r>
        <w:rPr>
          <w:rFonts w:hint="eastAsia" w:asciiTheme="minorEastAsia" w:hAnsiTheme="minorEastAsia" w:eastAsiaTheme="minorEastAsia"/>
          <w:b/>
          <w:color w:val="auto"/>
          <w:sz w:val="24"/>
          <w:highlight w:val="none"/>
        </w:rPr>
        <w:t xml:space="preserve"> </w:t>
      </w:r>
    </w:p>
    <w:p w14:paraId="0145A505">
      <w:pPr>
        <w:pStyle w:val="17"/>
        <w:spacing w:line="360" w:lineRule="auto"/>
        <w:rPr>
          <w:rFonts w:asciiTheme="minorEastAsia" w:hAnsiTheme="minorEastAsia" w:cstheme="minorEastAsia"/>
          <w:color w:val="auto"/>
          <w:sz w:val="24"/>
          <w:szCs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rPr>
        <w:t>采购人</w:t>
      </w:r>
    </w:p>
    <w:p w14:paraId="5D288B8D">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在参与本次项目谈判中，我单位承诺：</w:t>
      </w:r>
    </w:p>
    <w:p w14:paraId="1A1EA90B">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（一）具有良好的商业信誉和健全的财务会计制度；</w:t>
      </w:r>
    </w:p>
    <w:p w14:paraId="131EEC39">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（二）具有履行合同所必需的设备和专业技术能力；</w:t>
      </w:r>
    </w:p>
    <w:p w14:paraId="747907F4">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（三）有依法缴纳税收和社会保障资金的良好记录；</w:t>
      </w:r>
    </w:p>
    <w:p w14:paraId="7C2D08FF">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690EB5D">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（五）我单位不存在为采购项目提供整体设计、规范编制或者项目管理、监理、检测等服务后，再参加该采购项目的其他采购活动的情形（单一来源采购项目除外）；</w:t>
      </w:r>
    </w:p>
    <w:p w14:paraId="26EC597F">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（六）与我单位存在单位负责人为同一人或者存在直接控股、管理关系的其他法人单位信息如下（如有，不论其是否参加同一合同项下的政府采购活动均须填写）：</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4445"/>
        <w:gridCol w:w="2840"/>
      </w:tblGrid>
      <w:tr w14:paraId="3B70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6AEFFD5D">
            <w:pPr>
              <w:widowControl/>
              <w:adjustRightInd w:val="0"/>
              <w:snapToGrid w:val="0"/>
              <w:spacing w:beforeLines="50" w:after="1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序号</w:t>
            </w:r>
          </w:p>
        </w:tc>
        <w:tc>
          <w:tcPr>
            <w:tcW w:w="2608" w:type="pct"/>
            <w:vAlign w:val="center"/>
          </w:tcPr>
          <w:p w14:paraId="2A9A2CC8">
            <w:pPr>
              <w:pStyle w:val="3"/>
              <w:adjustRightInd w:val="0"/>
              <w:snapToGrid w:val="0"/>
              <w:spacing w:beforeLines="50" w:after="10"/>
              <w:jc w:val="center"/>
              <w:rPr>
                <w:rFonts w:asciiTheme="minorEastAsia" w:hAnsiTheme="minorEastAsia" w:eastAsiaTheme="minorEastAsia" w:cstheme="minorEastAsia"/>
                <w:color w:val="auto"/>
                <w:kern w:val="0"/>
                <w:sz w:val="24"/>
                <w:highlight w:val="none"/>
                <w:lang w:val="en-US"/>
              </w:rPr>
            </w:pPr>
            <w:r>
              <w:rPr>
                <w:rFonts w:hint="eastAsia" w:asciiTheme="minorEastAsia" w:hAnsiTheme="minorEastAsia" w:eastAsiaTheme="minorEastAsia" w:cstheme="minorEastAsia"/>
                <w:color w:val="auto"/>
                <w:kern w:val="0"/>
                <w:sz w:val="24"/>
                <w:highlight w:val="none"/>
                <w:lang w:val="en-US"/>
              </w:rPr>
              <w:t>单位名称</w:t>
            </w:r>
          </w:p>
        </w:tc>
        <w:tc>
          <w:tcPr>
            <w:tcW w:w="1667" w:type="pct"/>
            <w:vAlign w:val="center"/>
          </w:tcPr>
          <w:p w14:paraId="7C7086B1">
            <w:pPr>
              <w:pStyle w:val="3"/>
              <w:adjustRightInd w:val="0"/>
              <w:snapToGrid w:val="0"/>
              <w:spacing w:beforeLines="50" w:after="10"/>
              <w:jc w:val="center"/>
              <w:rPr>
                <w:rFonts w:asciiTheme="minorEastAsia" w:hAnsiTheme="minorEastAsia" w:eastAsiaTheme="minorEastAsia" w:cstheme="minorEastAsia"/>
                <w:color w:val="auto"/>
                <w:kern w:val="0"/>
                <w:sz w:val="24"/>
                <w:highlight w:val="none"/>
                <w:lang w:val="en-US"/>
              </w:rPr>
            </w:pPr>
            <w:r>
              <w:rPr>
                <w:rFonts w:hint="eastAsia" w:asciiTheme="minorEastAsia" w:hAnsiTheme="minorEastAsia" w:eastAsiaTheme="minorEastAsia" w:cstheme="minorEastAsia"/>
                <w:color w:val="auto"/>
                <w:kern w:val="0"/>
                <w:sz w:val="24"/>
                <w:highlight w:val="none"/>
                <w:lang w:val="en-US"/>
              </w:rPr>
              <w:t>相互关系</w:t>
            </w:r>
          </w:p>
        </w:tc>
      </w:tr>
      <w:tr w14:paraId="599A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23860371">
            <w:pPr>
              <w:pStyle w:val="3"/>
              <w:adjustRightInd w:val="0"/>
              <w:snapToGrid w:val="0"/>
              <w:spacing w:beforeLines="50" w:after="10"/>
              <w:jc w:val="center"/>
              <w:rPr>
                <w:rFonts w:asciiTheme="minorEastAsia" w:hAnsiTheme="minorEastAsia" w:eastAsiaTheme="minorEastAsia" w:cstheme="minorEastAsia"/>
                <w:color w:val="auto"/>
                <w:kern w:val="0"/>
                <w:sz w:val="24"/>
                <w:highlight w:val="none"/>
                <w:lang w:val="en-US"/>
              </w:rPr>
            </w:pPr>
            <w:r>
              <w:rPr>
                <w:rFonts w:hint="eastAsia" w:asciiTheme="minorEastAsia" w:hAnsiTheme="minorEastAsia" w:eastAsiaTheme="minorEastAsia" w:cstheme="minorEastAsia"/>
                <w:color w:val="auto"/>
                <w:kern w:val="0"/>
                <w:sz w:val="24"/>
                <w:highlight w:val="none"/>
                <w:lang w:val="en-US"/>
              </w:rPr>
              <w:t>1</w:t>
            </w:r>
          </w:p>
        </w:tc>
        <w:tc>
          <w:tcPr>
            <w:tcW w:w="2608" w:type="pct"/>
            <w:vAlign w:val="center"/>
          </w:tcPr>
          <w:p w14:paraId="5E9FCEB3">
            <w:pPr>
              <w:pStyle w:val="3"/>
              <w:adjustRightInd w:val="0"/>
              <w:snapToGrid w:val="0"/>
              <w:spacing w:beforeLines="50" w:after="10"/>
              <w:jc w:val="center"/>
              <w:rPr>
                <w:rFonts w:asciiTheme="minorEastAsia" w:hAnsiTheme="minorEastAsia" w:eastAsiaTheme="minorEastAsia" w:cstheme="minorEastAsia"/>
                <w:color w:val="auto"/>
                <w:kern w:val="0"/>
                <w:sz w:val="24"/>
                <w:highlight w:val="none"/>
                <w:lang w:val="en-US"/>
              </w:rPr>
            </w:pPr>
          </w:p>
        </w:tc>
        <w:tc>
          <w:tcPr>
            <w:tcW w:w="1667" w:type="pct"/>
            <w:vAlign w:val="center"/>
          </w:tcPr>
          <w:p w14:paraId="73DA95F2">
            <w:pPr>
              <w:pStyle w:val="3"/>
              <w:adjustRightInd w:val="0"/>
              <w:snapToGrid w:val="0"/>
              <w:spacing w:beforeLines="50" w:after="10"/>
              <w:jc w:val="center"/>
              <w:rPr>
                <w:rFonts w:asciiTheme="minorEastAsia" w:hAnsiTheme="minorEastAsia" w:eastAsiaTheme="minorEastAsia" w:cstheme="minorEastAsia"/>
                <w:color w:val="auto"/>
                <w:kern w:val="0"/>
                <w:sz w:val="24"/>
                <w:highlight w:val="none"/>
                <w:lang w:val="en-US"/>
              </w:rPr>
            </w:pPr>
          </w:p>
        </w:tc>
      </w:tr>
      <w:tr w14:paraId="7C87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0C569420">
            <w:pPr>
              <w:pStyle w:val="3"/>
              <w:adjustRightInd w:val="0"/>
              <w:snapToGrid w:val="0"/>
              <w:spacing w:beforeLines="50" w:after="10"/>
              <w:jc w:val="center"/>
              <w:rPr>
                <w:rFonts w:asciiTheme="minorEastAsia" w:hAnsiTheme="minorEastAsia" w:eastAsiaTheme="minorEastAsia" w:cstheme="minorEastAsia"/>
                <w:color w:val="auto"/>
                <w:kern w:val="0"/>
                <w:sz w:val="24"/>
                <w:highlight w:val="none"/>
                <w:lang w:val="en-US"/>
              </w:rPr>
            </w:pPr>
            <w:r>
              <w:rPr>
                <w:rFonts w:hint="eastAsia" w:asciiTheme="minorEastAsia" w:hAnsiTheme="minorEastAsia" w:eastAsiaTheme="minorEastAsia" w:cstheme="minorEastAsia"/>
                <w:color w:val="auto"/>
                <w:kern w:val="0"/>
                <w:sz w:val="24"/>
                <w:highlight w:val="none"/>
                <w:lang w:val="en-US"/>
              </w:rPr>
              <w:t>2</w:t>
            </w:r>
          </w:p>
        </w:tc>
        <w:tc>
          <w:tcPr>
            <w:tcW w:w="2608" w:type="pct"/>
            <w:vAlign w:val="center"/>
          </w:tcPr>
          <w:p w14:paraId="4D4D7562">
            <w:pPr>
              <w:pStyle w:val="3"/>
              <w:adjustRightInd w:val="0"/>
              <w:snapToGrid w:val="0"/>
              <w:spacing w:beforeLines="50" w:after="10"/>
              <w:jc w:val="center"/>
              <w:rPr>
                <w:rFonts w:asciiTheme="minorEastAsia" w:hAnsiTheme="minorEastAsia" w:eastAsiaTheme="minorEastAsia" w:cstheme="minorEastAsia"/>
                <w:color w:val="auto"/>
                <w:kern w:val="0"/>
                <w:sz w:val="24"/>
                <w:highlight w:val="none"/>
                <w:lang w:val="en-US"/>
              </w:rPr>
            </w:pPr>
          </w:p>
        </w:tc>
        <w:tc>
          <w:tcPr>
            <w:tcW w:w="1667" w:type="pct"/>
            <w:vAlign w:val="center"/>
          </w:tcPr>
          <w:p w14:paraId="7EEE4288">
            <w:pPr>
              <w:pStyle w:val="3"/>
              <w:adjustRightInd w:val="0"/>
              <w:snapToGrid w:val="0"/>
              <w:spacing w:beforeLines="50" w:after="10"/>
              <w:jc w:val="center"/>
              <w:rPr>
                <w:rFonts w:asciiTheme="minorEastAsia" w:hAnsiTheme="minorEastAsia" w:eastAsiaTheme="minorEastAsia" w:cstheme="minorEastAsia"/>
                <w:color w:val="auto"/>
                <w:kern w:val="0"/>
                <w:sz w:val="24"/>
                <w:highlight w:val="none"/>
                <w:lang w:val="en-US"/>
              </w:rPr>
            </w:pPr>
          </w:p>
        </w:tc>
      </w:tr>
    </w:tbl>
    <w:p w14:paraId="01FB2E1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0D811CD9">
      <w:pPr>
        <w:spacing w:line="360" w:lineRule="auto"/>
        <w:ind w:firstLine="4800" w:firstLineChars="2000"/>
        <w:rPr>
          <w:rFonts w:ascii="宋体" w:hAnsi="宋体" w:eastAsia="宋体"/>
          <w:color w:val="auto"/>
          <w:sz w:val="24"/>
          <w:highlight w:val="none"/>
        </w:rPr>
      </w:pPr>
    </w:p>
    <w:p w14:paraId="6A1C7E7F">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hint="eastAsia" w:ascii="宋体" w:hAnsi="宋体" w:eastAsia="宋体"/>
          <w:color w:val="auto"/>
          <w:sz w:val="24"/>
          <w:szCs w:val="24"/>
          <w:highlight w:val="none"/>
          <w:lang w:val="en-US" w:eastAsia="zh-CN"/>
        </w:rPr>
        <w:t>盖</w:t>
      </w:r>
      <w:r>
        <w:rPr>
          <w:rFonts w:hint="eastAsia" w:ascii="宋体" w:hAnsi="宋体" w:eastAsia="宋体"/>
          <w:color w:val="auto"/>
          <w:sz w:val="24"/>
          <w:szCs w:val="24"/>
          <w:highlight w:val="none"/>
        </w:rPr>
        <w:t>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175BF59B">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期：</w:t>
      </w:r>
      <w:r>
        <w:rPr>
          <w:rFonts w:hint="eastAsia" w:ascii="宋体" w:hAnsi="宋体" w:eastAsia="宋体"/>
          <w:color w:val="auto"/>
          <w:sz w:val="24"/>
          <w:szCs w:val="24"/>
          <w:highlight w:val="none"/>
          <w:u w:val="single"/>
        </w:rPr>
        <w:t xml:space="preserve">             </w:t>
      </w:r>
    </w:p>
    <w:p w14:paraId="21FA960D">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0AC12345">
      <w:pPr>
        <w:spacing w:line="360" w:lineRule="auto"/>
        <w:jc w:val="center"/>
        <w:outlineLvl w:val="1"/>
        <w:rPr>
          <w:rFonts w:asciiTheme="minorEastAsia" w:hAnsiTheme="minorEastAsia" w:eastAsiaTheme="minorEastAsia"/>
          <w:b/>
          <w:color w:val="auto"/>
          <w:sz w:val="24"/>
          <w:highlight w:val="none"/>
        </w:rPr>
      </w:pPr>
      <w:bookmarkStart w:id="198" w:name="_Toc19132"/>
      <w:bookmarkStart w:id="199" w:name="_Toc3425"/>
      <w:r>
        <w:rPr>
          <w:rFonts w:hint="eastAsia" w:asciiTheme="minorEastAsia" w:hAnsiTheme="minorEastAsia" w:eastAsiaTheme="minorEastAsia"/>
          <w:b/>
          <w:color w:val="auto"/>
          <w:sz w:val="24"/>
          <w:highlight w:val="none"/>
        </w:rPr>
        <w:t>五、授权书</w:t>
      </w:r>
      <w:bookmarkEnd w:id="198"/>
      <w:bookmarkEnd w:id="199"/>
    </w:p>
    <w:p w14:paraId="09A76230">
      <w:pPr>
        <w:pStyle w:val="16"/>
        <w:snapToGrid w:val="0"/>
        <w:spacing w:line="360" w:lineRule="auto"/>
        <w:ind w:firstLine="480" w:firstLineChars="200"/>
        <w:jc w:val="left"/>
        <w:rPr>
          <w:rFonts w:hAnsi="宋体" w:eastAsia="宋体"/>
          <w:color w:val="auto"/>
          <w:sz w:val="24"/>
          <w:szCs w:val="28"/>
          <w:highlight w:val="none"/>
        </w:rPr>
      </w:pPr>
    </w:p>
    <w:p w14:paraId="241EFF18">
      <w:pPr>
        <w:pStyle w:val="16"/>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14:paraId="7CC846AB">
      <w:pPr>
        <w:pStyle w:val="16"/>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3A75B0BD">
      <w:pPr>
        <w:pStyle w:val="16"/>
        <w:snapToGrid w:val="0"/>
        <w:spacing w:line="360" w:lineRule="auto"/>
        <w:ind w:firstLine="480" w:firstLineChars="200"/>
        <w:jc w:val="left"/>
        <w:rPr>
          <w:rFonts w:hAnsi="宋体" w:eastAsia="宋体"/>
          <w:color w:val="auto"/>
          <w:sz w:val="24"/>
          <w:highlight w:val="none"/>
        </w:rPr>
      </w:pPr>
      <w:r>
        <w:rPr>
          <w:rFonts w:hint="eastAsia" w:hAnsi="宋体" w:eastAsia="宋体"/>
          <w:color w:val="auto"/>
          <w:sz w:val="24"/>
          <w:szCs w:val="28"/>
          <w:highlight w:val="none"/>
        </w:rPr>
        <w:t>授权代表</w:t>
      </w:r>
      <w:r>
        <w:rPr>
          <w:rFonts w:hint="eastAsia" w:hAnsi="宋体" w:eastAsia="宋体"/>
          <w:color w:val="auto"/>
          <w:sz w:val="24"/>
          <w:highlight w:val="none"/>
        </w:rPr>
        <w:t>身份证明扫描件：</w:t>
      </w:r>
    </w:p>
    <w:p w14:paraId="151691B4">
      <w:pPr>
        <w:pStyle w:val="16"/>
        <w:snapToGrid w:val="0"/>
        <w:spacing w:line="360" w:lineRule="auto"/>
        <w:ind w:firstLine="480" w:firstLineChars="200"/>
        <w:jc w:val="left"/>
        <w:rPr>
          <w:rFonts w:hAnsi="宋体" w:eastAsia="宋体"/>
          <w:color w:val="auto"/>
          <w:sz w:val="24"/>
          <w:highlight w:val="none"/>
        </w:rPr>
      </w:pPr>
    </w:p>
    <w:p w14:paraId="787F6D4B">
      <w:pPr>
        <w:pStyle w:val="16"/>
        <w:snapToGrid w:val="0"/>
        <w:spacing w:line="360" w:lineRule="auto"/>
        <w:ind w:firstLine="480" w:firstLineChars="200"/>
        <w:jc w:val="left"/>
        <w:rPr>
          <w:rFonts w:hAnsi="宋体" w:eastAsia="宋体"/>
          <w:color w:val="auto"/>
          <w:sz w:val="24"/>
          <w:highlight w:val="none"/>
        </w:rPr>
      </w:pPr>
    </w:p>
    <w:p w14:paraId="29B7878B">
      <w:pPr>
        <w:pStyle w:val="16"/>
        <w:snapToGrid w:val="0"/>
        <w:spacing w:line="360" w:lineRule="auto"/>
        <w:ind w:firstLine="480" w:firstLineChars="200"/>
        <w:jc w:val="left"/>
        <w:rPr>
          <w:rFonts w:hAnsi="宋体" w:eastAsia="宋体"/>
          <w:color w:val="auto"/>
          <w:sz w:val="24"/>
          <w:highlight w:val="none"/>
        </w:rPr>
      </w:pPr>
    </w:p>
    <w:p w14:paraId="0F2BD9BC">
      <w:pPr>
        <w:pStyle w:val="16"/>
        <w:snapToGrid w:val="0"/>
        <w:spacing w:line="360" w:lineRule="auto"/>
        <w:ind w:firstLine="480" w:firstLineChars="200"/>
        <w:jc w:val="left"/>
        <w:rPr>
          <w:rFonts w:hAnsi="宋体" w:eastAsia="宋体"/>
          <w:color w:val="auto"/>
          <w:sz w:val="24"/>
          <w:highlight w:val="none"/>
        </w:rPr>
      </w:pPr>
    </w:p>
    <w:p w14:paraId="19F76809">
      <w:pPr>
        <w:pStyle w:val="16"/>
        <w:snapToGrid w:val="0"/>
        <w:spacing w:line="360" w:lineRule="auto"/>
        <w:ind w:firstLine="480" w:firstLineChars="200"/>
        <w:jc w:val="left"/>
        <w:rPr>
          <w:rFonts w:hAnsi="宋体" w:eastAsia="宋体"/>
          <w:color w:val="auto"/>
          <w:sz w:val="24"/>
          <w:szCs w:val="28"/>
          <w:highlight w:val="none"/>
          <w:u w:val="singl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1DDF3AF1">
      <w:pPr>
        <w:pStyle w:val="16"/>
        <w:snapToGrid w:val="0"/>
        <w:spacing w:line="360" w:lineRule="auto"/>
        <w:ind w:firstLine="480" w:firstLineChars="200"/>
        <w:jc w:val="left"/>
        <w:rPr>
          <w:rFonts w:hAnsi="宋体" w:eastAsia="宋体"/>
          <w:color w:val="auto"/>
          <w:sz w:val="24"/>
          <w:szCs w:val="28"/>
          <w:highlight w:val="none"/>
        </w:rPr>
      </w:pPr>
    </w:p>
    <w:p w14:paraId="426863FF">
      <w:pPr>
        <w:spacing w:line="360" w:lineRule="auto"/>
        <w:ind w:firstLine="360" w:firstLineChars="150"/>
        <w:rPr>
          <w:rFonts w:ascii="宋体" w:hAnsi="宋体" w:eastAsia="宋体"/>
          <w:color w:val="auto"/>
          <w:sz w:val="24"/>
          <w:szCs w:val="28"/>
          <w:highlight w:val="none"/>
        </w:rPr>
      </w:pPr>
      <w:r>
        <w:rPr>
          <w:rFonts w:hint="eastAsia" w:ascii="宋体" w:hAnsi="宋体" w:eastAsia="宋体"/>
          <w:color w:val="auto"/>
          <w:sz w:val="24"/>
          <w:szCs w:val="28"/>
          <w:highlight w:val="none"/>
        </w:rPr>
        <w:t>特此声明。</w:t>
      </w:r>
    </w:p>
    <w:p w14:paraId="671F50C8">
      <w:pPr>
        <w:spacing w:line="360" w:lineRule="auto"/>
        <w:rPr>
          <w:rFonts w:ascii="宋体" w:hAnsi="宋体" w:eastAsia="宋体"/>
          <w:color w:val="auto"/>
          <w:sz w:val="24"/>
          <w:szCs w:val="28"/>
          <w:highlight w:val="none"/>
        </w:rPr>
      </w:pPr>
    </w:p>
    <w:p w14:paraId="01B83282">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hint="eastAsia" w:ascii="宋体" w:hAnsi="宋体" w:eastAsia="宋体"/>
          <w:color w:val="auto"/>
          <w:sz w:val="24"/>
          <w:szCs w:val="24"/>
          <w:highlight w:val="none"/>
          <w:lang w:val="en-US" w:eastAsia="zh-CN"/>
        </w:rPr>
        <w:t>盖</w:t>
      </w:r>
      <w:r>
        <w:rPr>
          <w:rFonts w:hint="eastAsia" w:ascii="宋体" w:hAnsi="宋体" w:eastAsia="宋体"/>
          <w:color w:val="auto"/>
          <w:sz w:val="24"/>
          <w:szCs w:val="24"/>
          <w:highlight w:val="none"/>
        </w:rPr>
        <w:t>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3974A2F6">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期：</w:t>
      </w:r>
      <w:r>
        <w:rPr>
          <w:rFonts w:hint="eastAsia" w:ascii="宋体" w:hAnsi="宋体" w:eastAsia="宋体"/>
          <w:color w:val="auto"/>
          <w:sz w:val="24"/>
          <w:szCs w:val="24"/>
          <w:highlight w:val="none"/>
          <w:u w:val="single"/>
        </w:rPr>
        <w:t xml:space="preserve">             </w:t>
      </w:r>
    </w:p>
    <w:p w14:paraId="754993CD">
      <w:pPr>
        <w:spacing w:line="360" w:lineRule="auto"/>
        <w:rPr>
          <w:rFonts w:ascii="宋体" w:hAnsi="宋体" w:eastAsia="宋体"/>
          <w:color w:val="auto"/>
          <w:sz w:val="24"/>
          <w:szCs w:val="28"/>
          <w:highlight w:val="none"/>
        </w:rPr>
      </w:pPr>
    </w:p>
    <w:p w14:paraId="175C5251">
      <w:pPr>
        <w:spacing w:line="360" w:lineRule="auto"/>
        <w:rPr>
          <w:rFonts w:ascii="宋体" w:hAnsi="宋体" w:eastAsia="宋体"/>
          <w:color w:val="auto"/>
          <w:sz w:val="24"/>
          <w:szCs w:val="28"/>
          <w:highlight w:val="none"/>
        </w:rPr>
      </w:pPr>
    </w:p>
    <w:p w14:paraId="512BE3E5">
      <w:pPr>
        <w:pStyle w:val="16"/>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注：</w:t>
      </w:r>
    </w:p>
    <w:p w14:paraId="4DB68A1A">
      <w:pPr>
        <w:pStyle w:val="16"/>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1.本项目只允许有唯一的供应商授权代表，提供身份证明扫描件；</w:t>
      </w:r>
    </w:p>
    <w:p w14:paraId="259AA442">
      <w:pPr>
        <w:pStyle w:val="16"/>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2.法定代表人参加谈判的无需提供授权书，仅提供身份证明扫描件。</w:t>
      </w:r>
    </w:p>
    <w:p w14:paraId="76AEECCB">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03B0F102">
      <w:pPr>
        <w:spacing w:line="360" w:lineRule="auto"/>
        <w:jc w:val="center"/>
        <w:outlineLvl w:val="1"/>
        <w:rPr>
          <w:rFonts w:asciiTheme="minorEastAsia" w:hAnsiTheme="minorEastAsia" w:eastAsiaTheme="minorEastAsia"/>
          <w:b/>
          <w:color w:val="auto"/>
          <w:sz w:val="24"/>
          <w:highlight w:val="none"/>
        </w:rPr>
      </w:pPr>
      <w:bookmarkStart w:id="200" w:name="_Toc31060"/>
      <w:bookmarkStart w:id="201" w:name="_Toc1834"/>
      <w:r>
        <w:rPr>
          <w:rFonts w:hint="eastAsia" w:asciiTheme="minorEastAsia" w:hAnsiTheme="minorEastAsia" w:eastAsiaTheme="minorEastAsia"/>
          <w:b/>
          <w:color w:val="auto"/>
          <w:sz w:val="24"/>
          <w:highlight w:val="none"/>
        </w:rPr>
        <w:t>六、</w:t>
      </w:r>
      <w:bookmarkEnd w:id="200"/>
      <w:bookmarkEnd w:id="201"/>
      <w:r>
        <w:rPr>
          <w:rFonts w:hint="eastAsia" w:asciiTheme="minorEastAsia" w:hAnsiTheme="minorEastAsia" w:eastAsiaTheme="minorEastAsia"/>
          <w:b/>
          <w:color w:val="auto"/>
          <w:sz w:val="24"/>
          <w:highlight w:val="none"/>
        </w:rPr>
        <w:t>谈判响应表</w:t>
      </w:r>
    </w:p>
    <w:p w14:paraId="3475D2D7">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商务响应表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916"/>
        <w:gridCol w:w="2499"/>
        <w:gridCol w:w="2575"/>
        <w:gridCol w:w="810"/>
      </w:tblGrid>
      <w:tr w14:paraId="3BC7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6BA46A71">
            <w:pPr>
              <w:pStyle w:val="16"/>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0D531AC0">
            <w:pPr>
              <w:pStyle w:val="16"/>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4C140257">
            <w:pPr>
              <w:pStyle w:val="16"/>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谈判文件要求</w:t>
            </w:r>
          </w:p>
        </w:tc>
        <w:tc>
          <w:tcPr>
            <w:tcW w:w="1510" w:type="pct"/>
            <w:vAlign w:val="center"/>
          </w:tcPr>
          <w:p w14:paraId="6BDC0584">
            <w:pPr>
              <w:pStyle w:val="16"/>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供应商承诺</w:t>
            </w:r>
          </w:p>
        </w:tc>
        <w:tc>
          <w:tcPr>
            <w:tcW w:w="475" w:type="pct"/>
            <w:vAlign w:val="center"/>
          </w:tcPr>
          <w:p w14:paraId="5FF31551">
            <w:pPr>
              <w:pStyle w:val="16"/>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2715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77182DB">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7A1CA2D1">
            <w:pPr>
              <w:jc w:val="center"/>
              <w:rPr>
                <w:rFonts w:ascii="宋体" w:hAnsi="宋体" w:eastAsia="宋体"/>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3C7A914C">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成片验收合格后一次性付清合同款，采购人通知成交供应商开具发票，采购人按流程进行支付</w:t>
            </w:r>
          </w:p>
        </w:tc>
        <w:tc>
          <w:tcPr>
            <w:tcW w:w="1510" w:type="pct"/>
            <w:vAlign w:val="center"/>
          </w:tcPr>
          <w:p w14:paraId="290B9C9D">
            <w:pPr>
              <w:jc w:val="center"/>
              <w:rPr>
                <w:rFonts w:asciiTheme="minorEastAsia" w:hAnsiTheme="minorEastAsia" w:eastAsiaTheme="minorEastAsia"/>
                <w:color w:val="auto"/>
                <w:sz w:val="24"/>
                <w:highlight w:val="none"/>
              </w:rPr>
            </w:pPr>
          </w:p>
        </w:tc>
        <w:tc>
          <w:tcPr>
            <w:tcW w:w="475" w:type="pct"/>
            <w:vAlign w:val="center"/>
          </w:tcPr>
          <w:p w14:paraId="4CFCF634">
            <w:pPr>
              <w:jc w:val="center"/>
              <w:rPr>
                <w:rFonts w:asciiTheme="minorEastAsia" w:hAnsiTheme="minorEastAsia" w:eastAsiaTheme="minorEastAsia"/>
                <w:color w:val="auto"/>
                <w:sz w:val="24"/>
                <w:highlight w:val="none"/>
              </w:rPr>
            </w:pPr>
          </w:p>
        </w:tc>
      </w:tr>
      <w:tr w14:paraId="52E1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5C50B4C">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75623C84">
            <w:pPr>
              <w:jc w:val="center"/>
              <w:rPr>
                <w:rFonts w:ascii="宋体" w:hAnsi="宋体" w:eastAsia="宋体"/>
                <w:color w:val="auto"/>
                <w:sz w:val="24"/>
                <w:highlight w:val="none"/>
              </w:rPr>
            </w:pPr>
            <w:r>
              <w:rPr>
                <w:rFonts w:hint="eastAsia" w:ascii="宋体" w:hAnsi="宋体" w:eastAsia="宋体"/>
                <w:color w:val="auto"/>
                <w:sz w:val="24"/>
                <w:highlight w:val="none"/>
              </w:rPr>
              <w:t>服务地点</w:t>
            </w:r>
          </w:p>
        </w:tc>
        <w:tc>
          <w:tcPr>
            <w:tcW w:w="1465" w:type="pct"/>
            <w:vAlign w:val="center"/>
          </w:tcPr>
          <w:p w14:paraId="2DDB27FE">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采购人指定地点</w:t>
            </w:r>
          </w:p>
        </w:tc>
        <w:tc>
          <w:tcPr>
            <w:tcW w:w="1510" w:type="pct"/>
            <w:vAlign w:val="center"/>
          </w:tcPr>
          <w:p w14:paraId="7B0D4FAA">
            <w:pPr>
              <w:jc w:val="center"/>
              <w:rPr>
                <w:rFonts w:asciiTheme="minorEastAsia" w:hAnsiTheme="minorEastAsia" w:eastAsiaTheme="minorEastAsia"/>
                <w:color w:val="auto"/>
                <w:sz w:val="24"/>
                <w:highlight w:val="none"/>
              </w:rPr>
            </w:pPr>
          </w:p>
        </w:tc>
        <w:tc>
          <w:tcPr>
            <w:tcW w:w="475" w:type="pct"/>
            <w:vAlign w:val="center"/>
          </w:tcPr>
          <w:p w14:paraId="16F2E688">
            <w:pPr>
              <w:jc w:val="center"/>
              <w:rPr>
                <w:rFonts w:asciiTheme="minorEastAsia" w:hAnsiTheme="minorEastAsia" w:eastAsiaTheme="minorEastAsia"/>
                <w:color w:val="auto"/>
                <w:sz w:val="24"/>
                <w:highlight w:val="none"/>
              </w:rPr>
            </w:pPr>
          </w:p>
        </w:tc>
      </w:tr>
      <w:tr w14:paraId="1AB6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A79ADB6">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452F385C">
            <w:pPr>
              <w:jc w:val="center"/>
              <w:rPr>
                <w:rFonts w:ascii="宋体" w:hAnsi="宋体" w:eastAsia="宋体"/>
                <w:color w:val="auto"/>
                <w:sz w:val="24"/>
                <w:highlight w:val="none"/>
              </w:rPr>
            </w:pPr>
            <w:r>
              <w:rPr>
                <w:rFonts w:hint="eastAsia" w:ascii="宋体" w:hAnsi="宋体" w:eastAsia="宋体"/>
                <w:color w:val="auto"/>
                <w:sz w:val="24"/>
                <w:highlight w:val="none"/>
              </w:rPr>
              <w:t>服务期限</w:t>
            </w:r>
          </w:p>
        </w:tc>
        <w:tc>
          <w:tcPr>
            <w:tcW w:w="1465" w:type="pct"/>
            <w:vAlign w:val="center"/>
          </w:tcPr>
          <w:p w14:paraId="0BF35E93">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脚本初稿：2025年9月12日前；</w:t>
            </w:r>
          </w:p>
          <w:p w14:paraId="2B7876D1">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成片交付：2025年9月15日前；</w:t>
            </w:r>
          </w:p>
          <w:p w14:paraId="70C0EDA9">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修改周期：成片交付后3日内完成不超过2轮修改。</w:t>
            </w:r>
          </w:p>
        </w:tc>
        <w:tc>
          <w:tcPr>
            <w:tcW w:w="1510" w:type="pct"/>
            <w:vAlign w:val="center"/>
          </w:tcPr>
          <w:p w14:paraId="6DE564AF">
            <w:pPr>
              <w:pStyle w:val="55"/>
              <w:jc w:val="center"/>
              <w:rPr>
                <w:rFonts w:asciiTheme="minorEastAsia" w:hAnsiTheme="minorEastAsia" w:eastAsiaTheme="minorEastAsia"/>
                <w:color w:val="auto"/>
                <w:highlight w:val="none"/>
              </w:rPr>
            </w:pPr>
          </w:p>
        </w:tc>
        <w:tc>
          <w:tcPr>
            <w:tcW w:w="475" w:type="pct"/>
            <w:vAlign w:val="center"/>
          </w:tcPr>
          <w:p w14:paraId="78891B33">
            <w:pPr>
              <w:jc w:val="center"/>
              <w:rPr>
                <w:rFonts w:asciiTheme="minorEastAsia" w:hAnsiTheme="minorEastAsia" w:eastAsiaTheme="minorEastAsia"/>
                <w:color w:val="auto"/>
                <w:sz w:val="24"/>
                <w:highlight w:val="none"/>
              </w:rPr>
            </w:pPr>
          </w:p>
        </w:tc>
      </w:tr>
      <w:tr w14:paraId="30BE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1F711C0">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124" w:type="pct"/>
            <w:vAlign w:val="center"/>
          </w:tcPr>
          <w:p w14:paraId="3800ED0F">
            <w:pPr>
              <w:jc w:val="center"/>
              <w:rPr>
                <w:rFonts w:ascii="宋体" w:hAnsi="宋体" w:eastAsia="宋体"/>
                <w:color w:val="auto"/>
                <w:sz w:val="24"/>
                <w:highlight w:val="none"/>
              </w:rPr>
            </w:pPr>
          </w:p>
        </w:tc>
        <w:tc>
          <w:tcPr>
            <w:tcW w:w="1465" w:type="pct"/>
            <w:vAlign w:val="center"/>
          </w:tcPr>
          <w:p w14:paraId="18263580">
            <w:pPr>
              <w:jc w:val="center"/>
              <w:rPr>
                <w:rFonts w:asciiTheme="minorEastAsia" w:hAnsiTheme="minorEastAsia" w:eastAsiaTheme="minorEastAsia"/>
                <w:color w:val="auto"/>
                <w:sz w:val="24"/>
                <w:highlight w:val="none"/>
              </w:rPr>
            </w:pPr>
          </w:p>
        </w:tc>
        <w:tc>
          <w:tcPr>
            <w:tcW w:w="1510" w:type="pct"/>
            <w:vAlign w:val="center"/>
          </w:tcPr>
          <w:p w14:paraId="74FD6E96">
            <w:pPr>
              <w:jc w:val="center"/>
              <w:rPr>
                <w:rFonts w:asciiTheme="minorEastAsia" w:hAnsiTheme="minorEastAsia" w:eastAsiaTheme="minorEastAsia"/>
                <w:color w:val="auto"/>
                <w:sz w:val="24"/>
                <w:highlight w:val="none"/>
              </w:rPr>
            </w:pPr>
          </w:p>
        </w:tc>
        <w:tc>
          <w:tcPr>
            <w:tcW w:w="475" w:type="pct"/>
            <w:vAlign w:val="center"/>
          </w:tcPr>
          <w:p w14:paraId="00CEB30A">
            <w:pPr>
              <w:jc w:val="center"/>
              <w:rPr>
                <w:rFonts w:asciiTheme="minorEastAsia" w:hAnsiTheme="minorEastAsia" w:eastAsiaTheme="minorEastAsia"/>
                <w:color w:val="auto"/>
                <w:sz w:val="24"/>
                <w:highlight w:val="none"/>
              </w:rPr>
            </w:pPr>
          </w:p>
        </w:tc>
      </w:tr>
    </w:tbl>
    <w:p w14:paraId="56EDD194">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hint="eastAsia" w:ascii="宋体" w:hAnsi="宋体" w:eastAsia="宋体"/>
          <w:color w:val="auto"/>
          <w:sz w:val="24"/>
          <w:szCs w:val="24"/>
          <w:highlight w:val="none"/>
          <w:lang w:val="en-US" w:eastAsia="zh-CN"/>
        </w:rPr>
        <w:t>盖</w:t>
      </w:r>
      <w:r>
        <w:rPr>
          <w:rFonts w:hint="eastAsia" w:ascii="宋体" w:hAnsi="宋体" w:eastAsia="宋体"/>
          <w:color w:val="auto"/>
          <w:sz w:val="24"/>
          <w:szCs w:val="24"/>
          <w:highlight w:val="none"/>
        </w:rPr>
        <w:t>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6A9CD925">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期：</w:t>
      </w:r>
      <w:r>
        <w:rPr>
          <w:rFonts w:hint="eastAsia" w:ascii="宋体" w:hAnsi="宋体" w:eastAsia="宋体"/>
          <w:color w:val="auto"/>
          <w:sz w:val="24"/>
          <w:szCs w:val="24"/>
          <w:highlight w:val="none"/>
          <w:u w:val="single"/>
        </w:rPr>
        <w:t xml:space="preserve">             </w:t>
      </w:r>
    </w:p>
    <w:p w14:paraId="247F65C9">
      <w:pPr>
        <w:tabs>
          <w:tab w:val="left" w:pos="630"/>
        </w:tabs>
        <w:spacing w:line="360" w:lineRule="auto"/>
        <w:ind w:firstLine="4800" w:firstLineChars="2000"/>
        <w:rPr>
          <w:rFonts w:asciiTheme="minorEastAsia" w:hAnsiTheme="minorEastAsia" w:eastAsiaTheme="minorEastAsia"/>
          <w:color w:val="auto"/>
          <w:sz w:val="24"/>
          <w:highlight w:val="none"/>
        </w:rPr>
      </w:pPr>
    </w:p>
    <w:p w14:paraId="36D37E5A">
      <w:pPr>
        <w:pStyle w:val="17"/>
        <w:spacing w:line="360" w:lineRule="auto"/>
        <w:rPr>
          <w:rFonts w:asciiTheme="minorEastAsia" w:hAnsiTheme="minorEastAsia" w:eastAsiaTheme="minorEastAsia"/>
          <w:b w:val="0"/>
          <w:color w:val="auto"/>
          <w:sz w:val="24"/>
          <w:highlight w:val="none"/>
        </w:rPr>
      </w:pPr>
      <w:r>
        <w:rPr>
          <w:rFonts w:asciiTheme="minorEastAsia" w:hAnsiTheme="minorEastAsia" w:eastAsiaTheme="minorEastAsia"/>
          <w:b w:val="0"/>
          <w:color w:val="auto"/>
          <w:sz w:val="24"/>
          <w:highlight w:val="none"/>
        </w:rPr>
        <w:br w:type="page"/>
      </w:r>
    </w:p>
    <w:p w14:paraId="54E8206E">
      <w:pPr>
        <w:spacing w:line="360" w:lineRule="auto"/>
        <w:jc w:val="center"/>
        <w:outlineLvl w:val="1"/>
        <w:rPr>
          <w:rFonts w:asciiTheme="minorEastAsia" w:hAnsiTheme="minorEastAsia" w:eastAsiaTheme="minorEastAsia"/>
          <w:b/>
          <w:color w:val="auto"/>
          <w:sz w:val="24"/>
          <w:highlight w:val="none"/>
        </w:rPr>
      </w:pPr>
      <w:bookmarkStart w:id="202" w:name="_Toc19745"/>
      <w:bookmarkStart w:id="203" w:name="_Toc25481"/>
      <w:r>
        <w:rPr>
          <w:rFonts w:hint="eastAsia" w:asciiTheme="minorEastAsia" w:hAnsiTheme="minorEastAsia" w:eastAsiaTheme="minorEastAsia"/>
          <w:b/>
          <w:color w:val="auto"/>
          <w:sz w:val="24"/>
          <w:highlight w:val="none"/>
        </w:rPr>
        <w:t>七、诚信履约承诺函</w:t>
      </w:r>
      <w:bookmarkEnd w:id="202"/>
      <w:bookmarkEnd w:id="203"/>
    </w:p>
    <w:p w14:paraId="1660DA49">
      <w:pPr>
        <w:spacing w:line="360" w:lineRule="auto"/>
        <w:rPr>
          <w:rFonts w:asciiTheme="minorEastAsia" w:hAnsiTheme="minorEastAsia" w:eastAsiaTheme="minorEastAsia"/>
          <w:b/>
          <w:bCs/>
          <w:color w:val="auto"/>
          <w:sz w:val="24"/>
          <w:highlight w:val="none"/>
        </w:rPr>
      </w:pPr>
    </w:p>
    <w:p w14:paraId="4654FD62">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b/>
          <w:bCs/>
          <w:color w:val="auto"/>
          <w:sz w:val="24"/>
          <w:highlight w:val="none"/>
        </w:rPr>
        <w:t>采购人</w:t>
      </w:r>
    </w:p>
    <w:p w14:paraId="2444BF39">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3D6FB775">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44AFAD10">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25B735D9">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55FB744D">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045BAF71">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7E405D23">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5D78595">
      <w:pPr>
        <w:spacing w:line="360" w:lineRule="auto"/>
        <w:rPr>
          <w:rFonts w:asciiTheme="minorEastAsia" w:hAnsiTheme="minorEastAsia" w:eastAsiaTheme="minorEastAsia"/>
          <w:bCs/>
          <w:color w:val="auto"/>
          <w:sz w:val="24"/>
          <w:highlight w:val="none"/>
        </w:rPr>
      </w:pPr>
    </w:p>
    <w:p w14:paraId="763DBF6D">
      <w:pPr>
        <w:spacing w:line="360" w:lineRule="auto"/>
        <w:rPr>
          <w:rFonts w:asciiTheme="minorEastAsia" w:hAnsiTheme="minorEastAsia" w:eastAsiaTheme="minorEastAsia"/>
          <w:bCs/>
          <w:color w:val="auto"/>
          <w:sz w:val="24"/>
          <w:highlight w:val="none"/>
        </w:rPr>
      </w:pPr>
    </w:p>
    <w:p w14:paraId="62D2CC4E">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hint="eastAsia" w:ascii="宋体" w:hAnsi="宋体" w:eastAsia="宋体"/>
          <w:color w:val="auto"/>
          <w:sz w:val="24"/>
          <w:szCs w:val="24"/>
          <w:highlight w:val="none"/>
          <w:lang w:val="en-US" w:eastAsia="zh-CN"/>
        </w:rPr>
        <w:t>盖</w:t>
      </w:r>
      <w:r>
        <w:rPr>
          <w:rFonts w:hint="eastAsia" w:ascii="宋体" w:hAnsi="宋体" w:eastAsia="宋体"/>
          <w:color w:val="auto"/>
          <w:sz w:val="24"/>
          <w:szCs w:val="24"/>
          <w:highlight w:val="none"/>
        </w:rPr>
        <w:t>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263EA76D">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期：</w:t>
      </w:r>
      <w:r>
        <w:rPr>
          <w:rFonts w:hint="eastAsia" w:ascii="宋体" w:hAnsi="宋体" w:eastAsia="宋体"/>
          <w:color w:val="auto"/>
          <w:sz w:val="24"/>
          <w:szCs w:val="24"/>
          <w:highlight w:val="none"/>
          <w:u w:val="single"/>
        </w:rPr>
        <w:t xml:space="preserve">             </w:t>
      </w:r>
    </w:p>
    <w:p w14:paraId="09FC97E8">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1C9BDB55">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八、诚信响应承诺书</w:t>
      </w:r>
    </w:p>
    <w:p w14:paraId="3BAA545E">
      <w:pPr>
        <w:spacing w:line="4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本人以企业法定代表人的身份郑重承诺：</w:t>
      </w:r>
    </w:p>
    <w:p w14:paraId="0D056364">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一、将遵循公开、公正和诚实信用的原则自愿参加</w:t>
      </w:r>
      <w:r>
        <w:rPr>
          <w:rFonts w:hint="eastAsia" w:ascii="宋体" w:hAnsi="宋体" w:eastAsia="宋体" w:cs="宋体"/>
          <w:color w:val="auto"/>
          <w:sz w:val="24"/>
          <w:szCs w:val="24"/>
          <w:highlight w:val="none"/>
          <w:u w:val="single"/>
        </w:rPr>
        <w:t xml:space="preserve">       （项目名称）         项目</w:t>
      </w:r>
      <w:r>
        <w:rPr>
          <w:rFonts w:hint="eastAsia" w:ascii="宋体" w:hAnsi="宋体" w:eastAsia="宋体" w:cs="宋体"/>
          <w:color w:val="auto"/>
          <w:sz w:val="24"/>
          <w:szCs w:val="24"/>
          <w:highlight w:val="none"/>
        </w:rPr>
        <w:t>的谈判，所提供的一切材料都是真实、有效、合法的；</w:t>
      </w:r>
    </w:p>
    <w:p w14:paraId="72600530">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3B50A3A5">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三、不出借、转让资质证书，不让他人挂靠，不以他人名义或者以其他方式弄虚作假，骗取成交；</w:t>
      </w:r>
    </w:p>
    <w:p w14:paraId="31DCA7BF">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四、不与其他供应商相互串通响应报价，不排挤其他供应商的公平竞争、损害采购人的合法权益；</w:t>
      </w:r>
    </w:p>
    <w:p w14:paraId="45F55695">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五、不与采购人、采购代理机构或其他供应商串通响应，损害国家利益、社会公共利益或者他人的合法权益；</w:t>
      </w:r>
    </w:p>
    <w:p w14:paraId="7B8700D4">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六、我公司没有下列情形 1、被人民法院列入失信被执行人的；2、我公司及其法定代表人、拟派项目负责人前三年有行贿犯罪行为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w:t>
      </w:r>
    </w:p>
    <w:p w14:paraId="0B042A2C">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七、我公司没有下列情形：被滁州市县两级公管部门记入不良行为记录且在披露期内。</w:t>
      </w:r>
    </w:p>
    <w:p w14:paraId="102A8710">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八、严格遵守谈判现场纪律，服从监管人员管理；</w:t>
      </w:r>
    </w:p>
    <w:p w14:paraId="76EF94EE">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九、保证成交后不转包，若有分包征得采购人同意；</w:t>
      </w:r>
    </w:p>
    <w:p w14:paraId="17E4B0A3">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十、保证成交之后，按照响应文件要求提供相关后续服务；</w:t>
      </w:r>
    </w:p>
    <w:p w14:paraId="1815C2EF">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十一、保证企业及所属相关人员在本次响应中无行贿等犯罪行为；</w:t>
      </w:r>
    </w:p>
    <w:p w14:paraId="51894126">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二、如在谈判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57649219">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以上内容我已仔细阅读，本公司若有违反承诺内容的行为，自愿接受取消响应或者中标（成交）资格、记入不良行为记录等有关处理，愿意承担法律责任，给采购人造成损失的，依法承担赔偿责任。</w:t>
      </w:r>
    </w:p>
    <w:p w14:paraId="0821CFB0">
      <w:pPr>
        <w:spacing w:line="560" w:lineRule="exact"/>
        <w:ind w:firstLine="480" w:firstLineChars="200"/>
        <w:jc w:val="left"/>
        <w:rPr>
          <w:rFonts w:ascii="宋体" w:hAnsi="宋体" w:eastAsia="宋体" w:cs="宋体"/>
          <w:color w:val="auto"/>
          <w:sz w:val="24"/>
          <w:szCs w:val="24"/>
          <w:highlight w:val="none"/>
        </w:rPr>
      </w:pPr>
    </w:p>
    <w:p w14:paraId="2EA8ABCE">
      <w:pPr>
        <w:spacing w:line="520" w:lineRule="exact"/>
        <w:jc w:val="left"/>
        <w:rPr>
          <w:rFonts w:ascii="宋体" w:hAnsi="宋体" w:eastAsia="宋体" w:cs="宋体"/>
          <w:color w:val="auto"/>
          <w:sz w:val="24"/>
          <w:szCs w:val="24"/>
          <w:highlight w:val="none"/>
        </w:rPr>
      </w:pPr>
    </w:p>
    <w:p w14:paraId="7242FE91">
      <w:pPr>
        <w:spacing w:line="6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基本账户：</w:t>
      </w:r>
    </w:p>
    <w:p w14:paraId="6F9416C9">
      <w:pPr>
        <w:spacing w:line="6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供应商（签章）：             法定代表人（签章）：</w:t>
      </w:r>
    </w:p>
    <w:p w14:paraId="2E4BBB8D">
      <w:pPr>
        <w:spacing w:line="600" w:lineRule="exact"/>
        <w:ind w:firstLine="4095" w:firstLineChars="1950"/>
        <w:rPr>
          <w:rFonts w:ascii="宋体" w:hAnsi="宋体"/>
          <w:color w:val="auto"/>
          <w:szCs w:val="21"/>
          <w:highlight w:val="none"/>
        </w:rPr>
      </w:pPr>
    </w:p>
    <w:p w14:paraId="71A3184E">
      <w:pPr>
        <w:spacing w:line="600" w:lineRule="exact"/>
        <w:ind w:firstLine="4680" w:firstLineChars="19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日期：年 月 日</w:t>
      </w:r>
    </w:p>
    <w:p w14:paraId="519400F4">
      <w:pPr>
        <w:spacing w:line="360" w:lineRule="auto"/>
        <w:jc w:val="center"/>
        <w:outlineLvl w:val="1"/>
        <w:rPr>
          <w:rFonts w:asciiTheme="minorEastAsia" w:hAnsiTheme="minorEastAsia" w:eastAsiaTheme="minorEastAsia"/>
          <w:b/>
          <w:color w:val="auto"/>
          <w:sz w:val="24"/>
          <w:highlight w:val="none"/>
        </w:rPr>
      </w:pPr>
    </w:p>
    <w:p w14:paraId="7FBDEC2E">
      <w:pPr>
        <w:spacing w:line="360" w:lineRule="auto"/>
        <w:jc w:val="center"/>
        <w:outlineLvl w:val="1"/>
        <w:rPr>
          <w:rFonts w:asciiTheme="minorEastAsia" w:hAnsiTheme="minorEastAsia" w:eastAsiaTheme="minorEastAsia"/>
          <w:b/>
          <w:color w:val="auto"/>
          <w:sz w:val="24"/>
          <w:highlight w:val="none"/>
        </w:rPr>
      </w:pPr>
    </w:p>
    <w:p w14:paraId="231EE788">
      <w:pPr>
        <w:pStyle w:val="3"/>
        <w:spacing w:before="98" w:line="219" w:lineRule="auto"/>
        <w:jc w:val="center"/>
        <w:rPr>
          <w:rFonts w:asciiTheme="minorEastAsia" w:hAnsiTheme="minorEastAsia" w:eastAsiaTheme="minorEastAsia"/>
          <w:b/>
          <w:color w:val="auto"/>
          <w:sz w:val="24"/>
          <w:highlight w:val="none"/>
          <w:lang w:val="en-US"/>
        </w:rPr>
      </w:pPr>
    </w:p>
    <w:p w14:paraId="1B248A2B">
      <w:pPr>
        <w:pStyle w:val="3"/>
        <w:spacing w:before="98" w:line="219" w:lineRule="auto"/>
        <w:jc w:val="center"/>
        <w:rPr>
          <w:rFonts w:asciiTheme="minorEastAsia" w:hAnsiTheme="minorEastAsia" w:eastAsiaTheme="minorEastAsia"/>
          <w:b/>
          <w:color w:val="auto"/>
          <w:sz w:val="24"/>
          <w:highlight w:val="none"/>
          <w:lang w:val="en-US"/>
        </w:rPr>
      </w:pPr>
    </w:p>
    <w:p w14:paraId="7484ECAF">
      <w:pPr>
        <w:pStyle w:val="3"/>
        <w:spacing w:before="98" w:line="219" w:lineRule="auto"/>
        <w:jc w:val="center"/>
        <w:rPr>
          <w:rFonts w:asciiTheme="minorEastAsia" w:hAnsiTheme="minorEastAsia" w:eastAsiaTheme="minorEastAsia"/>
          <w:b/>
          <w:color w:val="auto"/>
          <w:sz w:val="24"/>
          <w:highlight w:val="none"/>
          <w:lang w:val="en-US"/>
        </w:rPr>
      </w:pPr>
    </w:p>
    <w:p w14:paraId="0E07A237">
      <w:pPr>
        <w:pStyle w:val="3"/>
        <w:spacing w:before="98" w:line="219" w:lineRule="auto"/>
        <w:jc w:val="center"/>
        <w:rPr>
          <w:rFonts w:asciiTheme="minorEastAsia" w:hAnsiTheme="minorEastAsia" w:eastAsiaTheme="minorEastAsia"/>
          <w:b/>
          <w:color w:val="auto"/>
          <w:sz w:val="24"/>
          <w:highlight w:val="none"/>
          <w:lang w:val="en-US"/>
        </w:rPr>
      </w:pPr>
    </w:p>
    <w:p w14:paraId="3BF92F34">
      <w:pPr>
        <w:pStyle w:val="3"/>
        <w:spacing w:before="98" w:line="219" w:lineRule="auto"/>
        <w:jc w:val="center"/>
        <w:rPr>
          <w:rFonts w:asciiTheme="minorEastAsia" w:hAnsiTheme="minorEastAsia" w:eastAsiaTheme="minorEastAsia"/>
          <w:b/>
          <w:color w:val="auto"/>
          <w:sz w:val="24"/>
          <w:highlight w:val="none"/>
          <w:lang w:val="en-US"/>
        </w:rPr>
      </w:pPr>
    </w:p>
    <w:p w14:paraId="3E15DD35">
      <w:pPr>
        <w:pStyle w:val="3"/>
        <w:spacing w:before="98" w:line="219" w:lineRule="auto"/>
        <w:jc w:val="center"/>
        <w:rPr>
          <w:rFonts w:asciiTheme="minorEastAsia" w:hAnsiTheme="minorEastAsia" w:eastAsiaTheme="minorEastAsia"/>
          <w:b/>
          <w:color w:val="auto"/>
          <w:sz w:val="24"/>
          <w:highlight w:val="none"/>
          <w:lang w:val="en-US"/>
        </w:rPr>
      </w:pPr>
    </w:p>
    <w:p w14:paraId="3DF45964">
      <w:pPr>
        <w:pStyle w:val="3"/>
        <w:spacing w:before="98" w:line="219" w:lineRule="auto"/>
        <w:jc w:val="center"/>
        <w:rPr>
          <w:rFonts w:asciiTheme="minorEastAsia" w:hAnsiTheme="minorEastAsia" w:eastAsiaTheme="minorEastAsia"/>
          <w:b/>
          <w:color w:val="auto"/>
          <w:sz w:val="24"/>
          <w:highlight w:val="none"/>
          <w:lang w:val="en-US"/>
        </w:rPr>
      </w:pPr>
    </w:p>
    <w:p w14:paraId="37181E96">
      <w:pPr>
        <w:pStyle w:val="3"/>
        <w:spacing w:before="98" w:line="219" w:lineRule="auto"/>
        <w:jc w:val="center"/>
        <w:rPr>
          <w:rFonts w:asciiTheme="minorEastAsia" w:hAnsiTheme="minorEastAsia" w:eastAsiaTheme="minorEastAsia"/>
          <w:b/>
          <w:color w:val="auto"/>
          <w:sz w:val="24"/>
          <w:highlight w:val="none"/>
          <w:lang w:val="en-US"/>
        </w:rPr>
      </w:pPr>
    </w:p>
    <w:p w14:paraId="6C23834E">
      <w:pPr>
        <w:pStyle w:val="3"/>
        <w:spacing w:before="98" w:line="219" w:lineRule="auto"/>
        <w:jc w:val="center"/>
        <w:rPr>
          <w:rFonts w:asciiTheme="minorEastAsia" w:hAnsiTheme="minorEastAsia" w:eastAsiaTheme="minorEastAsia"/>
          <w:b/>
          <w:color w:val="auto"/>
          <w:sz w:val="24"/>
          <w:highlight w:val="none"/>
          <w:lang w:val="en-US"/>
        </w:rPr>
      </w:pPr>
    </w:p>
    <w:p w14:paraId="523BA10B">
      <w:pPr>
        <w:pStyle w:val="3"/>
        <w:spacing w:before="98" w:line="219" w:lineRule="auto"/>
        <w:jc w:val="center"/>
        <w:rPr>
          <w:rFonts w:asciiTheme="minorEastAsia" w:hAnsiTheme="minorEastAsia" w:eastAsiaTheme="minorEastAsia"/>
          <w:b/>
          <w:color w:val="auto"/>
          <w:sz w:val="24"/>
          <w:highlight w:val="none"/>
          <w:lang w:val="en-US"/>
        </w:rPr>
      </w:pPr>
    </w:p>
    <w:p w14:paraId="17D5002B">
      <w:pPr>
        <w:pStyle w:val="3"/>
        <w:spacing w:before="98" w:line="219" w:lineRule="auto"/>
        <w:jc w:val="center"/>
        <w:rPr>
          <w:rFonts w:asciiTheme="minorEastAsia" w:hAnsiTheme="minorEastAsia" w:eastAsiaTheme="minorEastAsia"/>
          <w:b/>
          <w:color w:val="auto"/>
          <w:sz w:val="24"/>
          <w:highlight w:val="none"/>
          <w:lang w:val="en-US"/>
        </w:rPr>
      </w:pPr>
    </w:p>
    <w:p w14:paraId="692D6F74">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九、其他相关证明材料</w:t>
      </w:r>
    </w:p>
    <w:p w14:paraId="73384B17">
      <w:pPr>
        <w:tabs>
          <w:tab w:val="left" w:pos="4620"/>
        </w:tabs>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提供符合谈判邀请、采购需求及评审方法和标准规定的相关证明文件。</w:t>
      </w:r>
    </w:p>
    <w:p w14:paraId="2FC4FBE1">
      <w:pPr>
        <w:spacing w:line="360" w:lineRule="auto"/>
        <w:ind w:firstLine="435"/>
        <w:rPr>
          <w:rFonts w:asciiTheme="minorEastAsia" w:hAnsiTheme="minorEastAsia" w:eastAsiaTheme="minorEastAsia"/>
          <w:color w:val="auto"/>
          <w:sz w:val="24"/>
          <w:highlight w:val="none"/>
        </w:rPr>
      </w:pPr>
    </w:p>
    <w:p w14:paraId="7880CDD9">
      <w:pPr>
        <w:spacing w:line="360" w:lineRule="auto"/>
        <w:ind w:firstLine="480" w:firstLineChars="200"/>
        <w:rPr>
          <w:rFonts w:asciiTheme="minorEastAsia" w:hAnsiTheme="minorEastAsia" w:eastAsiaTheme="minorEastAsia"/>
          <w:color w:val="auto"/>
          <w:sz w:val="24"/>
          <w:highlight w:val="none"/>
        </w:rPr>
      </w:pPr>
    </w:p>
    <w:p w14:paraId="766BCFD4">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228EFB1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供应商在响应文件制作时可在此栏内上传谈判</w:t>
      </w:r>
      <w:r>
        <w:rPr>
          <w:rFonts w:asciiTheme="minorEastAsia" w:hAnsiTheme="minorEastAsia" w:eastAsiaTheme="minorEastAsia"/>
          <w:color w:val="auto"/>
          <w:sz w:val="24"/>
          <w:highlight w:val="none"/>
        </w:rPr>
        <w:t>文件要求上传的证明资料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等，应将上述证明材料制作成扫描件上传。</w:t>
      </w:r>
    </w:p>
    <w:p w14:paraId="0E450410">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0A94CC47">
      <w:pPr>
        <w:spacing w:line="360" w:lineRule="auto"/>
        <w:jc w:val="center"/>
        <w:outlineLvl w:val="0"/>
        <w:rPr>
          <w:rFonts w:ascii="宋体" w:hAnsi="宋体" w:eastAsia="宋体"/>
          <w:b/>
          <w:bCs/>
          <w:color w:val="auto"/>
          <w:sz w:val="28"/>
          <w:highlight w:val="none"/>
        </w:rPr>
      </w:pPr>
      <w:bookmarkStart w:id="204" w:name="_Toc60608832"/>
      <w:bookmarkStart w:id="205" w:name="_Toc32294"/>
      <w:bookmarkStart w:id="206" w:name="_Toc19945"/>
      <w:r>
        <w:rPr>
          <w:rFonts w:hint="eastAsia" w:ascii="宋体" w:hAnsi="宋体" w:eastAsia="宋体"/>
          <w:b/>
          <w:bCs/>
          <w:color w:val="auto"/>
          <w:sz w:val="28"/>
          <w:highlight w:val="none"/>
        </w:rPr>
        <w:t xml:space="preserve">第七章 </w:t>
      </w:r>
      <w:r>
        <w:rPr>
          <w:rFonts w:hint="eastAsia"/>
          <w:b/>
          <w:bCs/>
          <w:color w:val="auto"/>
          <w:sz w:val="28"/>
          <w:highlight w:val="none"/>
        </w:rPr>
        <w:t xml:space="preserve"> </w:t>
      </w:r>
      <w:bookmarkEnd w:id="204"/>
      <w:r>
        <w:rPr>
          <w:rFonts w:hint="eastAsia" w:ascii="宋体" w:hAnsi="宋体" w:eastAsia="宋体"/>
          <w:b/>
          <w:bCs/>
          <w:color w:val="auto"/>
          <w:sz w:val="28"/>
          <w:highlight w:val="none"/>
        </w:rPr>
        <w:t>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205"/>
      <w:bookmarkEnd w:id="206"/>
    </w:p>
    <w:p w14:paraId="3AD92FA0">
      <w:pPr>
        <w:spacing w:line="360" w:lineRule="auto"/>
        <w:jc w:val="center"/>
        <w:outlineLvl w:val="1"/>
        <w:rPr>
          <w:rFonts w:ascii="仿宋" w:hAnsi="仿宋" w:eastAsia="仿宋" w:cs="仿宋"/>
          <w:b/>
          <w:bCs/>
          <w:color w:val="auto"/>
          <w:sz w:val="32"/>
          <w:szCs w:val="44"/>
          <w:highlight w:val="none"/>
        </w:rPr>
      </w:pPr>
      <w:bookmarkStart w:id="207" w:name="_Toc15965"/>
      <w:bookmarkStart w:id="208" w:name="_Toc29598"/>
      <w:r>
        <w:rPr>
          <w:rFonts w:hint="eastAsia" w:ascii="仿宋" w:hAnsi="仿宋" w:eastAsia="仿宋" w:cs="仿宋"/>
          <w:b/>
          <w:bCs/>
          <w:color w:val="auto"/>
          <w:sz w:val="32"/>
          <w:szCs w:val="44"/>
          <w:highlight w:val="none"/>
        </w:rPr>
        <w:t>询问函范本</w:t>
      </w:r>
      <w:bookmarkEnd w:id="207"/>
      <w:bookmarkEnd w:id="208"/>
    </w:p>
    <w:p w14:paraId="0C41B04D">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1FF5FD96">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b/>
          <w:bCs/>
          <w:color w:val="auto"/>
          <w:sz w:val="24"/>
          <w:szCs w:val="24"/>
          <w:highlight w:val="none"/>
        </w:rPr>
        <w:t>致：采购人</w:t>
      </w:r>
    </w:p>
    <w:p w14:paraId="65320A97">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rPr>
        <w:t xml:space="preserve">               </w:t>
      </w:r>
      <w:r>
        <w:rPr>
          <w:rFonts w:hint="eastAsia" w:cs="仿宋" w:asciiTheme="minorEastAsia" w:hAnsiTheme="minorEastAsia" w:eastAsiaTheme="minorEastAsia"/>
          <w:i/>
          <w:iCs/>
          <w:color w:val="auto"/>
          <w:sz w:val="24"/>
          <w:szCs w:val="24"/>
          <w:highlight w:val="none"/>
        </w:rPr>
        <w:t>(项目名称、编号)</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68722A32">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209" w:name="_Toc29988"/>
      <w:bookmarkStart w:id="210" w:name="_Toc11903"/>
      <w:r>
        <w:rPr>
          <w:rFonts w:hint="eastAsia" w:cs="仿宋" w:asciiTheme="minorEastAsia" w:hAnsiTheme="minorEastAsia" w:eastAsiaTheme="minorEastAsia"/>
          <w:color w:val="auto"/>
          <w:sz w:val="24"/>
          <w:szCs w:val="24"/>
          <w:highlight w:val="none"/>
        </w:rPr>
        <w:t>一、(事项一)</w:t>
      </w:r>
      <w:bookmarkEnd w:id="209"/>
      <w:bookmarkEnd w:id="210"/>
    </w:p>
    <w:p w14:paraId="04F58B1B">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58941620">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7DC2A4A4">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51FDC1C6">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211" w:name="_Toc2942"/>
      <w:bookmarkStart w:id="212" w:name="_Toc31894"/>
      <w:r>
        <w:rPr>
          <w:rFonts w:hint="eastAsia" w:cs="仿宋" w:asciiTheme="minorEastAsia" w:hAnsiTheme="minorEastAsia" w:eastAsiaTheme="minorEastAsia"/>
          <w:color w:val="auto"/>
          <w:sz w:val="24"/>
          <w:szCs w:val="24"/>
          <w:highlight w:val="none"/>
        </w:rPr>
        <w:t>二、(事项二)</w:t>
      </w:r>
      <w:bookmarkEnd w:id="211"/>
      <w:bookmarkEnd w:id="212"/>
    </w:p>
    <w:p w14:paraId="5DDA7B7F">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388A6B35">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4640678F">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4AB98C21">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38EB15C1">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4EFF236A">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2D278E75">
      <w:pPr>
        <w:jc w:val="center"/>
        <w:outlineLvl w:val="1"/>
        <w:rPr>
          <w:rFonts w:ascii="仿宋" w:hAnsi="仿宋" w:eastAsia="仿宋" w:cs="仿宋"/>
          <w:b/>
          <w:bCs/>
          <w:color w:val="auto"/>
          <w:sz w:val="32"/>
          <w:szCs w:val="44"/>
          <w:highlight w:val="none"/>
        </w:rPr>
      </w:pPr>
      <w:bookmarkStart w:id="213" w:name="_Toc22109"/>
      <w:bookmarkStart w:id="214" w:name="_Toc26062"/>
      <w:r>
        <w:rPr>
          <w:rFonts w:hint="eastAsia" w:ascii="仿宋" w:hAnsi="仿宋" w:eastAsia="仿宋" w:cs="仿宋"/>
          <w:b/>
          <w:bCs/>
          <w:color w:val="auto"/>
          <w:sz w:val="32"/>
          <w:szCs w:val="44"/>
          <w:highlight w:val="none"/>
        </w:rPr>
        <w:t>质疑函范本</w:t>
      </w:r>
      <w:bookmarkEnd w:id="213"/>
      <w:bookmarkEnd w:id="214"/>
    </w:p>
    <w:p w14:paraId="659C97A1">
      <w:pPr>
        <w:adjustRightInd w:val="0"/>
        <w:snapToGrid w:val="0"/>
        <w:spacing w:beforeLines="100" w:line="360" w:lineRule="auto"/>
        <w:outlineLvl w:val="1"/>
        <w:rPr>
          <w:rFonts w:cs="仿宋" w:asciiTheme="minorEastAsia" w:hAnsiTheme="minorEastAsia" w:eastAsiaTheme="minorEastAsia"/>
          <w:b/>
          <w:bCs/>
          <w:color w:val="auto"/>
          <w:sz w:val="24"/>
          <w:szCs w:val="24"/>
          <w:highlight w:val="none"/>
        </w:rPr>
      </w:pPr>
      <w:bookmarkStart w:id="215" w:name="_Toc29798"/>
      <w:bookmarkStart w:id="216" w:name="_Toc24159"/>
      <w:r>
        <w:rPr>
          <w:rFonts w:hint="eastAsia" w:cs="仿宋" w:asciiTheme="minorEastAsia" w:hAnsiTheme="minorEastAsia" w:eastAsiaTheme="minorEastAsia"/>
          <w:b/>
          <w:bCs/>
          <w:color w:val="auto"/>
          <w:sz w:val="24"/>
          <w:szCs w:val="24"/>
          <w:highlight w:val="none"/>
        </w:rPr>
        <w:t>一、质疑供应商基本信息</w:t>
      </w:r>
      <w:bookmarkEnd w:id="215"/>
      <w:bookmarkEnd w:id="216"/>
    </w:p>
    <w:p w14:paraId="4B53E971">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27F430DC">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7FC995B1">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45DCB42F">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18CF4210">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3718DAC4">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04FCB25C">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17" w:name="_Toc5445"/>
      <w:bookmarkStart w:id="218" w:name="_Toc23479"/>
      <w:r>
        <w:rPr>
          <w:rFonts w:hint="eastAsia" w:cs="仿宋" w:asciiTheme="minorEastAsia" w:hAnsiTheme="minorEastAsia" w:eastAsiaTheme="minorEastAsia"/>
          <w:b/>
          <w:bCs/>
          <w:color w:val="auto"/>
          <w:sz w:val="24"/>
          <w:szCs w:val="24"/>
          <w:highlight w:val="none"/>
        </w:rPr>
        <w:t>二、质疑项目基本情况</w:t>
      </w:r>
      <w:bookmarkEnd w:id="217"/>
      <w:bookmarkEnd w:id="218"/>
    </w:p>
    <w:p w14:paraId="385FD10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72572456">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444EB96F">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30B38C49">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76836D39">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19" w:name="_Toc26982"/>
      <w:bookmarkStart w:id="220" w:name="_Toc5891"/>
      <w:r>
        <w:rPr>
          <w:rFonts w:hint="eastAsia" w:cs="仿宋" w:asciiTheme="minorEastAsia" w:hAnsiTheme="minorEastAsia" w:eastAsiaTheme="minorEastAsia"/>
          <w:b/>
          <w:bCs/>
          <w:color w:val="auto"/>
          <w:sz w:val="24"/>
          <w:szCs w:val="24"/>
          <w:highlight w:val="none"/>
        </w:rPr>
        <w:t>三、质疑事项具体内容</w:t>
      </w:r>
      <w:bookmarkEnd w:id="219"/>
      <w:bookmarkEnd w:id="220"/>
    </w:p>
    <w:p w14:paraId="3471C94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1671D94F">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539C81DA">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403AEA94">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7CD9DCD8">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1CBAFF9A">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100C0848">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7AC2A751">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21" w:name="_Toc9453"/>
      <w:bookmarkStart w:id="222" w:name="_Toc16039"/>
      <w:r>
        <w:rPr>
          <w:rFonts w:hint="eastAsia" w:cs="仿宋" w:asciiTheme="minorEastAsia" w:hAnsiTheme="minorEastAsia" w:eastAsiaTheme="minorEastAsia"/>
          <w:b/>
          <w:bCs/>
          <w:color w:val="auto"/>
          <w:sz w:val="24"/>
          <w:szCs w:val="24"/>
          <w:highlight w:val="none"/>
        </w:rPr>
        <w:t>四、与质疑事项相关的质疑请求</w:t>
      </w:r>
      <w:bookmarkEnd w:id="221"/>
      <w:bookmarkEnd w:id="222"/>
    </w:p>
    <w:p w14:paraId="68DFA921">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344A8AAE">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6E8B4B33">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364BEFB8">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39DD7207">
      <w:pPr>
        <w:outlineLvl w:val="0"/>
        <w:rPr>
          <w:rFonts w:asciiTheme="minorEastAsia" w:hAnsiTheme="minorEastAsia" w:eastAsiaTheme="minorEastAsia"/>
          <w:b/>
          <w:color w:val="auto"/>
          <w:sz w:val="28"/>
          <w:szCs w:val="32"/>
          <w:highlight w:val="none"/>
        </w:rPr>
      </w:pPr>
      <w:bookmarkStart w:id="223" w:name="_Toc28276"/>
      <w:bookmarkStart w:id="224" w:name="_Toc10345"/>
      <w:r>
        <w:rPr>
          <w:rFonts w:hint="eastAsia" w:asciiTheme="minorEastAsia" w:hAnsiTheme="minorEastAsia" w:eastAsiaTheme="minorEastAsia"/>
          <w:b/>
          <w:color w:val="auto"/>
          <w:sz w:val="28"/>
          <w:szCs w:val="32"/>
          <w:highlight w:val="none"/>
        </w:rPr>
        <w:t>质疑函制作说明：</w:t>
      </w:r>
      <w:bookmarkEnd w:id="223"/>
      <w:bookmarkEnd w:id="224"/>
    </w:p>
    <w:p w14:paraId="69C4BF2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7E6968D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5DD1BD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70C1734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3063110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52E84F5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5392A124">
      <w:pPr>
        <w:spacing w:line="360" w:lineRule="auto"/>
        <w:ind w:firstLine="435"/>
        <w:rPr>
          <w:rFonts w:asciiTheme="minorEastAsia" w:hAnsiTheme="minorEastAsia" w:eastAsiaTheme="minorEastAsia"/>
          <w:color w:val="auto"/>
          <w:sz w:val="24"/>
          <w:highlight w:val="none"/>
        </w:rPr>
      </w:pPr>
    </w:p>
    <w:p w14:paraId="4164AB31">
      <w:pPr>
        <w:spacing w:line="360" w:lineRule="auto"/>
        <w:ind w:firstLine="435"/>
        <w:rPr>
          <w:rFonts w:asciiTheme="minorEastAsia" w:hAnsiTheme="minorEastAsia" w:eastAsiaTheme="minorEastAsia"/>
          <w:color w:val="auto"/>
          <w:sz w:val="24"/>
          <w:highlight w:val="none"/>
        </w:rPr>
      </w:pPr>
    </w:p>
    <w:p w14:paraId="7FD2B72E">
      <w:pPr>
        <w:spacing w:line="360" w:lineRule="auto"/>
        <w:ind w:firstLine="435"/>
        <w:rPr>
          <w:rFonts w:asciiTheme="minorEastAsia" w:hAnsiTheme="minorEastAsia" w:eastAsiaTheme="minorEastAsia"/>
          <w:color w:val="auto"/>
          <w:sz w:val="24"/>
          <w:highlight w:val="none"/>
        </w:rPr>
      </w:pPr>
    </w:p>
    <w:p w14:paraId="13F734CB">
      <w:pPr>
        <w:spacing w:line="360" w:lineRule="auto"/>
        <w:ind w:firstLine="435"/>
        <w:rPr>
          <w:rFonts w:asciiTheme="minorEastAsia" w:hAnsiTheme="minorEastAsia" w:eastAsiaTheme="minorEastAsia"/>
          <w:color w:val="auto"/>
          <w:sz w:val="24"/>
          <w:highlight w:val="none"/>
        </w:rPr>
      </w:pPr>
    </w:p>
    <w:p w14:paraId="20E1CDFD">
      <w:pPr>
        <w:spacing w:line="360" w:lineRule="auto"/>
        <w:ind w:firstLine="435"/>
        <w:rPr>
          <w:rFonts w:asciiTheme="minorEastAsia" w:hAnsiTheme="minorEastAsia" w:eastAsiaTheme="minorEastAsia"/>
          <w:color w:val="auto"/>
          <w:sz w:val="24"/>
          <w:highlight w:val="none"/>
        </w:rPr>
      </w:pPr>
    </w:p>
    <w:p w14:paraId="2645130C">
      <w:pPr>
        <w:spacing w:line="360" w:lineRule="auto"/>
        <w:ind w:firstLine="435"/>
        <w:rPr>
          <w:rFonts w:asciiTheme="minorEastAsia" w:hAnsiTheme="minorEastAsia" w:eastAsiaTheme="minorEastAsia"/>
          <w:color w:val="auto"/>
          <w:sz w:val="24"/>
          <w:highlight w:val="none"/>
        </w:rPr>
      </w:pPr>
    </w:p>
    <w:p w14:paraId="7E640E46">
      <w:pPr>
        <w:spacing w:line="360" w:lineRule="auto"/>
        <w:ind w:firstLine="435"/>
        <w:rPr>
          <w:rFonts w:asciiTheme="minorEastAsia" w:hAnsiTheme="minorEastAsia" w:eastAsiaTheme="minorEastAsia"/>
          <w:color w:val="auto"/>
          <w:sz w:val="24"/>
          <w:highlight w:val="none"/>
        </w:rPr>
      </w:pPr>
    </w:p>
    <w:p w14:paraId="705CF780">
      <w:pPr>
        <w:spacing w:line="360" w:lineRule="auto"/>
        <w:ind w:firstLine="435"/>
        <w:rPr>
          <w:rFonts w:asciiTheme="minorEastAsia" w:hAnsiTheme="minorEastAsia" w:eastAsiaTheme="minorEastAsia"/>
          <w:color w:val="auto"/>
          <w:sz w:val="24"/>
          <w:highlight w:val="none"/>
        </w:rPr>
      </w:pPr>
    </w:p>
    <w:p w14:paraId="2105B97B">
      <w:pPr>
        <w:spacing w:line="360" w:lineRule="auto"/>
        <w:ind w:firstLine="435"/>
        <w:rPr>
          <w:rFonts w:asciiTheme="minorEastAsia" w:hAnsiTheme="minorEastAsia" w:eastAsiaTheme="minorEastAsia"/>
          <w:color w:val="auto"/>
          <w:sz w:val="24"/>
          <w:highlight w:val="none"/>
        </w:rPr>
      </w:pPr>
    </w:p>
    <w:p w14:paraId="024CEBB6">
      <w:pPr>
        <w:spacing w:line="360" w:lineRule="auto"/>
        <w:ind w:firstLine="435"/>
        <w:rPr>
          <w:rFonts w:asciiTheme="minorEastAsia" w:hAnsiTheme="minorEastAsia" w:eastAsiaTheme="minorEastAsia"/>
          <w:color w:val="auto"/>
          <w:sz w:val="24"/>
          <w:highlight w:val="none"/>
        </w:rPr>
      </w:pPr>
    </w:p>
    <w:p w14:paraId="47395DF0">
      <w:pPr>
        <w:spacing w:line="360" w:lineRule="auto"/>
        <w:ind w:firstLine="435"/>
        <w:rPr>
          <w:rFonts w:asciiTheme="minorEastAsia" w:hAnsiTheme="minorEastAsia" w:eastAsiaTheme="minorEastAsia"/>
          <w:color w:val="auto"/>
          <w:sz w:val="24"/>
          <w:highlight w:val="none"/>
        </w:rPr>
      </w:pPr>
    </w:p>
    <w:p w14:paraId="4694BFB6">
      <w:pPr>
        <w:spacing w:line="360" w:lineRule="auto"/>
        <w:ind w:firstLine="435"/>
        <w:rPr>
          <w:rFonts w:asciiTheme="minorEastAsia" w:hAnsiTheme="minorEastAsia" w:eastAsiaTheme="minorEastAsia"/>
          <w:color w:val="auto"/>
          <w:sz w:val="24"/>
          <w:highlight w:val="none"/>
        </w:rPr>
      </w:pPr>
    </w:p>
    <w:p w14:paraId="1DA31906">
      <w:pPr>
        <w:spacing w:line="360" w:lineRule="auto"/>
        <w:ind w:firstLine="435"/>
        <w:rPr>
          <w:rFonts w:asciiTheme="minorEastAsia" w:hAnsiTheme="minorEastAsia" w:eastAsiaTheme="minorEastAsia"/>
          <w:color w:val="auto"/>
          <w:sz w:val="24"/>
          <w:highlight w:val="none"/>
        </w:rPr>
      </w:pPr>
    </w:p>
    <w:p w14:paraId="015CDBDC">
      <w:pPr>
        <w:spacing w:line="360" w:lineRule="auto"/>
        <w:ind w:firstLine="435"/>
        <w:rPr>
          <w:rFonts w:asciiTheme="minorEastAsia" w:hAnsiTheme="minorEastAsia" w:eastAsiaTheme="minorEastAsia"/>
          <w:color w:val="auto"/>
          <w:sz w:val="24"/>
          <w:highlight w:val="none"/>
        </w:rPr>
      </w:pPr>
    </w:p>
    <w:p w14:paraId="42392C2E">
      <w:pPr>
        <w:spacing w:line="360" w:lineRule="auto"/>
        <w:ind w:firstLine="435"/>
        <w:rPr>
          <w:rFonts w:asciiTheme="minorEastAsia" w:hAnsiTheme="minorEastAsia" w:eastAsiaTheme="minorEastAsia"/>
          <w:color w:val="auto"/>
          <w:sz w:val="24"/>
          <w:highlight w:val="none"/>
        </w:rPr>
      </w:pPr>
    </w:p>
    <w:p w14:paraId="70A09B84">
      <w:pPr>
        <w:spacing w:line="360" w:lineRule="auto"/>
        <w:ind w:firstLine="435"/>
        <w:rPr>
          <w:rFonts w:asciiTheme="minorEastAsia" w:hAnsiTheme="minorEastAsia" w:eastAsiaTheme="minorEastAsia"/>
          <w:color w:val="auto"/>
          <w:sz w:val="24"/>
          <w:highlight w:val="none"/>
        </w:rPr>
      </w:pPr>
    </w:p>
    <w:p w14:paraId="2FD56D3F">
      <w:pPr>
        <w:spacing w:line="360" w:lineRule="auto"/>
        <w:ind w:firstLine="435"/>
        <w:rPr>
          <w:rFonts w:asciiTheme="minorEastAsia" w:hAnsiTheme="minorEastAsia" w:eastAsiaTheme="minorEastAsia"/>
          <w:color w:val="auto"/>
          <w:sz w:val="24"/>
          <w:highlight w:val="none"/>
        </w:rPr>
      </w:pPr>
    </w:p>
    <w:p w14:paraId="3E04E2E3">
      <w:pPr>
        <w:spacing w:line="360" w:lineRule="auto"/>
        <w:ind w:firstLine="435"/>
        <w:rPr>
          <w:rFonts w:asciiTheme="minorEastAsia" w:hAnsiTheme="minorEastAsia" w:eastAsiaTheme="minorEastAsia"/>
          <w:color w:val="auto"/>
          <w:sz w:val="24"/>
          <w:highlight w:val="none"/>
        </w:rPr>
      </w:pPr>
    </w:p>
    <w:p w14:paraId="1DD6AC86">
      <w:pPr>
        <w:spacing w:line="360" w:lineRule="auto"/>
        <w:ind w:firstLine="435"/>
        <w:rPr>
          <w:rFonts w:asciiTheme="minorEastAsia" w:hAnsiTheme="minorEastAsia" w:eastAsiaTheme="minorEastAsia"/>
          <w:color w:val="auto"/>
          <w:sz w:val="24"/>
          <w:highlight w:val="none"/>
        </w:rPr>
      </w:pPr>
    </w:p>
    <w:p w14:paraId="15A53350">
      <w:pPr>
        <w:rPr>
          <w:rFonts w:ascii="宋体" w:hAnsi="宋体" w:eastAsia="宋体" w:cs="宋体"/>
          <w:color w:val="auto"/>
          <w:sz w:val="28"/>
          <w:szCs w:val="28"/>
          <w:highlight w:val="none"/>
        </w:rPr>
      </w:pPr>
      <w:r>
        <w:rPr>
          <w:rFonts w:hint="eastAsia" w:ascii="宋体" w:hAnsi="宋体" w:eastAsia="宋体" w:cs="宋体"/>
          <w:b/>
          <w:color w:val="auto"/>
          <w:sz w:val="28"/>
          <w:szCs w:val="28"/>
          <w:highlight w:val="none"/>
        </w:rPr>
        <w:t>附件</w:t>
      </w:r>
      <w:r>
        <w:rPr>
          <w:rFonts w:ascii="Times New Roman" w:hAnsi="Times New Roman" w:eastAsia="宋体" w:cs="Times New Roman"/>
          <w:b/>
          <w:color w:val="auto"/>
          <w:sz w:val="28"/>
          <w:szCs w:val="28"/>
          <w:highlight w:val="none"/>
        </w:rPr>
        <w:t>1</w:t>
      </w:r>
    </w:p>
    <w:p w14:paraId="2A855832">
      <w:pPr>
        <w:spacing w:line="440" w:lineRule="exact"/>
        <w:jc w:val="center"/>
        <w:rPr>
          <w:rFonts w:ascii="黑体" w:hAnsi="宋体" w:eastAsia="黑体" w:cs="黑体"/>
          <w:b/>
          <w:color w:val="auto"/>
          <w:sz w:val="30"/>
          <w:szCs w:val="30"/>
          <w:highlight w:val="none"/>
        </w:rPr>
      </w:pPr>
      <w:r>
        <w:rPr>
          <w:rFonts w:hint="eastAsia" w:ascii="黑体" w:hAnsi="宋体" w:eastAsia="黑体" w:cs="黑体"/>
          <w:b/>
          <w:color w:val="auto"/>
          <w:sz w:val="30"/>
          <w:szCs w:val="30"/>
          <w:highlight w:val="none"/>
        </w:rPr>
        <w:t>关于联合惩戒失信行为 加强信用查询管理的通知</w:t>
      </w:r>
    </w:p>
    <w:p w14:paraId="71268DD5">
      <w:pPr>
        <w:spacing w:line="44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一、失信行为联合惩戒的范围和查询渠道</w:t>
      </w:r>
    </w:p>
    <w:p w14:paraId="08510021">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在我市公共资源交易活动中对存在下列失信行为的投标人、法定代表人及其项目经理（建造师）实施联合惩戒，禁止参与我市公共资源交易活动。</w:t>
      </w:r>
    </w:p>
    <w:p w14:paraId="3E9EFDE0">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（一）工程建设项目</w:t>
      </w:r>
    </w:p>
    <w:p w14:paraId="2C14BAFB">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1、“信用中国”网站（www.creditchina.gov.cn）查询以下失信行为：</w:t>
      </w:r>
    </w:p>
    <w:p w14:paraId="3D8AE46F">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①投标人被人民法院列入失信被执行人的；</w:t>
      </w:r>
    </w:p>
    <w:p w14:paraId="3D27964D">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②投标人被税务部门列入重大税收违法案件当事人的；</w:t>
      </w:r>
    </w:p>
    <w:p w14:paraId="5D0C07BD">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③投标人被人力资源社会保障主管部门列入拖欠农民工工资“黑名单”的；</w:t>
      </w:r>
    </w:p>
    <w:p w14:paraId="75B44215">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④在“信用中国”网站上披露的仍在公示期的严重失信行为的。</w:t>
      </w:r>
    </w:p>
    <w:p w14:paraId="5379C548">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2、国家企业信用信息公示系统网站（www.gsxt.gov.cn）查询以下失信行为：</w:t>
      </w:r>
    </w:p>
    <w:p w14:paraId="567FD863">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①被市场监督管理部门列入经营异常名录或者严重违法企业名单的。</w:t>
      </w:r>
    </w:p>
    <w:p w14:paraId="6D0F0CD5">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3、滁州市公共资源交易中心网站（http://ggzy.chuzhou.gov.cn/）查询以下失信行为：</w:t>
      </w:r>
    </w:p>
    <w:p w14:paraId="17FC1703">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①被滁州市县两级公管部门取消在一定期限内的投标资格且在取消期限内的；</w:t>
      </w:r>
    </w:p>
    <w:p w14:paraId="4F2083C3">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②被滁州市县两级公管部门记入不良行为记录或者信用信息记录，且在披露期内的。</w:t>
      </w:r>
    </w:p>
    <w:p w14:paraId="41B05F0A">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4、由竞争主体进行承诺，不进行现场网上信用查询的失信行为：</w:t>
      </w:r>
    </w:p>
    <w:p w14:paraId="4A6720ED">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①前三年有行贿犯罪行为的单位和个人；</w:t>
      </w:r>
    </w:p>
    <w:p w14:paraId="2A281AEB">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②被滁州市县两级各行业主管部门取消在一定期限内的投标资格且在取消期限内的；</w:t>
      </w:r>
    </w:p>
    <w:p w14:paraId="53D83464">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③因拖欠农民工工资被县级及以上有关行政主管部门限制投标资格且在限制期限内的；</w:t>
      </w:r>
    </w:p>
    <w:p w14:paraId="66B9DC4F">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④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58F0742F">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（二）政府采购项目</w:t>
      </w:r>
    </w:p>
    <w:p w14:paraId="0A33CDA3">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1、“信用中国”网站（www.creditchina.gov.cn）查询以下失信行为：</w:t>
      </w:r>
    </w:p>
    <w:p w14:paraId="57A99A93">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①投标人被人民法院列入失信被执行人的；</w:t>
      </w:r>
    </w:p>
    <w:p w14:paraId="11CF6A60">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②投标人被税务部门列入重大税收违法案件当事人的；</w:t>
      </w:r>
    </w:p>
    <w:p w14:paraId="535AAEAB">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③在“信用中国”网站上披露的仍在公示期的严重失信行为的。</w:t>
      </w:r>
    </w:p>
    <w:p w14:paraId="106107C3">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2、国家企业信用信息公示系统网站（www.gsxt.gov.cn）查询以下失信行为：</w:t>
      </w:r>
    </w:p>
    <w:p w14:paraId="1019B78D">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①被市场监督管理部门列入经营异常名录或者严重违法企业名单的。</w:t>
      </w:r>
    </w:p>
    <w:p w14:paraId="21C160F4">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3、中国政府采购网站（www.ccgp.gov.cn）查询以下失信行为：</w:t>
      </w:r>
    </w:p>
    <w:p w14:paraId="719B63BD">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①政府采购严重违法失信行为</w:t>
      </w:r>
    </w:p>
    <w:p w14:paraId="1C406309">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4、由竞争主体进行承诺，不进行现场网上信用查询的失信行为：</w:t>
      </w:r>
    </w:p>
    <w:p w14:paraId="2716AEAF">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①前三年有行贿犯罪行为的单位和个人。</w:t>
      </w:r>
    </w:p>
    <w:p w14:paraId="3B773A1B">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二、在开评标活动中的查询程序</w:t>
      </w:r>
    </w:p>
    <w:p w14:paraId="105C1128">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值。</w:t>
      </w:r>
    </w:p>
    <w:p w14:paraId="2EAA842C">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值。</w:t>
      </w:r>
    </w:p>
    <w:p w14:paraId="6B18C041">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3、项目单位及其委托的代理机构应当做好信用查询结果截图和记录留存。</w:t>
      </w:r>
    </w:p>
    <w:p w14:paraId="2AD8471C">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三、相关要求</w:t>
      </w:r>
    </w:p>
    <w:p w14:paraId="71CAA5A3">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1、参与公共资源交易活动的竞争主体根据上述范围查询的内容进行自查并承诺，出具《诚信投标承诺书》（诚信投标承诺书包括但不限于上述自查并承诺内容）并注明承诺日期（投标截止时间前5日内）。</w:t>
      </w:r>
    </w:p>
    <w:p w14:paraId="1083F44E">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731457AE">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3599F7BA">
      <w:pPr>
        <w:widowControl/>
        <w:autoSpaceDE w:val="0"/>
        <w:spacing w:line="520" w:lineRule="exact"/>
        <w:ind w:firstLine="482" w:firstLineChars="200"/>
        <w:textAlignment w:val="baseline"/>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2、“信用中国”查询的严重失信行为判定依据为各行业主管部门下发的联合惩戒文件中规定的行为（按附件2执行）。</w:t>
      </w:r>
    </w:p>
    <w:p w14:paraId="1691032A">
      <w:pPr>
        <w:widowControl/>
        <w:autoSpaceDE w:val="0"/>
        <w:spacing w:line="520" w:lineRule="exact"/>
        <w:ind w:firstLine="480" w:firstLineChars="200"/>
        <w:textAlignment w:val="baseline"/>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3、资格预审的项目以递交资格预审申请文件截止时间查询为准；资格后审的项目以递交投标文件截止时间查询为准。</w:t>
      </w:r>
    </w:p>
    <w:p w14:paraId="620D5D74">
      <w:pPr>
        <w:spacing w:line="440" w:lineRule="exact"/>
        <w:rPr>
          <w:rFonts w:ascii="宋体" w:hAnsi="宋体" w:eastAsia="宋体" w:cs="宋体"/>
          <w:b/>
          <w:color w:val="auto"/>
          <w:sz w:val="24"/>
          <w:szCs w:val="24"/>
          <w:highlight w:val="none"/>
        </w:rPr>
      </w:pPr>
    </w:p>
    <w:p w14:paraId="630B28B6">
      <w:pPr>
        <w:pStyle w:val="29"/>
        <w:widowControl/>
        <w:spacing w:beforeAutospacing="1"/>
        <w:rPr>
          <w:rFonts w:eastAsia="宋体"/>
          <w:color w:val="auto"/>
          <w:highlight w:val="none"/>
        </w:rPr>
      </w:pPr>
    </w:p>
    <w:p w14:paraId="33565AA6">
      <w:pPr>
        <w:spacing w:line="44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附件</w:t>
      </w:r>
      <w:r>
        <w:rPr>
          <w:rFonts w:ascii="Times New Roman" w:hAnsi="Times New Roman" w:eastAsia="宋体" w:cs="Times New Roman"/>
          <w:b/>
          <w:color w:val="auto"/>
          <w:sz w:val="24"/>
          <w:szCs w:val="24"/>
          <w:highlight w:val="none"/>
        </w:rPr>
        <w:t>2</w:t>
      </w:r>
    </w:p>
    <w:p w14:paraId="464B5DB8">
      <w:pPr>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“信用中国”查询的严重失信行为类别及判定依据</w:t>
      </w:r>
    </w:p>
    <w:p w14:paraId="336D355A">
      <w:pPr>
        <w:spacing w:line="440" w:lineRule="exact"/>
        <w:jc w:val="center"/>
        <w:rPr>
          <w:rFonts w:ascii="宋体" w:hAnsi="宋体" w:eastAsia="宋体" w:cs="宋体"/>
          <w:b/>
          <w:color w:val="auto"/>
          <w:sz w:val="24"/>
          <w:szCs w:val="24"/>
          <w:highlight w:val="none"/>
        </w:rPr>
      </w:pPr>
    </w:p>
    <w:p w14:paraId="22DE737B">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“信用中国”查询的严重失信行为判定依据为各行业主管部门下发的联合惩戒文件中规定的行为。下面将部分类别的严重失信行为列举如下：</w:t>
      </w:r>
    </w:p>
    <w:p w14:paraId="03ACCFFC">
      <w:pPr>
        <w:widowControl/>
        <w:autoSpaceDE w:val="0"/>
        <w:spacing w:line="480" w:lineRule="exact"/>
        <w:ind w:firstLine="482" w:firstLineChars="200"/>
        <w:jc w:val="left"/>
        <w:textAlignment w:val="baseline"/>
        <w:rPr>
          <w:rFonts w:ascii="宋体" w:hAnsi="宋体" w:eastAsia="宋体" w:cs="Times New Roman"/>
          <w:b/>
          <w:bCs/>
          <w:color w:val="auto"/>
          <w:sz w:val="24"/>
          <w:szCs w:val="24"/>
          <w:highlight w:val="none"/>
        </w:rPr>
      </w:pPr>
    </w:p>
    <w:p w14:paraId="5903E1DA">
      <w:pPr>
        <w:widowControl/>
        <w:autoSpaceDE w:val="0"/>
        <w:spacing w:line="480" w:lineRule="exact"/>
        <w:ind w:firstLine="482" w:firstLineChars="200"/>
        <w:jc w:val="left"/>
        <w:textAlignment w:val="baseline"/>
        <w:rPr>
          <w:rFonts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rPr>
        <w:t>一、安全生产领域严重失信行为：</w:t>
      </w:r>
    </w:p>
    <w:p w14:paraId="269237CF">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（一）发生较大及以上生产安全责任事故，或1年内累计发生3起及以上造成人员死亡的一般生产安全责任事故的；</w:t>
      </w:r>
    </w:p>
    <w:p w14:paraId="1BEC95D3">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（二）未按规定取得安全生产许可，擅自开展生产经营建设活动的；</w:t>
      </w:r>
    </w:p>
    <w:p w14:paraId="4E26BFF3">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（三）发现重大生产安全事故隐患，或职业病危害严重超标，不及时整改，仍组织从业人员冒险作业的；</w:t>
      </w:r>
    </w:p>
    <w:p w14:paraId="460A66CE">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（四）采取隐蔽、欺骗或阻碍等方式逃避、对抗安全监管监察的;</w:t>
      </w:r>
    </w:p>
    <w:p w14:paraId="79813114">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（五）被责令停产停业整顿，仍然从事生产经营建设活动的；</w:t>
      </w:r>
    </w:p>
    <w:p w14:paraId="3651E43E">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（六）瞒报、谎报、迟报生产安全事故的；</w:t>
      </w:r>
    </w:p>
    <w:p w14:paraId="397CFF86">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（七）矿山、危险化学品、金属冶炼等高危行业建设项目安全设施未经验收合格即投入生产和使用的；</w:t>
      </w:r>
    </w:p>
    <w:p w14:paraId="45A2D398">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（八）矿山生产经营单位存在超层越界开采、以探代采行为的；</w:t>
      </w:r>
    </w:p>
    <w:p w14:paraId="5A18686A">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（九）发生事故后，故意破坏事故现场，伪造有关证据资料，妨碍、对抗事故调查，或主要负责人逃逸的；</w:t>
      </w:r>
    </w:p>
    <w:p w14:paraId="6435528B">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（十）安全生产和职业健康技术服务机构出具虚假报告或证明，违规转让或出借资质的。</w:t>
      </w:r>
    </w:p>
    <w:p w14:paraId="17E65C42">
      <w:pPr>
        <w:widowControl/>
        <w:autoSpaceDE w:val="0"/>
        <w:spacing w:line="480" w:lineRule="exact"/>
        <w:ind w:firstLine="482" w:firstLineChars="200"/>
        <w:jc w:val="left"/>
        <w:textAlignment w:val="baseline"/>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依据：《对安全生产领域失信行为开展联合惩戒的实施办法》（安监总办〔2017〕49号）第二条</w:t>
      </w:r>
    </w:p>
    <w:p w14:paraId="118DF3A6">
      <w:pPr>
        <w:widowControl/>
        <w:autoSpaceDE w:val="0"/>
        <w:spacing w:line="480" w:lineRule="exact"/>
        <w:ind w:firstLine="482" w:firstLineChars="200"/>
        <w:jc w:val="left"/>
        <w:textAlignment w:val="baseline"/>
        <w:rPr>
          <w:rFonts w:ascii="宋体" w:hAnsi="宋体" w:eastAsia="宋体" w:cs="Times New Roman"/>
          <w:b/>
          <w:bCs/>
          <w:color w:val="auto"/>
          <w:sz w:val="24"/>
          <w:szCs w:val="24"/>
          <w:highlight w:val="none"/>
        </w:rPr>
      </w:pPr>
    </w:p>
    <w:p w14:paraId="0107F61F">
      <w:pPr>
        <w:widowControl/>
        <w:autoSpaceDE w:val="0"/>
        <w:spacing w:line="480" w:lineRule="exact"/>
        <w:ind w:firstLine="482" w:firstLineChars="200"/>
        <w:jc w:val="left"/>
        <w:textAlignment w:val="baseline"/>
        <w:rPr>
          <w:rFonts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rPr>
        <w:t>二、环境保护领域严重失信行为：</w:t>
      </w:r>
    </w:p>
    <w:p w14:paraId="77275638">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（一）因为环境违法构成环境犯罪的；</w:t>
      </w:r>
    </w:p>
    <w:p w14:paraId="52A0DCE0">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（二）建设项目环境影响评价文件未按规定通过审批，擅自开工建设的；</w:t>
      </w:r>
    </w:p>
    <w:p w14:paraId="53B87C3C">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（三）建设项目环保设施未建成、环保措施未落实、未通过竣工环保验收或者验收不合格，主体工程正式投入生产或者使用的；</w:t>
      </w:r>
    </w:p>
    <w:p w14:paraId="0AB5DC30">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（四）建设项目性质、规模、地点、采用的生产工艺或者防治污染、防止生态破坏的措施发生重大变动，未重新报批环境影响评价文件，擅自投入生产或者使用的；</w:t>
      </w:r>
    </w:p>
    <w:p w14:paraId="253564E3">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（五）主要污染物排放总量超过控制指标的；</w:t>
      </w:r>
    </w:p>
    <w:p w14:paraId="69B52260">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（六）私设暗管或者利用渗井、渗坑、裂隙、溶洞等排放、倾倒、处置水污染物，或者通过私设旁路排放大气污染物的；</w:t>
      </w:r>
    </w:p>
    <w:p w14:paraId="6B16B033">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（七）非法排放、倾倒、处置危险废物，或者向无经营许可证或者超出经营许可范围的单位或个人提供或者委托其收集、贮存、利用、处置危险废物的；</w:t>
      </w:r>
    </w:p>
    <w:p w14:paraId="1FB58F4A">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（八）环境违法行为造成集中式生活饮用水水源取水中断的；</w:t>
      </w:r>
    </w:p>
    <w:p w14:paraId="569F04DA">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（九）环境违法行为对生活饮用水水源保护区、自然保护区、国家重点生态功能区、风景名胜区、居住功能区、基本农田保护区等环境敏感区造成重大不利影响的；</w:t>
      </w:r>
    </w:p>
    <w:p w14:paraId="2EDEC1EB">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（十）违法从事自然资源开发、交通基础设施建设，以及其他开发建设活动，造成严重生态破坏的；</w:t>
      </w:r>
    </w:p>
    <w:p w14:paraId="5DB6C8A1">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（十一）发生较大及以上突发环境事件的；</w:t>
      </w:r>
    </w:p>
    <w:p w14:paraId="4E074049">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（十二）被环保部门挂牌督办，整改逾期未完成的；</w:t>
      </w:r>
    </w:p>
    <w:p w14:paraId="07F3C96B">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（十三）以暴力、威胁等方式拒绝、阻挠环保部门工作人员现场检查的；</w:t>
      </w:r>
    </w:p>
    <w:p w14:paraId="3D6ED74F">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（十四）违反重污染天气应急预案有关规定，对重污染天气响应不力的。</w:t>
      </w:r>
    </w:p>
    <w:p w14:paraId="08C27637">
      <w:pPr>
        <w:widowControl/>
        <w:autoSpaceDE w:val="0"/>
        <w:spacing w:line="480" w:lineRule="exact"/>
        <w:ind w:firstLine="482" w:firstLineChars="200"/>
        <w:jc w:val="left"/>
        <w:textAlignment w:val="baseline"/>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依据：《关于对环境保护领域失信生产经营单位及其有关人员开展联合惩戒的合作备忘录》、《企业环境信用评价办法（试行）》（环发〔2013〕150号）</w:t>
      </w:r>
    </w:p>
    <w:p w14:paraId="32C03D88">
      <w:pPr>
        <w:widowControl/>
        <w:autoSpaceDE w:val="0"/>
        <w:spacing w:line="480" w:lineRule="exact"/>
        <w:ind w:firstLine="482" w:firstLineChars="200"/>
        <w:jc w:val="left"/>
        <w:textAlignment w:val="baseline"/>
        <w:rPr>
          <w:rFonts w:ascii="宋体" w:hAnsi="宋体" w:eastAsia="宋体" w:cs="Times New Roman"/>
          <w:b/>
          <w:bCs/>
          <w:color w:val="auto"/>
          <w:sz w:val="24"/>
          <w:szCs w:val="24"/>
          <w:highlight w:val="none"/>
        </w:rPr>
      </w:pPr>
    </w:p>
    <w:p w14:paraId="39047058">
      <w:pPr>
        <w:widowControl/>
        <w:autoSpaceDE w:val="0"/>
        <w:spacing w:line="480" w:lineRule="exact"/>
        <w:ind w:firstLine="482" w:firstLineChars="200"/>
        <w:jc w:val="left"/>
        <w:textAlignment w:val="baseline"/>
        <w:rPr>
          <w:rFonts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rPr>
        <w:t>三、公共资源交易领域严重失信行为</w:t>
      </w:r>
    </w:p>
    <w:p w14:paraId="1297E8AD">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（一）违反法律规定，必须进行招标的项目而不招标的，将必须进行招标的项目化整为零或者以其他任何方式规避招标的；</w:t>
      </w:r>
    </w:p>
    <w:p w14:paraId="23E8D359">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（二）招标代理机构违反法律规定，泄露应当保密的与招标投标活动有关的情况和资料的，或者与招标人、投标人串通损害国家利益、社会公共利益或者他人合法权益的；</w:t>
      </w:r>
    </w:p>
    <w:p w14:paraId="31A3DC9C">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（三）招标人以不合理的条件限制或者排斥潜在投标人的，对潜在投标人实行歧视待遇的，强制要求投标人组成联合体共同投标的，或者限制投标人之间竞争的；</w:t>
      </w:r>
    </w:p>
    <w:p w14:paraId="319412F9">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（四）依法必须进行招标的项目的招标人向他人透露已获取招标文件的潜在投标人的名称、数量或者可能影响公平竞争的有关招标投标的其他情况的，或者泄露标底的；</w:t>
      </w:r>
    </w:p>
    <w:p w14:paraId="64003A9A">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（五）投标人相互串通投标或者与招标人串通投标的，投标人以向招标人或者评标委员会成员行贿的手段谋取中标的；</w:t>
      </w:r>
    </w:p>
    <w:p w14:paraId="299741B7">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（六）投标人以他人名义投标或者以其他方式弄虚作假，骗取中标的；</w:t>
      </w:r>
    </w:p>
    <w:p w14:paraId="61DDA000">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（七）依法必须进行招标的项目，招标人违反法律规定，与投标人就投标价格、投标方案等实质性内容进行谈判的；</w:t>
      </w:r>
    </w:p>
    <w:p w14:paraId="06954505">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（八）评标委员会成员收受投标人的财物或者其他好处的，评标委员会成员或者参加评标的有关工作人员向他人透露对投标文件的评审和比较、中标候选人的推荐以及与评标有关的其他情况的；</w:t>
      </w:r>
    </w:p>
    <w:p w14:paraId="30ED6F1C">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（九）招标人在评标委员会依法推荐的中标候选人以外确定中标人的，依法必须进行招标的项目在所有投标被评标委员会否决后自行确定中标人的；</w:t>
      </w:r>
    </w:p>
    <w:p w14:paraId="1EAAD120">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（十）中标人将中标项目转让给他人的，将中标项目肢解后分别转让给他人的，违反法律规定将中标项目的部分主体、关键性工作分包给他人的，或者分包人再次分包的；</w:t>
      </w:r>
    </w:p>
    <w:p w14:paraId="44EB1D1C">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（十一）招标人与中标人不按照招标文件和中标人的投标文件订立合同的，或者招标人、中标人订立背离合同实质性内容的协议的；</w:t>
      </w:r>
    </w:p>
    <w:p w14:paraId="36E1C912">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（十二）中标人不按照与招标人订立的合同履行义务，情节严重的；</w:t>
      </w:r>
    </w:p>
    <w:p w14:paraId="64C9B5F7">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三）采购人、采购代理机构存在应当采用公开招标方式而擅自采用其他方式采购，擅自提高采购标准，以不合理的条件对供应商实行差别待遇或者歧视待遇，在招标采购过程中与投标人进行协商谈判，中标、成交通知书发出后不与中标、成交供应商签订采购合同，或者拒绝有关部门依法实施监督检查等情形的；</w:t>
      </w:r>
    </w:p>
    <w:p w14:paraId="71636C8C">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四）采购人、采购代理机构及其工作人员存在与供应商或者采购代理机构恶意串通，在采购过程中接受贿赂或者获取其他不正当利益，在有关部门依法实施的监督检查中提供虚假情况，或者开标前泄露标底等情形的；</w:t>
      </w:r>
    </w:p>
    <w:p w14:paraId="3ABA1F11">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（十五）采购人对应当实行集中采购的政府采购项目，不委托集中采购机构实行集中采购的；</w:t>
      </w:r>
    </w:p>
    <w:p w14:paraId="643E63E5">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（十六）采购人、采购代理机构违反法律规定隐匿、销毁应当保存的采购文件或者伪造、变造采购文件的；</w:t>
      </w:r>
    </w:p>
    <w:p w14:paraId="18F29032">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七）供应商存在提供虚假材料谋取中标、成交，采取不正当手段诋毁、排挤其他供应商，与采购人、其他供应商或者采购代理机构恶意串通，向采购人、采购代理机构行贿或者提供其他不正当利益，在招标采购过程中与采购人进行协商谈判，或拒绝有关部门监督检查或者提供虚假情况等情形的；</w:t>
      </w:r>
    </w:p>
    <w:p w14:paraId="2E10E0CB">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（十八）疫苗生产企业向县级疾病预防控制机构以外的单位或者个人销售第二类疫苗的；</w:t>
      </w:r>
    </w:p>
    <w:p w14:paraId="6E0D20AA">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（十九）存在其他违反公共资源交易法律法规行为的。</w:t>
      </w:r>
    </w:p>
    <w:p w14:paraId="28BFD188">
      <w:pPr>
        <w:widowControl/>
        <w:autoSpaceDE w:val="0"/>
        <w:spacing w:line="480" w:lineRule="exact"/>
        <w:ind w:firstLine="482" w:firstLineChars="200"/>
        <w:jc w:val="left"/>
        <w:textAlignment w:val="baseline"/>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依据：《关于对公共资源交易领域严重失信主体开展联合惩戒的备忘录》（发改法规〔2018〕457号）</w:t>
      </w:r>
    </w:p>
    <w:p w14:paraId="53A3FCC4">
      <w:pPr>
        <w:widowControl/>
        <w:autoSpaceDE w:val="0"/>
        <w:spacing w:line="480" w:lineRule="exact"/>
        <w:ind w:firstLine="482" w:firstLineChars="200"/>
        <w:jc w:val="left"/>
        <w:textAlignment w:val="baseline"/>
        <w:rPr>
          <w:rFonts w:ascii="宋体" w:hAnsi="宋体" w:eastAsia="宋体" w:cs="宋体"/>
          <w:b/>
          <w:bCs/>
          <w:color w:val="auto"/>
          <w:sz w:val="24"/>
          <w:szCs w:val="24"/>
          <w:highlight w:val="none"/>
        </w:rPr>
      </w:pPr>
    </w:p>
    <w:p w14:paraId="6CF87E66">
      <w:pPr>
        <w:widowControl/>
        <w:autoSpaceDE w:val="0"/>
        <w:spacing w:line="480" w:lineRule="exact"/>
        <w:ind w:firstLine="482" w:firstLineChars="200"/>
        <w:jc w:val="left"/>
        <w:textAlignment w:val="baseline"/>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四、社会保险领域严重失信行为</w:t>
      </w:r>
    </w:p>
    <w:p w14:paraId="4BCE3A34">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（一）用人单位未按相关规定参加社会保险且拒不整改的； </w:t>
      </w:r>
    </w:p>
    <w:p w14:paraId="4574B117">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（二）用人单位未如实申报社会保险缴费基数且拒不整改的； </w:t>
      </w:r>
    </w:p>
    <w:p w14:paraId="2A43EE34">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（三）应缴纳社会保险费却拒不缴纳的； </w:t>
      </w:r>
    </w:p>
    <w:p w14:paraId="7FDC271F">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（四）隐匿、转移、侵占、挪用社会保险费款、基金或者违规投资运营的；</w:t>
      </w:r>
    </w:p>
    <w:p w14:paraId="53D05D7B">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（五）以欺诈、伪造证明材料或者其他手段参加、申报社会保险和骗取社会保险基金支出或社会保险待遇的； </w:t>
      </w:r>
    </w:p>
    <w:p w14:paraId="2C8DEEAF">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（六）非法获取、出售或变相交易社会保险个人权益数据的； </w:t>
      </w:r>
    </w:p>
    <w:p w14:paraId="779CB1BD">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（七）社会保险服务机构违反服务协议或相关规定的； </w:t>
      </w:r>
    </w:p>
    <w:p w14:paraId="021D1C78">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（八）拒绝协助社会保险行政部门、经办机构对事故和问题进 行调查核实的；拒绝接受或协助税务部门对社会保险实施监督检查， 不如实提供与社会保险相关各项资料的； </w:t>
      </w:r>
    </w:p>
    <w:p w14:paraId="4EC12067">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（九）其他违反法律法规规定的。</w:t>
      </w:r>
    </w:p>
    <w:p w14:paraId="50240E1B">
      <w:pPr>
        <w:widowControl/>
        <w:autoSpaceDE w:val="0"/>
        <w:spacing w:line="480" w:lineRule="exact"/>
        <w:ind w:firstLine="482" w:firstLineChars="200"/>
        <w:jc w:val="left"/>
        <w:textAlignment w:val="baseline"/>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依据：《关于对社会保险领域严重失信企业及其有关人员实施联合惩戒的合作备忘录》（发改财金〔2018〕1704号）</w:t>
      </w:r>
    </w:p>
    <w:p w14:paraId="6C99C3BC">
      <w:pPr>
        <w:widowControl/>
        <w:autoSpaceDE w:val="0"/>
        <w:spacing w:line="480" w:lineRule="exact"/>
        <w:ind w:firstLine="482" w:firstLineChars="200"/>
        <w:jc w:val="left"/>
        <w:textAlignment w:val="baseline"/>
        <w:rPr>
          <w:rFonts w:ascii="宋体" w:hAnsi="宋体" w:eastAsia="宋体" w:cs="宋体"/>
          <w:b/>
          <w:bCs/>
          <w:color w:val="auto"/>
          <w:sz w:val="24"/>
          <w:szCs w:val="24"/>
          <w:highlight w:val="none"/>
        </w:rPr>
      </w:pPr>
    </w:p>
    <w:p w14:paraId="71E5C7CD">
      <w:pPr>
        <w:widowControl/>
        <w:autoSpaceDE w:val="0"/>
        <w:spacing w:line="480" w:lineRule="exact"/>
        <w:ind w:firstLine="482" w:firstLineChars="200"/>
        <w:jc w:val="left"/>
        <w:textAlignment w:val="baseline"/>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五、建筑市场领域严重失信行为</w:t>
      </w:r>
    </w:p>
    <w:p w14:paraId="795DEC3C">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（一）利用虚假材料、以欺骗手段取得企业资质的；</w:t>
      </w:r>
    </w:p>
    <w:p w14:paraId="32707FB3">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（二）发生转包、出借资质，受到行政处罚的；</w:t>
      </w:r>
    </w:p>
    <w:p w14:paraId="0F788D4B">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（三）发生重大及以上工程质量安全事故，或1年内累计发生2次及以上较大工程质量安全事故，或发生性质恶劣、危害性严重、社会影响大的较大工程质量安全事故，受到行政处罚的；</w:t>
      </w:r>
    </w:p>
    <w:p w14:paraId="6F793BB8">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（四）经法院判决或仲裁机构裁决，认定为拖欠工程款,且拒不履行生效法律文书确定的义务的。</w:t>
      </w:r>
    </w:p>
    <w:p w14:paraId="68A149E2">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各级住房城乡建设主管部门应当参照建筑市场主体“黑名单”，对被人力资源社会保障行政部门列入拖欠农民工工资“黑名单”的建筑市场各方主体加强监管。</w:t>
      </w:r>
    </w:p>
    <w:p w14:paraId="0A36FE06">
      <w:pPr>
        <w:widowControl/>
        <w:autoSpaceDE w:val="0"/>
        <w:spacing w:line="480" w:lineRule="exact"/>
        <w:ind w:firstLine="482" w:firstLineChars="200"/>
        <w:jc w:val="left"/>
        <w:textAlignment w:val="baseline"/>
        <w:rPr>
          <w:rFonts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依据：《建筑市场信用管理暂行办法》（建市〔2017〕241号）</w:t>
      </w:r>
    </w:p>
    <w:p w14:paraId="5EAC6DF5">
      <w:pPr>
        <w:widowControl/>
        <w:autoSpaceDE w:val="0"/>
        <w:spacing w:line="480" w:lineRule="exact"/>
        <w:ind w:firstLine="482" w:firstLineChars="200"/>
        <w:jc w:val="left"/>
        <w:textAlignment w:val="baseline"/>
        <w:rPr>
          <w:rFonts w:ascii="宋体" w:hAnsi="宋体" w:eastAsia="宋体" w:cs="宋体"/>
          <w:b/>
          <w:bCs/>
          <w:color w:val="auto"/>
          <w:sz w:val="24"/>
          <w:szCs w:val="24"/>
          <w:highlight w:val="none"/>
        </w:rPr>
      </w:pPr>
    </w:p>
    <w:p w14:paraId="14F582E7">
      <w:pPr>
        <w:widowControl/>
        <w:autoSpaceDE w:val="0"/>
        <w:spacing w:line="480" w:lineRule="exact"/>
        <w:ind w:firstLine="482" w:firstLineChars="200"/>
        <w:jc w:val="left"/>
        <w:textAlignment w:val="baseline"/>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六、政府采购严重失信行为</w:t>
      </w:r>
    </w:p>
    <w:p w14:paraId="3BDC9740">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供应商、采购代理机构在三年内受到财政部门作出下列情形之一的行政处罚，列入政府采购严重违法失信行为记录名单。</w:t>
      </w:r>
    </w:p>
    <w:p w14:paraId="5653764C">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（一）三万元以上罚款；</w:t>
      </w:r>
    </w:p>
    <w:p w14:paraId="681E3220">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（二）在一至三年内禁止参加政府采购活动（处罚期限届满的除外）；</w:t>
      </w:r>
    </w:p>
    <w:p w14:paraId="67E2032D">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（三）在一至三年内禁止代理政府采购业务（处罚期限届满的除外）；</w:t>
      </w:r>
    </w:p>
    <w:p w14:paraId="3D7D9C15">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（四）撤销政府采购代理机构资格（仅针对《政府采购法》第78条修改前作出的处罚决定）。。</w:t>
      </w:r>
    </w:p>
    <w:p w14:paraId="43C27612">
      <w:pPr>
        <w:widowControl/>
        <w:autoSpaceDE w:val="0"/>
        <w:spacing w:line="480" w:lineRule="exact"/>
        <w:ind w:firstLine="482" w:firstLineChars="200"/>
        <w:jc w:val="left"/>
        <w:textAlignment w:val="baseline"/>
        <w:rPr>
          <w:rFonts w:ascii="宋体" w:hAnsi="宋体" w:eastAsia="宋体" w:cs="Times New Roman"/>
          <w:b/>
          <w:color w:val="auto"/>
          <w:sz w:val="24"/>
          <w:szCs w:val="24"/>
          <w:highlight w:val="none"/>
        </w:rPr>
      </w:pPr>
      <w:r>
        <w:rPr>
          <w:rFonts w:hint="eastAsia" w:ascii="宋体" w:hAnsi="宋体" w:eastAsia="宋体" w:cs="宋体"/>
          <w:b/>
          <w:color w:val="auto"/>
          <w:kern w:val="0"/>
          <w:sz w:val="24"/>
          <w:szCs w:val="24"/>
          <w:highlight w:val="none"/>
        </w:rPr>
        <w:t>依据：《关于报送政府采购严重违法失信行为信息记录的通知》（财办库〔2014〕526号）</w:t>
      </w:r>
    </w:p>
    <w:p w14:paraId="33BBBE25">
      <w:pPr>
        <w:widowControl/>
        <w:autoSpaceDE w:val="0"/>
        <w:spacing w:line="480" w:lineRule="exact"/>
        <w:ind w:firstLine="482" w:firstLineChars="200"/>
        <w:jc w:val="left"/>
        <w:textAlignment w:val="baseline"/>
        <w:rPr>
          <w:rFonts w:ascii="宋体" w:hAnsi="宋体" w:eastAsia="宋体" w:cs="宋体"/>
          <w:b/>
          <w:bCs/>
          <w:color w:val="auto"/>
          <w:sz w:val="24"/>
          <w:szCs w:val="24"/>
          <w:highlight w:val="none"/>
        </w:rPr>
      </w:pPr>
    </w:p>
    <w:p w14:paraId="5B01F96A">
      <w:pPr>
        <w:widowControl/>
        <w:autoSpaceDE w:val="0"/>
        <w:spacing w:line="480" w:lineRule="exact"/>
        <w:ind w:firstLine="482" w:firstLineChars="200"/>
        <w:jc w:val="left"/>
        <w:textAlignment w:val="baseline"/>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七、水利建设领域严重失信行为</w:t>
      </w:r>
    </w:p>
    <w:p w14:paraId="40818193">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（一）1年内不良行为记录累计扣分达到20分的；</w:t>
      </w:r>
    </w:p>
    <w:p w14:paraId="70F77006">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（二）"重点关注名单"公开期满后仍不整改的；</w:t>
      </w:r>
    </w:p>
    <w:p w14:paraId="48778618">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（三）存在以下严重危害人民群众身体健康、生命安全和工程质量，以及特别严重违规行为之一的：</w:t>
      </w:r>
    </w:p>
    <w:p w14:paraId="7C48DF51">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1.发生重大、特大质量或安全事故，并负有直接责任的；</w:t>
      </w:r>
    </w:p>
    <w:p w14:paraId="137A56AF">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2.在单位公开信息、工程相关技术成果和工程建设过程中隐瞒真实情况、弄虚作假，提供虚假材料，谋取不正当利益的；</w:t>
      </w:r>
    </w:p>
    <w:p w14:paraId="0C8AB0CD">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3.违反有关法律、法规、规章、政策、技术标准、设计文件、合同等有关规定开展工作造成的工程质量问题，经处理后仍影响工程正常使用或减少工程使用寿命的；</w:t>
      </w:r>
    </w:p>
    <w:p w14:paraId="55995D73">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4.违反规定施工，造成生态环境严重破坏且拒不修复的；</w:t>
      </w:r>
    </w:p>
    <w:p w14:paraId="322195C5">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5.被证实恶意制造工程质量缺陷或质量隐患的；</w:t>
      </w:r>
    </w:p>
    <w:p w14:paraId="5F5EA427">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6.其他违反法律法规，造成严重后果或社会危害较大的。</w:t>
      </w:r>
    </w:p>
    <w:p w14:paraId="08BCC70C">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（四）存在以下严重破坏市场公平竞争秩序和社会正常秩序行为之一的：</w:t>
      </w:r>
    </w:p>
    <w:p w14:paraId="7FBF09E8">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1.不按合同约定，恶意拖欠承包人项目款的；</w:t>
      </w:r>
    </w:p>
    <w:p w14:paraId="0F889B79">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2.隐瞒有关情况或者提供虚假材料申请资质的，在全国水利建设市场监管服务平台公开虚假信息的，以欺骗、贿赂等不正当手段取得资质等级证书的；</w:t>
      </w:r>
    </w:p>
    <w:p w14:paraId="3F97C9F9">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3.出借、借用资质证书,允许他人以本单位名义或借用他人名义等弄虚作假方式承揽业务的；</w:t>
      </w:r>
    </w:p>
    <w:p w14:paraId="36BCFCEC">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4.未取得相应资质或超越资质证书核定范围、营业范围承揽业务的；</w:t>
      </w:r>
    </w:p>
    <w:p w14:paraId="178D1DF6">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5.操纵招标过程，谋取不正当利益的；</w:t>
      </w:r>
    </w:p>
    <w:p w14:paraId="62B8580C">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6.与招标人或投标人串通投标的；</w:t>
      </w:r>
    </w:p>
    <w:p w14:paraId="2DBF7ED8">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7.以向招标人或评标委员会成员行贿的手段谋取中标的；</w:t>
      </w:r>
    </w:p>
    <w:p w14:paraId="5A0ADF19">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8.中标后，无正当理由不签订合同的；</w:t>
      </w:r>
    </w:p>
    <w:p w14:paraId="3E088212">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9.转包或违法分包所承揽业务的；</w:t>
      </w:r>
    </w:p>
    <w:p w14:paraId="30567915">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10.弄虚作假，以欺诈手段降低工程或设备质量的；</w:t>
      </w:r>
    </w:p>
    <w:p w14:paraId="0995ED2E">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11.单位行贿、受贿，受到刑事处罚的；</w:t>
      </w:r>
    </w:p>
    <w:p w14:paraId="2A6FB487">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12.逃税骗税、恶意逃废债务的；</w:t>
      </w:r>
    </w:p>
    <w:p w14:paraId="30FC5801">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13.参与非法集资，受到刑事处罚的；</w:t>
      </w:r>
    </w:p>
    <w:p w14:paraId="05B9C17A">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14.在签订、履行合同过程中，存在合同欺诈行为，受到刑事处罚的；</w:t>
      </w:r>
    </w:p>
    <w:p w14:paraId="6825A37A">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15.虚构工程项目，套取资金的；</w:t>
      </w:r>
    </w:p>
    <w:p w14:paraId="082CCB86">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16.克扣、无故拖欠农民工工资报酬，数额达到认定拒不支付劳动报酬罪数额标准的；</w:t>
      </w:r>
    </w:p>
    <w:p w14:paraId="139AAC81">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17.发生社会公共事件，影响较大，并负有直接责任的。</w:t>
      </w:r>
    </w:p>
    <w:p w14:paraId="6D323F1D">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（五）存在以下拒不履行法定义务，严重影响司法机关、行政机关公信力行为之一的：</w:t>
      </w:r>
    </w:p>
    <w:p w14:paraId="719EB58D">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1.发生事故拒绝接受调查或拒绝提供有关资料的；</w:t>
      </w:r>
    </w:p>
    <w:p w14:paraId="11DE16EE">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2.拒不执行生效的行政处罚决定的；</w:t>
      </w:r>
    </w:p>
    <w:p w14:paraId="0BEED091">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3.拒不执行仲裁、法院判决结果的。</w:t>
      </w:r>
    </w:p>
    <w:p w14:paraId="43DDC56E">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（六）被相关联合惩戒部门列入"黑名单"，符合联合惩戒措施的。</w:t>
      </w:r>
    </w:p>
    <w:p w14:paraId="110D77F0">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生产建设项目水土保持市场主体"黑名单"列入标准见《水利建设市场主体信用信息管理办法》附件。</w:t>
      </w:r>
    </w:p>
    <w:p w14:paraId="13552672">
      <w:pPr>
        <w:widowControl/>
        <w:autoSpaceDE w:val="0"/>
        <w:spacing w:line="480" w:lineRule="exact"/>
        <w:ind w:firstLine="482" w:firstLineChars="200"/>
        <w:jc w:val="left"/>
        <w:textAlignment w:val="baseline"/>
        <w:rPr>
          <w:rFonts w:ascii="宋体" w:hAnsi="宋体" w:eastAsia="宋体" w:cs="Times New Roman"/>
          <w:b/>
          <w:color w:val="auto"/>
          <w:sz w:val="24"/>
          <w:szCs w:val="24"/>
          <w:highlight w:val="none"/>
        </w:rPr>
      </w:pPr>
      <w:r>
        <w:rPr>
          <w:rFonts w:hint="eastAsia" w:ascii="宋体" w:hAnsi="宋体" w:eastAsia="宋体" w:cs="宋体"/>
          <w:b/>
          <w:color w:val="auto"/>
          <w:kern w:val="0"/>
          <w:sz w:val="24"/>
          <w:szCs w:val="24"/>
          <w:highlight w:val="none"/>
        </w:rPr>
        <w:t>依据：《水利建设市场主体信用评价管理办法》水建设〔2019〕307号、《水利建设市场主体信用信息管理办法》水建设〔2019〕306号</w:t>
      </w:r>
    </w:p>
    <w:p w14:paraId="49A90B46">
      <w:pPr>
        <w:widowControl/>
        <w:autoSpaceDE w:val="0"/>
        <w:spacing w:line="480" w:lineRule="exact"/>
        <w:ind w:firstLine="480" w:firstLineChars="200"/>
        <w:textAlignment w:val="baseline"/>
        <w:rPr>
          <w:rFonts w:ascii="宋体" w:hAnsi="宋体" w:eastAsia="宋体" w:cs="宋体"/>
          <w:color w:val="auto"/>
          <w:sz w:val="24"/>
          <w:szCs w:val="24"/>
          <w:highlight w:val="none"/>
        </w:rPr>
      </w:pPr>
    </w:p>
    <w:p w14:paraId="2314D629">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b/>
          <w:bCs/>
          <w:color w:val="auto"/>
          <w:kern w:val="0"/>
          <w:sz w:val="24"/>
          <w:szCs w:val="24"/>
          <w:highlight w:val="none"/>
        </w:rPr>
        <w:t>未列出的其他类别严重失信行为，由招标人（代理机构）根据各类别行业主管部门下发的联合惩戒文件进行判断</w:t>
      </w:r>
      <w:r>
        <w:rPr>
          <w:rFonts w:hint="eastAsia" w:ascii="宋体" w:hAnsi="宋体" w:eastAsia="宋体" w:cs="宋体"/>
          <w:b/>
          <w:color w:val="auto"/>
          <w:sz w:val="24"/>
          <w:highlight w:val="none"/>
        </w:rPr>
        <w:t>。</w:t>
      </w:r>
    </w:p>
    <w:bookmarkEnd w:id="225"/>
    <w:sectPr>
      <w:headerReference r:id="rId5" w:type="default"/>
      <w:footerReference r:id="rId6" w:type="default"/>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細明體">
    <w:altName w:val="Segoe Print"/>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A67BE">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A9D27">
    <w:pPr>
      <w:spacing w:line="189" w:lineRule="auto"/>
      <w:ind w:left="4430"/>
      <w:rPr>
        <w:rFonts w:asciiTheme="minorEastAsia" w:hAnsiTheme="minorEastAsia" w:eastAsiaTheme="minorEastAsia"/>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28065F">
                          <w:pPr>
                            <w:pStyle w:val="2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228065F">
                    <w:pPr>
                      <w:pStyle w:val="2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8AF83">
    <w:pPr>
      <w:pStyle w:val="2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87701">
    <w:pPr>
      <w:pStyle w:val="2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2223C"/>
    <w:multiLevelType w:val="singleLevel"/>
    <w:tmpl w:val="BCA2223C"/>
    <w:lvl w:ilvl="0" w:tentative="0">
      <w:start w:val="2"/>
      <w:numFmt w:val="decimal"/>
      <w:suff w:val="nothing"/>
      <w:lvlText w:val="（%1）"/>
      <w:lvlJc w:val="left"/>
    </w:lvl>
  </w:abstractNum>
  <w:abstractNum w:abstractNumId="1">
    <w:nsid w:val="2323379E"/>
    <w:multiLevelType w:val="multilevel"/>
    <w:tmpl w:val="2323379E"/>
    <w:lvl w:ilvl="0" w:tentative="0">
      <w:start w:val="1"/>
      <w:numFmt w:val="chineseCountingThousand"/>
      <w:pStyle w:val="28"/>
      <w:lvlText w:val="%1、"/>
      <w:lvlJc w:val="left"/>
      <w:pPr>
        <w:ind w:left="42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MDNjMmIyODczM2YwMGZkZTNjYWY1NjIxZTY5YjcifQ=="/>
  </w:docVars>
  <w:rsids>
    <w:rsidRoot w:val="00276BA1"/>
    <w:rsid w:val="0000043F"/>
    <w:rsid w:val="000023CA"/>
    <w:rsid w:val="000037F9"/>
    <w:rsid w:val="000049DA"/>
    <w:rsid w:val="000056B7"/>
    <w:rsid w:val="00006585"/>
    <w:rsid w:val="00007647"/>
    <w:rsid w:val="0000779C"/>
    <w:rsid w:val="000131F7"/>
    <w:rsid w:val="00014039"/>
    <w:rsid w:val="0001600A"/>
    <w:rsid w:val="00016B6C"/>
    <w:rsid w:val="000201D0"/>
    <w:rsid w:val="00020B57"/>
    <w:rsid w:val="00020E3A"/>
    <w:rsid w:val="000261F2"/>
    <w:rsid w:val="000360B3"/>
    <w:rsid w:val="00040C25"/>
    <w:rsid w:val="00042139"/>
    <w:rsid w:val="00042973"/>
    <w:rsid w:val="00042B14"/>
    <w:rsid w:val="00044F49"/>
    <w:rsid w:val="000450C3"/>
    <w:rsid w:val="0004550A"/>
    <w:rsid w:val="00050A3F"/>
    <w:rsid w:val="00061234"/>
    <w:rsid w:val="00062C99"/>
    <w:rsid w:val="000648D2"/>
    <w:rsid w:val="00066B5B"/>
    <w:rsid w:val="00070E0E"/>
    <w:rsid w:val="0007146E"/>
    <w:rsid w:val="00076DB7"/>
    <w:rsid w:val="00080FEB"/>
    <w:rsid w:val="000845C6"/>
    <w:rsid w:val="000845CA"/>
    <w:rsid w:val="00092933"/>
    <w:rsid w:val="00093150"/>
    <w:rsid w:val="00094D41"/>
    <w:rsid w:val="000970FA"/>
    <w:rsid w:val="00097CB9"/>
    <w:rsid w:val="000A0D8A"/>
    <w:rsid w:val="000A10A9"/>
    <w:rsid w:val="000A6693"/>
    <w:rsid w:val="000A7970"/>
    <w:rsid w:val="000A7D94"/>
    <w:rsid w:val="000B00AF"/>
    <w:rsid w:val="000B1511"/>
    <w:rsid w:val="000B46F2"/>
    <w:rsid w:val="000B70F0"/>
    <w:rsid w:val="000C0507"/>
    <w:rsid w:val="000C1DB1"/>
    <w:rsid w:val="000D3A8D"/>
    <w:rsid w:val="000D3F37"/>
    <w:rsid w:val="000E2BA5"/>
    <w:rsid w:val="000E33A5"/>
    <w:rsid w:val="000E3BFD"/>
    <w:rsid w:val="000E3C74"/>
    <w:rsid w:val="000E3F9B"/>
    <w:rsid w:val="000E478E"/>
    <w:rsid w:val="000E6689"/>
    <w:rsid w:val="000E6FA7"/>
    <w:rsid w:val="000F172B"/>
    <w:rsid w:val="000F2198"/>
    <w:rsid w:val="000F3856"/>
    <w:rsid w:val="000F39B6"/>
    <w:rsid w:val="000F54AA"/>
    <w:rsid w:val="000F6B7B"/>
    <w:rsid w:val="00100B0F"/>
    <w:rsid w:val="0010187C"/>
    <w:rsid w:val="0010219C"/>
    <w:rsid w:val="001037E3"/>
    <w:rsid w:val="001077EC"/>
    <w:rsid w:val="0011036B"/>
    <w:rsid w:val="00110820"/>
    <w:rsid w:val="00112D01"/>
    <w:rsid w:val="00113EBF"/>
    <w:rsid w:val="00116050"/>
    <w:rsid w:val="0011660B"/>
    <w:rsid w:val="0012143A"/>
    <w:rsid w:val="00124AF9"/>
    <w:rsid w:val="001258BA"/>
    <w:rsid w:val="00126A59"/>
    <w:rsid w:val="001273BC"/>
    <w:rsid w:val="001301E2"/>
    <w:rsid w:val="001349C6"/>
    <w:rsid w:val="00140687"/>
    <w:rsid w:val="00140769"/>
    <w:rsid w:val="00141FE8"/>
    <w:rsid w:val="00142ED4"/>
    <w:rsid w:val="001459A7"/>
    <w:rsid w:val="00146421"/>
    <w:rsid w:val="00147A94"/>
    <w:rsid w:val="00147E0C"/>
    <w:rsid w:val="00151E19"/>
    <w:rsid w:val="00153B20"/>
    <w:rsid w:val="00154FDC"/>
    <w:rsid w:val="00155F64"/>
    <w:rsid w:val="00157856"/>
    <w:rsid w:val="00160729"/>
    <w:rsid w:val="001651ED"/>
    <w:rsid w:val="00166794"/>
    <w:rsid w:val="00166ED8"/>
    <w:rsid w:val="001714C9"/>
    <w:rsid w:val="00171B25"/>
    <w:rsid w:val="001749A0"/>
    <w:rsid w:val="0018119B"/>
    <w:rsid w:val="001812BE"/>
    <w:rsid w:val="001844AB"/>
    <w:rsid w:val="001853C7"/>
    <w:rsid w:val="00190839"/>
    <w:rsid w:val="00192879"/>
    <w:rsid w:val="00194365"/>
    <w:rsid w:val="001944B8"/>
    <w:rsid w:val="00196DA3"/>
    <w:rsid w:val="001A26EE"/>
    <w:rsid w:val="001A526C"/>
    <w:rsid w:val="001A68E5"/>
    <w:rsid w:val="001A69CE"/>
    <w:rsid w:val="001B2A54"/>
    <w:rsid w:val="001B2BA4"/>
    <w:rsid w:val="001B4A22"/>
    <w:rsid w:val="001B5014"/>
    <w:rsid w:val="001B7327"/>
    <w:rsid w:val="001C3E8A"/>
    <w:rsid w:val="001C646A"/>
    <w:rsid w:val="001D22EA"/>
    <w:rsid w:val="001D3674"/>
    <w:rsid w:val="001D3E9A"/>
    <w:rsid w:val="001D53B4"/>
    <w:rsid w:val="001D67FB"/>
    <w:rsid w:val="001D6C96"/>
    <w:rsid w:val="001E1835"/>
    <w:rsid w:val="001E7198"/>
    <w:rsid w:val="001F19A3"/>
    <w:rsid w:val="001F28D2"/>
    <w:rsid w:val="001F2F45"/>
    <w:rsid w:val="001F3023"/>
    <w:rsid w:val="001F3250"/>
    <w:rsid w:val="001F35F6"/>
    <w:rsid w:val="001F74CA"/>
    <w:rsid w:val="001F7590"/>
    <w:rsid w:val="002003B6"/>
    <w:rsid w:val="0020244A"/>
    <w:rsid w:val="00204609"/>
    <w:rsid w:val="002049B4"/>
    <w:rsid w:val="0020520B"/>
    <w:rsid w:val="00207490"/>
    <w:rsid w:val="002076AD"/>
    <w:rsid w:val="00213C55"/>
    <w:rsid w:val="00216412"/>
    <w:rsid w:val="00223CF4"/>
    <w:rsid w:val="00224C4A"/>
    <w:rsid w:val="00225608"/>
    <w:rsid w:val="002302D6"/>
    <w:rsid w:val="00231187"/>
    <w:rsid w:val="00233C96"/>
    <w:rsid w:val="0023407E"/>
    <w:rsid w:val="00240B40"/>
    <w:rsid w:val="00244182"/>
    <w:rsid w:val="00247817"/>
    <w:rsid w:val="002544A1"/>
    <w:rsid w:val="00256EF1"/>
    <w:rsid w:val="00257ECE"/>
    <w:rsid w:val="00260B94"/>
    <w:rsid w:val="00264F2E"/>
    <w:rsid w:val="00265463"/>
    <w:rsid w:val="00271245"/>
    <w:rsid w:val="00271720"/>
    <w:rsid w:val="00274A9E"/>
    <w:rsid w:val="00276BA1"/>
    <w:rsid w:val="002778C0"/>
    <w:rsid w:val="00280984"/>
    <w:rsid w:val="002835E3"/>
    <w:rsid w:val="00284542"/>
    <w:rsid w:val="00291840"/>
    <w:rsid w:val="00297870"/>
    <w:rsid w:val="002A14D1"/>
    <w:rsid w:val="002A1A1D"/>
    <w:rsid w:val="002A28AD"/>
    <w:rsid w:val="002A3F9B"/>
    <w:rsid w:val="002B04FD"/>
    <w:rsid w:val="002B5318"/>
    <w:rsid w:val="002B6D27"/>
    <w:rsid w:val="002B7A09"/>
    <w:rsid w:val="002C060C"/>
    <w:rsid w:val="002C5DCC"/>
    <w:rsid w:val="002C69FD"/>
    <w:rsid w:val="002C70AB"/>
    <w:rsid w:val="002D05DD"/>
    <w:rsid w:val="002D10A6"/>
    <w:rsid w:val="002D26D1"/>
    <w:rsid w:val="002D2965"/>
    <w:rsid w:val="002D2F38"/>
    <w:rsid w:val="002D3C10"/>
    <w:rsid w:val="002D3D02"/>
    <w:rsid w:val="002D4CB5"/>
    <w:rsid w:val="002D5610"/>
    <w:rsid w:val="002D684B"/>
    <w:rsid w:val="002D6FA4"/>
    <w:rsid w:val="002E1327"/>
    <w:rsid w:val="002E2AD2"/>
    <w:rsid w:val="002E2D3A"/>
    <w:rsid w:val="002E3B26"/>
    <w:rsid w:val="002E4AB8"/>
    <w:rsid w:val="002E7FC4"/>
    <w:rsid w:val="002F1132"/>
    <w:rsid w:val="00303D04"/>
    <w:rsid w:val="00310070"/>
    <w:rsid w:val="0031081B"/>
    <w:rsid w:val="00310EF7"/>
    <w:rsid w:val="003110EC"/>
    <w:rsid w:val="00314577"/>
    <w:rsid w:val="00317A51"/>
    <w:rsid w:val="003206A6"/>
    <w:rsid w:val="00322439"/>
    <w:rsid w:val="0032560D"/>
    <w:rsid w:val="00327C92"/>
    <w:rsid w:val="0033145F"/>
    <w:rsid w:val="00333292"/>
    <w:rsid w:val="003344E7"/>
    <w:rsid w:val="0033460E"/>
    <w:rsid w:val="0033580B"/>
    <w:rsid w:val="003365E7"/>
    <w:rsid w:val="003378D5"/>
    <w:rsid w:val="00341B40"/>
    <w:rsid w:val="00344BF7"/>
    <w:rsid w:val="003473D7"/>
    <w:rsid w:val="003510A4"/>
    <w:rsid w:val="00351AC8"/>
    <w:rsid w:val="00351CB6"/>
    <w:rsid w:val="00353075"/>
    <w:rsid w:val="003536F2"/>
    <w:rsid w:val="00360384"/>
    <w:rsid w:val="00361F77"/>
    <w:rsid w:val="00362110"/>
    <w:rsid w:val="00362561"/>
    <w:rsid w:val="00363022"/>
    <w:rsid w:val="00363E02"/>
    <w:rsid w:val="00370BF9"/>
    <w:rsid w:val="00372CF6"/>
    <w:rsid w:val="00373A96"/>
    <w:rsid w:val="003744F2"/>
    <w:rsid w:val="003800C3"/>
    <w:rsid w:val="0038193A"/>
    <w:rsid w:val="003826C2"/>
    <w:rsid w:val="00383728"/>
    <w:rsid w:val="00385435"/>
    <w:rsid w:val="00386239"/>
    <w:rsid w:val="003903BB"/>
    <w:rsid w:val="00392627"/>
    <w:rsid w:val="003938B3"/>
    <w:rsid w:val="003939B1"/>
    <w:rsid w:val="00394128"/>
    <w:rsid w:val="00394ADC"/>
    <w:rsid w:val="00395131"/>
    <w:rsid w:val="00395235"/>
    <w:rsid w:val="0039561A"/>
    <w:rsid w:val="0039676A"/>
    <w:rsid w:val="00397C7D"/>
    <w:rsid w:val="003A004F"/>
    <w:rsid w:val="003A085C"/>
    <w:rsid w:val="003A092F"/>
    <w:rsid w:val="003A326B"/>
    <w:rsid w:val="003A68A7"/>
    <w:rsid w:val="003B1321"/>
    <w:rsid w:val="003B154F"/>
    <w:rsid w:val="003B2E76"/>
    <w:rsid w:val="003B4130"/>
    <w:rsid w:val="003B715B"/>
    <w:rsid w:val="003C2C62"/>
    <w:rsid w:val="003C2CB8"/>
    <w:rsid w:val="003D1D14"/>
    <w:rsid w:val="003D31C0"/>
    <w:rsid w:val="003D6B5D"/>
    <w:rsid w:val="003D6C7C"/>
    <w:rsid w:val="003D6EFB"/>
    <w:rsid w:val="003D73CA"/>
    <w:rsid w:val="003D7E52"/>
    <w:rsid w:val="003E25C6"/>
    <w:rsid w:val="003F7528"/>
    <w:rsid w:val="0040083C"/>
    <w:rsid w:val="004009F4"/>
    <w:rsid w:val="004011AA"/>
    <w:rsid w:val="0040202C"/>
    <w:rsid w:val="0040563A"/>
    <w:rsid w:val="00406508"/>
    <w:rsid w:val="00412E69"/>
    <w:rsid w:val="00413425"/>
    <w:rsid w:val="004140DE"/>
    <w:rsid w:val="0041456E"/>
    <w:rsid w:val="00414F7E"/>
    <w:rsid w:val="004164F8"/>
    <w:rsid w:val="0042170B"/>
    <w:rsid w:val="00424A97"/>
    <w:rsid w:val="00426F05"/>
    <w:rsid w:val="00427B65"/>
    <w:rsid w:val="004327A2"/>
    <w:rsid w:val="004328E1"/>
    <w:rsid w:val="00436B56"/>
    <w:rsid w:val="0044205D"/>
    <w:rsid w:val="004426E7"/>
    <w:rsid w:val="004427B7"/>
    <w:rsid w:val="00442F6D"/>
    <w:rsid w:val="0044349F"/>
    <w:rsid w:val="00445F1F"/>
    <w:rsid w:val="004474B2"/>
    <w:rsid w:val="0045076F"/>
    <w:rsid w:val="00451F60"/>
    <w:rsid w:val="00452BB2"/>
    <w:rsid w:val="00456054"/>
    <w:rsid w:val="0045656D"/>
    <w:rsid w:val="00460B9A"/>
    <w:rsid w:val="0046291C"/>
    <w:rsid w:val="00462D98"/>
    <w:rsid w:val="00463E7D"/>
    <w:rsid w:val="0046704C"/>
    <w:rsid w:val="0047174D"/>
    <w:rsid w:val="0047268A"/>
    <w:rsid w:val="00472964"/>
    <w:rsid w:val="00472A44"/>
    <w:rsid w:val="00473A89"/>
    <w:rsid w:val="00475899"/>
    <w:rsid w:val="00482C78"/>
    <w:rsid w:val="0048634A"/>
    <w:rsid w:val="004874AE"/>
    <w:rsid w:val="004905FC"/>
    <w:rsid w:val="00494385"/>
    <w:rsid w:val="00494D24"/>
    <w:rsid w:val="004951D1"/>
    <w:rsid w:val="004960BB"/>
    <w:rsid w:val="00496773"/>
    <w:rsid w:val="00496FA4"/>
    <w:rsid w:val="004A27D0"/>
    <w:rsid w:val="004A4D67"/>
    <w:rsid w:val="004A7690"/>
    <w:rsid w:val="004B0A70"/>
    <w:rsid w:val="004B6A5D"/>
    <w:rsid w:val="004C13CB"/>
    <w:rsid w:val="004C5893"/>
    <w:rsid w:val="004D0537"/>
    <w:rsid w:val="004D3D4B"/>
    <w:rsid w:val="004D5498"/>
    <w:rsid w:val="004D66A5"/>
    <w:rsid w:val="004D6B00"/>
    <w:rsid w:val="004D6B8C"/>
    <w:rsid w:val="004D71FC"/>
    <w:rsid w:val="004D7A64"/>
    <w:rsid w:val="004E0D39"/>
    <w:rsid w:val="004E1D50"/>
    <w:rsid w:val="004E65E1"/>
    <w:rsid w:val="004F27A0"/>
    <w:rsid w:val="004F2F91"/>
    <w:rsid w:val="004F63C7"/>
    <w:rsid w:val="004F6BAD"/>
    <w:rsid w:val="00501382"/>
    <w:rsid w:val="005029C7"/>
    <w:rsid w:val="00504B12"/>
    <w:rsid w:val="00510798"/>
    <w:rsid w:val="00512101"/>
    <w:rsid w:val="005125F1"/>
    <w:rsid w:val="0051737F"/>
    <w:rsid w:val="00522A55"/>
    <w:rsid w:val="00524A11"/>
    <w:rsid w:val="00526890"/>
    <w:rsid w:val="0052757B"/>
    <w:rsid w:val="00527768"/>
    <w:rsid w:val="00530EA4"/>
    <w:rsid w:val="00531AD6"/>
    <w:rsid w:val="005327FB"/>
    <w:rsid w:val="00533FCA"/>
    <w:rsid w:val="00536422"/>
    <w:rsid w:val="005470D4"/>
    <w:rsid w:val="005616B5"/>
    <w:rsid w:val="005639C3"/>
    <w:rsid w:val="005668F0"/>
    <w:rsid w:val="005679A4"/>
    <w:rsid w:val="00571FA4"/>
    <w:rsid w:val="00574B0B"/>
    <w:rsid w:val="005760E1"/>
    <w:rsid w:val="00581663"/>
    <w:rsid w:val="00585811"/>
    <w:rsid w:val="00591DC8"/>
    <w:rsid w:val="0059223D"/>
    <w:rsid w:val="00597B15"/>
    <w:rsid w:val="005A044C"/>
    <w:rsid w:val="005A149F"/>
    <w:rsid w:val="005A18B7"/>
    <w:rsid w:val="005A2656"/>
    <w:rsid w:val="005A73B1"/>
    <w:rsid w:val="005B05B5"/>
    <w:rsid w:val="005B16E3"/>
    <w:rsid w:val="005B34C9"/>
    <w:rsid w:val="005B6BD1"/>
    <w:rsid w:val="005C140C"/>
    <w:rsid w:val="005C469C"/>
    <w:rsid w:val="005C6C95"/>
    <w:rsid w:val="005D0200"/>
    <w:rsid w:val="005D44EF"/>
    <w:rsid w:val="005D5109"/>
    <w:rsid w:val="005D5112"/>
    <w:rsid w:val="005D5A94"/>
    <w:rsid w:val="005D5D67"/>
    <w:rsid w:val="005E2874"/>
    <w:rsid w:val="005E425A"/>
    <w:rsid w:val="005E6202"/>
    <w:rsid w:val="005F240E"/>
    <w:rsid w:val="005F2B97"/>
    <w:rsid w:val="005F34CC"/>
    <w:rsid w:val="005F3914"/>
    <w:rsid w:val="005F3B5A"/>
    <w:rsid w:val="005F6AB4"/>
    <w:rsid w:val="00607471"/>
    <w:rsid w:val="00610A66"/>
    <w:rsid w:val="00610C25"/>
    <w:rsid w:val="00612CFF"/>
    <w:rsid w:val="00613177"/>
    <w:rsid w:val="00613F7C"/>
    <w:rsid w:val="00614BF2"/>
    <w:rsid w:val="0061557C"/>
    <w:rsid w:val="00617ECF"/>
    <w:rsid w:val="006208AC"/>
    <w:rsid w:val="00623DE2"/>
    <w:rsid w:val="00627601"/>
    <w:rsid w:val="006300D0"/>
    <w:rsid w:val="00630BA1"/>
    <w:rsid w:val="00632012"/>
    <w:rsid w:val="00634694"/>
    <w:rsid w:val="00635682"/>
    <w:rsid w:val="006357FD"/>
    <w:rsid w:val="00636517"/>
    <w:rsid w:val="00637122"/>
    <w:rsid w:val="00637690"/>
    <w:rsid w:val="00637BB7"/>
    <w:rsid w:val="0064044E"/>
    <w:rsid w:val="00640E1E"/>
    <w:rsid w:val="0064389A"/>
    <w:rsid w:val="00644F02"/>
    <w:rsid w:val="00645442"/>
    <w:rsid w:val="00650474"/>
    <w:rsid w:val="006525CD"/>
    <w:rsid w:val="00652C67"/>
    <w:rsid w:val="00653F7F"/>
    <w:rsid w:val="00655229"/>
    <w:rsid w:val="0065682C"/>
    <w:rsid w:val="00662EE8"/>
    <w:rsid w:val="00663813"/>
    <w:rsid w:val="00664AFD"/>
    <w:rsid w:val="00667567"/>
    <w:rsid w:val="0067391A"/>
    <w:rsid w:val="00674173"/>
    <w:rsid w:val="00676551"/>
    <w:rsid w:val="00677D87"/>
    <w:rsid w:val="0068405B"/>
    <w:rsid w:val="00690DB1"/>
    <w:rsid w:val="00691C87"/>
    <w:rsid w:val="00693404"/>
    <w:rsid w:val="006953D9"/>
    <w:rsid w:val="006A03C1"/>
    <w:rsid w:val="006A1269"/>
    <w:rsid w:val="006A49DE"/>
    <w:rsid w:val="006A5803"/>
    <w:rsid w:val="006A69C3"/>
    <w:rsid w:val="006A7C15"/>
    <w:rsid w:val="006B1242"/>
    <w:rsid w:val="006B1DBC"/>
    <w:rsid w:val="006B7C1C"/>
    <w:rsid w:val="006B7D9A"/>
    <w:rsid w:val="006C06D9"/>
    <w:rsid w:val="006C3E22"/>
    <w:rsid w:val="006C45B8"/>
    <w:rsid w:val="006C48CA"/>
    <w:rsid w:val="006C5716"/>
    <w:rsid w:val="006C64B2"/>
    <w:rsid w:val="006C6D92"/>
    <w:rsid w:val="006C74A9"/>
    <w:rsid w:val="006D07DE"/>
    <w:rsid w:val="006D361A"/>
    <w:rsid w:val="006D36C1"/>
    <w:rsid w:val="006E06D9"/>
    <w:rsid w:val="006E0FB8"/>
    <w:rsid w:val="006E1D40"/>
    <w:rsid w:val="006E2E1F"/>
    <w:rsid w:val="006E3785"/>
    <w:rsid w:val="006E5059"/>
    <w:rsid w:val="006F0247"/>
    <w:rsid w:val="006F1A03"/>
    <w:rsid w:val="006F5F03"/>
    <w:rsid w:val="006F5FFF"/>
    <w:rsid w:val="0070078B"/>
    <w:rsid w:val="00710804"/>
    <w:rsid w:val="00711FC6"/>
    <w:rsid w:val="007130B1"/>
    <w:rsid w:val="00715071"/>
    <w:rsid w:val="00716532"/>
    <w:rsid w:val="00716F39"/>
    <w:rsid w:val="00720574"/>
    <w:rsid w:val="00720D0D"/>
    <w:rsid w:val="007231E9"/>
    <w:rsid w:val="007243E6"/>
    <w:rsid w:val="00724F0E"/>
    <w:rsid w:val="00725DA2"/>
    <w:rsid w:val="00727C59"/>
    <w:rsid w:val="00733730"/>
    <w:rsid w:val="00734E5D"/>
    <w:rsid w:val="00736013"/>
    <w:rsid w:val="00737BF8"/>
    <w:rsid w:val="0074339B"/>
    <w:rsid w:val="007516F4"/>
    <w:rsid w:val="00752504"/>
    <w:rsid w:val="00753ECD"/>
    <w:rsid w:val="00756245"/>
    <w:rsid w:val="00761662"/>
    <w:rsid w:val="0076222D"/>
    <w:rsid w:val="00763E37"/>
    <w:rsid w:val="00763F83"/>
    <w:rsid w:val="00764043"/>
    <w:rsid w:val="007757CF"/>
    <w:rsid w:val="0078128F"/>
    <w:rsid w:val="007819D9"/>
    <w:rsid w:val="00782F68"/>
    <w:rsid w:val="00785E68"/>
    <w:rsid w:val="007866A5"/>
    <w:rsid w:val="0078683C"/>
    <w:rsid w:val="00787C8F"/>
    <w:rsid w:val="00790EDB"/>
    <w:rsid w:val="00791538"/>
    <w:rsid w:val="0079326E"/>
    <w:rsid w:val="007954E7"/>
    <w:rsid w:val="00796EDE"/>
    <w:rsid w:val="007A085A"/>
    <w:rsid w:val="007A5A58"/>
    <w:rsid w:val="007B1C56"/>
    <w:rsid w:val="007C1DD7"/>
    <w:rsid w:val="007C3CD5"/>
    <w:rsid w:val="007C4CBA"/>
    <w:rsid w:val="007C5E88"/>
    <w:rsid w:val="007C61EF"/>
    <w:rsid w:val="007D1C0D"/>
    <w:rsid w:val="007D2D23"/>
    <w:rsid w:val="007D7AA0"/>
    <w:rsid w:val="007E2241"/>
    <w:rsid w:val="007E2627"/>
    <w:rsid w:val="007E27D6"/>
    <w:rsid w:val="007E3921"/>
    <w:rsid w:val="007F2052"/>
    <w:rsid w:val="007F40D8"/>
    <w:rsid w:val="00801028"/>
    <w:rsid w:val="00802DCE"/>
    <w:rsid w:val="00803793"/>
    <w:rsid w:val="00804000"/>
    <w:rsid w:val="0081017D"/>
    <w:rsid w:val="008153D1"/>
    <w:rsid w:val="00817A01"/>
    <w:rsid w:val="00820E1F"/>
    <w:rsid w:val="00825E35"/>
    <w:rsid w:val="00830A4E"/>
    <w:rsid w:val="008334F8"/>
    <w:rsid w:val="00835FFD"/>
    <w:rsid w:val="00840693"/>
    <w:rsid w:val="00844FAA"/>
    <w:rsid w:val="008504BF"/>
    <w:rsid w:val="008524CE"/>
    <w:rsid w:val="00854ED9"/>
    <w:rsid w:val="00855391"/>
    <w:rsid w:val="0086440C"/>
    <w:rsid w:val="00875269"/>
    <w:rsid w:val="00876294"/>
    <w:rsid w:val="00876659"/>
    <w:rsid w:val="0087734C"/>
    <w:rsid w:val="00881EEF"/>
    <w:rsid w:val="00882141"/>
    <w:rsid w:val="00883A1A"/>
    <w:rsid w:val="008876EC"/>
    <w:rsid w:val="008922A8"/>
    <w:rsid w:val="00894999"/>
    <w:rsid w:val="008953F3"/>
    <w:rsid w:val="00895BD5"/>
    <w:rsid w:val="008A1475"/>
    <w:rsid w:val="008A16C4"/>
    <w:rsid w:val="008A6FED"/>
    <w:rsid w:val="008B39C5"/>
    <w:rsid w:val="008B51AA"/>
    <w:rsid w:val="008C2AA8"/>
    <w:rsid w:val="008C67F2"/>
    <w:rsid w:val="008D064A"/>
    <w:rsid w:val="008D1E91"/>
    <w:rsid w:val="008D264C"/>
    <w:rsid w:val="008D2B0F"/>
    <w:rsid w:val="008D5611"/>
    <w:rsid w:val="008E294B"/>
    <w:rsid w:val="008E449E"/>
    <w:rsid w:val="008E4BDD"/>
    <w:rsid w:val="008E4DA7"/>
    <w:rsid w:val="008E5B79"/>
    <w:rsid w:val="008E770C"/>
    <w:rsid w:val="008E7CD5"/>
    <w:rsid w:val="008F187F"/>
    <w:rsid w:val="008F39F1"/>
    <w:rsid w:val="008F402F"/>
    <w:rsid w:val="008F76E8"/>
    <w:rsid w:val="0090697A"/>
    <w:rsid w:val="009078A1"/>
    <w:rsid w:val="00911E9C"/>
    <w:rsid w:val="00913A93"/>
    <w:rsid w:val="00914AD1"/>
    <w:rsid w:val="00917405"/>
    <w:rsid w:val="00920F7C"/>
    <w:rsid w:val="00924743"/>
    <w:rsid w:val="00924F78"/>
    <w:rsid w:val="00934CAE"/>
    <w:rsid w:val="0094257D"/>
    <w:rsid w:val="009467D2"/>
    <w:rsid w:val="009469A8"/>
    <w:rsid w:val="0095467C"/>
    <w:rsid w:val="00954A61"/>
    <w:rsid w:val="00955C6F"/>
    <w:rsid w:val="00956916"/>
    <w:rsid w:val="00966C7B"/>
    <w:rsid w:val="00967FE8"/>
    <w:rsid w:val="009700F4"/>
    <w:rsid w:val="009701DC"/>
    <w:rsid w:val="00970996"/>
    <w:rsid w:val="009715D8"/>
    <w:rsid w:val="0097552B"/>
    <w:rsid w:val="00976B1D"/>
    <w:rsid w:val="009775B8"/>
    <w:rsid w:val="009811A8"/>
    <w:rsid w:val="0098659E"/>
    <w:rsid w:val="009904C9"/>
    <w:rsid w:val="00992CEC"/>
    <w:rsid w:val="00995BF9"/>
    <w:rsid w:val="009A0CAF"/>
    <w:rsid w:val="009A1328"/>
    <w:rsid w:val="009A2207"/>
    <w:rsid w:val="009B0673"/>
    <w:rsid w:val="009B0EDA"/>
    <w:rsid w:val="009B3545"/>
    <w:rsid w:val="009B6C42"/>
    <w:rsid w:val="009D2690"/>
    <w:rsid w:val="009D2998"/>
    <w:rsid w:val="009D31F7"/>
    <w:rsid w:val="009D32C2"/>
    <w:rsid w:val="009D50DB"/>
    <w:rsid w:val="009E2932"/>
    <w:rsid w:val="009E2B8D"/>
    <w:rsid w:val="009E2E04"/>
    <w:rsid w:val="009E3A0A"/>
    <w:rsid w:val="009E4BCE"/>
    <w:rsid w:val="009E5ECD"/>
    <w:rsid w:val="009F3E91"/>
    <w:rsid w:val="009F7A34"/>
    <w:rsid w:val="00A008DA"/>
    <w:rsid w:val="00A00C7A"/>
    <w:rsid w:val="00A0571E"/>
    <w:rsid w:val="00A101E6"/>
    <w:rsid w:val="00A130DE"/>
    <w:rsid w:val="00A1499B"/>
    <w:rsid w:val="00A16EB2"/>
    <w:rsid w:val="00A17CCF"/>
    <w:rsid w:val="00A20CD3"/>
    <w:rsid w:val="00A30A1B"/>
    <w:rsid w:val="00A314C2"/>
    <w:rsid w:val="00A35C01"/>
    <w:rsid w:val="00A46CD5"/>
    <w:rsid w:val="00A50447"/>
    <w:rsid w:val="00A519A0"/>
    <w:rsid w:val="00A56D48"/>
    <w:rsid w:val="00A60B3D"/>
    <w:rsid w:val="00A62A2E"/>
    <w:rsid w:val="00A63E86"/>
    <w:rsid w:val="00A65139"/>
    <w:rsid w:val="00A655F5"/>
    <w:rsid w:val="00A66A60"/>
    <w:rsid w:val="00A713BD"/>
    <w:rsid w:val="00A71D1A"/>
    <w:rsid w:val="00A757C3"/>
    <w:rsid w:val="00A75E5B"/>
    <w:rsid w:val="00A7684A"/>
    <w:rsid w:val="00A83B69"/>
    <w:rsid w:val="00A86533"/>
    <w:rsid w:val="00A91CA2"/>
    <w:rsid w:val="00A92FB8"/>
    <w:rsid w:val="00A932EE"/>
    <w:rsid w:val="00A948F1"/>
    <w:rsid w:val="00AA18F9"/>
    <w:rsid w:val="00AA1D7D"/>
    <w:rsid w:val="00AA2790"/>
    <w:rsid w:val="00AA3806"/>
    <w:rsid w:val="00AA7F1B"/>
    <w:rsid w:val="00AB066F"/>
    <w:rsid w:val="00AB139D"/>
    <w:rsid w:val="00AB187D"/>
    <w:rsid w:val="00AB2D05"/>
    <w:rsid w:val="00AB3EFB"/>
    <w:rsid w:val="00AC0B05"/>
    <w:rsid w:val="00AC7F9D"/>
    <w:rsid w:val="00AD079A"/>
    <w:rsid w:val="00AD1890"/>
    <w:rsid w:val="00AD4A6B"/>
    <w:rsid w:val="00AE2149"/>
    <w:rsid w:val="00AE33AE"/>
    <w:rsid w:val="00AE3F91"/>
    <w:rsid w:val="00AE4B4A"/>
    <w:rsid w:val="00AF020F"/>
    <w:rsid w:val="00AF1F69"/>
    <w:rsid w:val="00B00288"/>
    <w:rsid w:val="00B0053D"/>
    <w:rsid w:val="00B02AF8"/>
    <w:rsid w:val="00B03916"/>
    <w:rsid w:val="00B039E3"/>
    <w:rsid w:val="00B06D36"/>
    <w:rsid w:val="00B0722E"/>
    <w:rsid w:val="00B07C1F"/>
    <w:rsid w:val="00B12BC4"/>
    <w:rsid w:val="00B22838"/>
    <w:rsid w:val="00B26818"/>
    <w:rsid w:val="00B311CE"/>
    <w:rsid w:val="00B31C60"/>
    <w:rsid w:val="00B3250C"/>
    <w:rsid w:val="00B33E95"/>
    <w:rsid w:val="00B35AE1"/>
    <w:rsid w:val="00B3720B"/>
    <w:rsid w:val="00B4477D"/>
    <w:rsid w:val="00B458F3"/>
    <w:rsid w:val="00B45D0B"/>
    <w:rsid w:val="00B4619F"/>
    <w:rsid w:val="00B54621"/>
    <w:rsid w:val="00B5558A"/>
    <w:rsid w:val="00B56513"/>
    <w:rsid w:val="00B6149B"/>
    <w:rsid w:val="00B63D36"/>
    <w:rsid w:val="00B64376"/>
    <w:rsid w:val="00B6570C"/>
    <w:rsid w:val="00B71D0E"/>
    <w:rsid w:val="00B7401F"/>
    <w:rsid w:val="00B769CF"/>
    <w:rsid w:val="00B77614"/>
    <w:rsid w:val="00B77636"/>
    <w:rsid w:val="00B806C3"/>
    <w:rsid w:val="00B80D6F"/>
    <w:rsid w:val="00B84290"/>
    <w:rsid w:val="00B84FCA"/>
    <w:rsid w:val="00B9089F"/>
    <w:rsid w:val="00B91826"/>
    <w:rsid w:val="00B91AEE"/>
    <w:rsid w:val="00B95F5A"/>
    <w:rsid w:val="00B967C6"/>
    <w:rsid w:val="00B96EAD"/>
    <w:rsid w:val="00BA21CC"/>
    <w:rsid w:val="00BA2EFC"/>
    <w:rsid w:val="00BA79F5"/>
    <w:rsid w:val="00BB10ED"/>
    <w:rsid w:val="00BB1747"/>
    <w:rsid w:val="00BB276E"/>
    <w:rsid w:val="00BB295A"/>
    <w:rsid w:val="00BB3AB6"/>
    <w:rsid w:val="00BB766D"/>
    <w:rsid w:val="00BC003F"/>
    <w:rsid w:val="00BC007B"/>
    <w:rsid w:val="00BC0FFE"/>
    <w:rsid w:val="00BC148D"/>
    <w:rsid w:val="00BC26BA"/>
    <w:rsid w:val="00BC35F8"/>
    <w:rsid w:val="00BC47D9"/>
    <w:rsid w:val="00BC481B"/>
    <w:rsid w:val="00BD1989"/>
    <w:rsid w:val="00BD2771"/>
    <w:rsid w:val="00BD617C"/>
    <w:rsid w:val="00BD6962"/>
    <w:rsid w:val="00BE1DBC"/>
    <w:rsid w:val="00BF2BD0"/>
    <w:rsid w:val="00BF376F"/>
    <w:rsid w:val="00BF3E44"/>
    <w:rsid w:val="00BF3F05"/>
    <w:rsid w:val="00BF436A"/>
    <w:rsid w:val="00BF46A6"/>
    <w:rsid w:val="00BF48F0"/>
    <w:rsid w:val="00BF53E1"/>
    <w:rsid w:val="00BF56F8"/>
    <w:rsid w:val="00BF5FD3"/>
    <w:rsid w:val="00BF71FB"/>
    <w:rsid w:val="00C00819"/>
    <w:rsid w:val="00C02546"/>
    <w:rsid w:val="00C044C1"/>
    <w:rsid w:val="00C04AB6"/>
    <w:rsid w:val="00C06545"/>
    <w:rsid w:val="00C10D50"/>
    <w:rsid w:val="00C12CEE"/>
    <w:rsid w:val="00C134AF"/>
    <w:rsid w:val="00C17625"/>
    <w:rsid w:val="00C220FC"/>
    <w:rsid w:val="00C24B5B"/>
    <w:rsid w:val="00C24DFA"/>
    <w:rsid w:val="00C24F9D"/>
    <w:rsid w:val="00C261F6"/>
    <w:rsid w:val="00C276F6"/>
    <w:rsid w:val="00C30182"/>
    <w:rsid w:val="00C30382"/>
    <w:rsid w:val="00C30C9E"/>
    <w:rsid w:val="00C31FC9"/>
    <w:rsid w:val="00C37A63"/>
    <w:rsid w:val="00C41F60"/>
    <w:rsid w:val="00C46A36"/>
    <w:rsid w:val="00C47037"/>
    <w:rsid w:val="00C53625"/>
    <w:rsid w:val="00C53E9F"/>
    <w:rsid w:val="00C548BA"/>
    <w:rsid w:val="00C54D56"/>
    <w:rsid w:val="00C57784"/>
    <w:rsid w:val="00C602C1"/>
    <w:rsid w:val="00C63608"/>
    <w:rsid w:val="00C63FC0"/>
    <w:rsid w:val="00C66392"/>
    <w:rsid w:val="00C67D87"/>
    <w:rsid w:val="00C72C8D"/>
    <w:rsid w:val="00C73D09"/>
    <w:rsid w:val="00C74C5E"/>
    <w:rsid w:val="00C75ECA"/>
    <w:rsid w:val="00C80D87"/>
    <w:rsid w:val="00C82558"/>
    <w:rsid w:val="00C827A2"/>
    <w:rsid w:val="00C82B69"/>
    <w:rsid w:val="00C82CB3"/>
    <w:rsid w:val="00C86E29"/>
    <w:rsid w:val="00C91B28"/>
    <w:rsid w:val="00C91F3A"/>
    <w:rsid w:val="00C93590"/>
    <w:rsid w:val="00CA314D"/>
    <w:rsid w:val="00CA5446"/>
    <w:rsid w:val="00CB1213"/>
    <w:rsid w:val="00CB12E8"/>
    <w:rsid w:val="00CB218D"/>
    <w:rsid w:val="00CB3C63"/>
    <w:rsid w:val="00CB5625"/>
    <w:rsid w:val="00CB5797"/>
    <w:rsid w:val="00CB7E67"/>
    <w:rsid w:val="00CC03E5"/>
    <w:rsid w:val="00CC1C17"/>
    <w:rsid w:val="00CC4F01"/>
    <w:rsid w:val="00CC4F7F"/>
    <w:rsid w:val="00CC5C15"/>
    <w:rsid w:val="00CD0146"/>
    <w:rsid w:val="00CD0252"/>
    <w:rsid w:val="00CD09E1"/>
    <w:rsid w:val="00CD49AD"/>
    <w:rsid w:val="00CD74CC"/>
    <w:rsid w:val="00CE1780"/>
    <w:rsid w:val="00CE3028"/>
    <w:rsid w:val="00CE353F"/>
    <w:rsid w:val="00CE3C6D"/>
    <w:rsid w:val="00CE4327"/>
    <w:rsid w:val="00CE4913"/>
    <w:rsid w:val="00CE66BD"/>
    <w:rsid w:val="00CF0671"/>
    <w:rsid w:val="00CF247A"/>
    <w:rsid w:val="00CF4190"/>
    <w:rsid w:val="00CF44AD"/>
    <w:rsid w:val="00CF4FC0"/>
    <w:rsid w:val="00D00028"/>
    <w:rsid w:val="00D0107F"/>
    <w:rsid w:val="00D033A5"/>
    <w:rsid w:val="00D1072F"/>
    <w:rsid w:val="00D108A5"/>
    <w:rsid w:val="00D14585"/>
    <w:rsid w:val="00D20249"/>
    <w:rsid w:val="00D20831"/>
    <w:rsid w:val="00D20EFF"/>
    <w:rsid w:val="00D2551E"/>
    <w:rsid w:val="00D25F48"/>
    <w:rsid w:val="00D304CC"/>
    <w:rsid w:val="00D3077A"/>
    <w:rsid w:val="00D31324"/>
    <w:rsid w:val="00D36A58"/>
    <w:rsid w:val="00D47756"/>
    <w:rsid w:val="00D53ED8"/>
    <w:rsid w:val="00D604AC"/>
    <w:rsid w:val="00D608F8"/>
    <w:rsid w:val="00D64857"/>
    <w:rsid w:val="00D6493A"/>
    <w:rsid w:val="00D649A5"/>
    <w:rsid w:val="00D67875"/>
    <w:rsid w:val="00D719B9"/>
    <w:rsid w:val="00D71E86"/>
    <w:rsid w:val="00D731C6"/>
    <w:rsid w:val="00D745C5"/>
    <w:rsid w:val="00D75327"/>
    <w:rsid w:val="00D80C36"/>
    <w:rsid w:val="00D81A32"/>
    <w:rsid w:val="00D86EE1"/>
    <w:rsid w:val="00D87E70"/>
    <w:rsid w:val="00D91C23"/>
    <w:rsid w:val="00D9377F"/>
    <w:rsid w:val="00D95E90"/>
    <w:rsid w:val="00D96126"/>
    <w:rsid w:val="00D96523"/>
    <w:rsid w:val="00D97B36"/>
    <w:rsid w:val="00DA2FD5"/>
    <w:rsid w:val="00DA515B"/>
    <w:rsid w:val="00DB0B64"/>
    <w:rsid w:val="00DB2522"/>
    <w:rsid w:val="00DB42D9"/>
    <w:rsid w:val="00DB4B1C"/>
    <w:rsid w:val="00DB5085"/>
    <w:rsid w:val="00DB5E31"/>
    <w:rsid w:val="00DB619F"/>
    <w:rsid w:val="00DB6E51"/>
    <w:rsid w:val="00DC1062"/>
    <w:rsid w:val="00DC132C"/>
    <w:rsid w:val="00DC1AD2"/>
    <w:rsid w:val="00DC48CC"/>
    <w:rsid w:val="00DD078D"/>
    <w:rsid w:val="00DD3189"/>
    <w:rsid w:val="00DD4191"/>
    <w:rsid w:val="00DD43F0"/>
    <w:rsid w:val="00DD44DE"/>
    <w:rsid w:val="00DD5C4A"/>
    <w:rsid w:val="00DE09AB"/>
    <w:rsid w:val="00DE4A3F"/>
    <w:rsid w:val="00DE5A99"/>
    <w:rsid w:val="00DF24C2"/>
    <w:rsid w:val="00DF4367"/>
    <w:rsid w:val="00DF70AA"/>
    <w:rsid w:val="00DF7291"/>
    <w:rsid w:val="00E043D3"/>
    <w:rsid w:val="00E0574A"/>
    <w:rsid w:val="00E076D8"/>
    <w:rsid w:val="00E10709"/>
    <w:rsid w:val="00E1243D"/>
    <w:rsid w:val="00E12742"/>
    <w:rsid w:val="00E1403B"/>
    <w:rsid w:val="00E146D4"/>
    <w:rsid w:val="00E14B2F"/>
    <w:rsid w:val="00E15966"/>
    <w:rsid w:val="00E1744B"/>
    <w:rsid w:val="00E21D37"/>
    <w:rsid w:val="00E220ED"/>
    <w:rsid w:val="00E22B44"/>
    <w:rsid w:val="00E24551"/>
    <w:rsid w:val="00E25E48"/>
    <w:rsid w:val="00E30ACD"/>
    <w:rsid w:val="00E31806"/>
    <w:rsid w:val="00E319C3"/>
    <w:rsid w:val="00E32735"/>
    <w:rsid w:val="00E416DF"/>
    <w:rsid w:val="00E42251"/>
    <w:rsid w:val="00E44B88"/>
    <w:rsid w:val="00E51CEF"/>
    <w:rsid w:val="00E66E36"/>
    <w:rsid w:val="00E671AE"/>
    <w:rsid w:val="00E702ED"/>
    <w:rsid w:val="00E709A4"/>
    <w:rsid w:val="00E75D63"/>
    <w:rsid w:val="00E772DB"/>
    <w:rsid w:val="00E77C34"/>
    <w:rsid w:val="00E81367"/>
    <w:rsid w:val="00E8338F"/>
    <w:rsid w:val="00E85191"/>
    <w:rsid w:val="00E86012"/>
    <w:rsid w:val="00E86BAB"/>
    <w:rsid w:val="00E9037B"/>
    <w:rsid w:val="00E9432B"/>
    <w:rsid w:val="00E94E10"/>
    <w:rsid w:val="00E96743"/>
    <w:rsid w:val="00E96A42"/>
    <w:rsid w:val="00EA49C5"/>
    <w:rsid w:val="00EA6279"/>
    <w:rsid w:val="00EA68A0"/>
    <w:rsid w:val="00EA7B0A"/>
    <w:rsid w:val="00EB1969"/>
    <w:rsid w:val="00EB5027"/>
    <w:rsid w:val="00EB5EE1"/>
    <w:rsid w:val="00EC1836"/>
    <w:rsid w:val="00EC2442"/>
    <w:rsid w:val="00EC318C"/>
    <w:rsid w:val="00EC3990"/>
    <w:rsid w:val="00EC42AE"/>
    <w:rsid w:val="00EC484B"/>
    <w:rsid w:val="00EC5D8E"/>
    <w:rsid w:val="00EC7E58"/>
    <w:rsid w:val="00ED15FA"/>
    <w:rsid w:val="00ED3881"/>
    <w:rsid w:val="00ED5C9F"/>
    <w:rsid w:val="00ED7302"/>
    <w:rsid w:val="00ED7C12"/>
    <w:rsid w:val="00EE07A3"/>
    <w:rsid w:val="00EE0B52"/>
    <w:rsid w:val="00EE45D7"/>
    <w:rsid w:val="00EE6E9A"/>
    <w:rsid w:val="00EE789D"/>
    <w:rsid w:val="00EF04AC"/>
    <w:rsid w:val="00EF2AC4"/>
    <w:rsid w:val="00EF397E"/>
    <w:rsid w:val="00EF51CE"/>
    <w:rsid w:val="00EF7A17"/>
    <w:rsid w:val="00F05AE9"/>
    <w:rsid w:val="00F06F68"/>
    <w:rsid w:val="00F117BB"/>
    <w:rsid w:val="00F13DBE"/>
    <w:rsid w:val="00F1488C"/>
    <w:rsid w:val="00F15E9D"/>
    <w:rsid w:val="00F200DD"/>
    <w:rsid w:val="00F24C2D"/>
    <w:rsid w:val="00F25584"/>
    <w:rsid w:val="00F27D59"/>
    <w:rsid w:val="00F32A81"/>
    <w:rsid w:val="00F40C82"/>
    <w:rsid w:val="00F4197F"/>
    <w:rsid w:val="00F431D4"/>
    <w:rsid w:val="00F44A0E"/>
    <w:rsid w:val="00F44AF1"/>
    <w:rsid w:val="00F45DFF"/>
    <w:rsid w:val="00F46998"/>
    <w:rsid w:val="00F5382D"/>
    <w:rsid w:val="00F53D9C"/>
    <w:rsid w:val="00F5462B"/>
    <w:rsid w:val="00F57205"/>
    <w:rsid w:val="00F62DD8"/>
    <w:rsid w:val="00F634AD"/>
    <w:rsid w:val="00F63677"/>
    <w:rsid w:val="00F6568C"/>
    <w:rsid w:val="00F71EBA"/>
    <w:rsid w:val="00F75B81"/>
    <w:rsid w:val="00F804C4"/>
    <w:rsid w:val="00F80C7E"/>
    <w:rsid w:val="00F82F83"/>
    <w:rsid w:val="00F84506"/>
    <w:rsid w:val="00F85A85"/>
    <w:rsid w:val="00F873AC"/>
    <w:rsid w:val="00F90C64"/>
    <w:rsid w:val="00F92B30"/>
    <w:rsid w:val="00F933B9"/>
    <w:rsid w:val="00F94674"/>
    <w:rsid w:val="00F94919"/>
    <w:rsid w:val="00F94A59"/>
    <w:rsid w:val="00FA1E07"/>
    <w:rsid w:val="00FA25B6"/>
    <w:rsid w:val="00FA2FAF"/>
    <w:rsid w:val="00FA3757"/>
    <w:rsid w:val="00FA3C61"/>
    <w:rsid w:val="00FA54F6"/>
    <w:rsid w:val="00FA64B1"/>
    <w:rsid w:val="00FA70F3"/>
    <w:rsid w:val="00FA71CD"/>
    <w:rsid w:val="00FA7FDD"/>
    <w:rsid w:val="00FB0453"/>
    <w:rsid w:val="00FB0C07"/>
    <w:rsid w:val="00FB298D"/>
    <w:rsid w:val="00FB35EA"/>
    <w:rsid w:val="00FB4832"/>
    <w:rsid w:val="00FC1439"/>
    <w:rsid w:val="00FC1B7A"/>
    <w:rsid w:val="00FC2DB5"/>
    <w:rsid w:val="00FC33AA"/>
    <w:rsid w:val="00FC3F65"/>
    <w:rsid w:val="00FC4173"/>
    <w:rsid w:val="00FC71DA"/>
    <w:rsid w:val="00FC724B"/>
    <w:rsid w:val="00FC7668"/>
    <w:rsid w:val="00FC7910"/>
    <w:rsid w:val="00FD01E0"/>
    <w:rsid w:val="00FD0FC8"/>
    <w:rsid w:val="00FD2B6F"/>
    <w:rsid w:val="00FD4B78"/>
    <w:rsid w:val="00FD6FF8"/>
    <w:rsid w:val="00FE1627"/>
    <w:rsid w:val="00FE2AA2"/>
    <w:rsid w:val="00FE439C"/>
    <w:rsid w:val="00FE444F"/>
    <w:rsid w:val="00FE54B7"/>
    <w:rsid w:val="00FE5BD0"/>
    <w:rsid w:val="00FE62B8"/>
    <w:rsid w:val="00FE69F4"/>
    <w:rsid w:val="00FE73F0"/>
    <w:rsid w:val="00FE7E42"/>
    <w:rsid w:val="00FF092F"/>
    <w:rsid w:val="00FF0DA7"/>
    <w:rsid w:val="00FF44E0"/>
    <w:rsid w:val="00FF6C72"/>
    <w:rsid w:val="01A94010"/>
    <w:rsid w:val="01DF6F92"/>
    <w:rsid w:val="0498644A"/>
    <w:rsid w:val="05BF1420"/>
    <w:rsid w:val="078220FB"/>
    <w:rsid w:val="09C30F57"/>
    <w:rsid w:val="0A3B3C8B"/>
    <w:rsid w:val="0B45552B"/>
    <w:rsid w:val="0BF263F6"/>
    <w:rsid w:val="0CF629FC"/>
    <w:rsid w:val="0D596940"/>
    <w:rsid w:val="0D7E0499"/>
    <w:rsid w:val="0D981BB8"/>
    <w:rsid w:val="0F3932BC"/>
    <w:rsid w:val="105E794E"/>
    <w:rsid w:val="106B05B6"/>
    <w:rsid w:val="119360D6"/>
    <w:rsid w:val="11EB3D39"/>
    <w:rsid w:val="1354798A"/>
    <w:rsid w:val="137B35AF"/>
    <w:rsid w:val="14782AA2"/>
    <w:rsid w:val="149A64B1"/>
    <w:rsid w:val="1505027F"/>
    <w:rsid w:val="15134287"/>
    <w:rsid w:val="16CE15A3"/>
    <w:rsid w:val="172F3F2C"/>
    <w:rsid w:val="177B0705"/>
    <w:rsid w:val="17A4173D"/>
    <w:rsid w:val="1A324115"/>
    <w:rsid w:val="1A540717"/>
    <w:rsid w:val="1CAF384D"/>
    <w:rsid w:val="1D814AA5"/>
    <w:rsid w:val="1DB84F1E"/>
    <w:rsid w:val="1DD73BCF"/>
    <w:rsid w:val="1EB6048B"/>
    <w:rsid w:val="1EF65EF6"/>
    <w:rsid w:val="1F234C0C"/>
    <w:rsid w:val="210755B4"/>
    <w:rsid w:val="22FB276D"/>
    <w:rsid w:val="2446477A"/>
    <w:rsid w:val="249D2C56"/>
    <w:rsid w:val="25566745"/>
    <w:rsid w:val="261F6D61"/>
    <w:rsid w:val="28386F2E"/>
    <w:rsid w:val="28AA1076"/>
    <w:rsid w:val="28EA52FA"/>
    <w:rsid w:val="29107F53"/>
    <w:rsid w:val="2AF730C2"/>
    <w:rsid w:val="2BA57BBC"/>
    <w:rsid w:val="2BEE4B94"/>
    <w:rsid w:val="2CE37EB5"/>
    <w:rsid w:val="2D113502"/>
    <w:rsid w:val="2DE86E74"/>
    <w:rsid w:val="2F2470D2"/>
    <w:rsid w:val="2F5B716B"/>
    <w:rsid w:val="307A0C5E"/>
    <w:rsid w:val="31A751BC"/>
    <w:rsid w:val="3252638A"/>
    <w:rsid w:val="33057DFC"/>
    <w:rsid w:val="337203AE"/>
    <w:rsid w:val="343B3DBB"/>
    <w:rsid w:val="36000CFE"/>
    <w:rsid w:val="36C2526A"/>
    <w:rsid w:val="376641A4"/>
    <w:rsid w:val="3811168E"/>
    <w:rsid w:val="38D41769"/>
    <w:rsid w:val="39A42568"/>
    <w:rsid w:val="3A022862"/>
    <w:rsid w:val="3B3A3330"/>
    <w:rsid w:val="3B537311"/>
    <w:rsid w:val="3BBF0A71"/>
    <w:rsid w:val="3D1E454A"/>
    <w:rsid w:val="3F2324C1"/>
    <w:rsid w:val="41221750"/>
    <w:rsid w:val="42124D27"/>
    <w:rsid w:val="422549D8"/>
    <w:rsid w:val="43885228"/>
    <w:rsid w:val="44AA183B"/>
    <w:rsid w:val="44DD67C7"/>
    <w:rsid w:val="45690CD5"/>
    <w:rsid w:val="45952195"/>
    <w:rsid w:val="488302E7"/>
    <w:rsid w:val="4BD97CE6"/>
    <w:rsid w:val="4BDD4185"/>
    <w:rsid w:val="4C6729B1"/>
    <w:rsid w:val="4D2D3004"/>
    <w:rsid w:val="4D424C15"/>
    <w:rsid w:val="4DBF2D2F"/>
    <w:rsid w:val="4F0831A5"/>
    <w:rsid w:val="4F771487"/>
    <w:rsid w:val="517B52CE"/>
    <w:rsid w:val="522E0650"/>
    <w:rsid w:val="56866803"/>
    <w:rsid w:val="56F1196D"/>
    <w:rsid w:val="59282FEE"/>
    <w:rsid w:val="5AFE591D"/>
    <w:rsid w:val="5CFE3670"/>
    <w:rsid w:val="5D7B027C"/>
    <w:rsid w:val="5E131117"/>
    <w:rsid w:val="5E4E4E2C"/>
    <w:rsid w:val="5FE91B00"/>
    <w:rsid w:val="60956786"/>
    <w:rsid w:val="617A39AA"/>
    <w:rsid w:val="61876A50"/>
    <w:rsid w:val="62EA5F8F"/>
    <w:rsid w:val="633352E7"/>
    <w:rsid w:val="63576604"/>
    <w:rsid w:val="642B3B2B"/>
    <w:rsid w:val="68682E9A"/>
    <w:rsid w:val="69B52012"/>
    <w:rsid w:val="6A942F72"/>
    <w:rsid w:val="6C43379D"/>
    <w:rsid w:val="6E292BB9"/>
    <w:rsid w:val="6E4F3D89"/>
    <w:rsid w:val="70142E12"/>
    <w:rsid w:val="705C5240"/>
    <w:rsid w:val="72633030"/>
    <w:rsid w:val="72E12639"/>
    <w:rsid w:val="731A4031"/>
    <w:rsid w:val="73CC6E84"/>
    <w:rsid w:val="74162BD4"/>
    <w:rsid w:val="749156AA"/>
    <w:rsid w:val="755F0D14"/>
    <w:rsid w:val="757177C2"/>
    <w:rsid w:val="76940F17"/>
    <w:rsid w:val="77577866"/>
    <w:rsid w:val="78E41947"/>
    <w:rsid w:val="79312F71"/>
    <w:rsid w:val="794A3C60"/>
    <w:rsid w:val="797E3D39"/>
    <w:rsid w:val="79D9001D"/>
    <w:rsid w:val="7A4A3CF9"/>
    <w:rsid w:val="7BAB6A04"/>
    <w:rsid w:val="7D776DF5"/>
    <w:rsid w:val="7F5D4FEE"/>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5">
    <w:name w:val="heading 1"/>
    <w:basedOn w:val="1"/>
    <w:next w:val="1"/>
    <w:link w:val="63"/>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65"/>
    <w:autoRedefine/>
    <w:semiHidden/>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70"/>
    <w:autoRedefine/>
    <w:qFormat/>
    <w:uiPriority w:val="0"/>
    <w:pPr>
      <w:keepNext/>
      <w:keepLines/>
      <w:spacing w:before="280" w:after="290" w:line="376" w:lineRule="auto"/>
      <w:outlineLvl w:val="3"/>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semiHidden/>
    <w:unhideWhenUsed/>
    <w:qFormat/>
    <w:uiPriority w:val="99"/>
    <w:pPr>
      <w:ind w:firstLine="420" w:firstLineChars="100"/>
    </w:pPr>
  </w:style>
  <w:style w:type="paragraph" w:styleId="3">
    <w:name w:val="Body Text"/>
    <w:basedOn w:val="1"/>
    <w:next w:val="4"/>
    <w:link w:val="71"/>
    <w:autoRedefine/>
    <w:qFormat/>
    <w:uiPriority w:val="0"/>
    <w:pPr>
      <w:spacing w:after="120"/>
    </w:pPr>
    <w:rPr>
      <w:rFonts w:ascii="@微软简标宋" w:hAnsi="@微软简标宋" w:eastAsia="@微软简标宋" w:cs="@微软简标宋"/>
      <w:szCs w:val="24"/>
      <w:lang w:val="zh-CN"/>
    </w:rPr>
  </w:style>
  <w:style w:type="paragraph" w:customStyle="1" w:styleId="4">
    <w:name w:val="_Style 2"/>
    <w:basedOn w:val="1"/>
    <w:next w:val="1"/>
    <w:qFormat/>
    <w:uiPriority w:val="0"/>
    <w:pPr>
      <w:ind w:firstLine="420" w:firstLineChars="200"/>
    </w:pPr>
  </w:style>
  <w:style w:type="paragraph" w:styleId="9">
    <w:name w:val="toc 7"/>
    <w:basedOn w:val="1"/>
    <w:next w:val="1"/>
    <w:qFormat/>
    <w:uiPriority w:val="39"/>
    <w:pPr>
      <w:ind w:left="1260"/>
      <w:jc w:val="left"/>
    </w:pPr>
    <w:rPr>
      <w:sz w:val="18"/>
      <w:szCs w:val="18"/>
    </w:rPr>
  </w:style>
  <w:style w:type="paragraph" w:styleId="10">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11">
    <w:name w:val="toa heading"/>
    <w:basedOn w:val="1"/>
    <w:next w:val="1"/>
    <w:qFormat/>
    <w:uiPriority w:val="99"/>
    <w:pPr>
      <w:spacing w:before="120"/>
    </w:pPr>
    <w:rPr>
      <w:rFonts w:ascii="Arial" w:hAnsi="Arial"/>
      <w:sz w:val="24"/>
    </w:rPr>
  </w:style>
  <w:style w:type="paragraph" w:styleId="12">
    <w:name w:val="annotation text"/>
    <w:basedOn w:val="1"/>
    <w:link w:val="62"/>
    <w:autoRedefine/>
    <w:qFormat/>
    <w:uiPriority w:val="0"/>
    <w:pPr>
      <w:jc w:val="left"/>
    </w:pPr>
    <w:rPr>
      <w:rFonts w:ascii="Arial" w:hAnsi="Arial" w:eastAsia="黑体" w:cs="Arial"/>
    </w:rPr>
  </w:style>
  <w:style w:type="paragraph" w:styleId="13">
    <w:name w:val="Body Text Indent"/>
    <w:basedOn w:val="1"/>
    <w:next w:val="14"/>
    <w:qFormat/>
    <w:uiPriority w:val="0"/>
    <w:pPr>
      <w:spacing w:after="120"/>
      <w:ind w:left="420" w:leftChars="200"/>
    </w:pPr>
  </w:style>
  <w:style w:type="paragraph" w:styleId="14">
    <w:name w:val="envelope return"/>
    <w:basedOn w:val="1"/>
    <w:qFormat/>
    <w:uiPriority w:val="0"/>
    <w:pPr>
      <w:snapToGrid w:val="0"/>
    </w:pPr>
    <w:rPr>
      <w:rFonts w:ascii="Arial" w:hAnsi="Arial"/>
    </w:rPr>
  </w:style>
  <w:style w:type="paragraph" w:styleId="15">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6">
    <w:name w:val="Plain Text"/>
    <w:basedOn w:val="1"/>
    <w:next w:val="1"/>
    <w:link w:val="51"/>
    <w:autoRedefine/>
    <w:qFormat/>
    <w:uiPriority w:val="99"/>
    <w:rPr>
      <w:rFonts w:ascii="宋体" w:hAnsi="Courier New" w:eastAsiaTheme="minorEastAsia" w:cstheme="minorBidi"/>
      <w:szCs w:val="22"/>
    </w:rPr>
  </w:style>
  <w:style w:type="paragraph" w:styleId="17">
    <w:name w:val="Date"/>
    <w:basedOn w:val="1"/>
    <w:next w:val="1"/>
    <w:link w:val="58"/>
    <w:autoRedefine/>
    <w:qFormat/>
    <w:uiPriority w:val="0"/>
    <w:rPr>
      <w:rFonts w:ascii="Arial" w:hAnsi="Arial" w:eastAsia="宋体" w:cs="Arial"/>
      <w:b/>
      <w:sz w:val="28"/>
    </w:rPr>
  </w:style>
  <w:style w:type="paragraph" w:styleId="18">
    <w:name w:val="Body Text Indent 2"/>
    <w:basedOn w:val="1"/>
    <w:next w:val="1"/>
    <w:qFormat/>
    <w:uiPriority w:val="0"/>
    <w:pPr>
      <w:spacing w:line="360" w:lineRule="exact"/>
      <w:ind w:firstLine="600" w:firstLineChars="250"/>
      <w:jc w:val="left"/>
    </w:pPr>
    <w:rPr>
      <w:rFonts w:ascii="Times New Roman" w:hAnsi="Times New Roman" w:eastAsia="宋体" w:cs="Times New Roman"/>
      <w:sz w:val="24"/>
    </w:rPr>
  </w:style>
  <w:style w:type="paragraph" w:styleId="19">
    <w:name w:val="Balloon Text"/>
    <w:basedOn w:val="1"/>
    <w:link w:val="45"/>
    <w:autoRedefine/>
    <w:semiHidden/>
    <w:unhideWhenUsed/>
    <w:qFormat/>
    <w:uiPriority w:val="99"/>
    <w:rPr>
      <w:sz w:val="18"/>
      <w:szCs w:val="18"/>
    </w:rPr>
  </w:style>
  <w:style w:type="paragraph" w:styleId="20">
    <w:name w:val="footer"/>
    <w:basedOn w:val="1"/>
    <w:link w:val="50"/>
    <w:autoRedefine/>
    <w:unhideWhenUsed/>
    <w:qFormat/>
    <w:uiPriority w:val="99"/>
    <w:pPr>
      <w:tabs>
        <w:tab w:val="center" w:pos="4153"/>
        <w:tab w:val="right" w:pos="8306"/>
      </w:tabs>
      <w:snapToGrid w:val="0"/>
      <w:jc w:val="left"/>
    </w:pPr>
    <w:rPr>
      <w:sz w:val="18"/>
      <w:szCs w:val="18"/>
    </w:rPr>
  </w:style>
  <w:style w:type="paragraph" w:styleId="21">
    <w:name w:val="header"/>
    <w:basedOn w:val="1"/>
    <w:link w:val="4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3">
    <w:name w:val="List"/>
    <w:basedOn w:val="1"/>
    <w:qFormat/>
    <w:uiPriority w:val="0"/>
    <w:pPr>
      <w:widowControl/>
      <w:spacing w:after="200" w:line="276" w:lineRule="auto"/>
      <w:ind w:left="200" w:hanging="200" w:hangingChars="200"/>
      <w:jc w:val="left"/>
    </w:pPr>
    <w:rPr>
      <w:rFonts w:ascii="Calibri" w:hAnsi="Calibri"/>
      <w:kern w:val="0"/>
      <w:sz w:val="22"/>
      <w:lang w:eastAsia="en-US" w:bidi="en-US"/>
    </w:rPr>
  </w:style>
  <w:style w:type="paragraph" w:styleId="24">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5">
    <w:name w:val="Normal (Web)"/>
    <w:basedOn w:val="1"/>
    <w:next w:val="26"/>
    <w:autoRedefine/>
    <w:qFormat/>
    <w:uiPriority w:val="0"/>
    <w:pPr>
      <w:spacing w:before="100" w:beforeAutospacing="1" w:after="100" w:afterAutospacing="1"/>
      <w:jc w:val="left"/>
    </w:pPr>
    <w:rPr>
      <w:rFonts w:cs="Times New Roman"/>
      <w:kern w:val="0"/>
      <w:sz w:val="24"/>
    </w:rPr>
  </w:style>
  <w:style w:type="paragraph" w:customStyle="1" w:styleId="26">
    <w:name w:val="正文文字 8"/>
    <w:basedOn w:val="1"/>
    <w:next w:val="1"/>
    <w:autoRedefine/>
    <w:qFormat/>
    <w:uiPriority w:val="0"/>
    <w:pPr>
      <w:ind w:left="240"/>
    </w:pPr>
    <w:rPr>
      <w:sz w:val="16"/>
    </w:rPr>
  </w:style>
  <w:style w:type="paragraph" w:styleId="27">
    <w:name w:val="index 1"/>
    <w:basedOn w:val="1"/>
    <w:next w:val="1"/>
    <w:autoRedefine/>
    <w:qFormat/>
    <w:uiPriority w:val="0"/>
    <w:pPr>
      <w:jc w:val="center"/>
    </w:pPr>
    <w:rPr>
      <w:rFonts w:ascii="Arial" w:hAnsi="Arial" w:eastAsia="Arial" w:cs="Arial"/>
      <w:b/>
      <w:bCs/>
      <w:sz w:val="28"/>
    </w:rPr>
  </w:style>
  <w:style w:type="paragraph" w:styleId="28">
    <w:name w:val="Title"/>
    <w:basedOn w:val="1"/>
    <w:next w:val="1"/>
    <w:qFormat/>
    <w:uiPriority w:val="0"/>
    <w:pPr>
      <w:numPr>
        <w:ilvl w:val="0"/>
        <w:numId w:val="1"/>
      </w:numPr>
      <w:spacing w:line="360" w:lineRule="auto"/>
      <w:jc w:val="left"/>
      <w:outlineLvl w:val="0"/>
    </w:pPr>
    <w:rPr>
      <w:rFonts w:ascii="Cambria" w:hAnsi="Cambria" w:cs="Times New Roman"/>
      <w:b/>
      <w:bCs/>
      <w:sz w:val="28"/>
      <w:szCs w:val="32"/>
    </w:rPr>
  </w:style>
  <w:style w:type="paragraph" w:styleId="29">
    <w:name w:val="Body Text First Indent 2"/>
    <w:basedOn w:val="13"/>
    <w:next w:val="23"/>
    <w:qFormat/>
    <w:uiPriority w:val="0"/>
    <w:pPr>
      <w:ind w:firstLine="420" w:firstLineChars="200"/>
    </w:pPr>
    <w:rPr>
      <w:rFonts w:ascii="Times New Roman" w:hAnsi="Times New Roman" w:cs="Times New Roman"/>
      <w:szCs w:val="21"/>
    </w:rPr>
  </w:style>
  <w:style w:type="table" w:styleId="31">
    <w:name w:val="Table Grid"/>
    <w:basedOn w:val="30"/>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autoRedefine/>
    <w:qFormat/>
    <w:uiPriority w:val="0"/>
    <w:rPr>
      <w:b/>
      <w:bCs/>
    </w:rPr>
  </w:style>
  <w:style w:type="character" w:styleId="34">
    <w:name w:val="FollowedHyperlink"/>
    <w:basedOn w:val="32"/>
    <w:semiHidden/>
    <w:unhideWhenUsed/>
    <w:qFormat/>
    <w:uiPriority w:val="99"/>
    <w:rPr>
      <w:color w:val="5C5C5C"/>
      <w:u w:val="none"/>
    </w:rPr>
  </w:style>
  <w:style w:type="character" w:styleId="35">
    <w:name w:val="Emphasis"/>
    <w:basedOn w:val="32"/>
    <w:qFormat/>
    <w:uiPriority w:val="20"/>
    <w:rPr>
      <w:b/>
      <w:bCs/>
    </w:rPr>
  </w:style>
  <w:style w:type="character" w:styleId="36">
    <w:name w:val="HTML Definition"/>
    <w:basedOn w:val="32"/>
    <w:semiHidden/>
    <w:unhideWhenUsed/>
    <w:qFormat/>
    <w:uiPriority w:val="99"/>
  </w:style>
  <w:style w:type="character" w:styleId="37">
    <w:name w:val="HTML Typewriter"/>
    <w:basedOn w:val="32"/>
    <w:semiHidden/>
    <w:unhideWhenUsed/>
    <w:qFormat/>
    <w:uiPriority w:val="99"/>
    <w:rPr>
      <w:rFonts w:hint="default" w:ascii="monospace" w:hAnsi="monospace" w:eastAsia="monospace" w:cs="monospace"/>
      <w:sz w:val="20"/>
    </w:rPr>
  </w:style>
  <w:style w:type="character" w:styleId="38">
    <w:name w:val="HTML Acronym"/>
    <w:basedOn w:val="32"/>
    <w:semiHidden/>
    <w:unhideWhenUsed/>
    <w:qFormat/>
    <w:uiPriority w:val="99"/>
    <w:rPr>
      <w:color w:val="D6D6D6"/>
    </w:rPr>
  </w:style>
  <w:style w:type="character" w:styleId="39">
    <w:name w:val="HTML Variable"/>
    <w:basedOn w:val="32"/>
    <w:semiHidden/>
    <w:unhideWhenUsed/>
    <w:qFormat/>
    <w:uiPriority w:val="99"/>
  </w:style>
  <w:style w:type="character" w:styleId="40">
    <w:name w:val="Hyperlink"/>
    <w:basedOn w:val="32"/>
    <w:autoRedefine/>
    <w:unhideWhenUsed/>
    <w:qFormat/>
    <w:uiPriority w:val="99"/>
    <w:rPr>
      <w:color w:val="0000FF" w:themeColor="hyperlink"/>
      <w:u w:val="single"/>
    </w:rPr>
  </w:style>
  <w:style w:type="character" w:styleId="41">
    <w:name w:val="HTML Code"/>
    <w:basedOn w:val="32"/>
    <w:semiHidden/>
    <w:unhideWhenUsed/>
    <w:qFormat/>
    <w:uiPriority w:val="99"/>
    <w:rPr>
      <w:rFonts w:hint="default" w:ascii="monospace" w:hAnsi="monospace" w:eastAsia="monospace" w:cs="monospace"/>
      <w:sz w:val="20"/>
    </w:rPr>
  </w:style>
  <w:style w:type="character" w:styleId="42">
    <w:name w:val="HTML Cite"/>
    <w:basedOn w:val="32"/>
    <w:semiHidden/>
    <w:unhideWhenUsed/>
    <w:qFormat/>
    <w:uiPriority w:val="99"/>
  </w:style>
  <w:style w:type="character" w:styleId="43">
    <w:name w:val="HTML Keyboard"/>
    <w:basedOn w:val="32"/>
    <w:semiHidden/>
    <w:unhideWhenUsed/>
    <w:qFormat/>
    <w:uiPriority w:val="99"/>
    <w:rPr>
      <w:rFonts w:hint="default" w:ascii="monospace" w:hAnsi="monospace" w:eastAsia="monospace" w:cs="monospace"/>
      <w:sz w:val="20"/>
    </w:rPr>
  </w:style>
  <w:style w:type="character" w:styleId="44">
    <w:name w:val="HTML Sample"/>
    <w:basedOn w:val="32"/>
    <w:semiHidden/>
    <w:unhideWhenUsed/>
    <w:qFormat/>
    <w:uiPriority w:val="99"/>
    <w:rPr>
      <w:rFonts w:ascii="monospace" w:hAnsi="monospace" w:eastAsia="monospace" w:cs="monospace"/>
    </w:rPr>
  </w:style>
  <w:style w:type="character" w:customStyle="1" w:styleId="45">
    <w:name w:val="批注框文本 Char"/>
    <w:basedOn w:val="32"/>
    <w:link w:val="19"/>
    <w:autoRedefine/>
    <w:semiHidden/>
    <w:qFormat/>
    <w:uiPriority w:val="99"/>
    <w:rPr>
      <w:rFonts w:ascii="@仿宋_GB2312" w:hAnsi="@仿宋_GB2312" w:eastAsia="@仿宋_GB2312" w:cs="@仿宋_GB2312"/>
      <w:sz w:val="18"/>
      <w:szCs w:val="18"/>
    </w:rPr>
  </w:style>
  <w:style w:type="paragraph" w:customStyle="1" w:styleId="46">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7">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8">
    <w:name w:val="D&amp;L"/>
    <w:basedOn w:val="21"/>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9">
    <w:name w:val="页眉 Char"/>
    <w:basedOn w:val="32"/>
    <w:link w:val="21"/>
    <w:autoRedefine/>
    <w:qFormat/>
    <w:uiPriority w:val="0"/>
    <w:rPr>
      <w:rFonts w:ascii="@仿宋_GB2312" w:hAnsi="@仿宋_GB2312" w:eastAsia="@仿宋_GB2312" w:cs="@仿宋_GB2312"/>
      <w:sz w:val="18"/>
      <w:szCs w:val="18"/>
    </w:rPr>
  </w:style>
  <w:style w:type="character" w:customStyle="1" w:styleId="50">
    <w:name w:val="页脚 Char"/>
    <w:basedOn w:val="32"/>
    <w:link w:val="20"/>
    <w:autoRedefine/>
    <w:qFormat/>
    <w:uiPriority w:val="99"/>
    <w:rPr>
      <w:rFonts w:ascii="@仿宋_GB2312" w:hAnsi="@仿宋_GB2312" w:eastAsia="@仿宋_GB2312" w:cs="@仿宋_GB2312"/>
      <w:sz w:val="18"/>
      <w:szCs w:val="18"/>
    </w:rPr>
  </w:style>
  <w:style w:type="character" w:customStyle="1" w:styleId="51">
    <w:name w:val="纯文本 Char"/>
    <w:link w:val="16"/>
    <w:autoRedefine/>
    <w:qFormat/>
    <w:uiPriority w:val="0"/>
    <w:rPr>
      <w:rFonts w:ascii="宋体" w:hAnsi="Courier New"/>
    </w:rPr>
  </w:style>
  <w:style w:type="character" w:customStyle="1" w:styleId="52">
    <w:name w:val="纯文本 字符1"/>
    <w:basedOn w:val="32"/>
    <w:autoRedefine/>
    <w:semiHidden/>
    <w:qFormat/>
    <w:uiPriority w:val="99"/>
    <w:rPr>
      <w:rFonts w:hAnsi="Courier New" w:cs="Courier New" w:asciiTheme="minorEastAsia"/>
      <w:szCs w:val="20"/>
    </w:rPr>
  </w:style>
  <w:style w:type="character" w:customStyle="1" w:styleId="53">
    <w:name w:val="未处理的提及1"/>
    <w:basedOn w:val="32"/>
    <w:autoRedefine/>
    <w:semiHidden/>
    <w:unhideWhenUsed/>
    <w:qFormat/>
    <w:uiPriority w:val="99"/>
    <w:rPr>
      <w:color w:val="605E5C"/>
      <w:shd w:val="clear" w:color="auto" w:fill="E1DFDD"/>
    </w:rPr>
  </w:style>
  <w:style w:type="paragraph" w:styleId="54">
    <w:name w:val="List Paragraph"/>
    <w:basedOn w:val="1"/>
    <w:autoRedefine/>
    <w:qFormat/>
    <w:uiPriority w:val="34"/>
    <w:pPr>
      <w:ind w:firstLine="420" w:firstLineChars="200"/>
    </w:pPr>
  </w:style>
  <w:style w:type="paragraph" w:customStyle="1" w:styleId="55">
    <w:name w:val="Char Char Char Char Char Char Char1 Char"/>
    <w:basedOn w:val="1"/>
    <w:autoRedefine/>
    <w:qFormat/>
    <w:uiPriority w:val="0"/>
    <w:rPr>
      <w:rFonts w:ascii="Arial" w:hAnsi="Arial" w:eastAsia="宋体" w:cs="Arial"/>
      <w:sz w:val="24"/>
    </w:rPr>
  </w:style>
  <w:style w:type="table" w:customStyle="1" w:styleId="56">
    <w:name w:val="网格表 1 浅色1"/>
    <w:basedOn w:val="30"/>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7">
    <w:name w:val="日期 字符"/>
    <w:basedOn w:val="32"/>
    <w:autoRedefine/>
    <w:semiHidden/>
    <w:qFormat/>
    <w:uiPriority w:val="99"/>
    <w:rPr>
      <w:rFonts w:ascii="@仿宋_GB2312" w:hAnsi="@仿宋_GB2312" w:eastAsia="@仿宋_GB2312" w:cs="@仿宋_GB2312"/>
      <w:szCs w:val="20"/>
    </w:rPr>
  </w:style>
  <w:style w:type="character" w:customStyle="1" w:styleId="58">
    <w:name w:val="日期 Char"/>
    <w:link w:val="17"/>
    <w:autoRedefine/>
    <w:qFormat/>
    <w:uiPriority w:val="0"/>
    <w:rPr>
      <w:rFonts w:ascii="Arial" w:hAnsi="Arial" w:eastAsia="宋体" w:cs="Arial"/>
      <w:b/>
      <w:sz w:val="28"/>
      <w:szCs w:val="20"/>
    </w:rPr>
  </w:style>
  <w:style w:type="character" w:customStyle="1" w:styleId="59">
    <w:name w:val="纯文本 Char1"/>
    <w:link w:val="60"/>
    <w:autoRedefine/>
    <w:qFormat/>
    <w:locked/>
    <w:uiPriority w:val="0"/>
    <w:rPr>
      <w:rFonts w:ascii="Arial" w:hAnsi="Arial" w:eastAsia="Arial"/>
      <w:kern w:val="2"/>
      <w:sz w:val="21"/>
      <w:lang w:val="en-US" w:eastAsia="zh-CN" w:bidi="ar-SA"/>
    </w:rPr>
  </w:style>
  <w:style w:type="paragraph" w:customStyle="1" w:styleId="60">
    <w:name w:val="纯文本1"/>
    <w:basedOn w:val="1"/>
    <w:link w:val="59"/>
    <w:autoRedefine/>
    <w:qFormat/>
    <w:uiPriority w:val="0"/>
    <w:rPr>
      <w:rFonts w:ascii="Arial" w:hAnsi="Arial" w:eastAsia="Arial" w:cstheme="minorBidi"/>
    </w:rPr>
  </w:style>
  <w:style w:type="character" w:customStyle="1" w:styleId="61">
    <w:name w:val="批注文字 Char"/>
    <w:basedOn w:val="32"/>
    <w:autoRedefine/>
    <w:semiHidden/>
    <w:qFormat/>
    <w:uiPriority w:val="99"/>
    <w:rPr>
      <w:rFonts w:ascii="@仿宋_GB2312" w:hAnsi="@仿宋_GB2312" w:eastAsia="@仿宋_GB2312" w:cs="@仿宋_GB2312"/>
      <w:szCs w:val="20"/>
    </w:rPr>
  </w:style>
  <w:style w:type="character" w:customStyle="1" w:styleId="62">
    <w:name w:val="批注文字 Char1"/>
    <w:link w:val="12"/>
    <w:autoRedefine/>
    <w:qFormat/>
    <w:uiPriority w:val="0"/>
    <w:rPr>
      <w:rFonts w:ascii="Arial" w:hAnsi="Arial" w:eastAsia="黑体" w:cs="Arial"/>
      <w:szCs w:val="20"/>
    </w:rPr>
  </w:style>
  <w:style w:type="character" w:customStyle="1" w:styleId="63">
    <w:name w:val="标题 1 Char"/>
    <w:basedOn w:val="32"/>
    <w:link w:val="5"/>
    <w:autoRedefine/>
    <w:qFormat/>
    <w:uiPriority w:val="9"/>
    <w:rPr>
      <w:rFonts w:ascii="@仿宋_GB2312" w:hAnsi="@仿宋_GB2312" w:eastAsia="@仿宋_GB2312" w:cs="@仿宋_GB2312"/>
      <w:b/>
      <w:bCs/>
      <w:kern w:val="44"/>
      <w:sz w:val="44"/>
      <w:szCs w:val="44"/>
    </w:rPr>
  </w:style>
  <w:style w:type="paragraph" w:customStyle="1" w:styleId="64">
    <w:name w:val="TOC 标题1"/>
    <w:basedOn w:val="5"/>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65">
    <w:name w:val="标题 3 Char"/>
    <w:basedOn w:val="32"/>
    <w:link w:val="7"/>
    <w:autoRedefine/>
    <w:semiHidden/>
    <w:qFormat/>
    <w:uiPriority w:val="9"/>
    <w:rPr>
      <w:rFonts w:ascii="@仿宋_GB2312" w:hAnsi="@仿宋_GB2312" w:eastAsia="@仿宋_GB2312" w:cs="@仿宋_GB2312"/>
      <w:b/>
      <w:bCs/>
      <w:sz w:val="32"/>
      <w:szCs w:val="32"/>
    </w:rPr>
  </w:style>
  <w:style w:type="character" w:customStyle="1" w:styleId="66">
    <w:name w:val="fontstyle01"/>
    <w:basedOn w:val="32"/>
    <w:autoRedefine/>
    <w:qFormat/>
    <w:uiPriority w:val="0"/>
    <w:rPr>
      <w:rFonts w:hint="eastAsia" w:ascii="宋体" w:hAnsi="宋体" w:eastAsia="宋体"/>
      <w:color w:val="000000"/>
      <w:sz w:val="22"/>
      <w:szCs w:val="22"/>
    </w:rPr>
  </w:style>
  <w:style w:type="character" w:customStyle="1" w:styleId="67">
    <w:name w:val="fontstyle21"/>
    <w:basedOn w:val="32"/>
    <w:autoRedefine/>
    <w:qFormat/>
    <w:uiPriority w:val="0"/>
    <w:rPr>
      <w:rFonts w:hint="default" w:ascii="TimesNewRomanPSMT" w:hAnsi="TimesNewRomanPSMT"/>
      <w:color w:val="000000"/>
      <w:sz w:val="22"/>
      <w:szCs w:val="22"/>
    </w:rPr>
  </w:style>
  <w:style w:type="character" w:customStyle="1" w:styleId="68">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9">
    <w:name w:val="标题 4 字符"/>
    <w:basedOn w:val="32"/>
    <w:autoRedefine/>
    <w:semiHidden/>
    <w:qFormat/>
    <w:uiPriority w:val="9"/>
    <w:rPr>
      <w:rFonts w:asciiTheme="majorHAnsi" w:hAnsiTheme="majorHAnsi" w:eastAsiaTheme="majorEastAsia" w:cstheme="majorBidi"/>
      <w:b/>
      <w:bCs/>
      <w:sz w:val="28"/>
      <w:szCs w:val="28"/>
    </w:rPr>
  </w:style>
  <w:style w:type="character" w:customStyle="1" w:styleId="70">
    <w:name w:val="标题 4 Char"/>
    <w:link w:val="8"/>
    <w:autoRedefine/>
    <w:qFormat/>
    <w:uiPriority w:val="0"/>
    <w:rPr>
      <w:rFonts w:ascii="@仿宋_GB2312" w:hAnsi="@仿宋_GB2312" w:eastAsia="@仿宋_GB2312" w:cs="@仿宋_GB2312"/>
      <w:b/>
      <w:bCs/>
      <w:sz w:val="28"/>
      <w:szCs w:val="28"/>
    </w:rPr>
  </w:style>
  <w:style w:type="character" w:customStyle="1" w:styleId="71">
    <w:name w:val="正文文本 Char"/>
    <w:basedOn w:val="32"/>
    <w:link w:val="3"/>
    <w:autoRedefine/>
    <w:qFormat/>
    <w:uiPriority w:val="0"/>
    <w:rPr>
      <w:rFonts w:ascii="@微软简标宋" w:hAnsi="@微软简标宋" w:eastAsia="@微软简标宋" w:cs="@微软简标宋"/>
      <w:szCs w:val="24"/>
      <w:lang w:val="zh-CN" w:eastAsia="zh-CN"/>
    </w:rPr>
  </w:style>
  <w:style w:type="table" w:customStyle="1" w:styleId="72">
    <w:name w:val="网格型1"/>
    <w:basedOn w:val="30"/>
    <w:autoRedefine/>
    <w:unhideWhenUsed/>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
    <w:name w:val="Table Normal"/>
    <w:autoRedefine/>
    <w:semiHidden/>
    <w:unhideWhenUsed/>
    <w:qFormat/>
    <w:uiPriority w:val="0"/>
    <w:tblPr>
      <w:tblCellMar>
        <w:top w:w="0" w:type="dxa"/>
        <w:left w:w="0" w:type="dxa"/>
        <w:bottom w:w="0" w:type="dxa"/>
        <w:right w:w="0" w:type="dxa"/>
      </w:tblCellMar>
    </w:tblPr>
  </w:style>
  <w:style w:type="paragraph" w:customStyle="1" w:styleId="74">
    <w:name w:val="Table Text"/>
    <w:basedOn w:val="1"/>
    <w:autoRedefine/>
    <w:semiHidden/>
    <w:qFormat/>
    <w:uiPriority w:val="0"/>
    <w:rPr>
      <w:rFonts w:ascii="Arial" w:hAnsi="Arial" w:eastAsia="Arial" w:cs="Arial"/>
      <w:szCs w:val="21"/>
      <w:lang w:eastAsia="en-US"/>
    </w:rPr>
  </w:style>
  <w:style w:type="character" w:customStyle="1" w:styleId="75">
    <w:name w:val="hover"/>
    <w:basedOn w:val="32"/>
    <w:qFormat/>
    <w:uiPriority w:val="0"/>
    <w:rPr>
      <w:color w:val="2590EB"/>
    </w:rPr>
  </w:style>
  <w:style w:type="character" w:customStyle="1" w:styleId="76">
    <w:name w:val="hover1"/>
    <w:basedOn w:val="32"/>
    <w:qFormat/>
    <w:uiPriority w:val="0"/>
    <w:rPr>
      <w:color w:val="2590EB"/>
    </w:rPr>
  </w:style>
  <w:style w:type="character" w:customStyle="1" w:styleId="77">
    <w:name w:val="hover2"/>
    <w:basedOn w:val="32"/>
    <w:qFormat/>
    <w:uiPriority w:val="0"/>
  </w:style>
  <w:style w:type="character" w:customStyle="1" w:styleId="78">
    <w:name w:val="hover3"/>
    <w:basedOn w:val="32"/>
    <w:qFormat/>
    <w:uiPriority w:val="0"/>
    <w:rPr>
      <w:color w:val="2590EB"/>
      <w:shd w:val="clear" w:color="auto" w:fill="E9F4FD"/>
    </w:rPr>
  </w:style>
  <w:style w:type="character" w:customStyle="1" w:styleId="79">
    <w:name w:val="first-child"/>
    <w:basedOn w:val="32"/>
    <w:qFormat/>
    <w:uiPriority w:val="0"/>
  </w:style>
  <w:style w:type="character" w:customStyle="1" w:styleId="80">
    <w:name w:val="layui-this"/>
    <w:basedOn w:val="32"/>
    <w:qFormat/>
    <w:uiPriority w:val="0"/>
    <w:rPr>
      <w:bdr w:val="single" w:color="EEEEEE" w:sz="6" w:space="0"/>
      <w:shd w:val="clear" w:color="auto" w:fill="FFFFFF"/>
    </w:rPr>
  </w:style>
  <w:style w:type="character" w:customStyle="1" w:styleId="81">
    <w:name w:val="hover4"/>
    <w:basedOn w:val="32"/>
    <w:qFormat/>
    <w:uiPriority w:val="0"/>
    <w:rPr>
      <w:color w:val="2590EB"/>
      <w:shd w:val="clear" w:color="auto" w:fill="E9F4FD"/>
    </w:rPr>
  </w:style>
  <w:style w:type="character" w:customStyle="1" w:styleId="82">
    <w:name w:val="mini-outputtext1"/>
    <w:basedOn w:val="32"/>
    <w:qFormat/>
    <w:uiPriority w:val="0"/>
  </w:style>
  <w:style w:type="paragraph" w:customStyle="1" w:styleId="83">
    <w:name w:val="Blockquote"/>
    <w:basedOn w:val="1"/>
    <w:autoRedefine/>
    <w:qFormat/>
    <w:uiPriority w:val="0"/>
    <w:pPr>
      <w:autoSpaceDE w:val="0"/>
      <w:autoSpaceDN w:val="0"/>
      <w:adjustRightInd w:val="0"/>
      <w:ind w:left="360" w:right="360"/>
      <w:jc w:val="left"/>
    </w:pPr>
    <w:rPr>
      <w:kern w:val="0"/>
      <w:sz w:val="24"/>
    </w:rPr>
  </w:style>
  <w:style w:type="paragraph" w:customStyle="1" w:styleId="84">
    <w:name w:val="card-title"/>
    <w:basedOn w:val="1"/>
    <w:qFormat/>
    <w:uiPriority w:val="0"/>
    <w:pPr>
      <w:spacing w:line="543" w:lineRule="atLeast"/>
      <w:ind w:right="679"/>
      <w:jc w:val="left"/>
    </w:pPr>
    <w:rPr>
      <w:rFonts w:cs="Times New Roman"/>
      <w:color w:val="666666"/>
      <w:kern w:val="0"/>
    </w:rPr>
  </w:style>
  <w:style w:type="paragraph" w:customStyle="1" w:styleId="85">
    <w:name w:val="段"/>
    <w:next w:val="1"/>
    <w:qFormat/>
    <w:uiPriority w:val="0"/>
    <w:pPr>
      <w:autoSpaceDE w:val="0"/>
      <w:autoSpaceDN w:val="0"/>
      <w:ind w:firstLine="420" w:firstLineChars="200"/>
      <w:jc w:val="both"/>
    </w:pPr>
    <w:rPr>
      <w:rFonts w:ascii="宋体" w:hAnsi="Times New Roman" w:eastAsia="宋体" w:cs="Times New Roman"/>
      <w:sz w:val="21"/>
      <w:szCs w:val="22"/>
      <w:lang w:val="en-US" w:eastAsia="zh-CN" w:bidi="ar-SA"/>
    </w:rPr>
  </w:style>
  <w:style w:type="character" w:customStyle="1" w:styleId="86">
    <w:name w:val="status"/>
    <w:basedOn w:val="32"/>
    <w:qFormat/>
    <w:uiPriority w:val="0"/>
    <w:rPr>
      <w:color w:val="0776DD"/>
    </w:rPr>
  </w:style>
  <w:style w:type="character" w:customStyle="1" w:styleId="87">
    <w:name w:val="time"/>
    <w:basedOn w:val="32"/>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57</Pages>
  <Words>83</Words>
  <Characters>86</Characters>
  <Lines>231</Lines>
  <Paragraphs>65</Paragraphs>
  <TotalTime>19</TotalTime>
  <ScaleCrop>false</ScaleCrop>
  <LinksUpToDate>false</LinksUpToDate>
  <CharactersWithSpaces>151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代理</cp:lastModifiedBy>
  <cp:lastPrinted>2019-12-07T15:21:00Z</cp:lastPrinted>
  <dcterms:modified xsi:type="dcterms:W3CDTF">2025-09-05T10:20:17Z</dcterms:modified>
  <cp:revision>3596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DE1178C2E2F2401992F0F5D3488AABE5_13</vt:lpwstr>
  </property>
  <property fmtid="{D5CDD505-2E9C-101B-9397-08002B2CF9AE}" pid="4" name="KSOTemplateDocerSaveRecord">
    <vt:lpwstr>eyJoZGlkIjoiOTc5MDNjMmIyODczM2YwMGZkZTNjYWY1NjIxZTY5YjciLCJ1c2VySWQiOiI1MDM3MjkwOTMifQ==</vt:lpwstr>
  </property>
</Properties>
</file>