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B5E583">
      <w:pPr>
        <w:rPr>
          <w:rFonts w:hint="eastAsia"/>
          <w:color w:val="auto"/>
          <w:highlight w:val="none"/>
        </w:rPr>
      </w:pPr>
      <w:bookmarkStart w:id="0" w:name="OLE_LINK1"/>
    </w:p>
    <w:p w14:paraId="4289B024">
      <w:pPr>
        <w:keepNext w:val="0"/>
        <w:keepLines w:val="0"/>
        <w:pageBreakBefore w:val="0"/>
        <w:widowControl w:val="0"/>
        <w:kinsoku/>
        <w:wordWrap/>
        <w:overflowPunct/>
        <w:topLinePunct w:val="0"/>
        <w:autoSpaceDE/>
        <w:autoSpaceDN/>
        <w:bidi w:val="0"/>
        <w:adjustRightInd/>
        <w:snapToGrid w:val="0"/>
        <w:spacing w:before="313" w:beforeLines="100" w:after="313" w:afterLines="100" w:line="1000" w:lineRule="exact"/>
        <w:jc w:val="center"/>
        <w:textAlignment w:val="auto"/>
        <w:rPr>
          <w:rFonts w:hint="default" w:eastAsia="宋体"/>
          <w:color w:val="auto"/>
          <w:sz w:val="44"/>
          <w:szCs w:val="44"/>
          <w:highlight w:val="none"/>
          <w:lang w:val="en-US" w:eastAsia="zh-CN"/>
        </w:rPr>
      </w:pPr>
      <w:r>
        <w:rPr>
          <w:rFonts w:hint="eastAsia" w:ascii="宋体" w:hAnsi="宋体" w:cs="宋体"/>
          <w:b/>
          <w:bCs/>
          <w:color w:val="auto"/>
          <w:w w:val="85"/>
          <w:sz w:val="44"/>
          <w:szCs w:val="44"/>
          <w:highlight w:val="none"/>
          <w:lang w:val="en-US" w:eastAsia="zh-CN"/>
        </w:rPr>
        <w:t>苏州路与双城路交叉口西北侧地块开发等项目水土保持方案编制服务项目</w:t>
      </w:r>
    </w:p>
    <w:p w14:paraId="3BD6BBEC">
      <w:pPr>
        <w:spacing w:after="156" w:afterLines="50"/>
        <w:ind w:left="-850" w:leftChars="-405" w:right="-625"/>
        <w:jc w:val="center"/>
        <w:rPr>
          <w:rFonts w:hint="eastAsia"/>
          <w:color w:val="auto"/>
          <w:sz w:val="24"/>
          <w:highlight w:val="none"/>
        </w:rPr>
      </w:pPr>
    </w:p>
    <w:p w14:paraId="45A26883">
      <w:pPr>
        <w:rPr>
          <w:rFonts w:hint="eastAsia" w:ascii="宋体"/>
          <w:bCs/>
          <w:color w:val="auto"/>
          <w:szCs w:val="21"/>
          <w:highlight w:val="none"/>
        </w:rPr>
      </w:pPr>
    </w:p>
    <w:p w14:paraId="51F2E5EC">
      <w:pPr>
        <w:rPr>
          <w:rFonts w:hint="eastAsia" w:ascii="宋体"/>
          <w:bCs/>
          <w:color w:val="auto"/>
          <w:szCs w:val="21"/>
          <w:highlight w:val="none"/>
        </w:rPr>
      </w:pPr>
    </w:p>
    <w:p w14:paraId="15F70DA0">
      <w:pPr>
        <w:rPr>
          <w:rFonts w:hint="eastAsia" w:ascii="宋体"/>
          <w:bCs/>
          <w:color w:val="auto"/>
          <w:szCs w:val="21"/>
          <w:highlight w:val="none"/>
        </w:rPr>
      </w:pPr>
    </w:p>
    <w:p w14:paraId="2829B16E">
      <w:pPr>
        <w:spacing w:line="360" w:lineRule="auto"/>
        <w:jc w:val="center"/>
        <w:rPr>
          <w:rFonts w:hint="eastAsia" w:ascii="宋体" w:hAnsi="宋体" w:cs="宋体"/>
          <w:bCs/>
          <w:color w:val="auto"/>
          <w:sz w:val="96"/>
          <w:szCs w:val="96"/>
          <w:highlight w:val="none"/>
        </w:rPr>
      </w:pPr>
      <w:r>
        <w:rPr>
          <w:rFonts w:hint="eastAsia" w:ascii="宋体" w:hAnsi="宋体" w:cs="宋体"/>
          <w:b/>
          <w:color w:val="auto"/>
          <w:sz w:val="96"/>
          <w:szCs w:val="96"/>
          <w:highlight w:val="none"/>
        </w:rPr>
        <w:t>招 标 文 件</w:t>
      </w:r>
    </w:p>
    <w:p w14:paraId="7155E296">
      <w:pPr>
        <w:rPr>
          <w:rFonts w:hint="eastAsia" w:ascii="宋体" w:hAnsi="宋体"/>
          <w:b/>
          <w:color w:val="auto"/>
          <w:sz w:val="84"/>
          <w:szCs w:val="84"/>
          <w:highlight w:val="none"/>
        </w:rPr>
      </w:pPr>
    </w:p>
    <w:p w14:paraId="174ACA8D">
      <w:pPr>
        <w:pStyle w:val="2"/>
        <w:rPr>
          <w:rFonts w:hint="eastAsia"/>
          <w:color w:val="auto"/>
          <w:highlight w:val="none"/>
        </w:rPr>
      </w:pPr>
    </w:p>
    <w:p w14:paraId="1C3A0EAB">
      <w:pPr>
        <w:rPr>
          <w:rFonts w:hint="eastAsia"/>
          <w:color w:val="auto"/>
          <w:highlight w:val="none"/>
        </w:rPr>
      </w:pPr>
    </w:p>
    <w:p w14:paraId="72D1EAA9">
      <w:pPr>
        <w:rPr>
          <w:rFonts w:hint="eastAsia" w:ascii="宋体"/>
          <w:color w:val="auto"/>
          <w:sz w:val="28"/>
          <w:szCs w:val="28"/>
          <w:highlight w:val="none"/>
        </w:rPr>
      </w:pPr>
    </w:p>
    <w:p w14:paraId="0469AE0B">
      <w:pPr>
        <w:pStyle w:val="22"/>
        <w:rPr>
          <w:rFonts w:hint="eastAsia"/>
          <w:color w:val="auto"/>
          <w:highlight w:val="none"/>
        </w:rPr>
      </w:pPr>
    </w:p>
    <w:p w14:paraId="4D721402">
      <w:pPr>
        <w:rPr>
          <w:rFonts w:hint="eastAsia" w:ascii="宋体"/>
          <w:b/>
          <w:color w:val="auto"/>
          <w:sz w:val="32"/>
          <w:szCs w:val="32"/>
          <w:highlight w:val="none"/>
        </w:rPr>
      </w:pPr>
    </w:p>
    <w:p w14:paraId="6BB4DE33">
      <w:pPr>
        <w:pStyle w:val="2"/>
        <w:rPr>
          <w:rFonts w:hint="eastAsia"/>
          <w:color w:val="auto"/>
          <w:highlight w:val="none"/>
        </w:rPr>
      </w:pPr>
    </w:p>
    <w:p w14:paraId="1FE0A0EC">
      <w:pPr>
        <w:rPr>
          <w:rFonts w:hint="eastAsia"/>
          <w:color w:val="auto"/>
          <w:highlight w:val="none"/>
        </w:rPr>
      </w:pPr>
    </w:p>
    <w:p w14:paraId="7A1A492E">
      <w:pPr>
        <w:pStyle w:val="28"/>
        <w:ind w:left="0" w:leftChars="0" w:firstLine="0" w:firstLineChars="0"/>
        <w:rPr>
          <w:rFonts w:hint="eastAsia"/>
          <w:color w:val="auto"/>
          <w:highlight w:val="none"/>
        </w:rPr>
      </w:pPr>
    </w:p>
    <w:p w14:paraId="2B747959">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b/>
          <w:color w:val="auto"/>
          <w:sz w:val="32"/>
          <w:szCs w:val="32"/>
          <w:highlight w:val="none"/>
        </w:rPr>
      </w:pPr>
      <w:r>
        <w:rPr>
          <w:rFonts w:hint="eastAsia" w:ascii="宋体"/>
          <w:b/>
          <w:color w:val="auto"/>
          <w:sz w:val="32"/>
          <w:szCs w:val="32"/>
          <w:highlight w:val="none"/>
          <w:lang w:val="en-US" w:eastAsia="zh-CN"/>
        </w:rPr>
        <w:t xml:space="preserve">招   标   </w:t>
      </w:r>
      <w:r>
        <w:rPr>
          <w:rFonts w:hint="eastAsia" w:ascii="宋体"/>
          <w:b/>
          <w:color w:val="auto"/>
          <w:sz w:val="32"/>
          <w:szCs w:val="32"/>
          <w:highlight w:val="none"/>
        </w:rPr>
        <w:t>人：</w:t>
      </w:r>
      <w:r>
        <w:rPr>
          <w:rFonts w:hint="eastAsia" w:ascii="宋体"/>
          <w:b/>
          <w:color w:val="auto"/>
          <w:sz w:val="32"/>
          <w:szCs w:val="32"/>
          <w:highlight w:val="none"/>
          <w:u w:val="single"/>
          <w:lang w:eastAsia="zh-CN"/>
        </w:rPr>
        <w:t>滁州苏滁产城开发有限公司</w:t>
      </w:r>
      <w:r>
        <w:rPr>
          <w:rFonts w:hint="eastAsia" w:ascii="宋体"/>
          <w:b/>
          <w:color w:val="auto"/>
          <w:sz w:val="32"/>
          <w:szCs w:val="32"/>
          <w:highlight w:val="none"/>
        </w:rPr>
        <w:t>（盖单位章）</w:t>
      </w:r>
    </w:p>
    <w:p w14:paraId="3BFB7B58">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b/>
          <w:color w:val="auto"/>
          <w:sz w:val="32"/>
          <w:szCs w:val="32"/>
          <w:highlight w:val="none"/>
          <w:u w:val="single"/>
        </w:rPr>
      </w:pPr>
      <w:r>
        <w:rPr>
          <w:rFonts w:hint="eastAsia" w:ascii="宋体"/>
          <w:b/>
          <w:color w:val="auto"/>
          <w:sz w:val="32"/>
          <w:szCs w:val="32"/>
          <w:highlight w:val="none"/>
          <w:lang w:val="en-US" w:eastAsia="zh-CN"/>
        </w:rPr>
        <w:t>招标</w:t>
      </w:r>
      <w:r>
        <w:rPr>
          <w:rFonts w:hint="eastAsia" w:ascii="宋体"/>
          <w:b/>
          <w:color w:val="auto"/>
          <w:sz w:val="32"/>
          <w:szCs w:val="32"/>
          <w:highlight w:val="none"/>
        </w:rPr>
        <w:t>代理机构：</w:t>
      </w:r>
      <w:r>
        <w:rPr>
          <w:rFonts w:hint="eastAsia" w:ascii="宋体"/>
          <w:b/>
          <w:color w:val="auto"/>
          <w:sz w:val="32"/>
          <w:szCs w:val="32"/>
          <w:highlight w:val="none"/>
          <w:u w:val="single"/>
          <w:lang w:eastAsia="zh-CN"/>
        </w:rPr>
        <w:t>滁州市城投工程咨询管理有限公司</w:t>
      </w:r>
      <w:r>
        <w:rPr>
          <w:rFonts w:hint="eastAsia" w:ascii="宋体"/>
          <w:b/>
          <w:color w:val="auto"/>
          <w:sz w:val="32"/>
          <w:szCs w:val="32"/>
          <w:highlight w:val="none"/>
        </w:rPr>
        <w:t>（盖单位章）</w:t>
      </w:r>
    </w:p>
    <w:p w14:paraId="33E03B06">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宋体"/>
          <w:b/>
          <w:color w:val="auto"/>
          <w:sz w:val="32"/>
          <w:szCs w:val="32"/>
          <w:highlight w:val="none"/>
        </w:rPr>
      </w:pPr>
      <w:r>
        <w:rPr>
          <w:rFonts w:hint="eastAsia" w:ascii="宋体"/>
          <w:b/>
          <w:color w:val="auto"/>
          <w:sz w:val="32"/>
          <w:szCs w:val="32"/>
          <w:highlight w:val="none"/>
          <w:u w:val="single"/>
        </w:rPr>
        <w:t>202</w:t>
      </w:r>
      <w:r>
        <w:rPr>
          <w:rFonts w:hint="eastAsia" w:ascii="宋体"/>
          <w:b/>
          <w:color w:val="auto"/>
          <w:sz w:val="32"/>
          <w:szCs w:val="32"/>
          <w:highlight w:val="none"/>
          <w:u w:val="single"/>
          <w:lang w:val="en-US" w:eastAsia="zh-CN"/>
        </w:rPr>
        <w:t>6</w:t>
      </w:r>
      <w:r>
        <w:rPr>
          <w:rFonts w:hint="eastAsia" w:ascii="宋体"/>
          <w:b/>
          <w:color w:val="auto"/>
          <w:sz w:val="32"/>
          <w:szCs w:val="32"/>
          <w:highlight w:val="none"/>
        </w:rPr>
        <w:t>年</w:t>
      </w:r>
      <w:r>
        <w:rPr>
          <w:rFonts w:hint="eastAsia" w:ascii="宋体"/>
          <w:b/>
          <w:color w:val="auto"/>
          <w:sz w:val="32"/>
          <w:szCs w:val="32"/>
          <w:highlight w:val="none"/>
          <w:u w:val="single"/>
        </w:rPr>
        <w:t xml:space="preserve"> </w:t>
      </w:r>
      <w:r>
        <w:rPr>
          <w:rFonts w:hint="eastAsia" w:ascii="宋体"/>
          <w:b/>
          <w:color w:val="auto"/>
          <w:sz w:val="32"/>
          <w:szCs w:val="32"/>
          <w:highlight w:val="none"/>
          <w:u w:val="single"/>
          <w:lang w:val="en-US" w:eastAsia="zh-CN"/>
        </w:rPr>
        <w:t>9</w:t>
      </w:r>
      <w:r>
        <w:rPr>
          <w:rFonts w:hint="eastAsia" w:ascii="宋体"/>
          <w:b/>
          <w:color w:val="auto"/>
          <w:sz w:val="32"/>
          <w:szCs w:val="32"/>
          <w:highlight w:val="none"/>
        </w:rPr>
        <w:t>月</w:t>
      </w:r>
    </w:p>
    <w:p w14:paraId="271D4DFD">
      <w:pPr>
        <w:spacing w:line="360" w:lineRule="exact"/>
        <w:rPr>
          <w:rFonts w:hint="eastAsia"/>
          <w:b/>
          <w:color w:val="auto"/>
          <w:sz w:val="36"/>
          <w:highlight w:val="none"/>
        </w:rPr>
      </w:pPr>
    </w:p>
    <w:p w14:paraId="791C115A">
      <w:pPr>
        <w:spacing w:line="360" w:lineRule="exact"/>
        <w:jc w:val="center"/>
        <w:rPr>
          <w:rFonts w:hint="eastAsia"/>
          <w:b/>
          <w:color w:val="auto"/>
          <w:sz w:val="36"/>
          <w:highlight w:val="none"/>
        </w:rPr>
      </w:pPr>
      <w:r>
        <w:rPr>
          <w:rFonts w:hint="eastAsia"/>
          <w:b/>
          <w:color w:val="auto"/>
          <w:sz w:val="36"/>
          <w:highlight w:val="none"/>
        </w:rPr>
        <w:br w:type="page"/>
      </w:r>
    </w:p>
    <w:p w14:paraId="37D39384">
      <w:pPr>
        <w:spacing w:line="360" w:lineRule="exact"/>
        <w:jc w:val="center"/>
        <w:rPr>
          <w:rFonts w:hint="eastAsia"/>
          <w:b/>
          <w:color w:val="auto"/>
          <w:sz w:val="36"/>
          <w:highlight w:val="none"/>
        </w:rPr>
      </w:pPr>
      <w:r>
        <w:rPr>
          <w:rFonts w:hint="eastAsia"/>
          <w:b/>
          <w:color w:val="auto"/>
          <w:sz w:val="36"/>
          <w:highlight w:val="none"/>
        </w:rPr>
        <w:t>目  录</w:t>
      </w:r>
    </w:p>
    <w:p w14:paraId="1E425346">
      <w:pPr>
        <w:spacing w:line="360" w:lineRule="exact"/>
        <w:jc w:val="center"/>
        <w:rPr>
          <w:rFonts w:hint="eastAsia"/>
          <w:b/>
          <w:color w:val="auto"/>
          <w:sz w:val="36"/>
          <w:highlight w:val="none"/>
        </w:rPr>
      </w:pPr>
    </w:p>
    <w:p w14:paraId="56A10D92">
      <w:pPr>
        <w:pStyle w:val="26"/>
        <w:keepNext w:val="0"/>
        <w:keepLines w:val="0"/>
        <w:pageBreakBefore w:val="0"/>
        <w:widowControl w:val="0"/>
        <w:tabs>
          <w:tab w:val="right" w:leader="dot" w:pos="8296"/>
        </w:tabs>
        <w:kinsoku/>
        <w:wordWrap/>
        <w:overflowPunct/>
        <w:topLinePunct w:val="0"/>
        <w:autoSpaceDE/>
        <w:autoSpaceDN/>
        <w:bidi w:val="0"/>
        <w:spacing w:before="156" w:beforeLines="50" w:after="156" w:afterLines="50" w:line="920" w:lineRule="exact"/>
        <w:textAlignment w:val="auto"/>
        <w:rPr>
          <w:rFonts w:ascii="宋体" w:hAnsi="宋体"/>
          <w:b/>
          <w:color w:val="auto"/>
          <w:sz w:val="28"/>
          <w:szCs w:val="28"/>
          <w:highlight w:val="none"/>
        </w:rPr>
      </w:pP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TOC \o "1-3" \h \z \u </w:instrText>
      </w:r>
      <w:r>
        <w:rPr>
          <w:rFonts w:hint="eastAsia" w:ascii="宋体" w:hAnsi="宋体" w:cs="宋体"/>
          <w:color w:val="auto"/>
          <w:sz w:val="28"/>
          <w:szCs w:val="28"/>
          <w:highlight w:val="none"/>
        </w:rPr>
        <w:fldChar w:fldCharType="separate"/>
      </w:r>
      <w:r>
        <w:rPr>
          <w:rFonts w:ascii="宋体" w:hAnsi="宋体"/>
          <w:color w:val="auto"/>
          <w:sz w:val="28"/>
          <w:szCs w:val="28"/>
          <w:highlight w:val="none"/>
        </w:rPr>
        <w:fldChar w:fldCharType="begin"/>
      </w:r>
      <w:r>
        <w:rPr>
          <w:rStyle w:val="46"/>
          <w:rFonts w:ascii="宋体" w:hAnsi="宋体"/>
          <w:color w:val="auto"/>
          <w:sz w:val="28"/>
          <w:szCs w:val="28"/>
          <w:highlight w:val="none"/>
        </w:rPr>
        <w:instrText xml:space="preserve"> </w:instrText>
      </w:r>
      <w:r>
        <w:rPr>
          <w:rFonts w:ascii="宋体" w:hAnsi="宋体"/>
          <w:color w:val="auto"/>
          <w:sz w:val="28"/>
          <w:szCs w:val="28"/>
          <w:highlight w:val="none"/>
        </w:rPr>
        <w:instrText xml:space="preserve">HYPERLINK \l "_Toc58430304"</w:instrText>
      </w:r>
      <w:r>
        <w:rPr>
          <w:rStyle w:val="46"/>
          <w:rFonts w:ascii="宋体" w:hAnsi="宋体"/>
          <w:color w:val="auto"/>
          <w:sz w:val="28"/>
          <w:szCs w:val="28"/>
          <w:highlight w:val="none"/>
        </w:rPr>
        <w:instrText xml:space="preserve"> </w:instrText>
      </w:r>
      <w:r>
        <w:rPr>
          <w:rFonts w:ascii="宋体" w:hAnsi="宋体"/>
          <w:color w:val="auto"/>
          <w:sz w:val="28"/>
          <w:szCs w:val="28"/>
          <w:highlight w:val="none"/>
        </w:rPr>
        <w:fldChar w:fldCharType="separate"/>
      </w:r>
      <w:r>
        <w:rPr>
          <w:rStyle w:val="46"/>
          <w:rFonts w:hint="eastAsia" w:ascii="宋体" w:hAnsi="宋体"/>
          <w:b/>
          <w:color w:val="auto"/>
          <w:sz w:val="28"/>
          <w:szCs w:val="28"/>
          <w:highlight w:val="none"/>
        </w:rPr>
        <w:t>第一章</w:t>
      </w:r>
      <w:r>
        <w:rPr>
          <w:rStyle w:val="46"/>
          <w:rFonts w:ascii="宋体" w:hAnsi="宋体"/>
          <w:b/>
          <w:color w:val="auto"/>
          <w:sz w:val="28"/>
          <w:szCs w:val="28"/>
          <w:highlight w:val="none"/>
        </w:rPr>
        <w:t xml:space="preserve"> </w:t>
      </w:r>
      <w:r>
        <w:rPr>
          <w:rStyle w:val="46"/>
          <w:rFonts w:hint="eastAsia" w:ascii="宋体" w:hAnsi="宋体"/>
          <w:b/>
          <w:color w:val="auto"/>
          <w:sz w:val="28"/>
          <w:szCs w:val="28"/>
          <w:highlight w:val="none"/>
          <w:lang w:val="en-US" w:eastAsia="zh-CN"/>
        </w:rPr>
        <w:t>招标公告</w:t>
      </w:r>
      <w:r>
        <w:rPr>
          <w:rFonts w:ascii="宋体" w:hAnsi="宋体"/>
          <w:b/>
          <w:color w:val="auto"/>
          <w:sz w:val="28"/>
          <w:szCs w:val="28"/>
          <w:highlight w:val="none"/>
        </w:rPr>
        <w:tab/>
      </w:r>
      <w:r>
        <w:rPr>
          <w:rFonts w:hint="eastAsia" w:ascii="宋体" w:hAnsi="宋体"/>
          <w:b/>
          <w:color w:val="auto"/>
          <w:sz w:val="28"/>
          <w:szCs w:val="28"/>
          <w:highlight w:val="none"/>
          <w:lang w:val="en-US" w:eastAsia="zh-CN"/>
        </w:rPr>
        <w:t>1</w:t>
      </w:r>
      <w:r>
        <w:rPr>
          <w:rFonts w:ascii="宋体" w:hAnsi="宋体"/>
          <w:b/>
          <w:color w:val="auto"/>
          <w:sz w:val="28"/>
          <w:szCs w:val="28"/>
          <w:highlight w:val="none"/>
        </w:rPr>
        <w:fldChar w:fldCharType="end"/>
      </w:r>
    </w:p>
    <w:p w14:paraId="526C863D">
      <w:pPr>
        <w:pStyle w:val="26"/>
        <w:keepNext w:val="0"/>
        <w:keepLines w:val="0"/>
        <w:pageBreakBefore w:val="0"/>
        <w:widowControl w:val="0"/>
        <w:tabs>
          <w:tab w:val="right" w:leader="dot" w:pos="8296"/>
        </w:tabs>
        <w:kinsoku/>
        <w:wordWrap/>
        <w:overflowPunct/>
        <w:topLinePunct w:val="0"/>
        <w:autoSpaceDE/>
        <w:autoSpaceDN/>
        <w:bidi w:val="0"/>
        <w:spacing w:before="156" w:beforeLines="50" w:after="156" w:afterLines="50" w:line="920" w:lineRule="exact"/>
        <w:textAlignment w:val="auto"/>
        <w:rPr>
          <w:rFonts w:hint="eastAsia" w:ascii="宋体" w:hAnsi="宋体" w:eastAsia="宋体"/>
          <w:b/>
          <w:color w:val="auto"/>
          <w:sz w:val="28"/>
          <w:szCs w:val="28"/>
          <w:highlight w:val="none"/>
          <w:lang w:eastAsia="zh-CN"/>
        </w:rPr>
      </w:pPr>
      <w:r>
        <w:rPr>
          <w:rFonts w:ascii="宋体" w:hAnsi="宋体"/>
          <w:b/>
          <w:color w:val="auto"/>
          <w:sz w:val="28"/>
          <w:szCs w:val="28"/>
          <w:highlight w:val="none"/>
        </w:rPr>
        <w:fldChar w:fldCharType="begin"/>
      </w:r>
      <w:r>
        <w:rPr>
          <w:rStyle w:val="46"/>
          <w:rFonts w:ascii="宋体" w:hAnsi="宋体"/>
          <w:b/>
          <w:color w:val="auto"/>
          <w:sz w:val="28"/>
          <w:szCs w:val="28"/>
          <w:highlight w:val="none"/>
        </w:rPr>
        <w:instrText xml:space="preserve"> </w:instrText>
      </w:r>
      <w:r>
        <w:rPr>
          <w:rFonts w:ascii="宋体" w:hAnsi="宋体"/>
          <w:b/>
          <w:color w:val="auto"/>
          <w:sz w:val="28"/>
          <w:szCs w:val="28"/>
          <w:highlight w:val="none"/>
        </w:rPr>
        <w:instrText xml:space="preserve">HYPERLINK \l "_Toc58430313"</w:instrText>
      </w:r>
      <w:r>
        <w:rPr>
          <w:rStyle w:val="46"/>
          <w:rFonts w:ascii="宋体" w:hAnsi="宋体"/>
          <w:b/>
          <w:color w:val="auto"/>
          <w:sz w:val="28"/>
          <w:szCs w:val="28"/>
          <w:highlight w:val="none"/>
        </w:rPr>
        <w:instrText xml:space="preserve"> </w:instrText>
      </w:r>
      <w:r>
        <w:rPr>
          <w:rFonts w:ascii="宋体" w:hAnsi="宋体"/>
          <w:b/>
          <w:color w:val="auto"/>
          <w:sz w:val="28"/>
          <w:szCs w:val="28"/>
          <w:highlight w:val="none"/>
        </w:rPr>
        <w:fldChar w:fldCharType="separate"/>
      </w:r>
      <w:r>
        <w:rPr>
          <w:rStyle w:val="46"/>
          <w:rFonts w:hint="eastAsia" w:ascii="宋体" w:hAnsi="宋体"/>
          <w:b/>
          <w:color w:val="auto"/>
          <w:sz w:val="28"/>
          <w:szCs w:val="28"/>
          <w:highlight w:val="none"/>
        </w:rPr>
        <w:t>第二章</w:t>
      </w:r>
      <w:r>
        <w:rPr>
          <w:rStyle w:val="46"/>
          <w:rFonts w:ascii="宋体" w:hAnsi="宋体"/>
          <w:b/>
          <w:color w:val="auto"/>
          <w:sz w:val="28"/>
          <w:szCs w:val="28"/>
          <w:highlight w:val="none"/>
        </w:rPr>
        <w:t xml:space="preserve"> </w:t>
      </w:r>
      <w:r>
        <w:rPr>
          <w:rStyle w:val="46"/>
          <w:rFonts w:hint="eastAsia" w:ascii="宋体" w:hAnsi="宋体"/>
          <w:b/>
          <w:color w:val="auto"/>
          <w:sz w:val="28"/>
          <w:szCs w:val="28"/>
          <w:highlight w:val="none"/>
          <w:lang w:val="en-US" w:eastAsia="zh-CN"/>
        </w:rPr>
        <w:t>投标人</w:t>
      </w:r>
      <w:r>
        <w:rPr>
          <w:rStyle w:val="46"/>
          <w:rFonts w:hint="eastAsia" w:ascii="宋体" w:hAnsi="宋体"/>
          <w:b/>
          <w:color w:val="auto"/>
          <w:sz w:val="28"/>
          <w:szCs w:val="28"/>
          <w:highlight w:val="none"/>
        </w:rPr>
        <w:t>须知</w:t>
      </w:r>
      <w:r>
        <w:rPr>
          <w:rFonts w:ascii="宋体" w:hAnsi="宋体"/>
          <w:b/>
          <w:color w:val="auto"/>
          <w:sz w:val="28"/>
          <w:szCs w:val="28"/>
          <w:highlight w:val="none"/>
        </w:rPr>
        <w:tab/>
      </w:r>
      <w:r>
        <w:rPr>
          <w:rFonts w:ascii="宋体" w:hAnsi="宋体"/>
          <w:b/>
          <w:color w:val="auto"/>
          <w:sz w:val="28"/>
          <w:szCs w:val="28"/>
          <w:highlight w:val="none"/>
        </w:rPr>
        <w:fldChar w:fldCharType="end"/>
      </w:r>
      <w:r>
        <w:rPr>
          <w:rFonts w:hint="eastAsia" w:ascii="宋体" w:hAnsi="宋体"/>
          <w:b/>
          <w:color w:val="auto"/>
          <w:sz w:val="28"/>
          <w:szCs w:val="28"/>
          <w:highlight w:val="none"/>
          <w:lang w:val="en-US" w:eastAsia="zh-CN"/>
        </w:rPr>
        <w:t>5</w:t>
      </w:r>
    </w:p>
    <w:p w14:paraId="2E10A08E">
      <w:pPr>
        <w:pStyle w:val="26"/>
        <w:keepNext w:val="0"/>
        <w:keepLines w:val="0"/>
        <w:pageBreakBefore w:val="0"/>
        <w:widowControl w:val="0"/>
        <w:tabs>
          <w:tab w:val="right" w:leader="dot" w:pos="8296"/>
        </w:tabs>
        <w:kinsoku/>
        <w:wordWrap/>
        <w:overflowPunct/>
        <w:topLinePunct w:val="0"/>
        <w:autoSpaceDE/>
        <w:autoSpaceDN/>
        <w:bidi w:val="0"/>
        <w:spacing w:before="156" w:beforeLines="50" w:after="156" w:afterLines="50" w:line="920" w:lineRule="exact"/>
        <w:textAlignment w:val="auto"/>
        <w:rPr>
          <w:rFonts w:hint="default" w:ascii="宋体" w:hAnsi="宋体" w:eastAsia="宋体"/>
          <w:b/>
          <w:color w:val="auto"/>
          <w:sz w:val="28"/>
          <w:szCs w:val="28"/>
          <w:highlight w:val="none"/>
          <w:lang w:val="en-US" w:eastAsia="zh-CN"/>
        </w:rPr>
      </w:pPr>
      <w:r>
        <w:rPr>
          <w:rFonts w:ascii="宋体" w:hAnsi="宋体"/>
          <w:b/>
          <w:color w:val="auto"/>
          <w:sz w:val="28"/>
          <w:szCs w:val="28"/>
          <w:highlight w:val="none"/>
        </w:rPr>
        <w:fldChar w:fldCharType="begin"/>
      </w:r>
      <w:r>
        <w:rPr>
          <w:rStyle w:val="46"/>
          <w:rFonts w:ascii="宋体" w:hAnsi="宋体"/>
          <w:b/>
          <w:color w:val="auto"/>
          <w:sz w:val="28"/>
          <w:szCs w:val="28"/>
          <w:highlight w:val="none"/>
        </w:rPr>
        <w:instrText xml:space="preserve"> </w:instrText>
      </w:r>
      <w:r>
        <w:rPr>
          <w:rFonts w:ascii="宋体" w:hAnsi="宋体"/>
          <w:b/>
          <w:color w:val="auto"/>
          <w:sz w:val="28"/>
          <w:szCs w:val="28"/>
          <w:highlight w:val="none"/>
        </w:rPr>
        <w:instrText xml:space="preserve">HYPERLINK \l "_Toc58430316"</w:instrText>
      </w:r>
      <w:r>
        <w:rPr>
          <w:rStyle w:val="46"/>
          <w:rFonts w:ascii="宋体" w:hAnsi="宋体"/>
          <w:b/>
          <w:color w:val="auto"/>
          <w:sz w:val="28"/>
          <w:szCs w:val="28"/>
          <w:highlight w:val="none"/>
        </w:rPr>
        <w:instrText xml:space="preserve"> </w:instrText>
      </w:r>
      <w:r>
        <w:rPr>
          <w:rFonts w:ascii="宋体" w:hAnsi="宋体"/>
          <w:b/>
          <w:color w:val="auto"/>
          <w:sz w:val="28"/>
          <w:szCs w:val="28"/>
          <w:highlight w:val="none"/>
        </w:rPr>
        <w:fldChar w:fldCharType="separate"/>
      </w:r>
      <w:r>
        <w:rPr>
          <w:rStyle w:val="46"/>
          <w:rFonts w:hint="eastAsia" w:ascii="宋体" w:hAnsi="宋体"/>
          <w:b/>
          <w:color w:val="auto"/>
          <w:sz w:val="28"/>
          <w:szCs w:val="28"/>
          <w:highlight w:val="none"/>
        </w:rPr>
        <w:t>第三章</w:t>
      </w:r>
      <w:r>
        <w:rPr>
          <w:rStyle w:val="46"/>
          <w:rFonts w:ascii="宋体" w:hAnsi="宋体"/>
          <w:b/>
          <w:color w:val="auto"/>
          <w:sz w:val="28"/>
          <w:szCs w:val="28"/>
          <w:highlight w:val="none"/>
        </w:rPr>
        <w:t xml:space="preserve"> </w:t>
      </w:r>
      <w:r>
        <w:rPr>
          <w:rStyle w:val="46"/>
          <w:rFonts w:hint="eastAsia" w:ascii="宋体" w:hAnsi="宋体"/>
          <w:b/>
          <w:color w:val="auto"/>
          <w:sz w:val="28"/>
          <w:szCs w:val="28"/>
          <w:highlight w:val="none"/>
        </w:rPr>
        <w:t>评标办法</w:t>
      </w:r>
      <w:r>
        <w:rPr>
          <w:rFonts w:ascii="宋体" w:hAnsi="宋体"/>
          <w:b/>
          <w:color w:val="auto"/>
          <w:sz w:val="28"/>
          <w:szCs w:val="28"/>
          <w:highlight w:val="none"/>
        </w:rPr>
        <w:tab/>
      </w:r>
      <w:r>
        <w:rPr>
          <w:rFonts w:ascii="宋体" w:hAnsi="宋体"/>
          <w:b/>
          <w:color w:val="auto"/>
          <w:sz w:val="28"/>
          <w:szCs w:val="28"/>
          <w:highlight w:val="none"/>
        </w:rPr>
        <w:fldChar w:fldCharType="end"/>
      </w:r>
      <w:r>
        <w:rPr>
          <w:rFonts w:hint="eastAsia" w:ascii="宋体" w:hAnsi="宋体"/>
          <w:b/>
          <w:color w:val="auto"/>
          <w:sz w:val="28"/>
          <w:szCs w:val="28"/>
          <w:highlight w:val="none"/>
          <w:lang w:val="en-US" w:eastAsia="zh-CN"/>
        </w:rPr>
        <w:t>18</w:t>
      </w:r>
    </w:p>
    <w:p w14:paraId="756FF240">
      <w:pPr>
        <w:pStyle w:val="26"/>
        <w:keepNext w:val="0"/>
        <w:keepLines w:val="0"/>
        <w:pageBreakBefore w:val="0"/>
        <w:widowControl w:val="0"/>
        <w:tabs>
          <w:tab w:val="right" w:leader="dot" w:pos="8296"/>
        </w:tabs>
        <w:kinsoku/>
        <w:wordWrap/>
        <w:overflowPunct/>
        <w:topLinePunct w:val="0"/>
        <w:autoSpaceDE/>
        <w:autoSpaceDN/>
        <w:bidi w:val="0"/>
        <w:spacing w:before="156" w:beforeLines="50" w:after="156" w:afterLines="50" w:line="920" w:lineRule="exact"/>
        <w:textAlignment w:val="auto"/>
        <w:rPr>
          <w:rFonts w:hint="default" w:ascii="宋体" w:hAnsi="宋体" w:eastAsia="宋体"/>
          <w:b/>
          <w:color w:val="auto"/>
          <w:sz w:val="28"/>
          <w:szCs w:val="28"/>
          <w:highlight w:val="none"/>
          <w:lang w:val="en-US" w:eastAsia="zh-CN"/>
        </w:rPr>
      </w:pPr>
      <w:r>
        <w:rPr>
          <w:rFonts w:ascii="宋体" w:hAnsi="宋体"/>
          <w:b/>
          <w:color w:val="auto"/>
          <w:sz w:val="28"/>
          <w:szCs w:val="28"/>
          <w:highlight w:val="none"/>
        </w:rPr>
        <w:fldChar w:fldCharType="begin"/>
      </w:r>
      <w:r>
        <w:rPr>
          <w:rStyle w:val="46"/>
          <w:rFonts w:ascii="宋体" w:hAnsi="宋体"/>
          <w:b/>
          <w:color w:val="auto"/>
          <w:sz w:val="28"/>
          <w:szCs w:val="28"/>
          <w:highlight w:val="none"/>
        </w:rPr>
        <w:instrText xml:space="preserve"> </w:instrText>
      </w:r>
      <w:r>
        <w:rPr>
          <w:rFonts w:ascii="宋体" w:hAnsi="宋体"/>
          <w:b/>
          <w:color w:val="auto"/>
          <w:sz w:val="28"/>
          <w:szCs w:val="28"/>
          <w:highlight w:val="none"/>
        </w:rPr>
        <w:instrText xml:space="preserve">HYPERLINK \l "_Toc58430328"</w:instrText>
      </w:r>
      <w:r>
        <w:rPr>
          <w:rStyle w:val="46"/>
          <w:rFonts w:ascii="宋体" w:hAnsi="宋体"/>
          <w:b/>
          <w:color w:val="auto"/>
          <w:sz w:val="28"/>
          <w:szCs w:val="28"/>
          <w:highlight w:val="none"/>
        </w:rPr>
        <w:instrText xml:space="preserve"> </w:instrText>
      </w:r>
      <w:r>
        <w:rPr>
          <w:rFonts w:ascii="宋体" w:hAnsi="宋体"/>
          <w:b/>
          <w:color w:val="auto"/>
          <w:sz w:val="28"/>
          <w:szCs w:val="28"/>
          <w:highlight w:val="none"/>
        </w:rPr>
        <w:fldChar w:fldCharType="separate"/>
      </w:r>
      <w:r>
        <w:rPr>
          <w:rStyle w:val="46"/>
          <w:rFonts w:hint="eastAsia" w:ascii="宋体" w:hAnsi="宋体"/>
          <w:b/>
          <w:color w:val="auto"/>
          <w:sz w:val="28"/>
          <w:szCs w:val="28"/>
          <w:highlight w:val="none"/>
        </w:rPr>
        <w:t>第四章</w:t>
      </w:r>
      <w:r>
        <w:rPr>
          <w:rStyle w:val="46"/>
          <w:rFonts w:ascii="宋体" w:hAnsi="宋体"/>
          <w:b/>
          <w:color w:val="auto"/>
          <w:sz w:val="28"/>
          <w:szCs w:val="28"/>
          <w:highlight w:val="none"/>
        </w:rPr>
        <w:t xml:space="preserve"> </w:t>
      </w:r>
      <w:r>
        <w:rPr>
          <w:rStyle w:val="46"/>
          <w:rFonts w:hint="eastAsia" w:ascii="宋体" w:hAnsi="宋体"/>
          <w:b/>
          <w:color w:val="auto"/>
          <w:sz w:val="28"/>
          <w:szCs w:val="28"/>
          <w:highlight w:val="none"/>
        </w:rPr>
        <w:t>采购需求</w:t>
      </w:r>
      <w:r>
        <w:rPr>
          <w:rFonts w:ascii="宋体" w:hAnsi="宋体"/>
          <w:b/>
          <w:color w:val="auto"/>
          <w:sz w:val="28"/>
          <w:szCs w:val="28"/>
          <w:highlight w:val="none"/>
        </w:rPr>
        <w:tab/>
      </w:r>
      <w:r>
        <w:rPr>
          <w:rFonts w:ascii="宋体" w:hAnsi="宋体"/>
          <w:b/>
          <w:color w:val="auto"/>
          <w:sz w:val="28"/>
          <w:szCs w:val="28"/>
          <w:highlight w:val="none"/>
        </w:rPr>
        <w:fldChar w:fldCharType="end"/>
      </w:r>
      <w:r>
        <w:rPr>
          <w:rFonts w:hint="eastAsia" w:ascii="宋体" w:hAnsi="宋体"/>
          <w:b/>
          <w:color w:val="auto"/>
          <w:sz w:val="28"/>
          <w:szCs w:val="28"/>
          <w:highlight w:val="none"/>
          <w:lang w:val="en-US" w:eastAsia="zh-CN"/>
        </w:rPr>
        <w:t>24</w:t>
      </w:r>
    </w:p>
    <w:p w14:paraId="0BD5CD36">
      <w:pPr>
        <w:pStyle w:val="26"/>
        <w:keepNext w:val="0"/>
        <w:keepLines w:val="0"/>
        <w:pageBreakBefore w:val="0"/>
        <w:widowControl w:val="0"/>
        <w:tabs>
          <w:tab w:val="right" w:leader="dot" w:pos="8296"/>
        </w:tabs>
        <w:kinsoku/>
        <w:wordWrap/>
        <w:overflowPunct/>
        <w:topLinePunct w:val="0"/>
        <w:autoSpaceDE/>
        <w:autoSpaceDN/>
        <w:bidi w:val="0"/>
        <w:spacing w:before="156" w:beforeLines="50" w:after="156" w:afterLines="50" w:line="920" w:lineRule="exact"/>
        <w:textAlignment w:val="auto"/>
        <w:rPr>
          <w:rFonts w:hint="default" w:ascii="宋体" w:hAnsi="宋体" w:eastAsia="宋体"/>
          <w:b/>
          <w:color w:val="auto"/>
          <w:sz w:val="28"/>
          <w:szCs w:val="28"/>
          <w:highlight w:val="none"/>
          <w:lang w:val="en-US" w:eastAsia="zh-CN"/>
        </w:rPr>
      </w:pPr>
      <w:r>
        <w:rPr>
          <w:rFonts w:hint="eastAsia" w:ascii="宋体" w:hAnsi="宋体"/>
          <w:b/>
          <w:color w:val="auto"/>
          <w:sz w:val="28"/>
          <w:szCs w:val="28"/>
          <w:highlight w:val="none"/>
          <w:lang w:val="en-US" w:eastAsia="zh-CN"/>
        </w:rPr>
        <w:t>第五章 合同条款</w:t>
      </w:r>
      <w:r>
        <w:rPr>
          <w:rFonts w:ascii="宋体" w:hAnsi="宋体"/>
          <w:b/>
          <w:color w:val="auto"/>
          <w:sz w:val="28"/>
          <w:szCs w:val="28"/>
          <w:highlight w:val="none"/>
        </w:rPr>
        <w:tab/>
      </w:r>
      <w:r>
        <w:rPr>
          <w:rFonts w:hint="eastAsia" w:ascii="宋体" w:hAnsi="宋体"/>
          <w:b/>
          <w:color w:val="auto"/>
          <w:sz w:val="28"/>
          <w:szCs w:val="28"/>
          <w:highlight w:val="none"/>
          <w:lang w:val="en-US" w:eastAsia="zh-CN"/>
        </w:rPr>
        <w:t>26</w:t>
      </w:r>
    </w:p>
    <w:p w14:paraId="08D46986">
      <w:pPr>
        <w:pStyle w:val="26"/>
        <w:keepNext w:val="0"/>
        <w:keepLines w:val="0"/>
        <w:pageBreakBefore w:val="0"/>
        <w:widowControl w:val="0"/>
        <w:tabs>
          <w:tab w:val="right" w:leader="dot" w:pos="8296"/>
        </w:tabs>
        <w:kinsoku/>
        <w:wordWrap/>
        <w:overflowPunct/>
        <w:topLinePunct w:val="0"/>
        <w:autoSpaceDE/>
        <w:autoSpaceDN/>
        <w:bidi w:val="0"/>
        <w:spacing w:before="156" w:beforeLines="50" w:after="156" w:afterLines="50" w:line="920" w:lineRule="exact"/>
        <w:textAlignment w:val="auto"/>
        <w:rPr>
          <w:rFonts w:hint="default" w:ascii="宋体" w:hAnsi="宋体" w:eastAsia="宋体"/>
          <w:b/>
          <w:color w:val="auto"/>
          <w:sz w:val="28"/>
          <w:szCs w:val="28"/>
          <w:highlight w:val="none"/>
          <w:lang w:val="en-US" w:eastAsia="zh-CN"/>
        </w:rPr>
      </w:pPr>
      <w:r>
        <w:rPr>
          <w:rFonts w:ascii="宋体" w:hAnsi="宋体"/>
          <w:b/>
          <w:color w:val="auto"/>
          <w:sz w:val="28"/>
          <w:szCs w:val="28"/>
          <w:highlight w:val="none"/>
        </w:rPr>
        <w:fldChar w:fldCharType="begin"/>
      </w:r>
      <w:r>
        <w:rPr>
          <w:rStyle w:val="46"/>
          <w:rFonts w:ascii="宋体" w:hAnsi="宋体"/>
          <w:b/>
          <w:color w:val="auto"/>
          <w:sz w:val="28"/>
          <w:szCs w:val="28"/>
          <w:highlight w:val="none"/>
        </w:rPr>
        <w:instrText xml:space="preserve"> </w:instrText>
      </w:r>
      <w:r>
        <w:rPr>
          <w:rFonts w:ascii="宋体" w:hAnsi="宋体"/>
          <w:b/>
          <w:color w:val="auto"/>
          <w:sz w:val="28"/>
          <w:szCs w:val="28"/>
          <w:highlight w:val="none"/>
        </w:rPr>
        <w:instrText xml:space="preserve">HYPERLINK \l "_Toc58430332"</w:instrText>
      </w:r>
      <w:r>
        <w:rPr>
          <w:rStyle w:val="46"/>
          <w:rFonts w:ascii="宋体" w:hAnsi="宋体"/>
          <w:b/>
          <w:color w:val="auto"/>
          <w:sz w:val="28"/>
          <w:szCs w:val="28"/>
          <w:highlight w:val="none"/>
        </w:rPr>
        <w:instrText xml:space="preserve"> </w:instrText>
      </w:r>
      <w:r>
        <w:rPr>
          <w:rFonts w:ascii="宋体" w:hAnsi="宋体"/>
          <w:b/>
          <w:color w:val="auto"/>
          <w:sz w:val="28"/>
          <w:szCs w:val="28"/>
          <w:highlight w:val="none"/>
        </w:rPr>
        <w:fldChar w:fldCharType="separate"/>
      </w:r>
      <w:r>
        <w:rPr>
          <w:rStyle w:val="46"/>
          <w:rFonts w:hint="eastAsia" w:ascii="宋体" w:hAnsi="宋体"/>
          <w:b/>
          <w:color w:val="auto"/>
          <w:sz w:val="28"/>
          <w:szCs w:val="28"/>
          <w:highlight w:val="none"/>
        </w:rPr>
        <w:t>第</w:t>
      </w:r>
      <w:r>
        <w:rPr>
          <w:rStyle w:val="46"/>
          <w:rFonts w:hint="eastAsia" w:ascii="宋体" w:hAnsi="宋体"/>
          <w:b/>
          <w:color w:val="auto"/>
          <w:sz w:val="28"/>
          <w:szCs w:val="28"/>
          <w:highlight w:val="none"/>
          <w:lang w:val="en-US" w:eastAsia="zh-CN"/>
        </w:rPr>
        <w:t>六</w:t>
      </w:r>
      <w:r>
        <w:rPr>
          <w:rStyle w:val="46"/>
          <w:rFonts w:hint="eastAsia" w:ascii="宋体" w:hAnsi="宋体"/>
          <w:b/>
          <w:color w:val="auto"/>
          <w:sz w:val="28"/>
          <w:szCs w:val="28"/>
          <w:highlight w:val="none"/>
        </w:rPr>
        <w:t>章</w:t>
      </w:r>
      <w:r>
        <w:rPr>
          <w:rStyle w:val="46"/>
          <w:rFonts w:ascii="宋体" w:hAnsi="宋体"/>
          <w:b/>
          <w:color w:val="auto"/>
          <w:sz w:val="28"/>
          <w:szCs w:val="28"/>
          <w:highlight w:val="none"/>
        </w:rPr>
        <w:t xml:space="preserve"> </w:t>
      </w:r>
      <w:r>
        <w:rPr>
          <w:rStyle w:val="46"/>
          <w:rFonts w:hint="eastAsia" w:ascii="宋体" w:hAnsi="宋体"/>
          <w:b/>
          <w:color w:val="auto"/>
          <w:sz w:val="28"/>
          <w:szCs w:val="28"/>
          <w:highlight w:val="none"/>
          <w:lang w:val="en-US" w:eastAsia="zh-CN"/>
        </w:rPr>
        <w:t>投标</w:t>
      </w:r>
      <w:r>
        <w:rPr>
          <w:rStyle w:val="46"/>
          <w:rFonts w:hint="eastAsia" w:ascii="宋体" w:hAnsi="宋体"/>
          <w:b/>
          <w:color w:val="auto"/>
          <w:sz w:val="28"/>
          <w:szCs w:val="28"/>
          <w:highlight w:val="none"/>
          <w:lang w:eastAsia="zh-CN"/>
        </w:rPr>
        <w:t>文件</w:t>
      </w:r>
      <w:r>
        <w:rPr>
          <w:rStyle w:val="46"/>
          <w:rFonts w:hint="eastAsia" w:ascii="宋体" w:hAnsi="宋体"/>
          <w:b/>
          <w:color w:val="auto"/>
          <w:sz w:val="28"/>
          <w:szCs w:val="28"/>
          <w:highlight w:val="none"/>
        </w:rPr>
        <w:t>格式</w:t>
      </w:r>
      <w:r>
        <w:rPr>
          <w:rFonts w:ascii="宋体" w:hAnsi="宋体"/>
          <w:b/>
          <w:color w:val="auto"/>
          <w:sz w:val="28"/>
          <w:szCs w:val="28"/>
          <w:highlight w:val="none"/>
        </w:rPr>
        <w:tab/>
      </w:r>
      <w:r>
        <w:rPr>
          <w:rFonts w:ascii="宋体" w:hAnsi="宋体"/>
          <w:b/>
          <w:color w:val="auto"/>
          <w:sz w:val="28"/>
          <w:szCs w:val="28"/>
          <w:highlight w:val="none"/>
        </w:rPr>
        <w:fldChar w:fldCharType="end"/>
      </w:r>
      <w:r>
        <w:rPr>
          <w:rFonts w:hint="eastAsia" w:ascii="宋体" w:hAnsi="宋体"/>
          <w:b/>
          <w:color w:val="auto"/>
          <w:sz w:val="28"/>
          <w:szCs w:val="28"/>
          <w:highlight w:val="none"/>
          <w:lang w:val="en-US" w:eastAsia="zh-CN"/>
        </w:rPr>
        <w:t>30</w:t>
      </w:r>
    </w:p>
    <w:p w14:paraId="452F6CDC">
      <w:pPr>
        <w:rPr>
          <w:rFonts w:hint="eastAsia"/>
          <w:color w:val="auto"/>
          <w:highlight w:val="none"/>
        </w:rPr>
        <w:sectPr>
          <w:headerReference r:id="rId4" w:type="first"/>
          <w:footerReference r:id="rId7" w:type="first"/>
          <w:headerReference r:id="rId3" w:type="default"/>
          <w:footerReference r:id="rId5" w:type="default"/>
          <w:footerReference r:id="rId6" w:type="even"/>
          <w:pgSz w:w="11906" w:h="16838"/>
          <w:pgMar w:top="1270" w:right="1417" w:bottom="1270" w:left="1417" w:header="851" w:footer="992" w:gutter="0"/>
          <w:pgNumType w:start="1"/>
          <w:cols w:space="0" w:num="1"/>
          <w:rtlGutter w:val="0"/>
          <w:docGrid w:type="lines" w:linePitch="312" w:charSpace="0"/>
        </w:sectPr>
      </w:pPr>
      <w:r>
        <w:rPr>
          <w:rFonts w:hint="eastAsia" w:ascii="宋体" w:hAnsi="宋体" w:cs="宋体"/>
          <w:color w:val="auto"/>
          <w:sz w:val="28"/>
          <w:szCs w:val="28"/>
          <w:highlight w:val="none"/>
        </w:rPr>
        <w:fldChar w:fldCharType="end"/>
      </w:r>
    </w:p>
    <w:p w14:paraId="080453B7">
      <w:pPr>
        <w:spacing w:before="156" w:beforeLines="50" w:after="156" w:afterLines="50" w:line="600" w:lineRule="exact"/>
        <w:jc w:val="center"/>
        <w:outlineLvl w:val="0"/>
        <w:rPr>
          <w:rFonts w:hint="default" w:ascii="宋体" w:eastAsia="宋体"/>
          <w:b/>
          <w:color w:val="auto"/>
          <w:sz w:val="32"/>
          <w:szCs w:val="32"/>
          <w:highlight w:val="none"/>
          <w:lang w:val="en-US" w:eastAsia="zh-CN"/>
        </w:rPr>
      </w:pPr>
      <w:bookmarkStart w:id="1" w:name="_Toc58430304"/>
      <w:r>
        <w:rPr>
          <w:rFonts w:hint="eastAsia" w:ascii="宋体"/>
          <w:b/>
          <w:color w:val="auto"/>
          <w:sz w:val="32"/>
          <w:szCs w:val="32"/>
          <w:highlight w:val="none"/>
        </w:rPr>
        <w:t xml:space="preserve">第一章  </w:t>
      </w:r>
      <w:bookmarkEnd w:id="1"/>
      <w:r>
        <w:rPr>
          <w:rFonts w:hint="eastAsia" w:ascii="宋体"/>
          <w:b/>
          <w:color w:val="auto"/>
          <w:sz w:val="32"/>
          <w:szCs w:val="32"/>
          <w:highlight w:val="none"/>
          <w:lang w:val="en-US" w:eastAsia="zh-CN"/>
        </w:rPr>
        <w:t>招标公告</w:t>
      </w:r>
    </w:p>
    <w:p w14:paraId="219D8D0B">
      <w:pPr>
        <w:keepNext/>
        <w:keepLines/>
        <w:pageBreakBefore w:val="0"/>
        <w:widowControl w:val="0"/>
        <w:kinsoku/>
        <w:wordWrap/>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color w:val="auto"/>
          <w:sz w:val="28"/>
          <w:szCs w:val="28"/>
          <w:highlight w:val="none"/>
        </w:rPr>
      </w:pPr>
      <w:bookmarkStart w:id="2" w:name="_Toc58430313"/>
      <w:r>
        <w:rPr>
          <w:rFonts w:hint="eastAsia" w:ascii="仿宋" w:hAnsi="仿宋" w:eastAsia="仿宋" w:cs="仿宋"/>
          <w:color w:val="auto"/>
          <w:sz w:val="28"/>
          <w:szCs w:val="28"/>
          <w:highlight w:val="none"/>
        </w:rPr>
        <w:t>项目概况</w:t>
      </w:r>
    </w:p>
    <w:p w14:paraId="588FD928">
      <w:pPr>
        <w:keepNext w:val="0"/>
        <w:keepLines w:val="0"/>
        <w:pageBreakBefore w:val="0"/>
        <w:widowControl/>
        <w:kinsoku/>
        <w:overflowPunct/>
        <w:autoSpaceDE/>
        <w:autoSpaceDN/>
        <w:bidi w:val="0"/>
        <w:adjustRightInd/>
        <w:snapToGrid/>
        <w:spacing w:line="560" w:lineRule="exact"/>
        <w:ind w:firstLine="560" w:firstLineChars="200"/>
        <w:jc w:val="left"/>
        <w:textAlignment w:val="auto"/>
        <w:rPr>
          <w:rFonts w:hint="eastAsia" w:ascii="宋体" w:hAnsi="宋体" w:eastAsia="宋体" w:cs="宋体"/>
          <w:bCs/>
          <w:color w:val="auto"/>
          <w:sz w:val="22"/>
          <w:szCs w:val="22"/>
          <w:highlight w:val="none"/>
        </w:rPr>
      </w:pPr>
      <w:r>
        <w:rPr>
          <w:rFonts w:hint="eastAsia" w:ascii="仿宋" w:hAnsi="仿宋" w:eastAsia="仿宋" w:cs="仿宋"/>
          <w:color w:val="auto"/>
          <w:sz w:val="28"/>
          <w:szCs w:val="28"/>
          <w:highlight w:val="none"/>
          <w:u w:val="single"/>
        </w:rPr>
        <w:t>苏州路与双城路交叉口西北侧地块开发等项目水土保持方案编制服务项目</w:t>
      </w:r>
      <w:r>
        <w:rPr>
          <w:rFonts w:hint="eastAsia" w:ascii="仿宋" w:hAnsi="仿宋" w:eastAsia="仿宋" w:cs="仿宋"/>
          <w:color w:val="auto"/>
          <w:sz w:val="28"/>
          <w:szCs w:val="28"/>
          <w:highlight w:val="none"/>
        </w:rPr>
        <w:t>的潜在</w:t>
      </w:r>
      <w:r>
        <w:rPr>
          <w:rFonts w:hint="eastAsia" w:ascii="仿宋" w:hAnsi="仿宋" w:eastAsia="仿宋" w:cs="仿宋"/>
          <w:color w:val="auto"/>
          <w:sz w:val="28"/>
          <w:szCs w:val="28"/>
          <w:highlight w:val="none"/>
          <w:lang w:eastAsia="zh-CN"/>
        </w:rPr>
        <w:t>投标人</w:t>
      </w:r>
      <w:r>
        <w:rPr>
          <w:rFonts w:hint="eastAsia" w:ascii="仿宋" w:hAnsi="仿宋" w:eastAsia="仿宋" w:cs="仿宋"/>
          <w:color w:val="auto"/>
          <w:sz w:val="28"/>
          <w:szCs w:val="28"/>
          <w:highlight w:val="none"/>
          <w:lang w:val="en-US" w:eastAsia="zh-CN"/>
        </w:rPr>
        <w:t>可</w:t>
      </w:r>
      <w:r>
        <w:rPr>
          <w:rFonts w:hint="eastAsia" w:ascii="仿宋" w:hAnsi="仿宋" w:eastAsia="仿宋" w:cs="仿宋"/>
          <w:color w:val="auto"/>
          <w:sz w:val="28"/>
          <w:szCs w:val="28"/>
          <w:highlight w:val="none"/>
        </w:rPr>
        <w:t>在</w:t>
      </w:r>
      <w:r>
        <w:rPr>
          <w:rFonts w:hint="eastAsia" w:ascii="仿宋" w:hAnsi="仿宋" w:eastAsia="仿宋" w:cs="仿宋"/>
          <w:color w:val="auto"/>
          <w:sz w:val="28"/>
          <w:szCs w:val="28"/>
          <w:highlight w:val="none"/>
          <w:u w:val="single"/>
          <w:lang w:val="en-US" w:eastAsia="zh-CN"/>
        </w:rPr>
        <w:t>中新苏滁高新技术产业开发区（https://scp.chuzhou.gov.cn/index.html）、滁州市城投工程咨询管理有限公司网站（https://www.czctgczx.com/）</w:t>
      </w:r>
      <w:r>
        <w:rPr>
          <w:rFonts w:hint="eastAsia" w:ascii="仿宋" w:hAnsi="仿宋" w:eastAsia="仿宋" w:cs="仿宋"/>
          <w:color w:val="auto"/>
          <w:sz w:val="28"/>
          <w:szCs w:val="28"/>
          <w:highlight w:val="none"/>
        </w:rPr>
        <w:t>获取</w:t>
      </w:r>
      <w:r>
        <w:rPr>
          <w:rFonts w:hint="eastAsia" w:ascii="仿宋" w:hAnsi="仿宋" w:eastAsia="仿宋" w:cs="仿宋"/>
          <w:color w:val="auto"/>
          <w:sz w:val="28"/>
          <w:szCs w:val="28"/>
          <w:highlight w:val="none"/>
          <w:lang w:val="en-US" w:eastAsia="zh-CN"/>
        </w:rPr>
        <w:t>招标文件</w:t>
      </w:r>
      <w:r>
        <w:rPr>
          <w:rFonts w:hint="eastAsia" w:ascii="仿宋" w:hAnsi="仿宋" w:eastAsia="仿宋" w:cs="仿宋"/>
          <w:color w:val="auto"/>
          <w:sz w:val="28"/>
          <w:szCs w:val="28"/>
          <w:highlight w:val="none"/>
        </w:rPr>
        <w:t>，并于</w:t>
      </w:r>
      <w:r>
        <w:rPr>
          <w:rFonts w:hint="eastAsia" w:ascii="仿宋" w:hAnsi="仿宋" w:eastAsia="仿宋" w:cs="仿宋"/>
          <w:color w:val="auto"/>
          <w:sz w:val="28"/>
          <w:szCs w:val="28"/>
          <w:highlight w:val="none"/>
          <w:u w:val="single"/>
        </w:rPr>
        <w:t>202</w:t>
      </w:r>
      <w:r>
        <w:rPr>
          <w:rFonts w:hint="eastAsia" w:ascii="仿宋" w:hAnsi="仿宋" w:eastAsia="仿宋" w:cs="仿宋"/>
          <w:color w:val="auto"/>
          <w:sz w:val="28"/>
          <w:szCs w:val="28"/>
          <w:highlight w:val="none"/>
          <w:u w:val="single"/>
          <w:lang w:val="en-US" w:eastAsia="zh-CN"/>
        </w:rPr>
        <w:t>6</w:t>
      </w:r>
      <w:r>
        <w:rPr>
          <w:rFonts w:hint="eastAsia" w:ascii="仿宋" w:hAnsi="仿宋" w:eastAsia="仿宋" w:cs="仿宋"/>
          <w:color w:val="auto"/>
          <w:sz w:val="28"/>
          <w:szCs w:val="28"/>
          <w:highlight w:val="none"/>
          <w:u w:val="single"/>
        </w:rPr>
        <w:t>年</w:t>
      </w:r>
      <w:r>
        <w:rPr>
          <w:rFonts w:hint="eastAsia" w:ascii="仿宋" w:hAnsi="仿宋" w:eastAsia="仿宋" w:cs="仿宋"/>
          <w:color w:val="auto"/>
          <w:sz w:val="28"/>
          <w:szCs w:val="28"/>
          <w:highlight w:val="none"/>
          <w:u w:val="single"/>
          <w:lang w:val="en-US" w:eastAsia="zh-CN"/>
        </w:rPr>
        <w:t>9</w:t>
      </w:r>
      <w:r>
        <w:rPr>
          <w:rFonts w:hint="eastAsia" w:ascii="仿宋" w:hAnsi="仿宋" w:eastAsia="仿宋" w:cs="仿宋"/>
          <w:color w:val="auto"/>
          <w:sz w:val="28"/>
          <w:szCs w:val="28"/>
          <w:highlight w:val="none"/>
          <w:u w:val="single"/>
        </w:rPr>
        <w:t>月</w:t>
      </w:r>
      <w:r>
        <w:rPr>
          <w:rFonts w:hint="eastAsia" w:ascii="仿宋" w:hAnsi="仿宋" w:eastAsia="仿宋" w:cs="仿宋"/>
          <w:color w:val="auto"/>
          <w:sz w:val="28"/>
          <w:szCs w:val="28"/>
          <w:highlight w:val="none"/>
          <w:u w:val="single"/>
          <w:lang w:val="en-US" w:eastAsia="zh-CN"/>
        </w:rPr>
        <w:t>24</w:t>
      </w:r>
      <w:r>
        <w:rPr>
          <w:rFonts w:hint="eastAsia" w:ascii="仿宋" w:hAnsi="仿宋" w:eastAsia="仿宋" w:cs="仿宋"/>
          <w:color w:val="auto"/>
          <w:sz w:val="28"/>
          <w:szCs w:val="28"/>
          <w:highlight w:val="none"/>
          <w:u w:val="single"/>
        </w:rPr>
        <w:t>日</w:t>
      </w:r>
      <w:r>
        <w:rPr>
          <w:rFonts w:hint="eastAsia" w:ascii="仿宋" w:hAnsi="仿宋" w:eastAsia="仿宋" w:cs="仿宋"/>
          <w:color w:val="auto"/>
          <w:sz w:val="28"/>
          <w:szCs w:val="28"/>
          <w:highlight w:val="none"/>
          <w:u w:val="single"/>
          <w:lang w:val="en-US" w:eastAsia="zh-CN"/>
        </w:rPr>
        <w:t>9</w:t>
      </w:r>
      <w:r>
        <w:rPr>
          <w:rFonts w:hint="eastAsia" w:ascii="仿宋" w:hAnsi="仿宋" w:eastAsia="仿宋" w:cs="仿宋"/>
          <w:color w:val="auto"/>
          <w:sz w:val="28"/>
          <w:szCs w:val="28"/>
          <w:highlight w:val="none"/>
          <w:u w:val="single"/>
        </w:rPr>
        <w:t>点</w:t>
      </w:r>
      <w:r>
        <w:rPr>
          <w:rFonts w:hint="eastAsia" w:ascii="仿宋" w:hAnsi="仿宋" w:eastAsia="仿宋" w:cs="仿宋"/>
          <w:color w:val="auto"/>
          <w:sz w:val="28"/>
          <w:szCs w:val="28"/>
          <w:highlight w:val="none"/>
          <w:u w:val="single"/>
          <w:lang w:val="en-US" w:eastAsia="zh-CN"/>
        </w:rPr>
        <w:t>00</w:t>
      </w:r>
      <w:r>
        <w:rPr>
          <w:rFonts w:hint="eastAsia" w:ascii="仿宋" w:hAnsi="仿宋" w:eastAsia="仿宋" w:cs="仿宋"/>
          <w:color w:val="auto"/>
          <w:sz w:val="28"/>
          <w:szCs w:val="28"/>
          <w:highlight w:val="none"/>
          <w:u w:val="single"/>
        </w:rPr>
        <w:t>分</w:t>
      </w:r>
      <w:r>
        <w:rPr>
          <w:rFonts w:hint="eastAsia" w:ascii="仿宋" w:hAnsi="仿宋" w:eastAsia="仿宋" w:cs="仿宋"/>
          <w:color w:val="auto"/>
          <w:sz w:val="28"/>
          <w:szCs w:val="28"/>
          <w:highlight w:val="none"/>
        </w:rPr>
        <w:t>（北京时间）前递交</w:t>
      </w:r>
      <w:r>
        <w:rPr>
          <w:rFonts w:hint="eastAsia" w:ascii="仿宋" w:hAnsi="仿宋" w:eastAsia="仿宋" w:cs="仿宋"/>
          <w:color w:val="auto"/>
          <w:sz w:val="28"/>
          <w:szCs w:val="28"/>
          <w:highlight w:val="none"/>
          <w:lang w:eastAsia="zh-CN"/>
        </w:rPr>
        <w:t>招标文件</w:t>
      </w:r>
      <w:r>
        <w:rPr>
          <w:rFonts w:hint="eastAsia" w:ascii="仿宋" w:hAnsi="仿宋" w:eastAsia="仿宋" w:cs="仿宋"/>
          <w:color w:val="auto"/>
          <w:sz w:val="28"/>
          <w:szCs w:val="28"/>
          <w:highlight w:val="none"/>
        </w:rPr>
        <w:t>。</w:t>
      </w:r>
    </w:p>
    <w:p w14:paraId="446630A3">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一、项目基本情况</w:t>
      </w:r>
    </w:p>
    <w:p w14:paraId="78805FA0">
      <w:pPr>
        <w:keepNext/>
        <w:keepLines/>
        <w:pageBreakBefore w:val="0"/>
        <w:widowControl w:val="0"/>
        <w:kinsoku/>
        <w:wordWrap/>
        <w:overflowPunct/>
        <w:topLinePunct w:val="0"/>
        <w:autoSpaceDE/>
        <w:autoSpaceDN/>
        <w:bidi w:val="0"/>
        <w:adjustRightInd/>
        <w:snapToGrid/>
        <w:ind w:firstLine="560" w:firstLineChars="200"/>
        <w:jc w:val="left"/>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项目编号：HXJY1110001063602001  </w:t>
      </w:r>
    </w:p>
    <w:p w14:paraId="4F29AFD5">
      <w:pPr>
        <w:keepNext/>
        <w:keepLines/>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项目名称：苏州路与双城路交叉口西北侧地块开发等项目水土保持方案编制服务项目</w:t>
      </w:r>
    </w:p>
    <w:p w14:paraId="302FE9BA">
      <w:pPr>
        <w:keepNext/>
        <w:keepLines/>
        <w:pageBreakBefore w:val="0"/>
        <w:widowControl w:val="0"/>
        <w:kinsoku/>
        <w:wordWrap/>
        <w:overflowPunct/>
        <w:topLinePunct w:val="0"/>
        <w:autoSpaceDE/>
        <w:autoSpaceDN/>
        <w:bidi w:val="0"/>
        <w:adjustRightInd/>
        <w:snapToGrid/>
        <w:ind w:firstLine="560" w:firstLineChars="200"/>
        <w:jc w:val="left"/>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预算金额：</w:t>
      </w:r>
      <w:r>
        <w:rPr>
          <w:rFonts w:hint="eastAsia" w:ascii="仿宋" w:hAnsi="仿宋" w:eastAsia="仿宋" w:cs="仿宋"/>
          <w:color w:val="auto"/>
          <w:sz w:val="28"/>
          <w:szCs w:val="28"/>
          <w:highlight w:val="none"/>
          <w:lang w:val="en-US" w:eastAsia="zh-CN"/>
        </w:rPr>
        <w:t>40000.00元</w:t>
      </w:r>
    </w:p>
    <w:p w14:paraId="13DF57F9">
      <w:pPr>
        <w:keepNext/>
        <w:keepLines/>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最高限价：</w:t>
      </w:r>
      <w:r>
        <w:rPr>
          <w:rFonts w:hint="eastAsia" w:ascii="仿宋" w:hAnsi="仿宋" w:eastAsia="仿宋" w:cs="仿宋"/>
          <w:color w:val="auto"/>
          <w:sz w:val="28"/>
          <w:szCs w:val="28"/>
          <w:highlight w:val="none"/>
          <w:lang w:val="en-US" w:eastAsia="zh-CN"/>
        </w:rPr>
        <w:t>40000.00元</w:t>
      </w:r>
    </w:p>
    <w:p w14:paraId="3DA110D3">
      <w:pPr>
        <w:pageBreakBefore w:val="0"/>
        <w:widowControl w:val="0"/>
        <w:kinsoku/>
        <w:wordWrap/>
        <w:overflowPunct/>
        <w:topLinePunct w:val="0"/>
        <w:autoSpaceDE/>
        <w:autoSpaceDN/>
        <w:bidi w:val="0"/>
        <w:adjustRightInd/>
        <w:snapToGrid/>
        <w:spacing w:before="0" w:line="240" w:lineRule="auto"/>
        <w:ind w:firstLine="560" w:firstLineChars="20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采购需求：</w:t>
      </w:r>
      <w:r>
        <w:rPr>
          <w:rFonts w:hint="eastAsia" w:ascii="仿宋" w:hAnsi="仿宋" w:eastAsia="仿宋" w:cs="仿宋"/>
          <w:color w:val="auto"/>
          <w:sz w:val="28"/>
          <w:szCs w:val="28"/>
          <w:highlight w:val="none"/>
          <w:lang w:val="en-US" w:eastAsia="zh-CN"/>
        </w:rPr>
        <w:t>详见第四章采购需求</w:t>
      </w:r>
    </w:p>
    <w:p w14:paraId="5147890B">
      <w:pPr>
        <w:pageBreakBefore w:val="0"/>
        <w:widowControl w:val="0"/>
        <w:kinsoku/>
        <w:wordWrap/>
        <w:overflowPunct/>
        <w:topLinePunct w:val="0"/>
        <w:autoSpaceDE/>
        <w:autoSpaceDN/>
        <w:bidi w:val="0"/>
        <w:adjustRightInd/>
        <w:snapToGrid/>
        <w:spacing w:before="0" w:line="240" w:lineRule="auto"/>
        <w:ind w:firstLine="560" w:firstLineChars="200"/>
        <w:jc w:val="left"/>
        <w:textAlignment w:val="auto"/>
        <w:rPr>
          <w:rFonts w:hint="eastAsia" w:ascii="仿宋" w:hAnsi="仿宋" w:eastAsia="仿宋"/>
          <w:color w:val="auto"/>
          <w:sz w:val="28"/>
          <w:szCs w:val="28"/>
          <w:highlight w:val="none"/>
          <w:lang w:val="en-US" w:eastAsia="zh-CN"/>
        </w:rPr>
      </w:pPr>
      <w:r>
        <w:rPr>
          <w:rFonts w:hint="eastAsia" w:ascii="仿宋" w:hAnsi="仿宋" w:eastAsia="仿宋" w:cs="仿宋"/>
          <w:color w:val="auto"/>
          <w:sz w:val="28"/>
          <w:szCs w:val="28"/>
          <w:highlight w:val="none"/>
        </w:rPr>
        <w:t>合同履行期限：</w:t>
      </w:r>
      <w:r>
        <w:rPr>
          <w:rFonts w:hint="eastAsia" w:ascii="仿宋" w:hAnsi="仿宋" w:eastAsia="仿宋"/>
          <w:color w:val="auto"/>
          <w:sz w:val="28"/>
          <w:szCs w:val="28"/>
          <w:highlight w:val="none"/>
          <w:lang w:val="en-US" w:eastAsia="zh-CN"/>
        </w:rPr>
        <w:t>自接到招标人通知后，每个项目于15个日历天内完成方案编制，</w:t>
      </w:r>
      <w:r>
        <w:rPr>
          <w:rFonts w:hint="eastAsia" w:ascii="仿宋" w:hAnsi="仿宋" w:eastAsia="仿宋"/>
          <w:color w:val="auto"/>
          <w:sz w:val="28"/>
          <w:szCs w:val="28"/>
          <w:highlight w:val="none"/>
          <w:lang w:val="en-US" w:eastAsia="zh-CN"/>
        </w:rPr>
        <w:t>并通过相关部门审批。</w:t>
      </w:r>
    </w:p>
    <w:p w14:paraId="3741F1E0">
      <w:pPr>
        <w:pageBreakBefore w:val="0"/>
        <w:widowControl w:val="0"/>
        <w:kinsoku/>
        <w:wordWrap/>
        <w:overflowPunct/>
        <w:topLinePunct w:val="0"/>
        <w:autoSpaceDE/>
        <w:autoSpaceDN/>
        <w:bidi w:val="0"/>
        <w:adjustRightInd/>
        <w:snapToGrid/>
        <w:spacing w:before="0" w:line="240" w:lineRule="auto"/>
        <w:ind w:firstLine="560" w:firstLineChars="200"/>
        <w:jc w:val="left"/>
        <w:textAlignment w:val="auto"/>
        <w:rPr>
          <w:rFonts w:hint="eastAsia" w:ascii="宋体" w:hAnsi="宋体" w:eastAsia="宋体" w:cs="宋体"/>
          <w:color w:val="auto"/>
          <w:sz w:val="22"/>
          <w:szCs w:val="22"/>
          <w:highlight w:val="none"/>
          <w:lang w:val="en-US" w:eastAsia="zh-CN"/>
        </w:rPr>
      </w:pPr>
      <w:r>
        <w:rPr>
          <w:rFonts w:hint="eastAsia" w:ascii="仿宋" w:hAnsi="仿宋" w:eastAsia="仿宋" w:cs="仿宋"/>
          <w:color w:val="auto"/>
          <w:sz w:val="28"/>
          <w:szCs w:val="28"/>
          <w:highlight w:val="none"/>
        </w:rPr>
        <w:t>本项目</w:t>
      </w:r>
      <w:r>
        <w:rPr>
          <w:rFonts w:hint="eastAsia" w:ascii="仿宋" w:hAnsi="仿宋" w:eastAsia="仿宋" w:cs="仿宋"/>
          <w:color w:val="auto"/>
          <w:sz w:val="28"/>
          <w:szCs w:val="28"/>
          <w:highlight w:val="none"/>
          <w:lang w:val="en-US" w:eastAsia="zh-CN"/>
        </w:rPr>
        <w:t>不</w:t>
      </w:r>
      <w:r>
        <w:rPr>
          <w:rFonts w:hint="eastAsia" w:ascii="仿宋" w:hAnsi="仿宋" w:eastAsia="仿宋" w:cs="仿宋"/>
          <w:color w:val="auto"/>
          <w:sz w:val="28"/>
          <w:szCs w:val="28"/>
          <w:highlight w:val="none"/>
        </w:rPr>
        <w:t>接受联合体投标</w:t>
      </w:r>
    </w:p>
    <w:p w14:paraId="106AC965">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bookmarkStart w:id="3" w:name="_Toc35393622"/>
      <w:bookmarkStart w:id="4" w:name="_Toc28359003"/>
      <w:bookmarkStart w:id="5" w:name="_Toc35393791"/>
      <w:bookmarkStart w:id="6" w:name="_Toc28359080"/>
      <w:bookmarkStart w:id="7" w:name="_Toc23547"/>
      <w:bookmarkStart w:id="8" w:name="_Toc16461"/>
      <w:bookmarkStart w:id="9" w:name="_Toc10245"/>
      <w:r>
        <w:rPr>
          <w:rFonts w:hint="eastAsia" w:ascii="黑体" w:hAnsi="黑体" w:eastAsia="黑体" w:cs="黑体"/>
          <w:color w:val="auto"/>
          <w:sz w:val="28"/>
          <w:szCs w:val="28"/>
          <w:highlight w:val="none"/>
        </w:rPr>
        <w:t>二、申请人的资格要求</w:t>
      </w:r>
      <w:bookmarkEnd w:id="3"/>
      <w:bookmarkEnd w:id="4"/>
      <w:bookmarkEnd w:id="5"/>
      <w:bookmarkEnd w:id="6"/>
    </w:p>
    <w:p w14:paraId="313C0348">
      <w:pPr>
        <w:pageBreakBefore w:val="0"/>
        <w:widowControl w:val="0"/>
        <w:kinsoku/>
        <w:wordWrap/>
        <w:overflowPunct/>
        <w:topLinePunct w:val="0"/>
        <w:autoSpaceDE/>
        <w:autoSpaceDN/>
        <w:bidi w:val="0"/>
        <w:adjustRightInd/>
        <w:snapToGrid/>
        <w:spacing w:before="0" w:line="240" w:lineRule="auto"/>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1.投标人</w:t>
      </w:r>
      <w:r>
        <w:rPr>
          <w:rFonts w:hint="eastAsia" w:ascii="仿宋" w:hAnsi="仿宋" w:eastAsia="仿宋" w:cs="仿宋"/>
          <w:color w:val="auto"/>
          <w:sz w:val="28"/>
          <w:szCs w:val="28"/>
          <w:highlight w:val="none"/>
          <w:lang w:val="en-US" w:eastAsia="zh-CN"/>
        </w:rPr>
        <w:t>具有</w:t>
      </w:r>
      <w:r>
        <w:rPr>
          <w:rFonts w:hint="eastAsia" w:ascii="仿宋" w:hAnsi="仿宋" w:eastAsia="仿宋" w:cs="仿宋"/>
          <w:color w:val="auto"/>
          <w:sz w:val="28"/>
          <w:szCs w:val="28"/>
          <w:highlight w:val="none"/>
        </w:rPr>
        <w:t>独立</w:t>
      </w:r>
      <w:r>
        <w:rPr>
          <w:rFonts w:hint="eastAsia" w:ascii="仿宋" w:hAnsi="仿宋" w:eastAsia="仿宋" w:cs="仿宋"/>
          <w:color w:val="auto"/>
          <w:sz w:val="28"/>
          <w:szCs w:val="28"/>
          <w:highlight w:val="none"/>
          <w:lang w:val="en-US" w:eastAsia="zh-CN"/>
        </w:rPr>
        <w:t>承担民事责任能力及</w:t>
      </w:r>
      <w:r>
        <w:rPr>
          <w:rFonts w:hint="eastAsia" w:ascii="仿宋" w:hAnsi="仿宋" w:eastAsia="仿宋" w:cs="仿宋"/>
          <w:color w:val="auto"/>
          <w:sz w:val="28"/>
          <w:szCs w:val="28"/>
          <w:highlight w:val="none"/>
        </w:rPr>
        <w:t>相应服务能力；</w:t>
      </w:r>
    </w:p>
    <w:p w14:paraId="1C19F280">
      <w:pPr>
        <w:pageBreakBefore w:val="0"/>
        <w:widowControl w:val="0"/>
        <w:kinsoku/>
        <w:wordWrap/>
        <w:overflowPunct/>
        <w:topLinePunct w:val="0"/>
        <w:autoSpaceDE/>
        <w:autoSpaceDN/>
        <w:bidi w:val="0"/>
        <w:adjustRightInd/>
        <w:snapToGrid/>
        <w:spacing w:before="0" w:line="240" w:lineRule="auto"/>
        <w:ind w:firstLine="560" w:firstLineChars="200"/>
        <w:jc w:val="left"/>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2.投标人拟派项目负责人具有水土保持专业或水利水电工程专业高级职称证书。</w:t>
      </w:r>
    </w:p>
    <w:p w14:paraId="324ABF88">
      <w:pPr>
        <w:pageBreakBefore w:val="0"/>
        <w:widowControl w:val="0"/>
        <w:kinsoku/>
        <w:wordWrap/>
        <w:overflowPunct/>
        <w:topLinePunct w:val="0"/>
        <w:autoSpaceDE/>
        <w:autoSpaceDN/>
        <w:bidi w:val="0"/>
        <w:adjustRightInd/>
        <w:snapToGrid/>
        <w:spacing w:before="0" w:line="240" w:lineRule="auto"/>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投标人存在以下情形之一的，不得被确定为中标人：</w:t>
      </w:r>
    </w:p>
    <w:p w14:paraId="22DFECDB">
      <w:pPr>
        <w:pageBreakBefore w:val="0"/>
        <w:widowControl w:val="0"/>
        <w:kinsoku/>
        <w:wordWrap/>
        <w:overflowPunct/>
        <w:topLinePunct w:val="0"/>
        <w:autoSpaceDE/>
        <w:autoSpaceDN/>
        <w:bidi w:val="0"/>
        <w:adjustRightInd/>
        <w:snapToGrid/>
        <w:spacing w:before="0" w:line="240" w:lineRule="auto"/>
        <w:ind w:firstLine="560" w:firstLineChars="200"/>
        <w:jc w:val="left"/>
        <w:textAlignment w:val="auto"/>
        <w:rPr>
          <w:rFonts w:hint="eastAsia" w:ascii="仿宋" w:hAnsi="仿宋" w:eastAsia="仿宋" w:cs="仿宋"/>
          <w:color w:val="auto"/>
          <w:sz w:val="28"/>
          <w:szCs w:val="28"/>
          <w:highlight w:val="none"/>
          <w:lang w:eastAsia="zh-CN"/>
        </w:rPr>
      </w:pPr>
      <w:bookmarkStart w:id="10" w:name="OLE_LINK132"/>
      <w:bookmarkStart w:id="11" w:name="OLE_LINK135"/>
      <w:bookmarkStart w:id="12" w:name="OLE_LINK131"/>
      <w:bookmarkStart w:id="13" w:name="OLE_LINK138"/>
      <w:r>
        <w:rPr>
          <w:rFonts w:hint="eastAsia" w:ascii="仿宋" w:hAnsi="仿宋" w:eastAsia="仿宋" w:cs="仿宋"/>
          <w:color w:val="auto"/>
          <w:sz w:val="28"/>
          <w:szCs w:val="28"/>
          <w:highlight w:val="none"/>
        </w:rPr>
        <w:t>①被列入“信用中国”网站（www.creditchina.gov.cn）“失信被执行人”的</w:t>
      </w:r>
      <w:r>
        <w:rPr>
          <w:rFonts w:hint="eastAsia" w:ascii="仿宋" w:hAnsi="仿宋" w:eastAsia="仿宋" w:cs="仿宋"/>
          <w:color w:val="auto"/>
          <w:sz w:val="28"/>
          <w:szCs w:val="28"/>
          <w:highlight w:val="none"/>
          <w:lang w:eastAsia="zh-CN"/>
        </w:rPr>
        <w:t>；</w:t>
      </w:r>
    </w:p>
    <w:p w14:paraId="3D41450B">
      <w:pPr>
        <w:pageBreakBefore w:val="0"/>
        <w:widowControl w:val="0"/>
        <w:kinsoku/>
        <w:wordWrap/>
        <w:overflowPunct/>
        <w:topLinePunct w:val="0"/>
        <w:autoSpaceDE/>
        <w:autoSpaceDN/>
        <w:bidi w:val="0"/>
        <w:adjustRightInd/>
        <w:snapToGrid/>
        <w:spacing w:before="0" w:line="240" w:lineRule="auto"/>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②被列入“信用中国”网站（www.creditchina.gov.cn）“重大税收违法失信主体”的；</w:t>
      </w:r>
    </w:p>
    <w:p w14:paraId="6C766D9C">
      <w:pPr>
        <w:pageBreakBefore w:val="0"/>
        <w:widowControl w:val="0"/>
        <w:kinsoku/>
        <w:wordWrap/>
        <w:overflowPunct/>
        <w:topLinePunct w:val="0"/>
        <w:autoSpaceDE/>
        <w:autoSpaceDN/>
        <w:bidi w:val="0"/>
        <w:adjustRightInd/>
        <w:snapToGrid/>
        <w:spacing w:before="0" w:line="240" w:lineRule="auto"/>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③被列入“信用中国”网站（www.creditchina.gov.cn）“拖欠农民工工资失信联合惩戒对象名单”的；</w:t>
      </w:r>
    </w:p>
    <w:p w14:paraId="428AB82C">
      <w:pPr>
        <w:pageBreakBefore w:val="0"/>
        <w:widowControl w:val="0"/>
        <w:kinsoku/>
        <w:wordWrap/>
        <w:overflowPunct/>
        <w:topLinePunct w:val="0"/>
        <w:autoSpaceDE/>
        <w:autoSpaceDN/>
        <w:bidi w:val="0"/>
        <w:adjustRightInd/>
        <w:snapToGrid/>
        <w:spacing w:before="0" w:line="240" w:lineRule="auto"/>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④被列入“信用中国”网站（www.creditchina.gov.cn） “</w:t>
      </w:r>
      <w:r>
        <w:rPr>
          <w:rFonts w:hint="eastAsia" w:ascii="仿宋" w:hAnsi="仿宋" w:eastAsia="仿宋" w:cs="仿宋"/>
          <w:color w:val="auto"/>
          <w:sz w:val="28"/>
          <w:szCs w:val="28"/>
          <w:highlight w:val="none"/>
          <w:lang w:eastAsia="zh-CN"/>
        </w:rPr>
        <w:t>安全生产严重失信主体名单</w:t>
      </w:r>
      <w:r>
        <w:rPr>
          <w:rFonts w:hint="eastAsia" w:ascii="仿宋" w:hAnsi="仿宋" w:eastAsia="仿宋" w:cs="仿宋"/>
          <w:color w:val="auto"/>
          <w:sz w:val="28"/>
          <w:szCs w:val="28"/>
          <w:highlight w:val="none"/>
        </w:rPr>
        <w:t>”的；</w:t>
      </w:r>
    </w:p>
    <w:p w14:paraId="366054D8">
      <w:pPr>
        <w:pageBreakBefore w:val="0"/>
        <w:widowControl w:val="0"/>
        <w:kinsoku/>
        <w:wordWrap/>
        <w:overflowPunct/>
        <w:topLinePunct w:val="0"/>
        <w:autoSpaceDE/>
        <w:autoSpaceDN/>
        <w:bidi w:val="0"/>
        <w:adjustRightInd/>
        <w:snapToGrid/>
        <w:spacing w:before="0" w:line="240" w:lineRule="auto"/>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⑤</w:t>
      </w:r>
      <w:bookmarkStart w:id="14" w:name="OLE_LINK114"/>
      <w:bookmarkStart w:id="15" w:name="OLE_LINK113"/>
      <w:r>
        <w:rPr>
          <w:rFonts w:hint="eastAsia" w:ascii="仿宋" w:hAnsi="仿宋" w:eastAsia="仿宋" w:cs="仿宋"/>
          <w:color w:val="auto"/>
          <w:sz w:val="28"/>
          <w:szCs w:val="28"/>
          <w:highlight w:val="none"/>
        </w:rPr>
        <w:t>被列入国家企业信用信息公示系统网站（</w:t>
      </w:r>
      <w:r>
        <w:rPr>
          <w:rFonts w:hint="eastAsia" w:ascii="仿宋" w:hAnsi="仿宋" w:eastAsia="仿宋" w:cs="仿宋"/>
          <w:color w:val="auto"/>
          <w:sz w:val="28"/>
          <w:szCs w:val="28"/>
          <w:highlight w:val="none"/>
        </w:rPr>
        <w:fldChar w:fldCharType="begin"/>
      </w:r>
      <w:r>
        <w:rPr>
          <w:rFonts w:hint="eastAsia" w:ascii="仿宋" w:hAnsi="仿宋" w:eastAsia="仿宋" w:cs="仿宋"/>
          <w:color w:val="auto"/>
          <w:sz w:val="28"/>
          <w:szCs w:val="28"/>
          <w:highlight w:val="none"/>
        </w:rPr>
        <w:instrText xml:space="preserve"> HYPERLINK "http://www.gsxt.gov.cn）查询" </w:instrText>
      </w:r>
      <w:r>
        <w:rPr>
          <w:rFonts w:hint="eastAsia" w:ascii="仿宋" w:hAnsi="仿宋" w:eastAsia="仿宋" w:cs="仿宋"/>
          <w:color w:val="auto"/>
          <w:sz w:val="28"/>
          <w:szCs w:val="28"/>
          <w:highlight w:val="none"/>
        </w:rPr>
        <w:fldChar w:fldCharType="separate"/>
      </w:r>
      <w:r>
        <w:rPr>
          <w:rFonts w:hint="eastAsia" w:ascii="仿宋" w:hAnsi="仿宋" w:eastAsia="仿宋" w:cs="仿宋"/>
          <w:color w:val="auto"/>
          <w:sz w:val="28"/>
          <w:szCs w:val="28"/>
          <w:highlight w:val="none"/>
        </w:rPr>
        <w:t>www.gsxt.gov.cn）</w:t>
      </w:r>
      <w:r>
        <w:rPr>
          <w:rFonts w:hint="eastAsia" w:ascii="仿宋" w:hAnsi="仿宋" w:eastAsia="仿宋" w:cs="仿宋"/>
          <w:color w:val="auto"/>
          <w:sz w:val="28"/>
          <w:szCs w:val="28"/>
          <w:highlight w:val="none"/>
        </w:rPr>
        <w:fldChar w:fldCharType="end"/>
      </w:r>
      <w:r>
        <w:rPr>
          <w:rFonts w:hint="eastAsia" w:ascii="仿宋" w:hAnsi="仿宋" w:eastAsia="仿宋" w:cs="仿宋"/>
          <w:color w:val="auto"/>
          <w:sz w:val="28"/>
          <w:szCs w:val="28"/>
          <w:highlight w:val="none"/>
        </w:rPr>
        <w:t>“严重违法失信名单”的</w:t>
      </w:r>
      <w:bookmarkEnd w:id="14"/>
      <w:bookmarkEnd w:id="15"/>
      <w:r>
        <w:rPr>
          <w:rFonts w:hint="eastAsia" w:ascii="仿宋" w:hAnsi="仿宋" w:eastAsia="仿宋" w:cs="仿宋"/>
          <w:color w:val="auto"/>
          <w:sz w:val="28"/>
          <w:szCs w:val="28"/>
          <w:highlight w:val="none"/>
        </w:rPr>
        <w:t>。</w:t>
      </w:r>
    </w:p>
    <w:bookmarkEnd w:id="10"/>
    <w:bookmarkEnd w:id="11"/>
    <w:bookmarkEnd w:id="12"/>
    <w:bookmarkEnd w:id="13"/>
    <w:p w14:paraId="466AE018">
      <w:pPr>
        <w:pageBreakBefore w:val="0"/>
        <w:widowControl w:val="0"/>
        <w:kinsoku/>
        <w:wordWrap/>
        <w:overflowPunct/>
        <w:topLinePunct w:val="0"/>
        <w:autoSpaceDE/>
        <w:autoSpaceDN/>
        <w:bidi w:val="0"/>
        <w:adjustRightInd/>
        <w:snapToGrid/>
        <w:spacing w:before="0" w:line="240" w:lineRule="auto"/>
        <w:ind w:firstLine="560" w:firstLineChars="200"/>
        <w:jc w:val="left"/>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投标人（包括联合体各成员）所属分公司、办事处等分支机构存在第</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条信誉要求①-⑤项情形之一的， 接受</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其被确定为中标人。</w:t>
      </w:r>
    </w:p>
    <w:bookmarkEnd w:id="7"/>
    <w:bookmarkEnd w:id="8"/>
    <w:bookmarkEnd w:id="9"/>
    <w:p w14:paraId="4B668D6D">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三、获取</w:t>
      </w:r>
      <w:r>
        <w:rPr>
          <w:rFonts w:hint="eastAsia" w:ascii="黑体" w:hAnsi="黑体" w:eastAsia="黑体" w:cs="黑体"/>
          <w:color w:val="auto"/>
          <w:sz w:val="28"/>
          <w:szCs w:val="28"/>
          <w:highlight w:val="none"/>
          <w:lang w:val="en-US" w:eastAsia="zh-CN"/>
        </w:rPr>
        <w:t>招标文件</w:t>
      </w:r>
    </w:p>
    <w:p w14:paraId="16B4ED61">
      <w:pPr>
        <w:keepNext w:val="0"/>
        <w:keepLines w:val="0"/>
        <w:pageBreakBefore w:val="0"/>
        <w:widowControl w:val="0"/>
        <w:kinsoku/>
        <w:wordWrap/>
        <w:overflowPunct/>
        <w:topLinePunct w:val="0"/>
        <w:autoSpaceDE/>
        <w:autoSpaceDN/>
        <w:bidi w:val="0"/>
        <w:adjustRightInd/>
        <w:snapToGrid/>
        <w:ind w:firstLine="539"/>
        <w:jc w:val="left"/>
        <w:textAlignment w:val="auto"/>
        <w:rPr>
          <w:rFonts w:hint="eastAsia" w:ascii="仿宋" w:hAnsi="仿宋" w:eastAsia="仿宋" w:cs="宋体"/>
          <w:iCs/>
          <w:color w:val="auto"/>
          <w:sz w:val="28"/>
          <w:szCs w:val="28"/>
          <w:highlight w:val="none"/>
          <w:lang w:eastAsia="zh-CN"/>
        </w:rPr>
      </w:pPr>
      <w:r>
        <w:rPr>
          <w:rFonts w:hint="eastAsia" w:ascii="仿宋" w:hAnsi="仿宋" w:eastAsia="仿宋" w:cs="宋体"/>
          <w:color w:val="auto"/>
          <w:sz w:val="28"/>
          <w:szCs w:val="28"/>
          <w:highlight w:val="none"/>
        </w:rPr>
        <w:t>时间：</w:t>
      </w:r>
      <w:r>
        <w:rPr>
          <w:rFonts w:hint="eastAsia" w:ascii="仿宋" w:hAnsi="仿宋" w:eastAsia="仿宋" w:cs="宋体"/>
          <w:color w:val="auto"/>
          <w:sz w:val="28"/>
          <w:szCs w:val="28"/>
          <w:highlight w:val="none"/>
          <w:u w:val="none"/>
        </w:rPr>
        <w:t>20</w:t>
      </w:r>
      <w:r>
        <w:rPr>
          <w:rFonts w:hint="eastAsia" w:ascii="仿宋" w:hAnsi="仿宋" w:eastAsia="仿宋" w:cs="宋体"/>
          <w:color w:val="auto"/>
          <w:sz w:val="28"/>
          <w:szCs w:val="28"/>
          <w:highlight w:val="none"/>
          <w:u w:val="none"/>
          <w:lang w:val="en-US" w:eastAsia="zh-CN"/>
        </w:rPr>
        <w:t>26</w:t>
      </w:r>
      <w:r>
        <w:rPr>
          <w:rFonts w:hint="eastAsia" w:ascii="仿宋" w:hAnsi="仿宋" w:eastAsia="仿宋" w:cs="宋体"/>
          <w:color w:val="auto"/>
          <w:sz w:val="28"/>
          <w:szCs w:val="28"/>
          <w:highlight w:val="none"/>
          <w:u w:val="none"/>
        </w:rPr>
        <w:t>年</w:t>
      </w:r>
      <w:r>
        <w:rPr>
          <w:rFonts w:hint="eastAsia" w:ascii="仿宋" w:hAnsi="仿宋" w:eastAsia="仿宋" w:cs="宋体"/>
          <w:color w:val="auto"/>
          <w:sz w:val="28"/>
          <w:szCs w:val="28"/>
          <w:highlight w:val="none"/>
          <w:u w:val="none"/>
          <w:lang w:val="en-US" w:eastAsia="zh-CN"/>
        </w:rPr>
        <w:t>9</w:t>
      </w:r>
      <w:r>
        <w:rPr>
          <w:rFonts w:hint="eastAsia" w:ascii="仿宋" w:hAnsi="仿宋" w:eastAsia="仿宋" w:cs="宋体"/>
          <w:color w:val="auto"/>
          <w:sz w:val="28"/>
          <w:szCs w:val="28"/>
          <w:highlight w:val="none"/>
          <w:u w:val="none"/>
        </w:rPr>
        <w:t>月</w:t>
      </w:r>
      <w:r>
        <w:rPr>
          <w:rFonts w:hint="eastAsia" w:ascii="仿宋" w:hAnsi="仿宋" w:eastAsia="仿宋" w:cs="宋体"/>
          <w:color w:val="auto"/>
          <w:sz w:val="28"/>
          <w:szCs w:val="28"/>
          <w:highlight w:val="none"/>
          <w:u w:val="none"/>
          <w:lang w:val="en-US" w:eastAsia="zh-CN"/>
        </w:rPr>
        <w:t>17</w:t>
      </w:r>
      <w:r>
        <w:rPr>
          <w:rFonts w:hint="eastAsia" w:ascii="仿宋" w:hAnsi="仿宋" w:eastAsia="仿宋" w:cs="宋体"/>
          <w:color w:val="auto"/>
          <w:sz w:val="28"/>
          <w:szCs w:val="28"/>
          <w:highlight w:val="none"/>
          <w:u w:val="none"/>
        </w:rPr>
        <w:t>日至202</w:t>
      </w:r>
      <w:r>
        <w:rPr>
          <w:rFonts w:hint="eastAsia" w:ascii="仿宋" w:hAnsi="仿宋" w:eastAsia="仿宋" w:cs="宋体"/>
          <w:color w:val="auto"/>
          <w:sz w:val="28"/>
          <w:szCs w:val="28"/>
          <w:highlight w:val="none"/>
          <w:u w:val="none"/>
          <w:lang w:val="en-US" w:eastAsia="zh-CN"/>
        </w:rPr>
        <w:t>6</w:t>
      </w:r>
      <w:r>
        <w:rPr>
          <w:rFonts w:hint="eastAsia" w:ascii="仿宋" w:hAnsi="仿宋" w:eastAsia="仿宋" w:cs="宋体"/>
          <w:color w:val="auto"/>
          <w:sz w:val="28"/>
          <w:szCs w:val="28"/>
          <w:highlight w:val="none"/>
          <w:u w:val="none"/>
        </w:rPr>
        <w:t>年</w:t>
      </w:r>
      <w:r>
        <w:rPr>
          <w:rFonts w:hint="eastAsia" w:ascii="仿宋" w:hAnsi="仿宋" w:eastAsia="仿宋" w:cs="宋体"/>
          <w:color w:val="auto"/>
          <w:sz w:val="28"/>
          <w:szCs w:val="28"/>
          <w:highlight w:val="none"/>
          <w:u w:val="none"/>
          <w:lang w:val="en-US" w:eastAsia="zh-CN"/>
        </w:rPr>
        <w:t>9</w:t>
      </w:r>
      <w:r>
        <w:rPr>
          <w:rFonts w:hint="eastAsia" w:ascii="仿宋" w:hAnsi="仿宋" w:eastAsia="仿宋" w:cs="宋体"/>
          <w:color w:val="auto"/>
          <w:sz w:val="28"/>
          <w:szCs w:val="28"/>
          <w:highlight w:val="none"/>
          <w:u w:val="none"/>
        </w:rPr>
        <w:t>月</w:t>
      </w:r>
      <w:r>
        <w:rPr>
          <w:rFonts w:hint="eastAsia" w:ascii="仿宋" w:hAnsi="仿宋" w:eastAsia="仿宋" w:cs="宋体"/>
          <w:color w:val="auto"/>
          <w:sz w:val="28"/>
          <w:szCs w:val="28"/>
          <w:highlight w:val="none"/>
          <w:u w:val="none"/>
          <w:lang w:val="en-US" w:eastAsia="zh-CN"/>
        </w:rPr>
        <w:t>24</w:t>
      </w:r>
      <w:r>
        <w:rPr>
          <w:rFonts w:hint="eastAsia" w:ascii="仿宋" w:hAnsi="仿宋" w:eastAsia="仿宋" w:cs="宋体"/>
          <w:color w:val="auto"/>
          <w:sz w:val="28"/>
          <w:szCs w:val="28"/>
          <w:highlight w:val="none"/>
          <w:u w:val="none"/>
        </w:rPr>
        <w:t>日</w:t>
      </w:r>
    </w:p>
    <w:p w14:paraId="5D38E8FA">
      <w:pPr>
        <w:keepNext w:val="0"/>
        <w:keepLines w:val="0"/>
        <w:pageBreakBefore w:val="0"/>
        <w:widowControl w:val="0"/>
        <w:kinsoku/>
        <w:wordWrap/>
        <w:overflowPunct/>
        <w:topLinePunct w:val="0"/>
        <w:autoSpaceDE/>
        <w:autoSpaceDN/>
        <w:bidi w:val="0"/>
        <w:adjustRightInd/>
        <w:snapToGrid/>
        <w:ind w:firstLine="539"/>
        <w:jc w:val="left"/>
        <w:textAlignment w:val="auto"/>
        <w:rPr>
          <w:rFonts w:hint="default" w:ascii="仿宋" w:hAnsi="仿宋" w:eastAsia="仿宋" w:cs="宋体"/>
          <w:color w:val="auto"/>
          <w:sz w:val="28"/>
          <w:szCs w:val="28"/>
          <w:highlight w:val="none"/>
          <w:u w:val="none"/>
          <w:lang w:val="en-US"/>
        </w:rPr>
      </w:pPr>
      <w:r>
        <w:rPr>
          <w:rFonts w:hint="eastAsia" w:ascii="仿宋" w:hAnsi="仿宋" w:eastAsia="仿宋" w:cs="宋体"/>
          <w:color w:val="auto"/>
          <w:sz w:val="28"/>
          <w:szCs w:val="28"/>
          <w:highlight w:val="none"/>
        </w:rPr>
        <w:t>地点：</w:t>
      </w:r>
      <w:r>
        <w:rPr>
          <w:rFonts w:hint="eastAsia" w:ascii="仿宋" w:hAnsi="仿宋" w:eastAsia="仿宋" w:cs="宋体"/>
          <w:color w:val="auto"/>
          <w:sz w:val="28"/>
          <w:szCs w:val="28"/>
          <w:highlight w:val="none"/>
          <w:u w:val="none"/>
          <w:lang w:val="en-US" w:eastAsia="zh-CN"/>
        </w:rPr>
        <w:t>中新苏滁高新技术产业开发区（https://scp.chuzhou.gov.cn/index.html）、滁州市城投工程咨询管理有限公司网站（https://www.czctgczx.com/）</w:t>
      </w:r>
    </w:p>
    <w:p w14:paraId="479FE4AE">
      <w:pPr>
        <w:keepNext w:val="0"/>
        <w:keepLines w:val="0"/>
        <w:pageBreakBefore w:val="0"/>
        <w:widowControl w:val="0"/>
        <w:kinsoku/>
        <w:wordWrap/>
        <w:overflowPunct/>
        <w:topLinePunct w:val="0"/>
        <w:autoSpaceDE/>
        <w:autoSpaceDN/>
        <w:bidi w:val="0"/>
        <w:adjustRightInd/>
        <w:snapToGrid/>
        <w:ind w:firstLine="539"/>
        <w:jc w:val="left"/>
        <w:textAlignment w:val="auto"/>
        <w:rPr>
          <w:rFonts w:hint="eastAsia" w:ascii="仿宋" w:hAnsi="仿宋" w:eastAsia="仿宋" w:cs="宋体"/>
          <w:color w:val="auto"/>
          <w:sz w:val="28"/>
          <w:szCs w:val="28"/>
          <w:highlight w:val="none"/>
          <w:u w:val="single"/>
          <w:lang w:eastAsia="zh-CN"/>
        </w:rPr>
      </w:pPr>
      <w:r>
        <w:rPr>
          <w:rFonts w:hint="eastAsia" w:ascii="仿宋" w:hAnsi="仿宋" w:eastAsia="仿宋" w:cs="宋体"/>
          <w:color w:val="auto"/>
          <w:sz w:val="28"/>
          <w:szCs w:val="28"/>
          <w:highlight w:val="none"/>
        </w:rPr>
        <w:t>方式：网上下载</w:t>
      </w:r>
    </w:p>
    <w:p w14:paraId="7045C97B">
      <w:pPr>
        <w:keepNext w:val="0"/>
        <w:keepLines w:val="0"/>
        <w:pageBreakBefore w:val="0"/>
        <w:widowControl w:val="0"/>
        <w:kinsoku/>
        <w:overflowPunct/>
        <w:autoSpaceDE/>
        <w:autoSpaceDN/>
        <w:bidi w:val="0"/>
        <w:adjustRightInd/>
        <w:snapToGrid/>
        <w:spacing w:line="5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售价：0元</w:t>
      </w:r>
    </w:p>
    <w:p w14:paraId="7BEBF845">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bookmarkStart w:id="16" w:name="_Toc28359082"/>
      <w:bookmarkStart w:id="17" w:name="_Toc28359005"/>
      <w:bookmarkStart w:id="18" w:name="_Toc35393624"/>
      <w:bookmarkStart w:id="19" w:name="_Toc35393793"/>
      <w:bookmarkStart w:id="20" w:name="_Toc7279"/>
      <w:bookmarkStart w:id="21" w:name="_Toc26252"/>
      <w:bookmarkStart w:id="22" w:name="_Toc21401"/>
      <w:r>
        <w:rPr>
          <w:rFonts w:hint="eastAsia" w:ascii="黑体" w:hAnsi="黑体" w:eastAsia="黑体" w:cs="黑体"/>
          <w:color w:val="auto"/>
          <w:sz w:val="28"/>
          <w:szCs w:val="28"/>
          <w:highlight w:val="none"/>
        </w:rPr>
        <w:t>四、提交</w:t>
      </w:r>
      <w:bookmarkEnd w:id="16"/>
      <w:bookmarkEnd w:id="17"/>
      <w:r>
        <w:rPr>
          <w:rFonts w:hint="eastAsia" w:ascii="黑体" w:hAnsi="黑体" w:eastAsia="黑体" w:cs="黑体"/>
          <w:color w:val="auto"/>
          <w:sz w:val="28"/>
          <w:szCs w:val="28"/>
          <w:highlight w:val="none"/>
          <w:lang w:eastAsia="zh-CN"/>
        </w:rPr>
        <w:t>招标文件</w:t>
      </w:r>
      <w:r>
        <w:rPr>
          <w:rFonts w:hint="eastAsia" w:ascii="黑体" w:hAnsi="黑体" w:eastAsia="黑体" w:cs="黑体"/>
          <w:color w:val="auto"/>
          <w:sz w:val="28"/>
          <w:szCs w:val="28"/>
          <w:highlight w:val="none"/>
        </w:rPr>
        <w:t>截止时间、开标时间和地点</w:t>
      </w:r>
      <w:bookmarkEnd w:id="18"/>
      <w:bookmarkEnd w:id="19"/>
    </w:p>
    <w:p w14:paraId="118C0C21">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bCs/>
          <w:iCs/>
          <w:color w:val="auto"/>
          <w:sz w:val="28"/>
          <w:szCs w:val="28"/>
          <w:highlight w:val="none"/>
          <w:lang w:eastAsia="zh-CN"/>
        </w:rPr>
      </w:pPr>
      <w:r>
        <w:rPr>
          <w:rFonts w:hint="eastAsia" w:ascii="仿宋" w:hAnsi="仿宋" w:eastAsia="仿宋"/>
          <w:bCs/>
          <w:color w:val="auto"/>
          <w:sz w:val="28"/>
          <w:szCs w:val="28"/>
          <w:highlight w:val="none"/>
          <w:u w:val="none"/>
          <w:lang w:val="en-US" w:eastAsia="zh-CN"/>
        </w:rPr>
        <w:t>时间：</w:t>
      </w:r>
      <w:r>
        <w:rPr>
          <w:rFonts w:hint="eastAsia" w:ascii="仿宋" w:hAnsi="仿宋" w:eastAsia="仿宋"/>
          <w:bCs/>
          <w:color w:val="auto"/>
          <w:sz w:val="28"/>
          <w:szCs w:val="28"/>
          <w:highlight w:val="none"/>
          <w:u w:val="none"/>
        </w:rPr>
        <w:t>20</w:t>
      </w:r>
      <w:r>
        <w:rPr>
          <w:rFonts w:hint="eastAsia" w:ascii="仿宋" w:hAnsi="仿宋" w:eastAsia="仿宋"/>
          <w:bCs/>
          <w:color w:val="auto"/>
          <w:sz w:val="28"/>
          <w:szCs w:val="28"/>
          <w:highlight w:val="none"/>
          <w:u w:val="none"/>
          <w:lang w:val="en-US" w:eastAsia="zh-CN"/>
        </w:rPr>
        <w:t>26</w:t>
      </w:r>
      <w:r>
        <w:rPr>
          <w:rFonts w:hint="eastAsia" w:ascii="仿宋" w:hAnsi="仿宋" w:eastAsia="仿宋"/>
          <w:bCs/>
          <w:color w:val="auto"/>
          <w:sz w:val="28"/>
          <w:szCs w:val="28"/>
          <w:highlight w:val="none"/>
          <w:u w:val="none"/>
        </w:rPr>
        <w:t>年</w:t>
      </w:r>
      <w:r>
        <w:rPr>
          <w:rFonts w:hint="eastAsia" w:ascii="仿宋" w:hAnsi="仿宋" w:eastAsia="仿宋"/>
          <w:bCs/>
          <w:color w:val="auto"/>
          <w:sz w:val="28"/>
          <w:szCs w:val="28"/>
          <w:highlight w:val="none"/>
          <w:u w:val="none"/>
          <w:lang w:val="en-US" w:eastAsia="zh-CN"/>
        </w:rPr>
        <w:t>9</w:t>
      </w:r>
      <w:r>
        <w:rPr>
          <w:rFonts w:hint="eastAsia" w:ascii="仿宋" w:hAnsi="仿宋" w:eastAsia="仿宋"/>
          <w:bCs/>
          <w:color w:val="auto"/>
          <w:sz w:val="28"/>
          <w:szCs w:val="28"/>
          <w:highlight w:val="none"/>
          <w:u w:val="none"/>
        </w:rPr>
        <w:t>月</w:t>
      </w:r>
      <w:r>
        <w:rPr>
          <w:rFonts w:hint="eastAsia" w:ascii="仿宋" w:hAnsi="仿宋" w:eastAsia="仿宋"/>
          <w:bCs/>
          <w:color w:val="auto"/>
          <w:sz w:val="28"/>
          <w:szCs w:val="28"/>
          <w:highlight w:val="none"/>
          <w:u w:val="none"/>
          <w:lang w:val="en-US" w:eastAsia="zh-CN"/>
        </w:rPr>
        <w:t>24</w:t>
      </w:r>
      <w:r>
        <w:rPr>
          <w:rFonts w:hint="eastAsia" w:ascii="仿宋" w:hAnsi="仿宋" w:eastAsia="仿宋"/>
          <w:bCs/>
          <w:color w:val="auto"/>
          <w:sz w:val="28"/>
          <w:szCs w:val="28"/>
          <w:highlight w:val="none"/>
          <w:u w:val="none"/>
        </w:rPr>
        <w:t>日</w:t>
      </w:r>
      <w:r>
        <w:rPr>
          <w:rFonts w:hint="eastAsia" w:ascii="仿宋" w:hAnsi="仿宋" w:eastAsia="仿宋"/>
          <w:bCs/>
          <w:color w:val="auto"/>
          <w:sz w:val="28"/>
          <w:szCs w:val="28"/>
          <w:highlight w:val="none"/>
          <w:u w:val="none"/>
          <w:lang w:val="en-US" w:eastAsia="zh-CN"/>
        </w:rPr>
        <w:t>9</w:t>
      </w:r>
      <w:r>
        <w:rPr>
          <w:rFonts w:hint="eastAsia" w:ascii="仿宋" w:hAnsi="仿宋" w:eastAsia="仿宋"/>
          <w:bCs/>
          <w:color w:val="auto"/>
          <w:sz w:val="28"/>
          <w:szCs w:val="28"/>
          <w:highlight w:val="none"/>
          <w:u w:val="none"/>
        </w:rPr>
        <w:t>点</w:t>
      </w:r>
      <w:r>
        <w:rPr>
          <w:rFonts w:hint="eastAsia" w:ascii="仿宋" w:hAnsi="仿宋" w:eastAsia="仿宋"/>
          <w:bCs/>
          <w:color w:val="auto"/>
          <w:sz w:val="28"/>
          <w:szCs w:val="28"/>
          <w:highlight w:val="none"/>
          <w:u w:val="none"/>
          <w:lang w:val="en-US" w:eastAsia="zh-CN"/>
        </w:rPr>
        <w:t>00</w:t>
      </w:r>
      <w:r>
        <w:rPr>
          <w:rFonts w:hint="eastAsia" w:ascii="仿宋" w:hAnsi="仿宋" w:eastAsia="仿宋"/>
          <w:bCs/>
          <w:color w:val="auto"/>
          <w:sz w:val="28"/>
          <w:szCs w:val="28"/>
          <w:highlight w:val="none"/>
          <w:u w:val="none"/>
        </w:rPr>
        <w:t>分</w:t>
      </w:r>
      <w:r>
        <w:rPr>
          <w:rFonts w:hint="eastAsia" w:ascii="仿宋" w:hAnsi="仿宋" w:eastAsia="仿宋"/>
          <w:bCs/>
          <w:color w:val="auto"/>
          <w:sz w:val="28"/>
          <w:szCs w:val="28"/>
          <w:highlight w:val="none"/>
        </w:rPr>
        <w:t>（北京时间）</w:t>
      </w:r>
      <w:r>
        <w:rPr>
          <w:rFonts w:hint="eastAsia" w:ascii="仿宋" w:hAnsi="仿宋" w:eastAsia="仿宋"/>
          <w:bCs/>
          <w:color w:val="auto"/>
          <w:sz w:val="28"/>
          <w:szCs w:val="28"/>
          <w:highlight w:val="none"/>
          <w:lang w:eastAsia="zh-CN"/>
        </w:rPr>
        <w:t>；</w:t>
      </w:r>
    </w:p>
    <w:p w14:paraId="05C57BB0">
      <w:pPr>
        <w:keepNext w:val="0"/>
        <w:keepLines w:val="0"/>
        <w:pageBreakBefore w:val="0"/>
        <w:widowControl w:val="0"/>
        <w:kinsoku/>
        <w:overflowPunct/>
        <w:autoSpaceDE/>
        <w:autoSpaceDN/>
        <w:bidi w:val="0"/>
        <w:adjustRightInd/>
        <w:snapToGrid/>
        <w:spacing w:line="5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地点：新点电子交易平台【滁州专区】</w:t>
      </w:r>
    </w:p>
    <w:bookmarkEnd w:id="20"/>
    <w:bookmarkEnd w:id="21"/>
    <w:bookmarkEnd w:id="22"/>
    <w:p w14:paraId="44E9C4C5">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五</w:t>
      </w:r>
      <w:r>
        <w:rPr>
          <w:rFonts w:hint="eastAsia" w:ascii="黑体" w:hAnsi="黑体" w:eastAsia="黑体" w:cs="黑体"/>
          <w:color w:val="auto"/>
          <w:sz w:val="28"/>
          <w:szCs w:val="28"/>
          <w:highlight w:val="none"/>
        </w:rPr>
        <w:t>、投标保证金金额及缴纳账户</w:t>
      </w:r>
    </w:p>
    <w:p w14:paraId="50506EB0">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jc w:val="left"/>
        <w:textAlignment w:val="auto"/>
        <w:rPr>
          <w:rFonts w:hint="eastAsia" w:ascii="仿宋" w:hAnsi="仿宋" w:eastAsia="仿宋" w:cs="Times New Roman"/>
          <w:color w:val="auto"/>
          <w:sz w:val="28"/>
          <w:szCs w:val="28"/>
          <w:highlight w:val="none"/>
          <w:lang w:val="en-US" w:eastAsia="zh-CN"/>
        </w:rPr>
      </w:pPr>
      <w:bookmarkStart w:id="23" w:name="_Toc23625"/>
      <w:bookmarkStart w:id="24" w:name="_Toc17642"/>
      <w:bookmarkStart w:id="25" w:name="_Toc14460"/>
      <w:r>
        <w:rPr>
          <w:rFonts w:hint="eastAsia" w:ascii="仿宋" w:hAnsi="仿宋" w:eastAsia="仿宋" w:cs="Times New Roman"/>
          <w:color w:val="auto"/>
          <w:sz w:val="28"/>
          <w:szCs w:val="28"/>
          <w:highlight w:val="none"/>
          <w:lang w:val="en-US" w:eastAsia="zh-CN"/>
        </w:rPr>
        <w:t>本项目不要求投标人提交投标保证金。</w:t>
      </w:r>
    </w:p>
    <w:p w14:paraId="2CC4B022">
      <w:pPr>
        <w:keepNext/>
        <w:keepLines/>
        <w:pageBreakBefore w:val="0"/>
        <w:widowControl w:val="0"/>
        <w:kinsoku/>
        <w:wordWrap/>
        <w:overflowPunct/>
        <w:topLinePunct w:val="0"/>
        <w:autoSpaceDE/>
        <w:autoSpaceDN/>
        <w:bidi w:val="0"/>
        <w:adjustRightInd/>
        <w:snapToGrid/>
        <w:spacing w:before="160" w:after="160"/>
        <w:textAlignment w:val="auto"/>
        <w:rPr>
          <w:rFonts w:hint="default"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六、其他补充事宜</w:t>
      </w:r>
    </w:p>
    <w:p w14:paraId="01CCE56B">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1.投标人从滁州市城投工程咨询管理有限公司（https://www.czctgczx.com/）下载。投标人自行承担因未按要求获取招标文件导致无法上传电子投标文件的风险。</w:t>
      </w:r>
    </w:p>
    <w:p w14:paraId="2D09852F">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方式：（1）投标人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2C03FC26">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2）投标人登录新点电子交易平台【滁州专区】获取询价文件及其它资料（含澄清和补充说明等）。如在招标文件获取过程中遇到系统问题，请拨打技术支持服务热线0512-58151515（工作日）5或者网站首页在线客服。</w:t>
      </w:r>
    </w:p>
    <w:p w14:paraId="4B619FEE">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2.招标文件及相关资料售价：人民币0元/套。</w:t>
      </w:r>
    </w:p>
    <w:p w14:paraId="3CCE39B7">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3.本项目开评标实行全流程电子化，开标活动在线完成。开标时投标人无需到达开标现场，不接受现场解密，实行远程解密和在线询标。各投标人认真学习《新点电子交易平台投标人操作手册》，务必掌握远程解密方法和在线回复询标方法。</w:t>
      </w:r>
    </w:p>
    <w:p w14:paraId="2D069E1D">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4.本项目采用不见面开标，投标人登录滁州市城投工程咨询管理有限公司不见面开标系统参与网上开标（网址：http://js.etrading.cn/EpointBidOpening/bidopeninghallaction/hall/login）。</w:t>
      </w:r>
    </w:p>
    <w:p w14:paraId="3DCEE880">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投标人应在投标截止时间之前，登录新点电子交易平台【滁州专区】上传投标文件</w:t>
      </w:r>
    </w:p>
    <w:p w14:paraId="515EDEFE">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5.本项目仅接受加密电子投标文件投标人在投标截止时间前通过新点电子交易平台后在【滁州专区】</w:t>
      </w:r>
    </w:p>
    <w:p w14:paraId="0B118AA8">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(https://www.etrading.cn/BREpointSSO/login/oauth2login?regioncode=DQ_ChuZhou)交易系统递交电子投标文件。</w:t>
      </w:r>
    </w:p>
    <w:p w14:paraId="175187DE">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七</w:t>
      </w:r>
      <w:r>
        <w:rPr>
          <w:rFonts w:hint="eastAsia" w:ascii="黑体" w:hAnsi="黑体" w:eastAsia="黑体" w:cs="黑体"/>
          <w:color w:val="auto"/>
          <w:sz w:val="28"/>
          <w:szCs w:val="28"/>
          <w:highlight w:val="none"/>
        </w:rPr>
        <w:t>、对本次招标提出询问，请按以下方式联系</w:t>
      </w:r>
    </w:p>
    <w:bookmarkEnd w:id="23"/>
    <w:bookmarkEnd w:id="24"/>
    <w:bookmarkEnd w:id="25"/>
    <w:p w14:paraId="312DF576">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1.招标人信息</w:t>
      </w:r>
    </w:p>
    <w:p w14:paraId="5EC64645">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名称：滁州苏滁产城开发有限公司</w:t>
      </w:r>
    </w:p>
    <w:p w14:paraId="5E8B4DC7">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地址：滁州市徽州南路1999号苏滁商务中心8楼</w:t>
      </w:r>
    </w:p>
    <w:p w14:paraId="26E5CFDB">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联系方式：李工0550-3026900</w:t>
      </w:r>
    </w:p>
    <w:p w14:paraId="06EDFE12">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2.代理机构信息</w:t>
      </w:r>
    </w:p>
    <w:p w14:paraId="6C014D91">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 称：滁州市城投工程咨询管理有限公司</w:t>
      </w:r>
    </w:p>
    <w:p w14:paraId="1A3A4C65">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地址：滁州市龙蟠大道109号房产大厦6楼</w:t>
      </w:r>
    </w:p>
    <w:p w14:paraId="2EC74182">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联系方式：0550-3519590、18005501210</w:t>
      </w:r>
    </w:p>
    <w:p w14:paraId="54981D26">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3.项目联系方式</w:t>
      </w:r>
    </w:p>
    <w:p w14:paraId="4FEFF1FA">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项目联系人：李工、杨韦</w:t>
      </w:r>
    </w:p>
    <w:p w14:paraId="1BBE3AAD">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b/>
          <w:color w:val="auto"/>
          <w:sz w:val="24"/>
          <w:szCs w:val="24"/>
          <w:highlight w:val="none"/>
        </w:rPr>
      </w:pPr>
      <w:r>
        <w:rPr>
          <w:rFonts w:hint="eastAsia" w:ascii="仿宋" w:hAnsi="仿宋" w:eastAsia="仿宋" w:cs="Times New Roman"/>
          <w:color w:val="auto"/>
          <w:sz w:val="28"/>
          <w:szCs w:val="28"/>
          <w:highlight w:val="none"/>
          <w:lang w:val="en-US" w:eastAsia="zh-CN"/>
        </w:rPr>
        <w:t xml:space="preserve">电　　 话：0550-3026900、0550-3519590 </w:t>
      </w:r>
    </w:p>
    <w:p w14:paraId="1BF5CEE1">
      <w:pPr>
        <w:rPr>
          <w:rFonts w:hint="eastAsia" w:ascii="宋体"/>
          <w:b/>
          <w:color w:val="auto"/>
          <w:sz w:val="32"/>
          <w:szCs w:val="32"/>
          <w:highlight w:val="none"/>
        </w:rPr>
      </w:pPr>
      <w:r>
        <w:rPr>
          <w:rFonts w:hint="eastAsia" w:ascii="宋体"/>
          <w:b/>
          <w:color w:val="auto"/>
          <w:sz w:val="32"/>
          <w:szCs w:val="32"/>
          <w:highlight w:val="none"/>
        </w:rPr>
        <w:br w:type="page"/>
      </w:r>
    </w:p>
    <w:p w14:paraId="19EAA82F">
      <w:pPr>
        <w:spacing w:before="156" w:beforeLines="50" w:after="156" w:afterLines="50" w:line="600" w:lineRule="exact"/>
        <w:jc w:val="center"/>
        <w:outlineLvl w:val="0"/>
        <w:rPr>
          <w:rFonts w:hint="eastAsia" w:ascii="宋体" w:hAnsi="Times New Roman" w:eastAsia="宋体" w:cs="Times New Roman"/>
          <w:b/>
          <w:color w:val="auto"/>
          <w:sz w:val="32"/>
          <w:szCs w:val="32"/>
          <w:highlight w:val="none"/>
        </w:rPr>
      </w:pPr>
      <w:r>
        <w:rPr>
          <w:rFonts w:hint="eastAsia" w:ascii="宋体" w:hAnsi="Times New Roman" w:eastAsia="宋体" w:cs="Times New Roman"/>
          <w:b/>
          <w:color w:val="auto"/>
          <w:sz w:val="32"/>
          <w:szCs w:val="32"/>
          <w:highlight w:val="none"/>
        </w:rPr>
        <w:t>第二章 投标人须知</w:t>
      </w:r>
      <w:bookmarkEnd w:id="2"/>
    </w:p>
    <w:p w14:paraId="4A72FE9D">
      <w:pPr>
        <w:snapToGrid w:val="0"/>
        <w:spacing w:line="500" w:lineRule="exact"/>
        <w:jc w:val="center"/>
        <w:outlineLvl w:val="1"/>
        <w:rPr>
          <w:rFonts w:hint="eastAsia" w:ascii="宋体"/>
          <w:b/>
          <w:color w:val="auto"/>
          <w:sz w:val="28"/>
          <w:szCs w:val="28"/>
          <w:highlight w:val="none"/>
        </w:rPr>
      </w:pPr>
      <w:bookmarkStart w:id="26" w:name="_Toc449028865"/>
      <w:bookmarkStart w:id="27" w:name="_Toc58430314"/>
      <w:r>
        <w:rPr>
          <w:rFonts w:hint="eastAsia" w:ascii="宋体"/>
          <w:b/>
          <w:color w:val="auto"/>
          <w:sz w:val="28"/>
          <w:szCs w:val="28"/>
          <w:highlight w:val="none"/>
        </w:rPr>
        <w:t>投标人须知前附表</w:t>
      </w:r>
      <w:bookmarkEnd w:id="26"/>
      <w:bookmarkEnd w:id="27"/>
    </w:p>
    <w:tbl>
      <w:tblPr>
        <w:tblStyle w:val="35"/>
        <w:tblW w:w="10200"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020"/>
        <w:gridCol w:w="2203"/>
        <w:gridCol w:w="6977"/>
      </w:tblGrid>
      <w:tr w14:paraId="461785B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96" w:hRule="atLeast"/>
          <w:jc w:val="center"/>
        </w:trPr>
        <w:tc>
          <w:tcPr>
            <w:tcW w:w="1020" w:type="dxa"/>
            <w:noWrap w:val="0"/>
            <w:vAlign w:val="center"/>
          </w:tcPr>
          <w:p w14:paraId="15254585">
            <w:pPr>
              <w:pStyle w:val="19"/>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序号</w:t>
            </w:r>
          </w:p>
        </w:tc>
        <w:tc>
          <w:tcPr>
            <w:tcW w:w="2203" w:type="dxa"/>
            <w:noWrap w:val="0"/>
            <w:vAlign w:val="center"/>
          </w:tcPr>
          <w:p w14:paraId="32FA1FDF">
            <w:pPr>
              <w:pStyle w:val="19"/>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内容</w:t>
            </w:r>
          </w:p>
        </w:tc>
        <w:tc>
          <w:tcPr>
            <w:tcW w:w="6977" w:type="dxa"/>
            <w:noWrap w:val="0"/>
            <w:vAlign w:val="center"/>
          </w:tcPr>
          <w:p w14:paraId="37629B34">
            <w:pPr>
              <w:pStyle w:val="19"/>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说明与要求</w:t>
            </w:r>
          </w:p>
        </w:tc>
      </w:tr>
      <w:tr w14:paraId="53FBBB3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90" w:hRule="atLeast"/>
          <w:jc w:val="center"/>
        </w:trPr>
        <w:tc>
          <w:tcPr>
            <w:tcW w:w="1020" w:type="dxa"/>
            <w:noWrap w:val="0"/>
            <w:vAlign w:val="center"/>
          </w:tcPr>
          <w:p w14:paraId="18C655BE">
            <w:pPr>
              <w:pStyle w:val="19"/>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2203" w:type="dxa"/>
            <w:noWrap w:val="0"/>
            <w:vAlign w:val="center"/>
          </w:tcPr>
          <w:p w14:paraId="1B7B534E">
            <w:pPr>
              <w:pStyle w:val="19"/>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6977" w:type="dxa"/>
            <w:noWrap w:val="0"/>
            <w:vAlign w:val="center"/>
          </w:tcPr>
          <w:p w14:paraId="0C14531F">
            <w:pPr>
              <w:pStyle w:val="19"/>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苏州路与双城路交叉口西北侧地块开发等项目水土保持方案编制服务项目</w:t>
            </w:r>
          </w:p>
        </w:tc>
      </w:tr>
      <w:tr w14:paraId="09FC3AE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06" w:hRule="atLeast"/>
          <w:jc w:val="center"/>
        </w:trPr>
        <w:tc>
          <w:tcPr>
            <w:tcW w:w="1020" w:type="dxa"/>
            <w:noWrap w:val="0"/>
            <w:vAlign w:val="center"/>
          </w:tcPr>
          <w:p w14:paraId="6233B0B8">
            <w:pPr>
              <w:pStyle w:val="19"/>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2203" w:type="dxa"/>
            <w:noWrap w:val="0"/>
            <w:vAlign w:val="center"/>
          </w:tcPr>
          <w:p w14:paraId="728D923D">
            <w:pPr>
              <w:pStyle w:val="19"/>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期</w:t>
            </w:r>
          </w:p>
        </w:tc>
        <w:tc>
          <w:tcPr>
            <w:tcW w:w="6977" w:type="dxa"/>
            <w:noWrap w:val="0"/>
            <w:vAlign w:val="center"/>
          </w:tcPr>
          <w:p w14:paraId="5979B9C8">
            <w:pPr>
              <w:pStyle w:val="22"/>
              <w:keepNext w:val="0"/>
              <w:keepLines w:val="0"/>
              <w:pageBreakBefore w:val="0"/>
              <w:numPr>
                <w:ilvl w:val="0"/>
                <w:numId w:val="0"/>
              </w:numPr>
              <w:kinsoku/>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自接到招标人通知后，每个项目于15个日历天内完成方案编制，</w:t>
            </w:r>
            <w:r>
              <w:rPr>
                <w:rFonts w:hint="eastAsia" w:ascii="宋体" w:hAnsi="宋体" w:eastAsia="宋体" w:cs="宋体"/>
                <w:color w:val="auto"/>
                <w:kern w:val="2"/>
                <w:sz w:val="21"/>
                <w:szCs w:val="21"/>
                <w:highlight w:val="none"/>
                <w:u w:val="none" w:color="000000"/>
                <w:lang w:val="en-US" w:eastAsia="zh-CN" w:bidi="ar-SA"/>
              </w:rPr>
              <w:t>并通过相关部门审批。</w:t>
            </w:r>
          </w:p>
        </w:tc>
      </w:tr>
      <w:tr w14:paraId="5DE16F1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09" w:hRule="atLeast"/>
          <w:jc w:val="center"/>
        </w:trPr>
        <w:tc>
          <w:tcPr>
            <w:tcW w:w="1020" w:type="dxa"/>
            <w:noWrap w:val="0"/>
            <w:vAlign w:val="center"/>
          </w:tcPr>
          <w:p w14:paraId="4C7352EB">
            <w:pPr>
              <w:pStyle w:val="19"/>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2203" w:type="dxa"/>
            <w:noWrap w:val="0"/>
            <w:vAlign w:val="center"/>
          </w:tcPr>
          <w:p w14:paraId="2DE560DC">
            <w:pPr>
              <w:pStyle w:val="19"/>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地点</w:t>
            </w:r>
          </w:p>
        </w:tc>
        <w:tc>
          <w:tcPr>
            <w:tcW w:w="6977" w:type="dxa"/>
            <w:noWrap w:val="0"/>
            <w:vAlign w:val="center"/>
          </w:tcPr>
          <w:p w14:paraId="7A1AD6BA">
            <w:pPr>
              <w:pStyle w:val="19"/>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中新苏滁高新区</w:t>
            </w:r>
          </w:p>
        </w:tc>
      </w:tr>
      <w:tr w14:paraId="373832F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28" w:hRule="atLeast"/>
          <w:jc w:val="center"/>
        </w:trPr>
        <w:tc>
          <w:tcPr>
            <w:tcW w:w="1020" w:type="dxa"/>
            <w:noWrap w:val="0"/>
            <w:vAlign w:val="center"/>
          </w:tcPr>
          <w:p w14:paraId="594D12EE">
            <w:pPr>
              <w:pStyle w:val="19"/>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2203" w:type="dxa"/>
            <w:noWrap w:val="0"/>
            <w:vAlign w:val="center"/>
          </w:tcPr>
          <w:p w14:paraId="659DA704">
            <w:pPr>
              <w:pStyle w:val="19"/>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联系人及电话</w:t>
            </w:r>
          </w:p>
        </w:tc>
        <w:tc>
          <w:tcPr>
            <w:tcW w:w="6977" w:type="dxa"/>
            <w:noWrap w:val="0"/>
            <w:vAlign w:val="center"/>
          </w:tcPr>
          <w:p w14:paraId="38B67F12">
            <w:pPr>
              <w:pStyle w:val="19"/>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lang w:val="en-US" w:eastAsia="zh-CN"/>
              </w:rPr>
              <w:t>李工</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电话：</w:t>
            </w:r>
            <w:r>
              <w:rPr>
                <w:rFonts w:hint="eastAsia" w:ascii="宋体" w:hAnsi="宋体" w:eastAsia="宋体" w:cs="宋体"/>
                <w:color w:val="auto"/>
                <w:sz w:val="21"/>
                <w:szCs w:val="21"/>
                <w:highlight w:val="none"/>
                <w:lang w:val="en-US" w:eastAsia="zh-CN"/>
              </w:rPr>
              <w:t>0550-3026900</w:t>
            </w:r>
          </w:p>
        </w:tc>
      </w:tr>
      <w:tr w14:paraId="158926C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63" w:hRule="atLeast"/>
          <w:jc w:val="center"/>
        </w:trPr>
        <w:tc>
          <w:tcPr>
            <w:tcW w:w="1020" w:type="dxa"/>
            <w:noWrap w:val="0"/>
            <w:vAlign w:val="center"/>
          </w:tcPr>
          <w:p w14:paraId="6F5A79E1">
            <w:pPr>
              <w:pStyle w:val="19"/>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2203" w:type="dxa"/>
            <w:noWrap w:val="0"/>
            <w:vAlign w:val="center"/>
          </w:tcPr>
          <w:p w14:paraId="17501818">
            <w:pPr>
              <w:pStyle w:val="19"/>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采购代理机构联系人及电话</w:t>
            </w:r>
          </w:p>
        </w:tc>
        <w:tc>
          <w:tcPr>
            <w:tcW w:w="6977" w:type="dxa"/>
            <w:noWrap w:val="0"/>
            <w:vAlign w:val="center"/>
          </w:tcPr>
          <w:p w14:paraId="35C6C862">
            <w:pPr>
              <w:pStyle w:val="19"/>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联系人：杨韦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电话0550-30519590、18005501210</w:t>
            </w:r>
          </w:p>
        </w:tc>
      </w:tr>
      <w:tr w14:paraId="2E0F109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57" w:hRule="atLeast"/>
          <w:jc w:val="center"/>
        </w:trPr>
        <w:tc>
          <w:tcPr>
            <w:tcW w:w="1020" w:type="dxa"/>
            <w:noWrap w:val="0"/>
            <w:vAlign w:val="center"/>
          </w:tcPr>
          <w:p w14:paraId="49AFA701">
            <w:pPr>
              <w:pStyle w:val="19"/>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2203" w:type="dxa"/>
            <w:noWrap w:val="0"/>
            <w:vAlign w:val="center"/>
          </w:tcPr>
          <w:p w14:paraId="12C1325C">
            <w:pPr>
              <w:pStyle w:val="19"/>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资金来源                                                                                                                                                                 </w:t>
            </w:r>
          </w:p>
        </w:tc>
        <w:tc>
          <w:tcPr>
            <w:tcW w:w="6977" w:type="dxa"/>
            <w:noWrap w:val="0"/>
            <w:vAlign w:val="center"/>
          </w:tcPr>
          <w:p w14:paraId="0C73ACA1">
            <w:pPr>
              <w:pStyle w:val="19"/>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自筹资金</w:t>
            </w:r>
          </w:p>
        </w:tc>
      </w:tr>
      <w:tr w14:paraId="5802BA9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82" w:hRule="atLeast"/>
          <w:jc w:val="center"/>
        </w:trPr>
        <w:tc>
          <w:tcPr>
            <w:tcW w:w="1020" w:type="dxa"/>
            <w:noWrap w:val="0"/>
            <w:vAlign w:val="center"/>
          </w:tcPr>
          <w:p w14:paraId="55F80F40">
            <w:pPr>
              <w:pStyle w:val="19"/>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2203" w:type="dxa"/>
            <w:noWrap w:val="0"/>
            <w:vAlign w:val="center"/>
          </w:tcPr>
          <w:p w14:paraId="730C3755">
            <w:pPr>
              <w:pStyle w:val="19"/>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采购预算</w:t>
            </w:r>
          </w:p>
        </w:tc>
        <w:tc>
          <w:tcPr>
            <w:tcW w:w="6977" w:type="dxa"/>
            <w:noWrap w:val="0"/>
            <w:vAlign w:val="center"/>
          </w:tcPr>
          <w:p w14:paraId="5421B931">
            <w:pPr>
              <w:pStyle w:val="19"/>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40000.00元</w:t>
            </w:r>
          </w:p>
        </w:tc>
      </w:tr>
      <w:tr w14:paraId="20BB336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57042BC8">
            <w:pPr>
              <w:pStyle w:val="19"/>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2203" w:type="dxa"/>
            <w:noWrap w:val="0"/>
            <w:vAlign w:val="center"/>
          </w:tcPr>
          <w:p w14:paraId="73697399">
            <w:pPr>
              <w:pStyle w:val="19"/>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最高限价</w:t>
            </w:r>
          </w:p>
        </w:tc>
        <w:tc>
          <w:tcPr>
            <w:tcW w:w="6977" w:type="dxa"/>
            <w:noWrap w:val="0"/>
            <w:vAlign w:val="center"/>
          </w:tcPr>
          <w:p w14:paraId="2EFCC5D2">
            <w:pPr>
              <w:pStyle w:val="19"/>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肆万元整（400000.00元）</w:t>
            </w:r>
            <w:r>
              <w:rPr>
                <w:rFonts w:hint="eastAsia" w:ascii="宋体" w:hAnsi="宋体" w:eastAsia="宋体" w:cs="宋体"/>
                <w:color w:val="auto"/>
                <w:sz w:val="21"/>
                <w:szCs w:val="21"/>
                <w:highlight w:val="none"/>
              </w:rPr>
              <w:t>，投标报价均不得高于最高限价，否则将作为无效投标处理。</w:t>
            </w:r>
          </w:p>
        </w:tc>
      </w:tr>
      <w:tr w14:paraId="5E73C9D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61EB021C">
            <w:pPr>
              <w:pStyle w:val="19"/>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2203" w:type="dxa"/>
            <w:noWrap w:val="0"/>
            <w:vAlign w:val="center"/>
          </w:tcPr>
          <w:p w14:paraId="4BEB79C3">
            <w:pPr>
              <w:pStyle w:val="19"/>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采购内容</w:t>
            </w:r>
          </w:p>
        </w:tc>
        <w:tc>
          <w:tcPr>
            <w:tcW w:w="6977" w:type="dxa"/>
            <w:noWrap w:val="0"/>
            <w:vAlign w:val="center"/>
          </w:tcPr>
          <w:p w14:paraId="419BB4BF">
            <w:pPr>
              <w:keepNext w:val="0"/>
              <w:keepLines w:val="0"/>
              <w:pageBreakBefore w:val="0"/>
              <w:widowControl w:val="0"/>
              <w:kinsoku/>
              <w:wordWrap/>
              <w:overflowPunct/>
              <w:topLinePunct w:val="0"/>
              <w:autoSpaceDE/>
              <w:autoSpaceDN/>
              <w:bidi w:val="0"/>
              <w:adjustRightInd/>
              <w:snapToGrid/>
              <w:spacing w:line="520" w:lineRule="exact"/>
              <w:ind w:left="0" w:leftChars="0" w:right="40" w:rightChars="19" w:firstLine="0" w:firstLineChars="0"/>
              <w:jc w:val="left"/>
              <w:textAlignment w:val="auto"/>
              <w:outlineLvl w:val="9"/>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详见第四章采购需求</w:t>
            </w:r>
          </w:p>
        </w:tc>
      </w:tr>
      <w:tr w14:paraId="5B3E87B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32" w:hRule="atLeast"/>
          <w:jc w:val="center"/>
        </w:trPr>
        <w:tc>
          <w:tcPr>
            <w:tcW w:w="1020" w:type="dxa"/>
            <w:noWrap w:val="0"/>
            <w:vAlign w:val="center"/>
          </w:tcPr>
          <w:p w14:paraId="6400B1BB">
            <w:pPr>
              <w:pStyle w:val="19"/>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2203" w:type="dxa"/>
            <w:noWrap w:val="0"/>
            <w:vAlign w:val="center"/>
          </w:tcPr>
          <w:p w14:paraId="4D0EDA27">
            <w:pPr>
              <w:pStyle w:val="19"/>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标包划分</w:t>
            </w:r>
          </w:p>
        </w:tc>
        <w:tc>
          <w:tcPr>
            <w:tcW w:w="6977" w:type="dxa"/>
            <w:noWrap w:val="0"/>
            <w:vAlign w:val="center"/>
          </w:tcPr>
          <w:p w14:paraId="4E82940A">
            <w:pPr>
              <w:pStyle w:val="19"/>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本项目划分为</w:t>
            </w:r>
            <w:r>
              <w:rPr>
                <w:rFonts w:hint="eastAsia" w:ascii="宋体" w:hAnsi="宋体" w:eastAsia="宋体" w:cs="宋体"/>
                <w:color w:val="auto"/>
                <w:sz w:val="21"/>
                <w:szCs w:val="21"/>
                <w:highlight w:val="none"/>
                <w:u w:val="single"/>
              </w:rPr>
              <w:t xml:space="preserve"> 1  </w:t>
            </w:r>
            <w:r>
              <w:rPr>
                <w:rFonts w:hint="eastAsia" w:ascii="宋体" w:hAnsi="宋体" w:eastAsia="宋体" w:cs="宋体"/>
                <w:color w:val="auto"/>
                <w:sz w:val="21"/>
                <w:szCs w:val="21"/>
                <w:highlight w:val="none"/>
              </w:rPr>
              <w:t>个标包</w:t>
            </w:r>
          </w:p>
        </w:tc>
      </w:tr>
      <w:tr w14:paraId="57B499F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00" w:hRule="atLeast"/>
          <w:jc w:val="center"/>
        </w:trPr>
        <w:tc>
          <w:tcPr>
            <w:tcW w:w="1020" w:type="dxa"/>
            <w:noWrap w:val="0"/>
            <w:vAlign w:val="center"/>
          </w:tcPr>
          <w:p w14:paraId="4FE888D0">
            <w:pPr>
              <w:pStyle w:val="19"/>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p>
        </w:tc>
        <w:tc>
          <w:tcPr>
            <w:tcW w:w="2203" w:type="dxa"/>
            <w:noWrap w:val="0"/>
            <w:vAlign w:val="center"/>
          </w:tcPr>
          <w:p w14:paraId="64025B4B">
            <w:pPr>
              <w:pStyle w:val="19"/>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招标方式</w:t>
            </w:r>
          </w:p>
        </w:tc>
        <w:tc>
          <w:tcPr>
            <w:tcW w:w="6977" w:type="dxa"/>
            <w:noWrap w:val="0"/>
            <w:vAlign w:val="center"/>
          </w:tcPr>
          <w:p w14:paraId="2B2C9BD1">
            <w:pPr>
              <w:pStyle w:val="19"/>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公开招标</w:t>
            </w:r>
          </w:p>
        </w:tc>
      </w:tr>
      <w:tr w14:paraId="546C09A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503" w:hRule="atLeast"/>
          <w:jc w:val="center"/>
        </w:trPr>
        <w:tc>
          <w:tcPr>
            <w:tcW w:w="1020" w:type="dxa"/>
            <w:noWrap w:val="0"/>
            <w:vAlign w:val="center"/>
          </w:tcPr>
          <w:p w14:paraId="327012EB">
            <w:pPr>
              <w:pStyle w:val="19"/>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p>
        </w:tc>
        <w:tc>
          <w:tcPr>
            <w:tcW w:w="2203" w:type="dxa"/>
            <w:noWrap w:val="0"/>
            <w:vAlign w:val="center"/>
          </w:tcPr>
          <w:p w14:paraId="710F1076">
            <w:pPr>
              <w:pStyle w:val="19"/>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投标人资格条件及其他要求</w:t>
            </w:r>
          </w:p>
        </w:tc>
        <w:tc>
          <w:tcPr>
            <w:tcW w:w="6977" w:type="dxa"/>
            <w:noWrap w:val="0"/>
            <w:vAlign w:val="center"/>
          </w:tcPr>
          <w:p w14:paraId="239F416C">
            <w:pPr>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w:t>
            </w:r>
            <w:r>
              <w:rPr>
                <w:rFonts w:hint="eastAsia" w:ascii="宋体" w:hAnsi="宋体" w:eastAsia="宋体" w:cs="宋体"/>
                <w:color w:val="auto"/>
                <w:sz w:val="21"/>
                <w:szCs w:val="21"/>
                <w:highlight w:val="none"/>
                <w:lang w:val="en-US" w:eastAsia="zh-CN"/>
              </w:rPr>
              <w:t>招标公告</w:t>
            </w:r>
            <w:r>
              <w:rPr>
                <w:rFonts w:hint="eastAsia" w:ascii="宋体" w:hAnsi="宋体" w:eastAsia="宋体" w:cs="宋体"/>
                <w:color w:val="auto"/>
                <w:sz w:val="21"/>
                <w:szCs w:val="21"/>
                <w:highlight w:val="none"/>
              </w:rPr>
              <w:t>”</w:t>
            </w:r>
          </w:p>
        </w:tc>
      </w:tr>
      <w:tr w14:paraId="43D8EAC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jc w:val="center"/>
        </w:trPr>
        <w:tc>
          <w:tcPr>
            <w:tcW w:w="1020" w:type="dxa"/>
            <w:noWrap w:val="0"/>
            <w:vAlign w:val="center"/>
          </w:tcPr>
          <w:p w14:paraId="1953EA1E">
            <w:pPr>
              <w:pStyle w:val="19"/>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p>
        </w:tc>
        <w:tc>
          <w:tcPr>
            <w:tcW w:w="2203" w:type="dxa"/>
            <w:noWrap w:val="0"/>
            <w:vAlign w:val="center"/>
          </w:tcPr>
          <w:p w14:paraId="53093B17">
            <w:pPr>
              <w:pStyle w:val="19"/>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踏勘现场</w:t>
            </w:r>
          </w:p>
        </w:tc>
        <w:tc>
          <w:tcPr>
            <w:tcW w:w="6977" w:type="dxa"/>
            <w:noWrap w:val="0"/>
            <w:vAlign w:val="center"/>
          </w:tcPr>
          <w:p w14:paraId="50E11512">
            <w:pPr>
              <w:pStyle w:val="19"/>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不组织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投标人自行踏勘现场</w:t>
            </w:r>
          </w:p>
        </w:tc>
      </w:tr>
      <w:tr w14:paraId="5733C58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jc w:val="center"/>
        </w:trPr>
        <w:tc>
          <w:tcPr>
            <w:tcW w:w="1020" w:type="dxa"/>
            <w:noWrap w:val="0"/>
            <w:vAlign w:val="center"/>
          </w:tcPr>
          <w:p w14:paraId="55CE5ACA">
            <w:pPr>
              <w:pStyle w:val="19"/>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p>
        </w:tc>
        <w:tc>
          <w:tcPr>
            <w:tcW w:w="2203" w:type="dxa"/>
            <w:noWrap w:val="0"/>
            <w:vAlign w:val="center"/>
          </w:tcPr>
          <w:p w14:paraId="0A1EC1A9">
            <w:pPr>
              <w:pStyle w:val="19"/>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投标预备会</w:t>
            </w:r>
          </w:p>
        </w:tc>
        <w:tc>
          <w:tcPr>
            <w:tcW w:w="6977" w:type="dxa"/>
            <w:noWrap w:val="0"/>
            <w:vAlign w:val="center"/>
          </w:tcPr>
          <w:p w14:paraId="7D358375">
            <w:pPr>
              <w:pStyle w:val="19"/>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不召开</w:t>
            </w:r>
          </w:p>
        </w:tc>
      </w:tr>
      <w:tr w14:paraId="1C15DD6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27" w:hRule="atLeast"/>
          <w:jc w:val="center"/>
        </w:trPr>
        <w:tc>
          <w:tcPr>
            <w:tcW w:w="1020" w:type="dxa"/>
            <w:noWrap w:val="0"/>
            <w:vAlign w:val="center"/>
          </w:tcPr>
          <w:p w14:paraId="663F43C5">
            <w:pPr>
              <w:pStyle w:val="19"/>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w:t>
            </w:r>
          </w:p>
        </w:tc>
        <w:tc>
          <w:tcPr>
            <w:tcW w:w="2203" w:type="dxa"/>
            <w:noWrap w:val="0"/>
            <w:vAlign w:val="center"/>
          </w:tcPr>
          <w:p w14:paraId="7E43508B">
            <w:pPr>
              <w:pStyle w:val="19"/>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联合体投标</w:t>
            </w:r>
          </w:p>
        </w:tc>
        <w:tc>
          <w:tcPr>
            <w:tcW w:w="6977" w:type="dxa"/>
            <w:noWrap w:val="0"/>
            <w:vAlign w:val="center"/>
          </w:tcPr>
          <w:p w14:paraId="63C4DD2A">
            <w:pPr>
              <w:pStyle w:val="19"/>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本项目不接受联合体投标</w:t>
            </w:r>
          </w:p>
        </w:tc>
      </w:tr>
      <w:tr w14:paraId="20B379B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58" w:hRule="atLeast"/>
          <w:jc w:val="center"/>
        </w:trPr>
        <w:tc>
          <w:tcPr>
            <w:tcW w:w="1020" w:type="dxa"/>
            <w:noWrap w:val="0"/>
            <w:vAlign w:val="center"/>
          </w:tcPr>
          <w:p w14:paraId="68A3871B">
            <w:pPr>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w:t>
            </w:r>
          </w:p>
        </w:tc>
        <w:tc>
          <w:tcPr>
            <w:tcW w:w="2203" w:type="dxa"/>
            <w:noWrap w:val="0"/>
            <w:vAlign w:val="center"/>
          </w:tcPr>
          <w:p w14:paraId="6C6B86E6">
            <w:pPr>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招标代理费</w:t>
            </w:r>
            <w:r>
              <w:rPr>
                <w:rFonts w:hint="eastAsia" w:ascii="宋体" w:hAnsi="宋体" w:eastAsia="宋体" w:cs="宋体"/>
                <w:color w:val="auto"/>
                <w:sz w:val="21"/>
                <w:szCs w:val="21"/>
                <w:highlight w:val="none"/>
                <w:lang w:val="en-US" w:eastAsia="zh-CN"/>
              </w:rPr>
              <w:t>及其他费用</w:t>
            </w:r>
          </w:p>
        </w:tc>
        <w:tc>
          <w:tcPr>
            <w:tcW w:w="6977" w:type="dxa"/>
            <w:noWrap w:val="0"/>
            <w:vAlign w:val="center"/>
          </w:tcPr>
          <w:p w14:paraId="72DC074E">
            <w:pPr>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代理服务费金额：</w:t>
            </w:r>
            <w:r>
              <w:rPr>
                <w:rFonts w:hint="eastAsia" w:ascii="宋体" w:hAnsi="宋体" w:eastAsia="宋体" w:cs="宋体"/>
                <w:bCs/>
                <w:color w:val="auto"/>
                <w:kern w:val="0"/>
                <w:sz w:val="21"/>
                <w:szCs w:val="21"/>
                <w:highlight w:val="none"/>
                <w:lang w:val="en-US" w:eastAsia="zh-CN"/>
              </w:rPr>
              <w:t>1000</w:t>
            </w:r>
            <w:r>
              <w:rPr>
                <w:rFonts w:hint="eastAsia" w:ascii="宋体" w:hAnsi="宋体" w:eastAsia="宋体" w:cs="宋体"/>
                <w:bCs/>
                <w:color w:val="auto"/>
                <w:kern w:val="0"/>
                <w:sz w:val="21"/>
                <w:szCs w:val="21"/>
                <w:highlight w:val="none"/>
              </w:rPr>
              <w:t>元，不含专家评委费，专家评委费以实际发生费用为准。</w:t>
            </w:r>
          </w:p>
          <w:p w14:paraId="0D18545C">
            <w:pPr>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代理服务费及专家评审费支付主体：中标单位，中标单位在获取中标通知书时</w:t>
            </w:r>
            <w:r>
              <w:rPr>
                <w:rFonts w:hint="eastAsia" w:ascii="宋体" w:hAnsi="宋体" w:eastAsia="宋体" w:cs="宋体"/>
                <w:color w:val="auto"/>
                <w:sz w:val="21"/>
                <w:szCs w:val="21"/>
                <w:highlight w:val="none"/>
                <w:lang w:eastAsia="zh-CN"/>
              </w:rPr>
              <w:t>一次性支付</w:t>
            </w:r>
            <w:r>
              <w:rPr>
                <w:rFonts w:hint="eastAsia" w:ascii="宋体" w:hAnsi="宋体" w:eastAsia="宋体" w:cs="宋体"/>
                <w:color w:val="auto"/>
                <w:sz w:val="21"/>
                <w:szCs w:val="21"/>
                <w:highlight w:val="none"/>
              </w:rPr>
              <w:t>代理机构。</w:t>
            </w:r>
          </w:p>
        </w:tc>
      </w:tr>
      <w:tr w14:paraId="618B3B4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jc w:val="center"/>
        </w:trPr>
        <w:tc>
          <w:tcPr>
            <w:tcW w:w="1020" w:type="dxa"/>
            <w:noWrap w:val="0"/>
            <w:vAlign w:val="center"/>
          </w:tcPr>
          <w:p w14:paraId="4C0506D3">
            <w:pPr>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17</w:t>
            </w:r>
          </w:p>
        </w:tc>
        <w:tc>
          <w:tcPr>
            <w:tcW w:w="2203" w:type="dxa"/>
            <w:noWrap w:val="0"/>
            <w:vAlign w:val="center"/>
          </w:tcPr>
          <w:p w14:paraId="48B05498">
            <w:pPr>
              <w:pStyle w:val="19"/>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澄清的方式</w:t>
            </w:r>
          </w:p>
        </w:tc>
        <w:tc>
          <w:tcPr>
            <w:tcW w:w="6977" w:type="dxa"/>
            <w:noWrap w:val="0"/>
            <w:vAlign w:val="center"/>
          </w:tcPr>
          <w:p w14:paraId="2B293634">
            <w:pPr>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招标人将于</w:t>
            </w:r>
            <w:r>
              <w:rPr>
                <w:rFonts w:hint="eastAsia" w:ascii="宋体" w:hAnsi="宋体" w:eastAsia="宋体" w:cs="宋体"/>
                <w:b/>
                <w:bCs/>
                <w:color w:val="auto"/>
                <w:sz w:val="21"/>
                <w:szCs w:val="21"/>
                <w:highlight w:val="none"/>
                <w:lang w:val="en-US" w:eastAsia="zh-CN"/>
              </w:rPr>
              <w:t>2026年</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21</w:t>
            </w:r>
            <w:r>
              <w:rPr>
                <w:rFonts w:hint="eastAsia" w:ascii="宋体" w:hAnsi="宋体" w:eastAsia="宋体" w:cs="宋体"/>
                <w:b/>
                <w:bCs/>
                <w:color w:val="auto"/>
                <w:sz w:val="21"/>
                <w:szCs w:val="21"/>
                <w:highlight w:val="none"/>
                <w:lang w:val="en-US" w:eastAsia="zh-CN"/>
              </w:rPr>
              <w:t>日17时前</w:t>
            </w:r>
            <w:r>
              <w:rPr>
                <w:rFonts w:hint="eastAsia" w:ascii="宋体" w:hAnsi="宋体" w:eastAsia="宋体" w:cs="宋体"/>
                <w:color w:val="auto"/>
                <w:sz w:val="21"/>
                <w:szCs w:val="21"/>
                <w:highlight w:val="none"/>
              </w:rPr>
              <w:t>以澄清公告形式在中新苏滁高新技术产业开发区（https://scp.chuzhou.gov.cn/index.html）、滁州市城投工程咨询管理有限公司网站（https://www.czctgczx.com/）予以公告。</w:t>
            </w:r>
          </w:p>
        </w:tc>
      </w:tr>
      <w:tr w14:paraId="1854155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jc w:val="center"/>
        </w:trPr>
        <w:tc>
          <w:tcPr>
            <w:tcW w:w="1020" w:type="dxa"/>
            <w:noWrap w:val="0"/>
            <w:vAlign w:val="center"/>
          </w:tcPr>
          <w:p w14:paraId="75609E14">
            <w:pPr>
              <w:pStyle w:val="19"/>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18</w:t>
            </w:r>
          </w:p>
        </w:tc>
        <w:tc>
          <w:tcPr>
            <w:tcW w:w="2203" w:type="dxa"/>
            <w:noWrap w:val="0"/>
            <w:vAlign w:val="center"/>
          </w:tcPr>
          <w:p w14:paraId="19C1438E">
            <w:pPr>
              <w:pStyle w:val="19"/>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6977" w:type="dxa"/>
            <w:noWrap w:val="0"/>
            <w:vAlign w:val="center"/>
          </w:tcPr>
          <w:p w14:paraId="05319109">
            <w:pPr>
              <w:pStyle w:val="19"/>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60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日历天（从投标截止之日算起）。在此期限内，凡符合本招标文件要求的投标文件均保持有效。</w:t>
            </w:r>
          </w:p>
        </w:tc>
      </w:tr>
      <w:tr w14:paraId="6A77579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03353D23">
            <w:pPr>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19</w:t>
            </w:r>
          </w:p>
        </w:tc>
        <w:tc>
          <w:tcPr>
            <w:tcW w:w="2203" w:type="dxa"/>
            <w:noWrap w:val="0"/>
            <w:vAlign w:val="center"/>
          </w:tcPr>
          <w:p w14:paraId="3867C57B">
            <w:pPr>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w:t>
            </w:r>
          </w:p>
        </w:tc>
        <w:tc>
          <w:tcPr>
            <w:tcW w:w="6977" w:type="dxa"/>
            <w:noWrap w:val="0"/>
            <w:vAlign w:val="top"/>
          </w:tcPr>
          <w:p w14:paraId="07D201CB">
            <w:pPr>
              <w:keepNext w:val="0"/>
              <w:keepLines w:val="0"/>
              <w:pageBreakBefore w:val="0"/>
              <w:widowControl/>
              <w:shd w:val="clear" w:color="auto" w:fill="FFFFFF"/>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不收取</w:t>
            </w:r>
          </w:p>
        </w:tc>
      </w:tr>
      <w:tr w14:paraId="69B9038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18" w:hRule="atLeast"/>
          <w:jc w:val="center"/>
        </w:trPr>
        <w:tc>
          <w:tcPr>
            <w:tcW w:w="1020" w:type="dxa"/>
            <w:noWrap w:val="0"/>
            <w:vAlign w:val="center"/>
          </w:tcPr>
          <w:p w14:paraId="6CB5CBD6">
            <w:pPr>
              <w:pStyle w:val="19"/>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2203" w:type="dxa"/>
            <w:noWrap w:val="0"/>
            <w:vAlign w:val="center"/>
          </w:tcPr>
          <w:p w14:paraId="78568F55">
            <w:pPr>
              <w:pStyle w:val="19"/>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投标文件数量</w:t>
            </w:r>
          </w:p>
        </w:tc>
        <w:tc>
          <w:tcPr>
            <w:tcW w:w="6977" w:type="dxa"/>
            <w:noWrap w:val="0"/>
            <w:vAlign w:val="center"/>
          </w:tcPr>
          <w:p w14:paraId="2758992D">
            <w:pPr>
              <w:keepNext w:val="0"/>
              <w:keepLines w:val="0"/>
              <w:pageBreakBefore w:val="0"/>
              <w:kinsoku/>
              <w:wordWrap/>
              <w:overflowPunct/>
              <w:topLinePunct w:val="0"/>
              <w:autoSpaceDE/>
              <w:autoSpaceDN/>
              <w:bidi w:val="0"/>
              <w:adjustRightInd/>
              <w:spacing w:line="52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加密电子</w:t>
            </w:r>
            <w:r>
              <w:rPr>
                <w:rFonts w:hint="eastAsia" w:ascii="宋体" w:hAnsi="宋体" w:eastAsia="宋体" w:cs="宋体"/>
                <w:b/>
                <w:bCs/>
                <w:color w:val="auto"/>
                <w:sz w:val="21"/>
                <w:szCs w:val="21"/>
                <w:highlight w:val="none"/>
                <w:lang w:val="en-US" w:eastAsia="zh-CN"/>
              </w:rPr>
              <w:t>投标</w:t>
            </w:r>
            <w:r>
              <w:rPr>
                <w:rFonts w:hint="eastAsia" w:ascii="宋体" w:hAnsi="宋体" w:eastAsia="宋体" w:cs="宋体"/>
                <w:b/>
                <w:bCs/>
                <w:color w:val="auto"/>
                <w:sz w:val="21"/>
                <w:szCs w:val="21"/>
                <w:highlight w:val="none"/>
              </w:rPr>
              <w:t>文件应在</w:t>
            </w:r>
            <w:r>
              <w:rPr>
                <w:rFonts w:hint="eastAsia" w:ascii="宋体" w:hAnsi="宋体" w:eastAsia="宋体" w:cs="宋体"/>
                <w:b/>
                <w:bCs/>
                <w:color w:val="auto"/>
                <w:sz w:val="21"/>
                <w:szCs w:val="21"/>
                <w:highlight w:val="none"/>
                <w:lang w:val="en-US" w:eastAsia="zh-CN"/>
              </w:rPr>
              <w:t>投标</w:t>
            </w:r>
            <w:r>
              <w:rPr>
                <w:rFonts w:hint="eastAsia" w:ascii="宋体" w:hAnsi="宋体" w:eastAsia="宋体" w:cs="宋体"/>
                <w:b/>
                <w:bCs/>
                <w:color w:val="auto"/>
                <w:sz w:val="21"/>
                <w:szCs w:val="21"/>
                <w:highlight w:val="none"/>
              </w:rPr>
              <w:t>截止时间前通过</w:t>
            </w:r>
            <w:r>
              <w:rPr>
                <w:rFonts w:hint="eastAsia" w:ascii="宋体" w:hAnsi="宋体" w:eastAsia="宋体" w:cs="宋体"/>
                <w:b/>
                <w:bCs/>
                <w:color w:val="auto"/>
                <w:sz w:val="21"/>
                <w:szCs w:val="21"/>
                <w:highlight w:val="none"/>
                <w:lang w:val="en-US" w:eastAsia="zh-CN"/>
              </w:rPr>
              <w:t>登录新点电子交易平台【滁州专区】上传投标文件</w:t>
            </w:r>
            <w:r>
              <w:rPr>
                <w:rFonts w:hint="eastAsia" w:ascii="宋体" w:hAnsi="宋体" w:eastAsia="宋体" w:cs="宋体"/>
                <w:b/>
                <w:bCs/>
                <w:color w:val="auto"/>
                <w:sz w:val="21"/>
                <w:szCs w:val="21"/>
                <w:highlight w:val="none"/>
              </w:rPr>
              <w:t>。</w:t>
            </w:r>
          </w:p>
          <w:p w14:paraId="16D26C14">
            <w:pPr>
              <w:keepNext w:val="0"/>
              <w:keepLines w:val="0"/>
              <w:pageBreakBefore w:val="0"/>
              <w:widowControl/>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投标人中标</w:t>
            </w:r>
            <w:r>
              <w:rPr>
                <w:rFonts w:hint="eastAsia" w:ascii="宋体" w:hAnsi="宋体" w:eastAsia="宋体" w:cs="宋体"/>
                <w:b/>
                <w:bCs/>
                <w:color w:val="auto"/>
                <w:sz w:val="21"/>
                <w:szCs w:val="21"/>
                <w:highlight w:val="none"/>
              </w:rPr>
              <w:t>后须递交与网上电子</w:t>
            </w:r>
            <w:r>
              <w:rPr>
                <w:rFonts w:hint="eastAsia" w:ascii="宋体" w:hAnsi="宋体" w:eastAsia="宋体" w:cs="宋体"/>
                <w:b/>
                <w:bCs/>
                <w:color w:val="auto"/>
                <w:sz w:val="21"/>
                <w:szCs w:val="21"/>
                <w:highlight w:val="none"/>
                <w:lang w:val="en-US" w:eastAsia="zh-CN"/>
              </w:rPr>
              <w:t>投标</w:t>
            </w:r>
            <w:r>
              <w:rPr>
                <w:rFonts w:hint="eastAsia" w:ascii="宋体" w:hAnsi="宋体" w:eastAsia="宋体" w:cs="宋体"/>
                <w:b/>
                <w:bCs/>
                <w:color w:val="auto"/>
                <w:sz w:val="21"/>
                <w:szCs w:val="21"/>
                <w:highlight w:val="none"/>
              </w:rPr>
              <w:t>文件完全一致的纸质版</w:t>
            </w:r>
            <w:r>
              <w:rPr>
                <w:rFonts w:hint="eastAsia" w:ascii="宋体" w:hAnsi="宋体" w:eastAsia="宋体" w:cs="宋体"/>
                <w:b/>
                <w:bCs/>
                <w:color w:val="auto"/>
                <w:sz w:val="21"/>
                <w:szCs w:val="21"/>
                <w:highlight w:val="none"/>
                <w:lang w:val="en-US" w:eastAsia="zh-CN"/>
              </w:rPr>
              <w:t>投标</w:t>
            </w:r>
            <w:r>
              <w:rPr>
                <w:rFonts w:hint="eastAsia" w:ascii="宋体" w:hAnsi="宋体" w:eastAsia="宋体" w:cs="宋体"/>
                <w:b/>
                <w:bCs/>
                <w:color w:val="auto"/>
                <w:sz w:val="21"/>
                <w:szCs w:val="21"/>
                <w:highlight w:val="none"/>
              </w:rPr>
              <w:t>文件，并按要求加盖单位</w:t>
            </w:r>
            <w:r>
              <w:rPr>
                <w:rFonts w:hint="eastAsia" w:ascii="宋体" w:hAnsi="宋体" w:eastAsia="宋体" w:cs="宋体"/>
                <w:b/>
                <w:bCs/>
                <w:color w:val="auto"/>
                <w:sz w:val="21"/>
                <w:szCs w:val="21"/>
                <w:highlight w:val="none"/>
                <w:lang w:val="en-US" w:eastAsia="zh-CN"/>
              </w:rPr>
              <w:t>公</w:t>
            </w:r>
            <w:r>
              <w:rPr>
                <w:rFonts w:hint="eastAsia" w:ascii="宋体" w:hAnsi="宋体" w:eastAsia="宋体" w:cs="宋体"/>
                <w:b/>
                <w:bCs/>
                <w:color w:val="auto"/>
                <w:sz w:val="21"/>
                <w:szCs w:val="21"/>
                <w:highlight w:val="none"/>
              </w:rPr>
              <w:t xml:space="preserve">章；份数：正本 </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 xml:space="preserve"> 份，副本</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份；</w:t>
            </w:r>
            <w:r>
              <w:rPr>
                <w:rFonts w:hint="eastAsia" w:ascii="宋体" w:hAnsi="宋体" w:eastAsia="宋体" w:cs="宋体"/>
                <w:b/>
                <w:bCs/>
                <w:color w:val="auto"/>
                <w:sz w:val="21"/>
                <w:szCs w:val="21"/>
                <w:highlight w:val="none"/>
                <w:lang w:val="en-US" w:eastAsia="zh-CN"/>
              </w:rPr>
              <w:t>中标人领</w:t>
            </w:r>
            <w:r>
              <w:rPr>
                <w:rFonts w:hint="eastAsia" w:ascii="宋体" w:hAnsi="宋体" w:eastAsia="宋体" w:cs="宋体"/>
                <w:b/>
                <w:bCs/>
                <w:color w:val="auto"/>
                <w:sz w:val="21"/>
                <w:szCs w:val="21"/>
                <w:highlight w:val="none"/>
              </w:rPr>
              <w:t>取</w:t>
            </w:r>
            <w:r>
              <w:rPr>
                <w:rFonts w:hint="eastAsia" w:ascii="宋体" w:hAnsi="宋体" w:eastAsia="宋体" w:cs="宋体"/>
                <w:b/>
                <w:bCs/>
                <w:color w:val="auto"/>
                <w:sz w:val="21"/>
                <w:szCs w:val="21"/>
                <w:highlight w:val="none"/>
                <w:lang w:val="en-US" w:eastAsia="zh-CN"/>
              </w:rPr>
              <w:t>中标</w:t>
            </w:r>
            <w:r>
              <w:rPr>
                <w:rFonts w:hint="eastAsia" w:ascii="宋体" w:hAnsi="宋体" w:eastAsia="宋体" w:cs="宋体"/>
                <w:b/>
                <w:bCs/>
                <w:color w:val="auto"/>
                <w:sz w:val="21"/>
                <w:szCs w:val="21"/>
                <w:highlight w:val="none"/>
              </w:rPr>
              <w:t>通知书时，一并递交给代理机构）。</w:t>
            </w:r>
          </w:p>
        </w:tc>
      </w:tr>
      <w:tr w14:paraId="633D8DA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jc w:val="center"/>
        </w:trPr>
        <w:tc>
          <w:tcPr>
            <w:tcW w:w="1020" w:type="dxa"/>
            <w:noWrap w:val="0"/>
            <w:vAlign w:val="center"/>
          </w:tcPr>
          <w:p w14:paraId="04A10E27">
            <w:pPr>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w:t>
            </w:r>
          </w:p>
        </w:tc>
        <w:tc>
          <w:tcPr>
            <w:tcW w:w="2203" w:type="dxa"/>
            <w:noWrap w:val="0"/>
            <w:vAlign w:val="center"/>
          </w:tcPr>
          <w:p w14:paraId="3B347BAC">
            <w:pPr>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签字或盖章要求</w:t>
            </w:r>
          </w:p>
        </w:tc>
        <w:tc>
          <w:tcPr>
            <w:tcW w:w="6977" w:type="dxa"/>
            <w:noWrap w:val="0"/>
            <w:vAlign w:val="center"/>
          </w:tcPr>
          <w:p w14:paraId="5261DACE">
            <w:pPr>
              <w:keepNext w:val="0"/>
              <w:keepLines w:val="0"/>
              <w:pageBreakBefore w:val="0"/>
              <w:widowControl/>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color w:val="auto"/>
                <w:kern w:val="0"/>
                <w:sz w:val="21"/>
                <w:szCs w:val="21"/>
                <w:highlight w:val="none"/>
              </w:rPr>
              <w:t>投标文件须按格式文件要求签字或盖章，否则经评委会一致认定后，按照无效投标处理。</w:t>
            </w:r>
          </w:p>
        </w:tc>
      </w:tr>
      <w:tr w14:paraId="24CC8F7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573" w:hRule="atLeast"/>
          <w:jc w:val="center"/>
        </w:trPr>
        <w:tc>
          <w:tcPr>
            <w:tcW w:w="1020" w:type="dxa"/>
            <w:noWrap w:val="0"/>
            <w:vAlign w:val="center"/>
          </w:tcPr>
          <w:p w14:paraId="6C76F966">
            <w:pPr>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w:t>
            </w:r>
          </w:p>
        </w:tc>
        <w:tc>
          <w:tcPr>
            <w:tcW w:w="2203" w:type="dxa"/>
            <w:noWrap w:val="0"/>
            <w:vAlign w:val="center"/>
          </w:tcPr>
          <w:p w14:paraId="4A033ACB">
            <w:pPr>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开标时间</w:t>
            </w:r>
          </w:p>
        </w:tc>
        <w:tc>
          <w:tcPr>
            <w:tcW w:w="6977" w:type="dxa"/>
            <w:noWrap w:val="0"/>
            <w:vAlign w:val="center"/>
          </w:tcPr>
          <w:p w14:paraId="411E9F35">
            <w:pPr>
              <w:keepNext w:val="0"/>
              <w:keepLines w:val="0"/>
              <w:pageBreakBefore w:val="0"/>
              <w:widowControl/>
              <w:kinsoku/>
              <w:wordWrap/>
              <w:overflowPunct/>
              <w:topLinePunct w:val="0"/>
              <w:autoSpaceDE/>
              <w:autoSpaceDN/>
              <w:bidi w:val="0"/>
              <w:adjustRightInd/>
              <w:spacing w:line="520" w:lineRule="exact"/>
              <w:jc w:val="left"/>
              <w:textAlignment w:val="auto"/>
              <w:rPr>
                <w:rFonts w:hint="eastAsia" w:ascii="宋体" w:hAnsi="宋体" w:eastAsia="宋体" w:cs="宋体"/>
                <w:b/>
                <w:bCs/>
                <w:color w:val="auto"/>
                <w:sz w:val="21"/>
                <w:szCs w:val="21"/>
                <w:highlight w:val="none"/>
                <w:u w:val="none"/>
              </w:rPr>
            </w:pPr>
            <w:r>
              <w:rPr>
                <w:rFonts w:hint="eastAsia" w:ascii="宋体" w:hAnsi="宋体" w:eastAsia="宋体" w:cs="宋体"/>
                <w:b/>
                <w:bCs/>
                <w:color w:val="auto"/>
                <w:sz w:val="21"/>
                <w:szCs w:val="21"/>
                <w:highlight w:val="none"/>
                <w:u w:val="none"/>
                <w:lang w:val="en-US" w:eastAsia="zh-CN"/>
              </w:rPr>
              <w:t>开标时间：</w:t>
            </w:r>
            <w:r>
              <w:rPr>
                <w:rFonts w:hint="eastAsia" w:ascii="宋体" w:hAnsi="宋体" w:eastAsia="宋体" w:cs="宋体"/>
                <w:b/>
                <w:bCs/>
                <w:color w:val="auto"/>
                <w:sz w:val="21"/>
                <w:szCs w:val="21"/>
                <w:highlight w:val="none"/>
                <w:u w:val="none"/>
              </w:rPr>
              <w:t>202</w:t>
            </w:r>
            <w:r>
              <w:rPr>
                <w:rFonts w:hint="eastAsia" w:ascii="宋体" w:hAnsi="宋体" w:eastAsia="宋体" w:cs="宋体"/>
                <w:b/>
                <w:bCs/>
                <w:color w:val="auto"/>
                <w:sz w:val="21"/>
                <w:szCs w:val="21"/>
                <w:highlight w:val="none"/>
                <w:u w:val="none"/>
                <w:lang w:val="en-US" w:eastAsia="zh-CN"/>
              </w:rPr>
              <w:t>6</w:t>
            </w:r>
            <w:r>
              <w:rPr>
                <w:rFonts w:hint="eastAsia" w:ascii="宋体" w:hAnsi="宋体" w:eastAsia="宋体" w:cs="宋体"/>
                <w:b/>
                <w:bCs/>
                <w:color w:val="auto"/>
                <w:sz w:val="21"/>
                <w:szCs w:val="21"/>
                <w:highlight w:val="none"/>
                <w:u w:val="none"/>
              </w:rPr>
              <w:t>年</w:t>
            </w:r>
            <w:r>
              <w:rPr>
                <w:rFonts w:hint="eastAsia" w:ascii="宋体" w:hAnsi="宋体" w:cs="宋体"/>
                <w:b/>
                <w:bCs/>
                <w:color w:val="auto"/>
                <w:sz w:val="21"/>
                <w:szCs w:val="21"/>
                <w:highlight w:val="none"/>
                <w:u w:val="none"/>
                <w:lang w:val="en-US" w:eastAsia="zh-CN"/>
              </w:rPr>
              <w:t>9</w:t>
            </w:r>
            <w:r>
              <w:rPr>
                <w:rFonts w:hint="eastAsia" w:ascii="宋体" w:hAnsi="宋体" w:eastAsia="宋体" w:cs="宋体"/>
                <w:b/>
                <w:bCs/>
                <w:color w:val="auto"/>
                <w:sz w:val="21"/>
                <w:szCs w:val="21"/>
                <w:highlight w:val="none"/>
                <w:u w:val="none"/>
              </w:rPr>
              <w:t>月</w:t>
            </w:r>
            <w:r>
              <w:rPr>
                <w:rFonts w:hint="eastAsia" w:ascii="宋体" w:hAnsi="宋体" w:cs="宋体"/>
                <w:b/>
                <w:bCs/>
                <w:color w:val="auto"/>
                <w:sz w:val="21"/>
                <w:szCs w:val="21"/>
                <w:highlight w:val="none"/>
                <w:u w:val="none"/>
                <w:lang w:val="en-US" w:eastAsia="zh-CN"/>
              </w:rPr>
              <w:t>24</w:t>
            </w:r>
            <w:r>
              <w:rPr>
                <w:rFonts w:hint="eastAsia" w:ascii="宋体" w:hAnsi="宋体" w:eastAsia="宋体" w:cs="宋体"/>
                <w:b/>
                <w:bCs/>
                <w:color w:val="auto"/>
                <w:sz w:val="21"/>
                <w:szCs w:val="21"/>
                <w:highlight w:val="none"/>
                <w:u w:val="none"/>
              </w:rPr>
              <w:t>日</w:t>
            </w:r>
            <w:r>
              <w:rPr>
                <w:rFonts w:hint="eastAsia" w:ascii="宋体" w:hAnsi="宋体" w:cs="宋体"/>
                <w:b/>
                <w:bCs/>
                <w:color w:val="auto"/>
                <w:sz w:val="21"/>
                <w:szCs w:val="21"/>
                <w:highlight w:val="none"/>
                <w:u w:val="none"/>
                <w:lang w:val="en-US" w:eastAsia="zh-CN"/>
              </w:rPr>
              <w:t>9</w:t>
            </w:r>
            <w:r>
              <w:rPr>
                <w:rFonts w:hint="eastAsia" w:ascii="宋体" w:hAnsi="宋体" w:eastAsia="宋体" w:cs="宋体"/>
                <w:b/>
                <w:bCs/>
                <w:color w:val="auto"/>
                <w:sz w:val="21"/>
                <w:szCs w:val="21"/>
                <w:highlight w:val="none"/>
                <w:u w:val="none"/>
              </w:rPr>
              <w:t>时</w:t>
            </w:r>
            <w:r>
              <w:rPr>
                <w:rFonts w:hint="eastAsia" w:ascii="宋体" w:hAnsi="宋体" w:cs="宋体"/>
                <w:b/>
                <w:bCs/>
                <w:color w:val="auto"/>
                <w:sz w:val="21"/>
                <w:szCs w:val="21"/>
                <w:highlight w:val="none"/>
                <w:u w:val="none"/>
                <w:lang w:val="en-US" w:eastAsia="zh-CN"/>
              </w:rPr>
              <w:t>00</w:t>
            </w:r>
            <w:r>
              <w:rPr>
                <w:rFonts w:hint="eastAsia" w:ascii="宋体" w:hAnsi="宋体" w:eastAsia="宋体" w:cs="宋体"/>
                <w:b/>
                <w:bCs/>
                <w:color w:val="auto"/>
                <w:sz w:val="21"/>
                <w:szCs w:val="21"/>
                <w:highlight w:val="none"/>
                <w:u w:val="none"/>
              </w:rPr>
              <w:t>分</w:t>
            </w:r>
          </w:p>
          <w:p w14:paraId="38E05A96">
            <w:pPr>
              <w:keepNext w:val="0"/>
              <w:keepLines w:val="0"/>
              <w:pageBreakBefore w:val="0"/>
              <w:widowControl/>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解密时间：</w:t>
            </w:r>
            <w:r>
              <w:rPr>
                <w:rFonts w:hint="eastAsia" w:ascii="宋体" w:hAnsi="宋体" w:eastAsia="宋体" w:cs="宋体"/>
                <w:color w:val="auto"/>
                <w:sz w:val="21"/>
                <w:szCs w:val="21"/>
                <w:highlight w:val="none"/>
              </w:rPr>
              <w:t>解密程序开始后</w:t>
            </w:r>
            <w:r>
              <w:rPr>
                <w:rFonts w:hint="eastAsia" w:ascii="宋体" w:hAnsi="宋体" w:eastAsia="宋体" w:cs="宋体"/>
                <w:color w:val="auto"/>
                <w:sz w:val="21"/>
                <w:szCs w:val="21"/>
                <w:highlight w:val="none"/>
                <w:u w:val="none"/>
                <w:lang w:val="en-US" w:eastAsia="zh-CN"/>
              </w:rPr>
              <w:t>30</w:t>
            </w:r>
            <w:r>
              <w:rPr>
                <w:rFonts w:hint="eastAsia" w:ascii="宋体" w:hAnsi="宋体" w:eastAsia="宋体" w:cs="宋体"/>
                <w:color w:val="auto"/>
                <w:sz w:val="21"/>
                <w:szCs w:val="21"/>
                <w:highlight w:val="none"/>
              </w:rPr>
              <w:t>分钟内</w:t>
            </w:r>
            <w:r>
              <w:rPr>
                <w:rFonts w:hint="eastAsia" w:ascii="宋体" w:hAnsi="宋体" w:eastAsia="宋体" w:cs="宋体"/>
                <w:bCs/>
                <w:snapToGrid w:val="0"/>
                <w:color w:val="auto"/>
                <w:kern w:val="0"/>
                <w:sz w:val="21"/>
                <w:szCs w:val="21"/>
                <w:highlight w:val="none"/>
              </w:rPr>
              <w:t>，</w:t>
            </w:r>
            <w:r>
              <w:rPr>
                <w:rFonts w:hint="eastAsia" w:ascii="宋体" w:hAnsi="宋体" w:eastAsia="宋体" w:cs="宋体"/>
                <w:b/>
                <w:bCs/>
                <w:color w:val="auto"/>
                <w:sz w:val="21"/>
                <w:szCs w:val="21"/>
                <w:highlight w:val="none"/>
              </w:rPr>
              <w:t>解密时间为</w:t>
            </w:r>
            <w:r>
              <w:rPr>
                <w:rFonts w:hint="eastAsia" w:ascii="宋体" w:hAnsi="宋体" w:eastAsia="宋体" w:cs="宋体"/>
                <w:b/>
                <w:bCs/>
                <w:color w:val="auto"/>
                <w:sz w:val="21"/>
                <w:szCs w:val="21"/>
                <w:highlight w:val="none"/>
                <w:u w:val="single"/>
                <w:lang w:val="en-US" w:eastAsia="zh-CN"/>
              </w:rPr>
              <w:t>2026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u w:val="single"/>
                <w:lang w:val="en-US" w:eastAsia="zh-CN"/>
              </w:rPr>
              <w:t>9</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u w:val="single"/>
                <w:lang w:val="en-US" w:eastAsia="zh-CN"/>
              </w:rPr>
              <w:t>24</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u w:val="single"/>
                <w:lang w:val="en-US" w:eastAsia="zh-CN"/>
              </w:rPr>
              <w:t>9</w:t>
            </w:r>
            <w:r>
              <w:rPr>
                <w:rFonts w:hint="eastAsia" w:ascii="宋体" w:hAnsi="宋体" w:eastAsia="宋体" w:cs="宋体"/>
                <w:b/>
                <w:bCs/>
                <w:color w:val="auto"/>
                <w:sz w:val="21"/>
                <w:szCs w:val="21"/>
                <w:highlight w:val="none"/>
              </w:rPr>
              <w:t>时</w:t>
            </w:r>
            <w:r>
              <w:rPr>
                <w:rFonts w:hint="eastAsia" w:ascii="宋体" w:hAnsi="宋体" w:cs="宋体"/>
                <w:b/>
                <w:bCs/>
                <w:color w:val="auto"/>
                <w:sz w:val="21"/>
                <w:szCs w:val="21"/>
                <w:highlight w:val="none"/>
                <w:u w:val="single"/>
                <w:lang w:val="en-US" w:eastAsia="zh-CN"/>
              </w:rPr>
              <w:t>00</w:t>
            </w:r>
            <w:r>
              <w:rPr>
                <w:rFonts w:hint="eastAsia" w:ascii="宋体" w:hAnsi="宋体" w:eastAsia="宋体" w:cs="宋体"/>
                <w:b/>
                <w:bCs/>
                <w:color w:val="auto"/>
                <w:sz w:val="21"/>
                <w:szCs w:val="21"/>
                <w:highlight w:val="none"/>
              </w:rPr>
              <w:t>分至</w:t>
            </w:r>
            <w:r>
              <w:rPr>
                <w:rFonts w:hint="eastAsia" w:ascii="宋体" w:hAnsi="宋体" w:eastAsia="宋体" w:cs="宋体"/>
                <w:b/>
                <w:bCs/>
                <w:color w:val="auto"/>
                <w:sz w:val="21"/>
                <w:szCs w:val="21"/>
                <w:highlight w:val="none"/>
                <w:u w:val="single"/>
                <w:lang w:val="en-US" w:eastAsia="zh-CN"/>
              </w:rPr>
              <w:t>2026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u w:val="single"/>
                <w:lang w:val="en-US" w:eastAsia="zh-CN"/>
              </w:rPr>
              <w:t>9</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u w:val="single"/>
                <w:lang w:val="en-US" w:eastAsia="zh-CN"/>
              </w:rPr>
              <w:t>24</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u w:val="single"/>
                <w:lang w:val="en-US" w:eastAsia="zh-CN"/>
              </w:rPr>
              <w:t>9</w:t>
            </w:r>
            <w:r>
              <w:rPr>
                <w:rFonts w:hint="eastAsia" w:ascii="宋体" w:hAnsi="宋体" w:eastAsia="宋体" w:cs="宋体"/>
                <w:b/>
                <w:bCs/>
                <w:color w:val="auto"/>
                <w:sz w:val="21"/>
                <w:szCs w:val="21"/>
                <w:highlight w:val="none"/>
              </w:rPr>
              <w:t>时</w:t>
            </w:r>
            <w:r>
              <w:rPr>
                <w:rFonts w:hint="eastAsia" w:ascii="宋体" w:hAnsi="宋体" w:cs="宋体"/>
                <w:b/>
                <w:bCs/>
                <w:color w:val="auto"/>
                <w:sz w:val="21"/>
                <w:szCs w:val="21"/>
                <w:highlight w:val="none"/>
                <w:u w:val="single"/>
                <w:lang w:val="en-US" w:eastAsia="zh-CN"/>
              </w:rPr>
              <w:t>30</w:t>
            </w:r>
            <w:r>
              <w:rPr>
                <w:rFonts w:hint="eastAsia" w:ascii="宋体" w:hAnsi="宋体" w:eastAsia="宋体" w:cs="宋体"/>
                <w:b/>
                <w:bCs/>
                <w:color w:val="auto"/>
                <w:sz w:val="21"/>
                <w:szCs w:val="21"/>
                <w:highlight w:val="none"/>
              </w:rPr>
              <w:t>分</w:t>
            </w:r>
            <w:r>
              <w:rPr>
                <w:rFonts w:hint="eastAsia" w:ascii="宋体" w:hAnsi="宋体" w:eastAsia="宋体" w:cs="宋体"/>
                <w:bCs/>
                <w:snapToGrid w:val="0"/>
                <w:color w:val="auto"/>
                <w:kern w:val="0"/>
                <w:sz w:val="21"/>
                <w:szCs w:val="21"/>
                <w:highlight w:val="none"/>
              </w:rPr>
              <w:t>（以电子交易系统解密倒计时为准）</w:t>
            </w:r>
          </w:p>
        </w:tc>
      </w:tr>
      <w:tr w14:paraId="5B6AE0E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jc w:val="center"/>
        </w:trPr>
        <w:tc>
          <w:tcPr>
            <w:tcW w:w="1020" w:type="dxa"/>
            <w:noWrap w:val="0"/>
            <w:vAlign w:val="center"/>
          </w:tcPr>
          <w:p w14:paraId="7211AC04">
            <w:pPr>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w:t>
            </w:r>
          </w:p>
        </w:tc>
        <w:tc>
          <w:tcPr>
            <w:tcW w:w="2203" w:type="dxa"/>
            <w:noWrap w:val="0"/>
            <w:vAlign w:val="center"/>
          </w:tcPr>
          <w:p w14:paraId="6DE4173F">
            <w:pPr>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投标文件提交截止时间及地点</w:t>
            </w:r>
          </w:p>
        </w:tc>
        <w:tc>
          <w:tcPr>
            <w:tcW w:w="6977" w:type="dxa"/>
            <w:noWrap w:val="0"/>
            <w:vAlign w:val="center"/>
          </w:tcPr>
          <w:p w14:paraId="07643FC4">
            <w:pPr>
              <w:keepNext w:val="0"/>
              <w:keepLines w:val="0"/>
              <w:pageBreakBefore w:val="0"/>
              <w:widowControl/>
              <w:kinsoku/>
              <w:wordWrap/>
              <w:overflowPunct/>
              <w:topLinePunct w:val="0"/>
              <w:autoSpaceDE/>
              <w:autoSpaceDN/>
              <w:bidi w:val="0"/>
              <w:adjustRightInd/>
              <w:spacing w:line="52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时间：</w:t>
            </w:r>
            <w:r>
              <w:rPr>
                <w:rFonts w:hint="eastAsia" w:ascii="宋体" w:hAnsi="宋体" w:eastAsia="宋体" w:cs="宋体"/>
                <w:b/>
                <w:bCs/>
                <w:color w:val="auto"/>
                <w:sz w:val="21"/>
                <w:szCs w:val="21"/>
                <w:highlight w:val="none"/>
                <w:u w:val="none"/>
              </w:rPr>
              <w:t>202</w:t>
            </w:r>
            <w:r>
              <w:rPr>
                <w:rFonts w:hint="eastAsia" w:ascii="宋体" w:hAnsi="宋体" w:eastAsia="宋体" w:cs="宋体"/>
                <w:b/>
                <w:bCs/>
                <w:color w:val="auto"/>
                <w:sz w:val="21"/>
                <w:szCs w:val="21"/>
                <w:highlight w:val="none"/>
                <w:u w:val="none"/>
                <w:lang w:val="en-US" w:eastAsia="zh-CN"/>
              </w:rPr>
              <w:t>6</w:t>
            </w:r>
            <w:r>
              <w:rPr>
                <w:rFonts w:hint="eastAsia" w:ascii="宋体" w:hAnsi="宋体" w:eastAsia="宋体" w:cs="宋体"/>
                <w:b/>
                <w:bCs/>
                <w:color w:val="auto"/>
                <w:sz w:val="21"/>
                <w:szCs w:val="21"/>
                <w:highlight w:val="none"/>
                <w:u w:val="none"/>
              </w:rPr>
              <w:t>年</w:t>
            </w:r>
            <w:r>
              <w:rPr>
                <w:rFonts w:hint="eastAsia" w:ascii="宋体" w:hAnsi="宋体" w:cs="宋体"/>
                <w:b/>
                <w:bCs/>
                <w:color w:val="auto"/>
                <w:sz w:val="21"/>
                <w:szCs w:val="21"/>
                <w:highlight w:val="none"/>
                <w:u w:val="none"/>
                <w:lang w:val="en-US" w:eastAsia="zh-CN"/>
              </w:rPr>
              <w:t>9</w:t>
            </w:r>
            <w:r>
              <w:rPr>
                <w:rFonts w:hint="eastAsia" w:ascii="宋体" w:hAnsi="宋体" w:eastAsia="宋体" w:cs="宋体"/>
                <w:b/>
                <w:bCs/>
                <w:color w:val="auto"/>
                <w:sz w:val="21"/>
                <w:szCs w:val="21"/>
                <w:highlight w:val="none"/>
                <w:u w:val="none"/>
              </w:rPr>
              <w:t>月</w:t>
            </w:r>
            <w:r>
              <w:rPr>
                <w:rFonts w:hint="eastAsia" w:ascii="宋体" w:hAnsi="宋体" w:cs="宋体"/>
                <w:b/>
                <w:bCs/>
                <w:color w:val="auto"/>
                <w:sz w:val="21"/>
                <w:szCs w:val="21"/>
                <w:highlight w:val="none"/>
                <w:u w:val="none"/>
                <w:lang w:val="en-US" w:eastAsia="zh-CN"/>
              </w:rPr>
              <w:t>24</w:t>
            </w:r>
            <w:r>
              <w:rPr>
                <w:rFonts w:hint="eastAsia" w:ascii="宋体" w:hAnsi="宋体" w:eastAsia="宋体" w:cs="宋体"/>
                <w:b/>
                <w:bCs/>
                <w:color w:val="auto"/>
                <w:sz w:val="21"/>
                <w:szCs w:val="21"/>
                <w:highlight w:val="none"/>
                <w:u w:val="none"/>
              </w:rPr>
              <w:t>日</w:t>
            </w:r>
            <w:r>
              <w:rPr>
                <w:rFonts w:hint="eastAsia" w:ascii="宋体" w:hAnsi="宋体" w:cs="宋体"/>
                <w:b/>
                <w:bCs/>
                <w:color w:val="auto"/>
                <w:sz w:val="21"/>
                <w:szCs w:val="21"/>
                <w:highlight w:val="none"/>
                <w:u w:val="none"/>
                <w:lang w:val="en-US" w:eastAsia="zh-CN"/>
              </w:rPr>
              <w:t>9</w:t>
            </w:r>
            <w:r>
              <w:rPr>
                <w:rFonts w:hint="eastAsia" w:ascii="宋体" w:hAnsi="宋体" w:eastAsia="宋体" w:cs="宋体"/>
                <w:b/>
                <w:bCs/>
                <w:color w:val="auto"/>
                <w:sz w:val="21"/>
                <w:szCs w:val="21"/>
                <w:highlight w:val="none"/>
                <w:u w:val="none"/>
              </w:rPr>
              <w:t>时</w:t>
            </w:r>
            <w:r>
              <w:rPr>
                <w:rFonts w:hint="eastAsia" w:ascii="宋体" w:hAnsi="宋体" w:cs="宋体"/>
                <w:b/>
                <w:bCs/>
                <w:color w:val="auto"/>
                <w:sz w:val="21"/>
                <w:szCs w:val="21"/>
                <w:highlight w:val="none"/>
                <w:u w:val="none"/>
                <w:lang w:val="en-US" w:eastAsia="zh-CN"/>
              </w:rPr>
              <w:t>00</w:t>
            </w:r>
            <w:r>
              <w:rPr>
                <w:rFonts w:hint="eastAsia" w:ascii="宋体" w:hAnsi="宋体" w:eastAsia="宋体" w:cs="宋体"/>
                <w:b/>
                <w:bCs/>
                <w:color w:val="auto"/>
                <w:sz w:val="21"/>
                <w:szCs w:val="21"/>
                <w:highlight w:val="none"/>
                <w:u w:val="none"/>
              </w:rPr>
              <w:t>分</w:t>
            </w:r>
          </w:p>
          <w:p w14:paraId="7171B7DD">
            <w:pPr>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地点：</w:t>
            </w:r>
            <w:r>
              <w:rPr>
                <w:rFonts w:hint="eastAsia" w:ascii="宋体" w:hAnsi="宋体" w:eastAsia="宋体" w:cs="宋体"/>
                <w:color w:val="auto"/>
                <w:kern w:val="0"/>
                <w:sz w:val="21"/>
                <w:szCs w:val="21"/>
                <w:highlight w:val="none"/>
                <w:lang w:val="en-US" w:eastAsia="zh-CN"/>
              </w:rPr>
              <w:t>本项目仅接受加密电子投标文件，投标人在投标截止时间前通过新点电子交易平台后在【滁州专区】（https://www.etrading.cn/BREpointSSO/login/oauth2login?regioncode=DQ_ChuZhou）交易系统递交电子投标文件。</w:t>
            </w:r>
          </w:p>
        </w:tc>
      </w:tr>
      <w:tr w14:paraId="6F77ED6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jc w:val="center"/>
        </w:trPr>
        <w:tc>
          <w:tcPr>
            <w:tcW w:w="1020" w:type="dxa"/>
            <w:shd w:val="clear" w:color="auto" w:fill="auto"/>
            <w:noWrap w:val="0"/>
            <w:vAlign w:val="center"/>
          </w:tcPr>
          <w:p w14:paraId="784C6550">
            <w:pPr>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24</w:t>
            </w:r>
          </w:p>
        </w:tc>
        <w:tc>
          <w:tcPr>
            <w:tcW w:w="2203" w:type="dxa"/>
            <w:shd w:val="clear" w:color="auto" w:fill="auto"/>
            <w:noWrap w:val="0"/>
            <w:vAlign w:val="center"/>
          </w:tcPr>
          <w:p w14:paraId="3F492615">
            <w:pPr>
              <w:keepNext w:val="0"/>
              <w:keepLines w:val="0"/>
              <w:pageBreakBefore w:val="0"/>
              <w:kinsoku/>
              <w:overflowPunct/>
              <w:topLinePunct w:val="0"/>
              <w:autoSpaceDE/>
              <w:autoSpaceDN/>
              <w:bidi w:val="0"/>
              <w:adjustRightInd/>
              <w:spacing w:line="520" w:lineRule="exact"/>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是否退还</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lang w:eastAsia="zh-CN"/>
              </w:rPr>
              <w:t>文件</w:t>
            </w:r>
          </w:p>
        </w:tc>
        <w:tc>
          <w:tcPr>
            <w:tcW w:w="6977" w:type="dxa"/>
            <w:shd w:val="clear" w:color="auto" w:fill="auto"/>
            <w:noWrap w:val="0"/>
            <w:vAlign w:val="center"/>
          </w:tcPr>
          <w:p w14:paraId="658E093C">
            <w:pPr>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否</w:t>
            </w:r>
          </w:p>
        </w:tc>
      </w:tr>
      <w:tr w14:paraId="17C2E0D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jc w:val="center"/>
        </w:trPr>
        <w:tc>
          <w:tcPr>
            <w:tcW w:w="1020" w:type="dxa"/>
            <w:noWrap w:val="0"/>
            <w:vAlign w:val="center"/>
          </w:tcPr>
          <w:p w14:paraId="5D6152E1">
            <w:pPr>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25</w:t>
            </w:r>
          </w:p>
        </w:tc>
        <w:tc>
          <w:tcPr>
            <w:tcW w:w="2203" w:type="dxa"/>
            <w:noWrap w:val="0"/>
            <w:vAlign w:val="center"/>
          </w:tcPr>
          <w:p w14:paraId="601D392C">
            <w:pPr>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开标程序</w:t>
            </w:r>
          </w:p>
        </w:tc>
        <w:tc>
          <w:tcPr>
            <w:tcW w:w="6977" w:type="dxa"/>
            <w:noWrap w:val="0"/>
            <w:vAlign w:val="center"/>
          </w:tcPr>
          <w:p w14:paraId="0E7029CC">
            <w:pPr>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先资格审查</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再进行评审。</w:t>
            </w:r>
          </w:p>
        </w:tc>
      </w:tr>
      <w:tr w14:paraId="73F38D0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04" w:hRule="atLeast"/>
          <w:jc w:val="center"/>
        </w:trPr>
        <w:tc>
          <w:tcPr>
            <w:tcW w:w="1020" w:type="dxa"/>
            <w:noWrap w:val="0"/>
            <w:vAlign w:val="center"/>
          </w:tcPr>
          <w:p w14:paraId="5B01EF5E">
            <w:pPr>
              <w:pStyle w:val="19"/>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26</w:t>
            </w:r>
          </w:p>
        </w:tc>
        <w:tc>
          <w:tcPr>
            <w:tcW w:w="2203" w:type="dxa"/>
            <w:noWrap w:val="0"/>
            <w:vAlign w:val="center"/>
          </w:tcPr>
          <w:p w14:paraId="3409D08D">
            <w:pPr>
              <w:pStyle w:val="19"/>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评标委员会的组建</w:t>
            </w:r>
          </w:p>
        </w:tc>
        <w:tc>
          <w:tcPr>
            <w:tcW w:w="6977" w:type="dxa"/>
            <w:noWrap w:val="0"/>
            <w:vAlign w:val="top"/>
          </w:tcPr>
          <w:p w14:paraId="53C1C48C">
            <w:pPr>
              <w:pStyle w:val="19"/>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评标委员会构成：</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人，其中招标人代表</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人，评标专家</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人。</w:t>
            </w:r>
          </w:p>
          <w:p w14:paraId="72615D36">
            <w:pPr>
              <w:pStyle w:val="19"/>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评标专家确定方式：评标专家由招标人在评标活动开始前24小时内，通过抽取终端从专家库中随机抽取。</w:t>
            </w:r>
          </w:p>
        </w:tc>
      </w:tr>
      <w:tr w14:paraId="6BDF0B6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94" w:hRule="atLeast"/>
          <w:jc w:val="center"/>
        </w:trPr>
        <w:tc>
          <w:tcPr>
            <w:tcW w:w="1020" w:type="dxa"/>
            <w:noWrap w:val="0"/>
            <w:vAlign w:val="center"/>
          </w:tcPr>
          <w:p w14:paraId="7D931578">
            <w:pPr>
              <w:pStyle w:val="19"/>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27</w:t>
            </w:r>
          </w:p>
        </w:tc>
        <w:tc>
          <w:tcPr>
            <w:tcW w:w="2203" w:type="dxa"/>
            <w:noWrap w:val="0"/>
            <w:vAlign w:val="center"/>
          </w:tcPr>
          <w:p w14:paraId="10889663">
            <w:pPr>
              <w:pStyle w:val="19"/>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是否授权评标委员会确定中标候选人</w:t>
            </w:r>
          </w:p>
        </w:tc>
        <w:tc>
          <w:tcPr>
            <w:tcW w:w="6977" w:type="dxa"/>
            <w:noWrap w:val="0"/>
            <w:vAlign w:val="center"/>
          </w:tcPr>
          <w:p w14:paraId="09D5703C">
            <w:pPr>
              <w:pStyle w:val="19"/>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是，评标委员会推荐</w:t>
            </w:r>
            <w:r>
              <w:rPr>
                <w:rFonts w:hint="eastAsia" w:ascii="宋体" w:hAnsi="宋体" w:eastAsia="宋体" w:cs="宋体"/>
                <w:color w:val="auto"/>
                <w:sz w:val="21"/>
                <w:szCs w:val="21"/>
                <w:highlight w:val="none"/>
                <w:u w:val="single" w:color="auto"/>
              </w:rPr>
              <w:t xml:space="preserve"> 3</w:t>
            </w:r>
            <w:r>
              <w:rPr>
                <w:rFonts w:hint="eastAsia" w:ascii="宋体" w:hAnsi="宋体" w:eastAsia="宋体" w:cs="宋体"/>
                <w:color w:val="auto"/>
                <w:sz w:val="21"/>
                <w:szCs w:val="21"/>
                <w:highlight w:val="none"/>
              </w:rPr>
              <w:t>名中标候选人。</w:t>
            </w:r>
          </w:p>
        </w:tc>
      </w:tr>
      <w:tr w14:paraId="37F9356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06" w:hRule="atLeast"/>
          <w:jc w:val="center"/>
        </w:trPr>
        <w:tc>
          <w:tcPr>
            <w:tcW w:w="1020" w:type="dxa"/>
            <w:noWrap w:val="0"/>
            <w:vAlign w:val="center"/>
          </w:tcPr>
          <w:p w14:paraId="0671A580">
            <w:pPr>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28</w:t>
            </w:r>
          </w:p>
        </w:tc>
        <w:tc>
          <w:tcPr>
            <w:tcW w:w="2203" w:type="dxa"/>
            <w:noWrap w:val="0"/>
            <w:vAlign w:val="center"/>
          </w:tcPr>
          <w:p w14:paraId="249B2A5D">
            <w:pPr>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中标通知书</w:t>
            </w:r>
          </w:p>
        </w:tc>
        <w:tc>
          <w:tcPr>
            <w:tcW w:w="6977" w:type="dxa"/>
            <w:noWrap w:val="0"/>
            <w:vAlign w:val="center"/>
          </w:tcPr>
          <w:p w14:paraId="645B1A29">
            <w:pPr>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中标通知书须加盖</w:t>
            </w:r>
            <w:r>
              <w:rPr>
                <w:rFonts w:hint="eastAsia" w:ascii="宋体" w:hAnsi="宋体" w:eastAsia="宋体" w:cs="宋体"/>
                <w:color w:val="auto"/>
                <w:sz w:val="21"/>
                <w:szCs w:val="21"/>
                <w:highlight w:val="none"/>
                <w:lang w:val="en-US" w:eastAsia="zh-CN"/>
              </w:rPr>
              <w:t>招标人及代理机构公章</w:t>
            </w:r>
            <w:r>
              <w:rPr>
                <w:rFonts w:hint="eastAsia" w:ascii="宋体" w:hAnsi="宋体" w:eastAsia="宋体" w:cs="宋体"/>
                <w:color w:val="auto"/>
                <w:sz w:val="21"/>
                <w:szCs w:val="21"/>
                <w:highlight w:val="none"/>
              </w:rPr>
              <w:t>后方可发出。</w:t>
            </w:r>
          </w:p>
        </w:tc>
      </w:tr>
      <w:tr w14:paraId="11310D8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17" w:hRule="atLeast"/>
          <w:jc w:val="center"/>
        </w:trPr>
        <w:tc>
          <w:tcPr>
            <w:tcW w:w="1020" w:type="dxa"/>
            <w:noWrap w:val="0"/>
            <w:vAlign w:val="center"/>
          </w:tcPr>
          <w:p w14:paraId="747A56C0">
            <w:pPr>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29</w:t>
            </w:r>
          </w:p>
        </w:tc>
        <w:tc>
          <w:tcPr>
            <w:tcW w:w="2203" w:type="dxa"/>
            <w:noWrap w:val="0"/>
            <w:vAlign w:val="center"/>
          </w:tcPr>
          <w:p w14:paraId="7326F498">
            <w:pPr>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tc>
        <w:tc>
          <w:tcPr>
            <w:tcW w:w="6977" w:type="dxa"/>
            <w:noWrap w:val="0"/>
            <w:vAlign w:val="center"/>
          </w:tcPr>
          <w:p w14:paraId="0066AFA9">
            <w:pPr>
              <w:keepNext w:val="0"/>
              <w:keepLines w:val="0"/>
              <w:pageBreakBefore w:val="0"/>
              <w:kinsoku/>
              <w:wordWrap w:val="0"/>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本项目不收取履约担保。</w:t>
            </w:r>
          </w:p>
        </w:tc>
      </w:tr>
      <w:tr w14:paraId="45AA51F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17" w:hRule="atLeast"/>
          <w:jc w:val="center"/>
        </w:trPr>
        <w:tc>
          <w:tcPr>
            <w:tcW w:w="1020" w:type="dxa"/>
            <w:noWrap w:val="0"/>
            <w:vAlign w:val="center"/>
          </w:tcPr>
          <w:p w14:paraId="50F09F25">
            <w:pPr>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30</w:t>
            </w:r>
          </w:p>
        </w:tc>
        <w:tc>
          <w:tcPr>
            <w:tcW w:w="2203" w:type="dxa"/>
            <w:noWrap w:val="0"/>
            <w:vAlign w:val="center"/>
          </w:tcPr>
          <w:p w14:paraId="6CE82FE6">
            <w:pPr>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投标人对招标文件提出</w:t>
            </w:r>
            <w:r>
              <w:rPr>
                <w:rFonts w:hint="eastAsia" w:ascii="宋体" w:hAnsi="宋体" w:eastAsia="宋体" w:cs="宋体"/>
                <w:color w:val="auto"/>
                <w:sz w:val="21"/>
                <w:szCs w:val="21"/>
                <w:highlight w:val="none"/>
                <w:u w:val="none"/>
              </w:rPr>
              <w:t>质疑的</w:t>
            </w:r>
            <w:r>
              <w:rPr>
                <w:rFonts w:hint="eastAsia" w:ascii="宋体" w:hAnsi="宋体" w:eastAsia="宋体" w:cs="宋体"/>
                <w:color w:val="auto"/>
                <w:sz w:val="21"/>
                <w:szCs w:val="21"/>
                <w:highlight w:val="none"/>
              </w:rPr>
              <w:t>截止时间及方式</w:t>
            </w:r>
          </w:p>
        </w:tc>
        <w:tc>
          <w:tcPr>
            <w:tcW w:w="6977" w:type="dxa"/>
            <w:noWrap w:val="0"/>
            <w:vAlign w:val="center"/>
          </w:tcPr>
          <w:p w14:paraId="6DA085EE">
            <w:pPr>
              <w:keepNext w:val="0"/>
              <w:keepLines w:val="0"/>
              <w:pageBreakBefore w:val="0"/>
              <w:widowControl/>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如</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对</w:t>
            </w:r>
            <w:r>
              <w:rPr>
                <w:rFonts w:hint="eastAsia" w:ascii="宋体" w:hAnsi="宋体" w:eastAsia="宋体" w:cs="宋体"/>
                <w:color w:val="auto"/>
                <w:sz w:val="21"/>
                <w:szCs w:val="21"/>
                <w:highlight w:val="none"/>
                <w:lang w:val="en-US" w:eastAsia="zh-CN"/>
              </w:rPr>
              <w:t>招标</w:t>
            </w:r>
            <w:r>
              <w:rPr>
                <w:rFonts w:hint="eastAsia" w:ascii="宋体" w:hAnsi="宋体" w:eastAsia="宋体" w:cs="宋体"/>
                <w:color w:val="auto"/>
                <w:sz w:val="21"/>
                <w:szCs w:val="21"/>
                <w:highlight w:val="none"/>
              </w:rPr>
              <w:t>文件有质疑，可以</w:t>
            </w:r>
            <w:r>
              <w:rPr>
                <w:rFonts w:hint="eastAsia" w:ascii="宋体" w:hAnsi="宋体" w:eastAsia="宋体" w:cs="宋体"/>
                <w:b w:val="0"/>
                <w:bCs w:val="0"/>
                <w:color w:val="auto"/>
                <w:sz w:val="21"/>
                <w:szCs w:val="21"/>
                <w:highlight w:val="none"/>
              </w:rPr>
              <w:t>于</w:t>
            </w:r>
            <w:r>
              <w:rPr>
                <w:rFonts w:hint="eastAsia" w:ascii="宋体" w:hAnsi="宋体" w:eastAsia="宋体" w:cs="宋体"/>
                <w:b/>
                <w:bCs/>
                <w:color w:val="auto"/>
                <w:sz w:val="21"/>
                <w:szCs w:val="21"/>
                <w:highlight w:val="none"/>
                <w:lang w:val="en-US" w:eastAsia="zh-CN"/>
              </w:rPr>
              <w:t>2026年</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20</w:t>
            </w:r>
            <w:r>
              <w:rPr>
                <w:rFonts w:hint="eastAsia" w:ascii="宋体" w:hAnsi="宋体" w:eastAsia="宋体" w:cs="宋体"/>
                <w:b/>
                <w:bCs/>
                <w:color w:val="auto"/>
                <w:sz w:val="21"/>
                <w:szCs w:val="21"/>
                <w:highlight w:val="none"/>
                <w:lang w:val="en-US" w:eastAsia="zh-CN"/>
              </w:rPr>
              <w:t>日17时前</w:t>
            </w:r>
            <w:r>
              <w:rPr>
                <w:rFonts w:hint="eastAsia" w:ascii="宋体" w:hAnsi="宋体" w:eastAsia="宋体" w:cs="宋体"/>
                <w:color w:val="auto"/>
                <w:sz w:val="21"/>
                <w:szCs w:val="21"/>
                <w:highlight w:val="none"/>
                <w:lang w:val="en-US" w:eastAsia="zh-CN"/>
              </w:rPr>
              <w:t>通过登录新点电子交易平台【滁州专区】线上提出异议</w:t>
            </w:r>
          </w:p>
        </w:tc>
      </w:tr>
      <w:tr w14:paraId="66E665D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17" w:hRule="atLeast"/>
          <w:jc w:val="center"/>
        </w:trPr>
        <w:tc>
          <w:tcPr>
            <w:tcW w:w="1020" w:type="dxa"/>
            <w:noWrap w:val="0"/>
            <w:vAlign w:val="center"/>
          </w:tcPr>
          <w:p w14:paraId="48063FC8">
            <w:pPr>
              <w:keepNext w:val="0"/>
              <w:keepLines w:val="0"/>
              <w:pageBreakBefore w:val="0"/>
              <w:kinsoku/>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w:t>
            </w:r>
          </w:p>
        </w:tc>
        <w:tc>
          <w:tcPr>
            <w:tcW w:w="2203" w:type="dxa"/>
            <w:noWrap w:val="0"/>
            <w:vAlign w:val="center"/>
          </w:tcPr>
          <w:p w14:paraId="14D0DD67">
            <w:pPr>
              <w:keepNext w:val="0"/>
              <w:keepLines w:val="0"/>
              <w:pageBreakBefore w:val="0"/>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w:t>
            </w:r>
          </w:p>
        </w:tc>
        <w:tc>
          <w:tcPr>
            <w:tcW w:w="6977" w:type="dxa"/>
            <w:noWrap w:val="0"/>
            <w:vAlign w:val="center"/>
          </w:tcPr>
          <w:p w14:paraId="68A66ABE">
            <w:pPr>
              <w:keepNext w:val="0"/>
              <w:keepLines w:val="0"/>
              <w:pageBreakBefore w:val="0"/>
              <w:widowControl/>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本项目服务范围内包含苏州路与双城路交叉口西北侧地块开发项目和中新苏滁高新区超级电容智能制造基地二期项目两个项目，其中：</w:t>
            </w:r>
          </w:p>
          <w:p w14:paraId="4C919DAC">
            <w:pPr>
              <w:keepNext w:val="0"/>
              <w:keepLines w:val="0"/>
              <w:pageBreakBefore w:val="0"/>
              <w:widowControl/>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苏州路与双城路交叉口西北侧地块开发项目的建设单位为滁州市苏滁产业投资有限公司，该项目的水土保持方案编制服务合同由中标人与滁州市苏滁产业投资有限公司签订合同，其服务费用由滁州市苏滁产业投资有限公司支付；</w:t>
            </w:r>
          </w:p>
          <w:p w14:paraId="5C91F453">
            <w:pPr>
              <w:keepNext w:val="0"/>
              <w:keepLines w:val="0"/>
              <w:pageBreakBefore w:val="0"/>
              <w:widowControl/>
              <w:kinsoku/>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中新苏滁高新区超级电容智能制造基地二期项目的建设单位为滁州苏滁产城开发有限公司，该项目的水土保持方案编制服务合同由中标人与滁州苏滁产城开发有限公司签订合同，其服务费用由滁州苏滁产城开发有限公司支付。</w:t>
            </w:r>
          </w:p>
        </w:tc>
      </w:tr>
      <w:tr w14:paraId="5A691FB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75" w:hRule="atLeast"/>
          <w:jc w:val="center"/>
        </w:trPr>
        <w:tc>
          <w:tcPr>
            <w:tcW w:w="3223" w:type="dxa"/>
            <w:gridSpan w:val="2"/>
            <w:noWrap w:val="0"/>
            <w:vAlign w:val="center"/>
          </w:tcPr>
          <w:p w14:paraId="41E8C771">
            <w:pPr>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付款方式、时间、条件</w:t>
            </w:r>
          </w:p>
        </w:tc>
        <w:tc>
          <w:tcPr>
            <w:tcW w:w="6977" w:type="dxa"/>
            <w:noWrap w:val="0"/>
            <w:vAlign w:val="center"/>
          </w:tcPr>
          <w:p w14:paraId="646A3CEC">
            <w:pPr>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单个项目方案编制的全部内容并通过相关部门审批后，提交正式报告及整套资料付至合同价100%。</w:t>
            </w:r>
          </w:p>
          <w:p w14:paraId="30908668">
            <w:pPr>
              <w:keepNext w:val="0"/>
              <w:keepLines w:val="0"/>
              <w:pageBreakBefore w:val="0"/>
              <w:kinsoku/>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kern w:val="2"/>
                <w:sz w:val="21"/>
                <w:szCs w:val="21"/>
                <w:highlight w:val="none"/>
                <w:lang w:val="en-US" w:eastAsia="zh-CN" w:bidi="ar-SA"/>
              </w:rPr>
              <w:t>注：中标人按招标人要求提供发票。</w:t>
            </w:r>
          </w:p>
        </w:tc>
      </w:tr>
    </w:tbl>
    <w:p w14:paraId="391BED8C">
      <w:pPr>
        <w:rPr>
          <w:rFonts w:hint="eastAsia" w:ascii="宋体" w:hAnsi="宋体" w:eastAsia="宋体" w:cs="宋体"/>
          <w:b/>
          <w:bCs/>
          <w:color w:val="auto"/>
          <w:sz w:val="24"/>
          <w:szCs w:val="24"/>
          <w:highlight w:val="none"/>
        </w:rPr>
      </w:pPr>
      <w:bookmarkStart w:id="28" w:name="_Toc515"/>
      <w:bookmarkStart w:id="29" w:name="_Toc58430316"/>
      <w:r>
        <w:rPr>
          <w:rFonts w:hint="eastAsia" w:ascii="宋体" w:hAnsi="宋体" w:eastAsia="宋体" w:cs="宋体"/>
          <w:b/>
          <w:bCs/>
          <w:color w:val="auto"/>
          <w:sz w:val="24"/>
          <w:szCs w:val="24"/>
          <w:highlight w:val="none"/>
        </w:rPr>
        <w:br w:type="page"/>
      </w:r>
    </w:p>
    <w:p w14:paraId="31513DEE">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ind w:firstLine="562" w:firstLineChars="200"/>
        <w:jc w:val="center"/>
        <w:textAlignment w:val="auto"/>
        <w:outlineLvl w:val="1"/>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一、总  则</w:t>
      </w:r>
      <w:bookmarkEnd w:id="28"/>
    </w:p>
    <w:p w14:paraId="111C89D5">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1.工程概况</w:t>
      </w:r>
    </w:p>
    <w:p w14:paraId="5D9CC826">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1.1本次招标工程名称：</w:t>
      </w:r>
      <w:r>
        <w:rPr>
          <w:rFonts w:hint="eastAsia" w:ascii="宋体" w:hAnsi="宋体" w:eastAsia="宋体" w:cs="宋体"/>
          <w:color w:val="auto"/>
          <w:sz w:val="21"/>
          <w:szCs w:val="21"/>
          <w:highlight w:val="none"/>
          <w:u w:val="none"/>
          <w:lang w:val="en-US" w:eastAsia="zh-CN"/>
        </w:rPr>
        <w:t>苏州路与双城路交叉口西北侧地块开发等项目水土保持方案编制服务项目</w:t>
      </w:r>
    </w:p>
    <w:p w14:paraId="0AE20435">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val="en-US" w:eastAsia="zh-CN"/>
        </w:rPr>
        <w:t>1.2</w:t>
      </w:r>
      <w:r>
        <w:rPr>
          <w:rFonts w:hint="eastAsia" w:ascii="宋体" w:hAnsi="宋体" w:eastAsia="宋体" w:cs="宋体"/>
          <w:color w:val="auto"/>
          <w:sz w:val="21"/>
          <w:szCs w:val="21"/>
          <w:highlight w:val="none"/>
          <w:u w:val="none"/>
          <w:lang w:eastAsia="zh-CN"/>
        </w:rPr>
        <w:t xml:space="preserve">建设单位：滁州苏滁产城开发有限公司  </w:t>
      </w:r>
    </w:p>
    <w:p w14:paraId="563C93D6">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val="en-US" w:eastAsia="zh-CN"/>
        </w:rPr>
        <w:t>1.3</w:t>
      </w:r>
      <w:r>
        <w:rPr>
          <w:rFonts w:hint="eastAsia" w:ascii="宋体" w:hAnsi="宋体" w:eastAsia="宋体" w:cs="宋体"/>
          <w:color w:val="auto"/>
          <w:sz w:val="21"/>
          <w:szCs w:val="21"/>
          <w:highlight w:val="none"/>
          <w:u w:val="none"/>
          <w:lang w:eastAsia="zh-CN"/>
        </w:rPr>
        <w:t>工程建设规模：</w:t>
      </w:r>
    </w:p>
    <w:p w14:paraId="669D1C2A">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1.3.1苏州路与双城路交叉口西北侧地块开发项目位于中新苏滁高新技术产业开发区苏州路与双城路交叉口西北侧，主要内容包括：新建站房：2F1座，建筑面积390.4㎡；新建型钢结构罩棚：1座，建筑面积273.9㎡；新建加油岛：4座，4台四枪四油品潜油泵加油机</w:t>
      </w:r>
      <w:r>
        <w:rPr>
          <w:rFonts w:hint="eastAsia" w:ascii="宋体" w:hAnsi="宋体" w:cs="宋体"/>
          <w:color w:val="auto"/>
          <w:sz w:val="21"/>
          <w:szCs w:val="21"/>
          <w:highlight w:val="none"/>
          <w:u w:val="none"/>
          <w:lang w:val="en-US" w:eastAsia="zh-CN"/>
        </w:rPr>
        <w:t>，</w:t>
      </w:r>
      <w:r>
        <w:rPr>
          <w:rFonts w:hint="eastAsia" w:ascii="宋体" w:hAnsi="宋体" w:eastAsia="宋体" w:cs="宋体"/>
          <w:color w:val="auto"/>
          <w:sz w:val="21"/>
          <w:szCs w:val="21"/>
          <w:highlight w:val="none"/>
          <w:u w:val="none"/>
          <w:lang w:val="en-US" w:eastAsia="zh-CN"/>
        </w:rPr>
        <w:t>新建油罐区：1处，3汽1柴，承重罐区，SF双层油罐，水平投影面积139.04㎡；新建围墙：165m；新建隔油池：1座；新建化粪池：1座等；室外工程（含路面、绿化）等。</w:t>
      </w:r>
    </w:p>
    <w:p w14:paraId="4FA3CCE5">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1.3.2中新苏滁高新区超级电容智能制造基地二期项目位于滁州市滨河北路与滁州大道交叉口东北侧，主要内容包括：厂房3、电芯库、厂区道路等主体，项目总建筑面积约3.23万㎡，包括但不限于土方工程、地基与基础工程、建筑结构及装饰工程、钢结构工程、安装工程、厂区道路、绿化等。</w:t>
      </w:r>
    </w:p>
    <w:p w14:paraId="7131756D">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招标范围</w:t>
      </w:r>
    </w:p>
    <w:p w14:paraId="0966F4FF">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2.1详见招标文件第四章采购需求。</w:t>
      </w:r>
    </w:p>
    <w:p w14:paraId="759B5D4E">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3.承包方式</w:t>
      </w:r>
    </w:p>
    <w:p w14:paraId="626A095D">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rPr>
        <w:t>3.1承包方式：</w:t>
      </w:r>
      <w:r>
        <w:rPr>
          <w:rFonts w:hint="eastAsia" w:ascii="宋体" w:hAnsi="宋体" w:eastAsia="宋体" w:cs="宋体"/>
          <w:color w:val="auto"/>
          <w:sz w:val="21"/>
          <w:szCs w:val="21"/>
          <w:highlight w:val="none"/>
          <w:u w:val="none"/>
          <w:lang w:val="en-US" w:eastAsia="zh-CN"/>
        </w:rPr>
        <w:t>本次招标的</w:t>
      </w:r>
      <w:r>
        <w:rPr>
          <w:rFonts w:hint="eastAsia" w:ascii="宋体" w:hAnsi="宋体" w:eastAsia="宋体" w:cs="宋体"/>
          <w:color w:val="auto"/>
          <w:sz w:val="21"/>
          <w:szCs w:val="21"/>
          <w:highlight w:val="none"/>
          <w:u w:val="none"/>
        </w:rPr>
        <w:t>全部服务</w:t>
      </w:r>
      <w:r>
        <w:rPr>
          <w:rFonts w:hint="eastAsia" w:ascii="宋体" w:hAnsi="宋体" w:eastAsia="宋体" w:cs="宋体"/>
          <w:color w:val="auto"/>
          <w:sz w:val="21"/>
          <w:szCs w:val="21"/>
          <w:highlight w:val="none"/>
          <w:u w:val="none"/>
          <w:lang w:val="en-US" w:eastAsia="zh-CN"/>
        </w:rPr>
        <w:t>内容</w:t>
      </w:r>
      <w:r>
        <w:rPr>
          <w:rFonts w:hint="eastAsia" w:ascii="宋体" w:hAnsi="宋体" w:eastAsia="宋体" w:cs="宋体"/>
          <w:color w:val="auto"/>
          <w:sz w:val="21"/>
          <w:szCs w:val="21"/>
          <w:highlight w:val="none"/>
          <w:u w:val="none"/>
        </w:rPr>
        <w:t>。</w:t>
      </w:r>
    </w:p>
    <w:p w14:paraId="34F1F8E8">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4.</w:t>
      </w:r>
      <w:r>
        <w:rPr>
          <w:rFonts w:hint="eastAsia" w:ascii="宋体" w:hAnsi="宋体" w:eastAsia="宋体" w:cs="宋体"/>
          <w:b/>
          <w:bCs/>
          <w:color w:val="auto"/>
          <w:sz w:val="21"/>
          <w:szCs w:val="21"/>
          <w:highlight w:val="none"/>
          <w:lang w:val="en-US" w:eastAsia="zh-CN"/>
        </w:rPr>
        <w:t>服务期限</w:t>
      </w:r>
    </w:p>
    <w:p w14:paraId="21E263E6">
      <w:pPr>
        <w:keepNext w:val="0"/>
        <w:keepLines w:val="0"/>
        <w:pageBreakBefore w:val="0"/>
        <w:widowControl w:val="0"/>
        <w:kinsoku/>
        <w:wordWrap/>
        <w:overflowPunct/>
        <w:topLinePunct w:val="0"/>
        <w:autoSpaceDE/>
        <w:autoSpaceDN/>
        <w:bidi w:val="0"/>
        <w:adjustRightInd/>
        <w:snapToGrid/>
        <w:spacing w:line="520" w:lineRule="exact"/>
        <w:ind w:right="-313" w:rightChars="-149"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u w:val="none"/>
          <w:lang w:val="en-US" w:eastAsia="zh-CN" w:bidi="ar-SA"/>
        </w:rPr>
        <w:t>4.1</w:t>
      </w:r>
      <w:r>
        <w:rPr>
          <w:rFonts w:hint="eastAsia" w:ascii="宋体" w:hAnsi="宋体" w:eastAsia="宋体" w:cs="宋体"/>
          <w:color w:val="auto"/>
          <w:sz w:val="21"/>
          <w:szCs w:val="21"/>
          <w:highlight w:val="none"/>
          <w:lang w:val="en-US" w:eastAsia="zh-CN"/>
        </w:rPr>
        <w:t>自接到招标人通知后，每个项目于15个日历天内完成方案编制，</w:t>
      </w:r>
      <w:r>
        <w:rPr>
          <w:rFonts w:hint="eastAsia" w:ascii="宋体" w:hAnsi="宋体" w:cs="宋体"/>
          <w:color w:val="auto"/>
          <w:sz w:val="21"/>
          <w:szCs w:val="21"/>
          <w:highlight w:val="none"/>
          <w:lang w:val="en-US" w:eastAsia="zh-CN"/>
        </w:rPr>
        <w:t>并</w:t>
      </w:r>
      <w:r>
        <w:rPr>
          <w:rFonts w:hint="eastAsia" w:ascii="宋体" w:hAnsi="宋体" w:eastAsia="宋体" w:cs="宋体"/>
          <w:color w:val="auto"/>
          <w:sz w:val="21"/>
          <w:szCs w:val="21"/>
          <w:highlight w:val="none"/>
          <w:lang w:val="en-US" w:eastAsia="zh-CN"/>
        </w:rPr>
        <w:t>通过相关部门审批。</w:t>
      </w:r>
    </w:p>
    <w:p w14:paraId="215FCC4B">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5.质量要求</w:t>
      </w:r>
    </w:p>
    <w:p w14:paraId="7EEAA39C">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outlineLvl w:val="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5.1</w:t>
      </w:r>
      <w:r>
        <w:rPr>
          <w:rFonts w:hint="eastAsia" w:ascii="宋体" w:hAnsi="宋体" w:eastAsia="宋体" w:cs="宋体"/>
          <w:color w:val="auto"/>
          <w:kern w:val="2"/>
          <w:sz w:val="21"/>
          <w:szCs w:val="21"/>
          <w:highlight w:val="none"/>
          <w:u w:val="none" w:color="000000"/>
          <w:lang w:val="en-US" w:eastAsia="zh-CN" w:bidi="ar-SA"/>
        </w:rPr>
        <w:t>提交的成果应符合并达到国家有关规定的深度要求</w:t>
      </w:r>
      <w:r>
        <w:rPr>
          <w:rFonts w:hint="eastAsia" w:ascii="宋体" w:hAnsi="宋体" w:eastAsia="宋体" w:cs="宋体"/>
          <w:color w:val="auto"/>
          <w:kern w:val="2"/>
          <w:sz w:val="21"/>
          <w:szCs w:val="21"/>
          <w:highlight w:val="none"/>
          <w:u w:val="none" w:color="000000"/>
          <w:lang w:val="en-US" w:eastAsia="zh-CN" w:bidi="ar-SA"/>
        </w:rPr>
        <w:t>，通过</w:t>
      </w:r>
      <w:r>
        <w:rPr>
          <w:rFonts w:hint="eastAsia" w:ascii="宋体" w:hAnsi="宋体" w:cs="宋体"/>
          <w:color w:val="auto"/>
          <w:kern w:val="2"/>
          <w:sz w:val="21"/>
          <w:szCs w:val="21"/>
          <w:highlight w:val="none"/>
          <w:u w:val="none" w:color="000000"/>
          <w:lang w:val="en-US" w:eastAsia="zh-CN" w:bidi="ar-SA"/>
        </w:rPr>
        <w:t>相关</w:t>
      </w:r>
      <w:r>
        <w:rPr>
          <w:rFonts w:hint="eastAsia" w:ascii="宋体" w:hAnsi="宋体" w:eastAsia="宋体" w:cs="宋体"/>
          <w:color w:val="auto"/>
          <w:kern w:val="2"/>
          <w:sz w:val="21"/>
          <w:szCs w:val="21"/>
          <w:highlight w:val="none"/>
          <w:u w:val="none" w:color="000000"/>
          <w:lang w:val="en-US" w:eastAsia="zh-CN" w:bidi="ar-SA"/>
        </w:rPr>
        <w:t>主管部门</w:t>
      </w:r>
      <w:r>
        <w:rPr>
          <w:rFonts w:hint="eastAsia" w:ascii="宋体" w:hAnsi="宋体" w:cs="宋体"/>
          <w:color w:val="auto"/>
          <w:kern w:val="2"/>
          <w:sz w:val="21"/>
          <w:szCs w:val="21"/>
          <w:highlight w:val="none"/>
          <w:u w:val="none" w:color="000000"/>
          <w:lang w:val="en-US" w:eastAsia="zh-CN" w:bidi="ar-SA"/>
        </w:rPr>
        <w:t>审批</w:t>
      </w:r>
      <w:r>
        <w:rPr>
          <w:rFonts w:hint="eastAsia" w:ascii="宋体" w:hAnsi="宋体" w:eastAsia="宋体" w:cs="宋体"/>
          <w:color w:val="auto"/>
          <w:sz w:val="21"/>
          <w:szCs w:val="21"/>
          <w:highlight w:val="none"/>
          <w:lang w:val="en-US" w:eastAsia="zh-CN"/>
        </w:rPr>
        <w:t>。</w:t>
      </w:r>
    </w:p>
    <w:p w14:paraId="14D6A99F">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6.投标人资质等级要求</w:t>
      </w:r>
    </w:p>
    <w:p w14:paraId="0FAE557D">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lang w:val="en-US" w:eastAsia="zh-CN"/>
        </w:rPr>
        <w:t>详见投标须知前附表。</w:t>
      </w:r>
    </w:p>
    <w:p w14:paraId="71087DE7">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7.资金来源</w:t>
      </w:r>
    </w:p>
    <w:p w14:paraId="377271E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7.1资金来源：</w:t>
      </w:r>
      <w:r>
        <w:rPr>
          <w:rFonts w:hint="eastAsia" w:ascii="宋体" w:hAnsi="宋体" w:eastAsia="宋体" w:cs="宋体"/>
          <w:color w:val="auto"/>
          <w:sz w:val="21"/>
          <w:szCs w:val="21"/>
          <w:highlight w:val="none"/>
          <w:u w:val="single"/>
        </w:rPr>
        <w:t>自筹资金</w:t>
      </w:r>
      <w:r>
        <w:rPr>
          <w:rFonts w:hint="eastAsia" w:ascii="宋体" w:hAnsi="宋体" w:eastAsia="宋体" w:cs="宋体"/>
          <w:color w:val="auto"/>
          <w:sz w:val="21"/>
          <w:szCs w:val="21"/>
          <w:highlight w:val="none"/>
        </w:rPr>
        <w:t>；资金已落实。</w:t>
      </w:r>
    </w:p>
    <w:p w14:paraId="7BE5BDC8">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8.标段划分</w:t>
      </w:r>
    </w:p>
    <w:p w14:paraId="7A09A09B">
      <w:pPr>
        <w:keepNext w:val="0"/>
        <w:keepLines w:val="0"/>
        <w:pageBreakBefore w:val="0"/>
        <w:widowControl w:val="0"/>
        <w:kinsoku/>
        <w:wordWrap/>
        <w:overflowPunct/>
        <w:topLinePunct w:val="0"/>
        <w:autoSpaceDE/>
        <w:autoSpaceDN/>
        <w:bidi w:val="0"/>
        <w:adjustRightInd/>
        <w:snapToGrid/>
        <w:spacing w:line="520" w:lineRule="exact"/>
        <w:ind w:right="-155" w:rightChars="-74"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8.1该工程划分：</w:t>
      </w:r>
      <w:r>
        <w:rPr>
          <w:rFonts w:hint="eastAsia" w:ascii="宋体" w:hAnsi="宋体" w:eastAsia="宋体" w:cs="宋体"/>
          <w:color w:val="auto"/>
          <w:sz w:val="21"/>
          <w:szCs w:val="21"/>
          <w:highlight w:val="none"/>
          <w:u w:val="single"/>
        </w:rPr>
        <w:t>一</w:t>
      </w:r>
      <w:r>
        <w:rPr>
          <w:rFonts w:hint="eastAsia" w:ascii="宋体" w:hAnsi="宋体" w:eastAsia="宋体" w:cs="宋体"/>
          <w:color w:val="auto"/>
          <w:sz w:val="21"/>
          <w:szCs w:val="21"/>
          <w:highlight w:val="none"/>
        </w:rPr>
        <w:t xml:space="preserve">个标段  </w:t>
      </w:r>
    </w:p>
    <w:p w14:paraId="4FFCAB62">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9.招标方式</w:t>
      </w:r>
    </w:p>
    <w:p w14:paraId="7F30E830">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9.1本工程招标方式：</w:t>
      </w:r>
      <w:r>
        <w:rPr>
          <w:rFonts w:hint="eastAsia" w:ascii="宋体" w:hAnsi="宋体" w:eastAsia="宋体" w:cs="宋体"/>
          <w:color w:val="auto"/>
          <w:sz w:val="21"/>
          <w:szCs w:val="21"/>
          <w:highlight w:val="none"/>
          <w:u w:val="single"/>
          <w:lang w:val="en-US" w:eastAsia="zh-CN"/>
        </w:rPr>
        <w:t>公开招标</w:t>
      </w:r>
      <w:r>
        <w:rPr>
          <w:rFonts w:hint="eastAsia" w:ascii="宋体" w:hAnsi="宋体" w:eastAsia="宋体" w:cs="宋体"/>
          <w:color w:val="auto"/>
          <w:sz w:val="21"/>
          <w:szCs w:val="21"/>
          <w:highlight w:val="none"/>
        </w:rPr>
        <w:t>。</w:t>
      </w:r>
    </w:p>
    <w:p w14:paraId="408FC132">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10.计价方式</w:t>
      </w:r>
    </w:p>
    <w:p w14:paraId="1B644191">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10.1本工程合同计价方式：</w:t>
      </w:r>
      <w:r>
        <w:rPr>
          <w:rFonts w:hint="eastAsia" w:ascii="宋体" w:hAnsi="宋体" w:eastAsia="宋体" w:cs="宋体"/>
          <w:color w:val="auto"/>
          <w:sz w:val="21"/>
          <w:szCs w:val="21"/>
          <w:highlight w:val="none"/>
          <w:u w:val="single"/>
          <w:lang w:val="en-US" w:eastAsia="zh-CN"/>
        </w:rPr>
        <w:t>单个项目采用总价合同。</w:t>
      </w:r>
    </w:p>
    <w:p w14:paraId="409B4412">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11.评标办法</w:t>
      </w:r>
    </w:p>
    <w:p w14:paraId="4AE6D660">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11.1本工程评标办法：</w:t>
      </w:r>
      <w:r>
        <w:rPr>
          <w:rFonts w:hint="eastAsia" w:ascii="宋体" w:hAnsi="宋体" w:eastAsia="宋体" w:cs="宋体"/>
          <w:color w:val="auto"/>
          <w:sz w:val="21"/>
          <w:szCs w:val="21"/>
          <w:highlight w:val="none"/>
          <w:u w:val="single"/>
          <w:lang w:val="en-US" w:eastAsia="zh-CN"/>
        </w:rPr>
        <w:t>综合评分法</w:t>
      </w:r>
      <w:r>
        <w:rPr>
          <w:rFonts w:hint="eastAsia" w:ascii="宋体" w:hAnsi="宋体" w:eastAsia="宋体" w:cs="宋体"/>
          <w:color w:val="auto"/>
          <w:sz w:val="21"/>
          <w:szCs w:val="21"/>
          <w:highlight w:val="none"/>
        </w:rPr>
        <w:t>。</w:t>
      </w:r>
    </w:p>
    <w:p w14:paraId="002312F6">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ind w:firstLine="562" w:firstLineChars="200"/>
        <w:jc w:val="center"/>
        <w:textAlignment w:val="auto"/>
        <w:outlineLvl w:val="1"/>
        <w:rPr>
          <w:rFonts w:hint="eastAsia" w:ascii="宋体" w:hAnsi="宋体" w:eastAsia="宋体" w:cs="宋体"/>
          <w:b/>
          <w:bCs/>
          <w:color w:val="auto"/>
          <w:sz w:val="28"/>
          <w:szCs w:val="28"/>
          <w:highlight w:val="none"/>
        </w:rPr>
      </w:pPr>
      <w:bookmarkStart w:id="30" w:name="_Toc29988"/>
      <w:r>
        <w:rPr>
          <w:rFonts w:hint="eastAsia" w:ascii="宋体" w:hAnsi="宋体" w:eastAsia="宋体" w:cs="宋体"/>
          <w:b/>
          <w:bCs/>
          <w:color w:val="auto"/>
          <w:sz w:val="28"/>
          <w:szCs w:val="28"/>
          <w:highlight w:val="none"/>
        </w:rPr>
        <w:t>二、招标文件</w:t>
      </w:r>
      <w:bookmarkEnd w:id="30"/>
    </w:p>
    <w:p w14:paraId="69C11623">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12. 招标文件的编制依据</w:t>
      </w:r>
    </w:p>
    <w:p w14:paraId="74AC0E14">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12.1根据相关法律法规和规章及部、省、市级规范性文件的规定，编制本招标文件。</w:t>
      </w:r>
    </w:p>
    <w:p w14:paraId="3BACCA49">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13.招标文件的组成</w:t>
      </w:r>
    </w:p>
    <w:p w14:paraId="47759D9F">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  招标文件包括内容：</w:t>
      </w:r>
    </w:p>
    <w:p w14:paraId="44FF12E8">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第一章  </w:t>
      </w:r>
      <w:r>
        <w:rPr>
          <w:rFonts w:hint="eastAsia" w:ascii="宋体" w:hAnsi="宋体" w:eastAsia="宋体" w:cs="宋体"/>
          <w:color w:val="auto"/>
          <w:sz w:val="21"/>
          <w:szCs w:val="21"/>
          <w:highlight w:val="none"/>
          <w:lang w:val="en-US" w:eastAsia="zh-CN"/>
        </w:rPr>
        <w:t>招标公告</w:t>
      </w:r>
    </w:p>
    <w:p w14:paraId="5B143C96">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第二章  投标须知</w:t>
      </w:r>
    </w:p>
    <w:p w14:paraId="2AB14E89">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第三章  评标办法</w:t>
      </w:r>
    </w:p>
    <w:p w14:paraId="3B745EB5">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rPr>
        <w:t xml:space="preserve">章  </w:t>
      </w:r>
      <w:r>
        <w:rPr>
          <w:rFonts w:hint="eastAsia" w:ascii="宋体" w:hAnsi="宋体" w:eastAsia="宋体" w:cs="宋体"/>
          <w:color w:val="auto"/>
          <w:sz w:val="21"/>
          <w:szCs w:val="21"/>
          <w:highlight w:val="none"/>
          <w:lang w:val="en-US" w:eastAsia="zh-CN"/>
        </w:rPr>
        <w:t>采购需求</w:t>
      </w:r>
    </w:p>
    <w:p w14:paraId="59E8E49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第五章  合同条款  </w:t>
      </w:r>
    </w:p>
    <w:p w14:paraId="63C98DC3">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六</w:t>
      </w:r>
      <w:r>
        <w:rPr>
          <w:rFonts w:hint="eastAsia" w:ascii="宋体" w:hAnsi="宋体" w:eastAsia="宋体" w:cs="宋体"/>
          <w:color w:val="auto"/>
          <w:sz w:val="21"/>
          <w:szCs w:val="21"/>
          <w:highlight w:val="none"/>
        </w:rPr>
        <w:t>章  投标文件格式</w:t>
      </w:r>
    </w:p>
    <w:p w14:paraId="43DA548D">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13.2除13.1内容外，招标答疑亦为招标文件的组成部分，对招标人和投标人起约束作用。</w:t>
      </w:r>
    </w:p>
    <w:p w14:paraId="7F0264F9">
      <w:pPr>
        <w:keepNext w:val="0"/>
        <w:keepLines w:val="0"/>
        <w:pageBreakBefore w:val="0"/>
        <w:widowControl w:val="0"/>
        <w:kinsoku/>
        <w:wordWrap/>
        <w:overflowPunct/>
        <w:topLinePunct w:val="0"/>
        <w:autoSpaceDE/>
        <w:autoSpaceDN/>
        <w:bidi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13.3</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应仔细阅读和检查招标文件的全部内容。如发现缺页或附件不全，应及时向</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提出，以便补齐。如有疑问，</w:t>
      </w:r>
      <w:r>
        <w:rPr>
          <w:rFonts w:hint="eastAsia" w:ascii="宋体" w:hAnsi="宋体" w:eastAsia="宋体" w:cs="宋体"/>
          <w:color w:val="auto"/>
          <w:sz w:val="21"/>
          <w:szCs w:val="21"/>
          <w:highlight w:val="none"/>
          <w:lang w:val="en-US" w:eastAsia="zh-CN"/>
        </w:rPr>
        <w:t>通过登录新点电子交易平台【滁州专区】线上提出</w:t>
      </w:r>
      <w:r>
        <w:rPr>
          <w:rFonts w:hint="eastAsia" w:ascii="宋体" w:hAnsi="宋体" w:eastAsia="宋体" w:cs="宋体"/>
          <w:color w:val="auto"/>
          <w:sz w:val="21"/>
          <w:szCs w:val="21"/>
          <w:highlight w:val="none"/>
        </w:rPr>
        <w:t>，要求</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对招标文件予以澄清。</w:t>
      </w:r>
    </w:p>
    <w:p w14:paraId="7437399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13.4</w:t>
      </w:r>
      <w:r>
        <w:rPr>
          <w:rFonts w:hint="eastAsia" w:ascii="宋体" w:hAnsi="宋体" w:eastAsia="宋体" w:cs="宋体"/>
          <w:b w:val="0"/>
          <w:bCs w:val="0"/>
          <w:color w:val="auto"/>
          <w:sz w:val="21"/>
          <w:szCs w:val="21"/>
          <w:highlight w:val="none"/>
        </w:rPr>
        <w:t>招标</w:t>
      </w:r>
      <w:r>
        <w:rPr>
          <w:rFonts w:hint="eastAsia" w:ascii="宋体" w:hAnsi="宋体" w:eastAsia="宋体" w:cs="宋体"/>
          <w:color w:val="auto"/>
          <w:sz w:val="21"/>
          <w:szCs w:val="21"/>
          <w:highlight w:val="none"/>
        </w:rPr>
        <w:t>文件的澄清将在中新苏滁高新技术产业开发区（https://scp.chuzhou.gov.cn/index.html）、滁州市城投工程咨询管理有限公司网站（https://www.czctgczx.com/）予以发布，但不指明澄清问题的来源。如果澄清内容影响投标文件编制的，将相应延长投标截止时间。</w:t>
      </w:r>
    </w:p>
    <w:p w14:paraId="5B16AE0E">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14.招标文件的澄清、修改、补充、解释</w:t>
      </w:r>
    </w:p>
    <w:p w14:paraId="1745F638">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14.1</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发出后，</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在规定的投标截止时间前可对</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进行必要的修改和补充，并以澄清公告形式在</w:t>
      </w:r>
      <w:r>
        <w:rPr>
          <w:rFonts w:hint="eastAsia" w:ascii="宋体" w:hAnsi="宋体" w:eastAsia="宋体" w:cs="宋体"/>
          <w:color w:val="auto"/>
          <w:sz w:val="21"/>
          <w:szCs w:val="21"/>
          <w:highlight w:val="none"/>
          <w:lang w:val="en-US" w:eastAsia="zh-CN"/>
        </w:rPr>
        <w:t>中新苏滁高新技术产业开发区（https://scp.chuzhou.gov.cn/index.html）、滁州市城投工程咨询管理有限公司网站（https://www.czctgczx.com/）</w:t>
      </w:r>
      <w:r>
        <w:rPr>
          <w:rFonts w:hint="eastAsia" w:ascii="宋体" w:hAnsi="宋体" w:eastAsia="宋体" w:cs="宋体"/>
          <w:color w:val="auto"/>
          <w:sz w:val="21"/>
          <w:szCs w:val="21"/>
          <w:highlight w:val="none"/>
        </w:rPr>
        <w:t>予以公告</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请各位</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注意查看有关澄清内容，如不及时查看造成后果由</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自负。</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的修改、补充等内容作为</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的组成部分，具有约束作用。</w:t>
      </w:r>
    </w:p>
    <w:p w14:paraId="22F796FC">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14.2本招标文件由招标人委托的招标代理机构负责解释。</w:t>
      </w:r>
    </w:p>
    <w:p w14:paraId="6416BB9C">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15.踏勘现场及投标预备会</w:t>
      </w:r>
    </w:p>
    <w:p w14:paraId="3CD5E8A7">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15.1踏勘现场</w:t>
      </w:r>
    </w:p>
    <w:p w14:paraId="1821AEDA">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15.1.1</w:t>
      </w:r>
      <w:r>
        <w:rPr>
          <w:rFonts w:hint="eastAsia" w:ascii="宋体" w:hAnsi="宋体" w:eastAsia="宋体" w:cs="宋体"/>
          <w:color w:val="auto"/>
          <w:kern w:val="0"/>
          <w:sz w:val="21"/>
          <w:szCs w:val="21"/>
          <w:highlight w:val="none"/>
        </w:rPr>
        <w:t>不再集中召开招标答疑会；投标人自行组织勘察现场。</w:t>
      </w:r>
    </w:p>
    <w:p w14:paraId="43692077">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15.2投标预备会</w:t>
      </w:r>
    </w:p>
    <w:p w14:paraId="0D5E5C65">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color w:val="auto"/>
          <w:sz w:val="21"/>
          <w:szCs w:val="21"/>
          <w:highlight w:val="none"/>
        </w:rPr>
        <w:t>15.2.1</w:t>
      </w:r>
      <w:r>
        <w:rPr>
          <w:rFonts w:hint="eastAsia" w:ascii="宋体" w:hAnsi="宋体" w:eastAsia="宋体" w:cs="宋体"/>
          <w:color w:val="auto"/>
          <w:sz w:val="21"/>
          <w:szCs w:val="21"/>
          <w:highlight w:val="none"/>
          <w:lang w:val="en-US" w:eastAsia="zh-CN"/>
        </w:rPr>
        <w:t>不组织投标预备会。</w:t>
      </w:r>
    </w:p>
    <w:p w14:paraId="28465285">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16.招标文件的发出</w:t>
      </w:r>
    </w:p>
    <w:p w14:paraId="5D844F2C">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16.1招标文件、招标文件的澄清、修改、补充及招标答疑等均应报招标人备案后，方可发出。</w:t>
      </w:r>
    </w:p>
    <w:p w14:paraId="6E5D6872">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17.</w:t>
      </w:r>
      <w:r>
        <w:rPr>
          <w:rFonts w:hint="eastAsia" w:ascii="宋体" w:hAnsi="宋体" w:eastAsia="宋体" w:cs="宋体"/>
          <w:b/>
          <w:bCs/>
          <w:color w:val="auto"/>
          <w:sz w:val="21"/>
          <w:szCs w:val="21"/>
          <w:highlight w:val="none"/>
          <w:lang w:val="en-US" w:eastAsia="zh-CN"/>
        </w:rPr>
        <w:t>最高限价</w:t>
      </w:r>
    </w:p>
    <w:p w14:paraId="27385F04">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rPr>
          <w:rFonts w:hint="eastAsia" w:ascii="宋体" w:hAnsi="宋体" w:eastAsia="宋体" w:cs="宋体"/>
          <w:b/>
          <w:bCs/>
          <w:color w:val="auto"/>
          <w:sz w:val="21"/>
          <w:szCs w:val="21"/>
          <w:highlight w:val="none"/>
          <w:lang w:val="en-US" w:eastAsia="zh-CN"/>
        </w:rPr>
      </w:pPr>
      <w:bookmarkStart w:id="31" w:name="_Toc24852"/>
      <w:r>
        <w:rPr>
          <w:rFonts w:hint="eastAsia" w:ascii="宋体" w:hAnsi="宋体" w:eastAsia="宋体" w:cs="宋体"/>
          <w:b/>
          <w:bCs/>
          <w:color w:val="auto"/>
          <w:sz w:val="21"/>
          <w:szCs w:val="21"/>
          <w:highlight w:val="none"/>
          <w:lang w:val="en-US" w:eastAsia="zh-CN"/>
        </w:rPr>
        <w:t>17.1本项目最高限价为肆万元整（40000.00元），高于最高投标限价的按无效标处理。</w:t>
      </w:r>
    </w:p>
    <w:p w14:paraId="131AFEF1">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ind w:firstLine="562" w:firstLineChars="200"/>
        <w:jc w:val="center"/>
        <w:textAlignment w:val="auto"/>
        <w:outlineLvl w:val="1"/>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三、投标文件的编制</w:t>
      </w:r>
      <w:bookmarkEnd w:id="31"/>
    </w:p>
    <w:p w14:paraId="69FBC88F">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18</w:t>
      </w:r>
      <w:r>
        <w:rPr>
          <w:rFonts w:hint="eastAsia" w:ascii="宋体" w:hAnsi="宋体" w:eastAsia="宋体" w:cs="宋体"/>
          <w:b/>
          <w:bCs/>
          <w:color w:val="auto"/>
          <w:sz w:val="21"/>
          <w:szCs w:val="21"/>
          <w:highlight w:val="none"/>
        </w:rPr>
        <w:t>.投标文件的组成</w:t>
      </w:r>
    </w:p>
    <w:p w14:paraId="5F3FF92B">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18.1详见第六章投标文件格式。</w:t>
      </w:r>
    </w:p>
    <w:p w14:paraId="6081B704">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18.2投标文件的编制</w:t>
      </w:r>
    </w:p>
    <w:p w14:paraId="4D6349DB">
      <w:pPr>
        <w:keepNext w:val="0"/>
        <w:keepLines w:val="0"/>
        <w:pageBreakBefore w:val="0"/>
        <w:widowControl w:val="0"/>
        <w:kinsoku/>
        <w:wordWrap/>
        <w:overflowPunct/>
        <w:topLinePunct w:val="0"/>
        <w:autoSpaceDE/>
        <w:autoSpaceDN/>
        <w:bidi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投标文件应按第</w:t>
      </w:r>
      <w:r>
        <w:rPr>
          <w:rFonts w:hint="eastAsia" w:ascii="宋体" w:hAnsi="宋体" w:eastAsia="宋体" w:cs="宋体"/>
          <w:color w:val="auto"/>
          <w:sz w:val="21"/>
          <w:szCs w:val="21"/>
          <w:highlight w:val="none"/>
          <w:lang w:val="en-US" w:eastAsia="zh-CN"/>
        </w:rPr>
        <w:t>六</w:t>
      </w:r>
      <w:r>
        <w:rPr>
          <w:rFonts w:hint="eastAsia" w:ascii="宋体" w:hAnsi="宋体" w:eastAsia="宋体" w:cs="宋体"/>
          <w:color w:val="auto"/>
          <w:sz w:val="21"/>
          <w:szCs w:val="21"/>
          <w:highlight w:val="none"/>
        </w:rPr>
        <w:t>章“投标文件格式”进行编写，如有必要，可以增加附页，作为投标文件的组成部分。其中，投标函在满足招标文件实质性要求的基础上，可以提出比招标文件要求更有利于招标人的承诺。</w:t>
      </w:r>
    </w:p>
    <w:p w14:paraId="442674CD">
      <w:pPr>
        <w:keepNext w:val="0"/>
        <w:keepLines w:val="0"/>
        <w:pageBreakBefore w:val="0"/>
        <w:widowControl w:val="0"/>
        <w:kinsoku/>
        <w:wordWrap/>
        <w:overflowPunct/>
        <w:topLinePunct w:val="0"/>
        <w:autoSpaceDE/>
        <w:autoSpaceDN/>
        <w:bidi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本次投标不需要提供纸质投标文件，投标人应按照电子招标投标的要求，在投标人的电子系统中制作、签章、上传加密的电子投标文件。</w:t>
      </w:r>
    </w:p>
    <w:p w14:paraId="14AD4D63">
      <w:pPr>
        <w:keepNext w:val="0"/>
        <w:keepLines w:val="0"/>
        <w:pageBreakBefore w:val="0"/>
        <w:widowControl w:val="0"/>
        <w:kinsoku/>
        <w:wordWrap/>
        <w:overflowPunct/>
        <w:topLinePunct w:val="0"/>
        <w:autoSpaceDE/>
        <w:autoSpaceDN/>
        <w:bidi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投标文件应当对招标文件有关</w:t>
      </w:r>
      <w:r>
        <w:rPr>
          <w:rFonts w:hint="eastAsia" w:ascii="宋体" w:hAnsi="宋体" w:eastAsia="宋体" w:cs="宋体"/>
          <w:color w:val="auto"/>
          <w:sz w:val="21"/>
          <w:szCs w:val="21"/>
          <w:highlight w:val="none"/>
          <w:lang w:val="en-US" w:eastAsia="zh-CN"/>
        </w:rPr>
        <w:t>服务期</w:t>
      </w:r>
      <w:r>
        <w:rPr>
          <w:rFonts w:hint="eastAsia" w:ascii="宋体" w:hAnsi="宋体" w:eastAsia="宋体" w:cs="宋体"/>
          <w:color w:val="auto"/>
          <w:sz w:val="21"/>
          <w:szCs w:val="21"/>
          <w:highlight w:val="none"/>
        </w:rPr>
        <w:t>、投标有效期、质量要求、技术标准和要求、招标范围等实质性内容作出响应。</w:t>
      </w:r>
    </w:p>
    <w:p w14:paraId="5D489C39">
      <w:pPr>
        <w:keepNext w:val="0"/>
        <w:keepLines w:val="0"/>
        <w:pageBreakBefore w:val="0"/>
        <w:widowControl w:val="0"/>
        <w:kinsoku/>
        <w:wordWrap/>
        <w:overflowPunct/>
        <w:topLinePunct w:val="0"/>
        <w:autoSpaceDE/>
        <w:autoSpaceDN/>
        <w:bidi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投标人须知前附表规定接受联合体投标的，资格审查资料应包括联合体各方相关情况。</w:t>
      </w:r>
    </w:p>
    <w:p w14:paraId="17BEB06A">
      <w:pPr>
        <w:keepNext w:val="0"/>
        <w:keepLines w:val="0"/>
        <w:pageBreakBefore w:val="0"/>
        <w:widowControl w:val="0"/>
        <w:kinsoku/>
        <w:wordWrap/>
        <w:overflowPunct/>
        <w:topLinePunct w:val="0"/>
        <w:autoSpaceDE/>
        <w:autoSpaceDN/>
        <w:bidi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招标人有权核查投标人在投标文件中提供的资料，若发现投标人以他人名义投标或者以其他方式弄虚作假骗取中标的，中标无效；如果签订合同后发现中标人提供了虚假材料，招标人有权解除合同。</w:t>
      </w:r>
    </w:p>
    <w:p w14:paraId="7DE4084A">
      <w:pPr>
        <w:keepNext w:val="0"/>
        <w:keepLines w:val="0"/>
        <w:pageBreakBefore w:val="0"/>
        <w:widowControl w:val="0"/>
        <w:kinsoku/>
        <w:wordWrap/>
        <w:overflowPunct/>
        <w:topLinePunct w:val="0"/>
        <w:autoSpaceDE/>
        <w:autoSpaceDN/>
        <w:bidi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投标文件的制作应满足以下规定：</w:t>
      </w:r>
    </w:p>
    <w:p w14:paraId="28B05F8B">
      <w:pPr>
        <w:keepNext w:val="0"/>
        <w:keepLines w:val="0"/>
        <w:pageBreakBefore w:val="0"/>
        <w:widowControl w:val="0"/>
        <w:kinsoku/>
        <w:wordWrap/>
        <w:overflowPunct/>
        <w:topLinePunct w:val="0"/>
        <w:autoSpaceDE/>
        <w:autoSpaceDN/>
        <w:bidi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a</w:t>
      </w:r>
      <w:r>
        <w:rPr>
          <w:rFonts w:hint="eastAsia" w:ascii="宋体" w:hAnsi="宋体" w:eastAsia="宋体" w:cs="宋体"/>
          <w:color w:val="auto"/>
          <w:sz w:val="21"/>
          <w:szCs w:val="21"/>
          <w:highlight w:val="none"/>
        </w:rPr>
        <w:t>.投标文件由投标人使用电子交易系统提供的“</w:t>
      </w:r>
      <w:r>
        <w:rPr>
          <w:rFonts w:hint="eastAsia" w:ascii="宋体" w:hAnsi="宋体" w:eastAsia="宋体" w:cs="宋体"/>
          <w:color w:val="auto"/>
          <w:sz w:val="21"/>
          <w:szCs w:val="21"/>
          <w:highlight w:val="none"/>
          <w:lang w:eastAsia="zh-CN"/>
        </w:rPr>
        <w:t>投标文件制作软件</w:t>
      </w:r>
      <w:r>
        <w:rPr>
          <w:rFonts w:hint="eastAsia" w:ascii="宋体" w:hAnsi="宋体" w:eastAsia="宋体" w:cs="宋体"/>
          <w:color w:val="auto"/>
          <w:sz w:val="21"/>
          <w:szCs w:val="21"/>
          <w:highlight w:val="none"/>
        </w:rPr>
        <w:t>”制作生成。“</w:t>
      </w:r>
      <w:r>
        <w:rPr>
          <w:rFonts w:hint="eastAsia" w:ascii="宋体" w:hAnsi="宋体" w:eastAsia="宋体" w:cs="宋体"/>
          <w:color w:val="auto"/>
          <w:sz w:val="21"/>
          <w:szCs w:val="21"/>
          <w:highlight w:val="none"/>
          <w:lang w:eastAsia="zh-CN"/>
        </w:rPr>
        <w:t>投标文件制作软件</w:t>
      </w:r>
      <w:r>
        <w:rPr>
          <w:rFonts w:hint="eastAsia" w:ascii="宋体" w:hAnsi="宋体" w:eastAsia="宋体" w:cs="宋体"/>
          <w:color w:val="auto"/>
          <w:sz w:val="21"/>
          <w:szCs w:val="21"/>
          <w:highlight w:val="none"/>
        </w:rPr>
        <w:t>”可以通过电子交易系统下载。</w:t>
      </w:r>
    </w:p>
    <w:p w14:paraId="5769BC26">
      <w:pPr>
        <w:keepNext w:val="0"/>
        <w:keepLines w:val="0"/>
        <w:pageBreakBefore w:val="0"/>
        <w:widowControl w:val="0"/>
        <w:kinsoku/>
        <w:wordWrap/>
        <w:overflowPunct/>
        <w:topLinePunct w:val="0"/>
        <w:autoSpaceDE/>
        <w:autoSpaceDN/>
        <w:bidi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b.</w:t>
      </w:r>
      <w:r>
        <w:rPr>
          <w:rFonts w:hint="eastAsia" w:ascii="宋体" w:hAnsi="宋体" w:eastAsia="宋体" w:cs="宋体"/>
          <w:color w:val="auto"/>
          <w:sz w:val="21"/>
          <w:szCs w:val="21"/>
          <w:highlight w:val="none"/>
        </w:rPr>
        <w:t>招标文件中“签章”是指签字或盖章。在第</w:t>
      </w:r>
      <w:r>
        <w:rPr>
          <w:rFonts w:hint="eastAsia" w:ascii="宋体" w:hAnsi="宋体" w:eastAsia="宋体" w:cs="宋体"/>
          <w:color w:val="auto"/>
          <w:sz w:val="21"/>
          <w:szCs w:val="21"/>
          <w:highlight w:val="none"/>
          <w:lang w:val="en-US" w:eastAsia="zh-CN"/>
        </w:rPr>
        <w:t>六</w:t>
      </w:r>
      <w:r>
        <w:rPr>
          <w:rFonts w:hint="eastAsia" w:ascii="宋体" w:hAnsi="宋体" w:eastAsia="宋体" w:cs="宋体"/>
          <w:color w:val="auto"/>
          <w:sz w:val="21"/>
          <w:szCs w:val="21"/>
          <w:highlight w:val="none"/>
        </w:rPr>
        <w:t>章“投标文件格式”中要求签章处，投标人应加盖投标人单位电子印章和法定代表人的个人电子印章/电子签名章或直接上传加盖投标人单位印章和法定代表人的印章（或签字）的原件彩色扫描件。联合体投标的，除联合体协议书外， 投标文件由联合体牵头人按上述规定加盖联合体牵头人单位电子印章和法定代表人的个人电子印章/电子签名章或直接上传加盖联合体牵头人单位印章和法定代表人的印章（或签字）的原件彩色扫描件。</w:t>
      </w:r>
    </w:p>
    <w:p w14:paraId="6390A255">
      <w:pPr>
        <w:keepNext w:val="0"/>
        <w:keepLines w:val="0"/>
        <w:pageBreakBefore w:val="0"/>
        <w:widowControl w:val="0"/>
        <w:kinsoku/>
        <w:wordWrap/>
        <w:overflowPunct/>
        <w:topLinePunct w:val="0"/>
        <w:autoSpaceDE/>
        <w:autoSpaceDN/>
        <w:bidi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c</w:t>
      </w:r>
      <w:r>
        <w:rPr>
          <w:rFonts w:hint="eastAsia" w:ascii="宋体" w:hAnsi="宋体" w:eastAsia="宋体" w:cs="宋体"/>
          <w:color w:val="auto"/>
          <w:sz w:val="21"/>
          <w:szCs w:val="21"/>
          <w:highlight w:val="none"/>
        </w:rPr>
        <w:t>.投标文件制作完成后，投标人应对投标文件进行文件加密，形成加密的投标文件。采用CA数字证书加密的，加密时投标文件的所有内容均只能使用同一把CA数字证书进行加密，否则引起的解密失败责任由投标人自行承担。</w:t>
      </w:r>
    </w:p>
    <w:p w14:paraId="5DCD0F30">
      <w:pPr>
        <w:keepNext w:val="0"/>
        <w:keepLines w:val="0"/>
        <w:pageBreakBefore w:val="0"/>
        <w:widowControl w:val="0"/>
        <w:kinsoku/>
        <w:wordWrap/>
        <w:overflowPunct/>
        <w:topLinePunct w:val="0"/>
        <w:autoSpaceDE/>
        <w:autoSpaceDN/>
        <w:bidi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因投标人自身原因而导致投标文件无法导入电子交易系统电子开标、评标系统，该投标视为无效投标，投标人自行承担由此导致的全部责任。</w:t>
      </w:r>
    </w:p>
    <w:p w14:paraId="34F3D6A5">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outlineLvl w:val="2"/>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投标人中标后须递交与网上电子投标文件完全一致的纸质版投标文件，在领取中标通知书时，一并递交给招标代理机构。</w:t>
      </w:r>
    </w:p>
    <w:p w14:paraId="27CF0E0F">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19.</w:t>
      </w:r>
      <w:r>
        <w:rPr>
          <w:rFonts w:hint="eastAsia" w:ascii="宋体" w:hAnsi="宋体" w:eastAsia="宋体" w:cs="宋体"/>
          <w:b/>
          <w:bCs/>
          <w:color w:val="auto"/>
          <w:sz w:val="21"/>
          <w:szCs w:val="21"/>
          <w:highlight w:val="none"/>
        </w:rPr>
        <w:t>投标报价</w:t>
      </w:r>
    </w:p>
    <w:p w14:paraId="6E21134E">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19</w:t>
      </w:r>
      <w:r>
        <w:rPr>
          <w:rFonts w:hint="eastAsia" w:ascii="宋体" w:hAnsi="宋体" w:eastAsia="宋体" w:cs="宋体"/>
          <w:color w:val="auto"/>
          <w:sz w:val="21"/>
          <w:szCs w:val="21"/>
          <w:highlight w:val="none"/>
        </w:rPr>
        <w:t>.1投标报价文件中的单价和总价全部采用人民币表示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投标人的投标报价包括按合同规定的范围所提供的全部服务所需的费用，</w:t>
      </w:r>
      <w:r>
        <w:rPr>
          <w:rFonts w:hint="eastAsia" w:ascii="宋体" w:hAnsi="宋体" w:eastAsia="宋体" w:cs="宋体"/>
          <w:color w:val="auto"/>
          <w:sz w:val="21"/>
          <w:szCs w:val="21"/>
          <w:highlight w:val="none"/>
          <w:lang w:val="en-US" w:eastAsia="zh-CN"/>
        </w:rPr>
        <w:t>包含不限于项目</w:t>
      </w:r>
      <w:r>
        <w:rPr>
          <w:rFonts w:hint="eastAsia" w:ascii="宋体" w:hAnsi="宋体" w:eastAsia="宋体" w:cs="宋体"/>
          <w:color w:val="auto"/>
          <w:sz w:val="21"/>
          <w:szCs w:val="21"/>
          <w:highlight w:val="none"/>
          <w:lang w:val="en-US" w:eastAsia="zh-CN"/>
        </w:rPr>
        <w:t>现场勘察、报告书编制、评审、会议组织、管理费、利润、国家对中标单位征收的各种税费等为完成水土保持方案编制服务并取得批复所需一切费用</w:t>
      </w:r>
      <w:r>
        <w:rPr>
          <w:rFonts w:hint="eastAsia" w:ascii="宋体" w:hAnsi="宋体" w:eastAsia="宋体" w:cs="宋体"/>
          <w:color w:val="auto"/>
          <w:sz w:val="21"/>
          <w:szCs w:val="21"/>
          <w:highlight w:val="none"/>
        </w:rPr>
        <w:t>，招标人不再为此次招标项目的完成支付任何费用。</w:t>
      </w:r>
    </w:p>
    <w:p w14:paraId="5160405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19.2投标人只允许有一个方案、一个报价。</w:t>
      </w:r>
    </w:p>
    <w:p w14:paraId="26CF0DBA">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19.3投标报价应由法定代表人或被授权人签署。</w:t>
      </w:r>
    </w:p>
    <w:p w14:paraId="7EA040A8">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19.4投标报价高于最高限价的，其投标文件按无效标处理。</w:t>
      </w:r>
    </w:p>
    <w:p w14:paraId="0F14D5B6">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20</w:t>
      </w:r>
      <w:r>
        <w:rPr>
          <w:rFonts w:hint="eastAsia" w:ascii="宋体" w:hAnsi="宋体" w:eastAsia="宋体" w:cs="宋体"/>
          <w:b/>
          <w:bCs/>
          <w:color w:val="auto"/>
          <w:sz w:val="21"/>
          <w:szCs w:val="21"/>
          <w:highlight w:val="none"/>
        </w:rPr>
        <w:t>.投标有效期</w:t>
      </w:r>
    </w:p>
    <w:p w14:paraId="4506092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.1投标有效期为</w:t>
      </w:r>
      <w:r>
        <w:rPr>
          <w:rFonts w:hint="eastAsia" w:ascii="宋体" w:hAnsi="宋体" w:eastAsia="宋体" w:cs="宋体"/>
          <w:color w:val="auto"/>
          <w:sz w:val="21"/>
          <w:szCs w:val="21"/>
          <w:highlight w:val="none"/>
          <w:u w:val="single"/>
        </w:rPr>
        <w:t>60</w:t>
      </w:r>
      <w:r>
        <w:rPr>
          <w:rFonts w:hint="eastAsia" w:ascii="宋体" w:hAnsi="宋体" w:eastAsia="宋体" w:cs="宋体"/>
          <w:color w:val="auto"/>
          <w:sz w:val="21"/>
          <w:szCs w:val="21"/>
          <w:highlight w:val="none"/>
        </w:rPr>
        <w:t>日历天（从投标截止之日算起）。在此期限内，凡符合本招标文件要求的投标文件均保持有效。</w:t>
      </w:r>
    </w:p>
    <w:p w14:paraId="754B246D">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.2在特殊情况下，招标人在原定投标有效期内，可以根据需要以书面形式向投标人提出延长投标有效期的要求，对此要求投标人须以书面形式予以答复。投标人可以拒绝招标人这种要求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同意延长投标有效期的投标人既不能要求也不允许修改其投标文件，但需要相应的延长投标担保的有效期。</w:t>
      </w:r>
    </w:p>
    <w:p w14:paraId="52F6C570">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.投标保证金</w:t>
      </w:r>
    </w:p>
    <w:p w14:paraId="43EDF0F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本项目无投标保证金。</w:t>
      </w:r>
    </w:p>
    <w:p w14:paraId="48FE03A2">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ind w:firstLine="562" w:firstLineChars="200"/>
        <w:jc w:val="center"/>
        <w:textAlignment w:val="auto"/>
        <w:outlineLvl w:val="1"/>
        <w:rPr>
          <w:rFonts w:hint="eastAsia" w:ascii="宋体" w:hAnsi="宋体" w:eastAsia="宋体" w:cs="宋体"/>
          <w:b/>
          <w:bCs/>
          <w:color w:val="auto"/>
          <w:sz w:val="28"/>
          <w:szCs w:val="28"/>
          <w:highlight w:val="none"/>
        </w:rPr>
      </w:pPr>
      <w:bookmarkStart w:id="32" w:name="_Toc27519"/>
      <w:r>
        <w:rPr>
          <w:rFonts w:hint="eastAsia" w:ascii="宋体" w:hAnsi="宋体" w:eastAsia="宋体" w:cs="宋体"/>
          <w:b/>
          <w:bCs/>
          <w:color w:val="auto"/>
          <w:sz w:val="28"/>
          <w:szCs w:val="28"/>
          <w:highlight w:val="none"/>
        </w:rPr>
        <w:t>四、投标文件的递交</w:t>
      </w:r>
      <w:bookmarkEnd w:id="32"/>
    </w:p>
    <w:p w14:paraId="1DCD9B3E">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.投标文件的份数和签署</w:t>
      </w:r>
    </w:p>
    <w:p w14:paraId="47F6FCD7">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2</w:t>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1加密电子投标文件应在投标截止时间前通过登录新点电子交易平台【滁州专区】上传投标文件。</w:t>
      </w:r>
    </w:p>
    <w:p w14:paraId="19EBCB9C">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（投标人中标后须递交与网上电子投标文件完全一致的纸质版投标文件，并按要求加盖单位公章；份数：正本1份，副本1份；中标人领取中标通知书时，一并递交给代理机构）。</w:t>
      </w:r>
    </w:p>
    <w:p w14:paraId="42D8E558">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.招标文件的提交</w:t>
      </w:r>
    </w:p>
    <w:p w14:paraId="1EA22789">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w:t>
      </w: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.1投标人应当在第一章“招标公告”规定的投标截止时间前，将加密投标文件上传至电子交易系统。</w:t>
      </w:r>
    </w:p>
    <w:p w14:paraId="319A6CE6">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23.2</w:t>
      </w:r>
      <w:r>
        <w:rPr>
          <w:rFonts w:hint="eastAsia" w:ascii="宋体" w:hAnsi="宋体" w:eastAsia="宋体" w:cs="宋体"/>
          <w:b w:val="0"/>
          <w:bCs w:val="0"/>
          <w:color w:val="auto"/>
          <w:sz w:val="21"/>
          <w:szCs w:val="21"/>
          <w:highlight w:val="none"/>
        </w:rPr>
        <w:t>除投标人须知前附表另有规定外，投标人所递交的投标文件不予退还。</w:t>
      </w:r>
    </w:p>
    <w:p w14:paraId="6C393580">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23.3</w:t>
      </w:r>
      <w:r>
        <w:rPr>
          <w:rFonts w:hint="eastAsia" w:ascii="宋体" w:hAnsi="宋体" w:eastAsia="宋体" w:cs="宋体"/>
          <w:b w:val="0"/>
          <w:bCs w:val="0"/>
          <w:color w:val="auto"/>
          <w:sz w:val="21"/>
          <w:szCs w:val="21"/>
          <w:highlight w:val="none"/>
        </w:rPr>
        <w:t>投标人应当在投标截止时间前完成投标文件的网上递交，并可以补充、修改或者撤回投标文件。投标截止时间前未完成投标文件网上递交的，视为撤回投标文件。未按规定加密或投标截止时间后通过网上招标投标系统递交电子投标文件的，电子交易系统应当拒收，投标无效。</w:t>
      </w:r>
    </w:p>
    <w:p w14:paraId="07861614">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.投标文件的补充、修改与撤回</w:t>
      </w:r>
    </w:p>
    <w:p w14:paraId="539F679E">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.1投标人在提交投标文件以后，在规定的投标截止时间之前，可以书面形式补充、修改或撤回已提交的投标文件，并以书面形式通知招标人。补充、修改的内容为投标文件的组成部分。</w:t>
      </w:r>
    </w:p>
    <w:p w14:paraId="331C8161">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.2投标人对投标文件的补充、修改，应按本须知第</w:t>
      </w:r>
      <w:r>
        <w:rPr>
          <w:rFonts w:hint="eastAsia" w:ascii="宋体" w:hAnsi="宋体" w:eastAsia="宋体" w:cs="宋体"/>
          <w:color w:val="auto"/>
          <w:sz w:val="21"/>
          <w:szCs w:val="21"/>
          <w:highlight w:val="none"/>
          <w:lang w:val="en-US" w:eastAsia="zh-CN"/>
        </w:rPr>
        <w:t>23.3条</w:t>
      </w:r>
      <w:r>
        <w:rPr>
          <w:rFonts w:hint="eastAsia" w:ascii="宋体" w:hAnsi="宋体" w:eastAsia="宋体" w:cs="宋体"/>
          <w:color w:val="auto"/>
          <w:sz w:val="21"/>
          <w:szCs w:val="21"/>
          <w:highlight w:val="none"/>
        </w:rPr>
        <w:t>规定。</w:t>
      </w:r>
    </w:p>
    <w:p w14:paraId="0901D740">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.3在投标截止时间之后，投标人不得补充、修改投标文件。</w:t>
      </w:r>
    </w:p>
    <w:p w14:paraId="3BB0453F">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ind w:firstLine="562" w:firstLineChars="200"/>
        <w:jc w:val="center"/>
        <w:textAlignment w:val="auto"/>
        <w:outlineLvl w:val="1"/>
        <w:rPr>
          <w:rFonts w:hint="eastAsia" w:ascii="宋体" w:hAnsi="宋体" w:eastAsia="宋体" w:cs="宋体"/>
          <w:b/>
          <w:bCs/>
          <w:color w:val="auto"/>
          <w:sz w:val="28"/>
          <w:szCs w:val="28"/>
          <w:highlight w:val="none"/>
        </w:rPr>
      </w:pPr>
      <w:bookmarkStart w:id="33" w:name="_Toc18173"/>
      <w:r>
        <w:rPr>
          <w:rFonts w:hint="eastAsia" w:ascii="宋体" w:hAnsi="宋体" w:eastAsia="宋体" w:cs="宋体"/>
          <w:b/>
          <w:bCs/>
          <w:color w:val="auto"/>
          <w:sz w:val="28"/>
          <w:szCs w:val="28"/>
          <w:highlight w:val="none"/>
        </w:rPr>
        <w:t>五、开标、评标和定标</w:t>
      </w:r>
      <w:bookmarkEnd w:id="33"/>
    </w:p>
    <w:p w14:paraId="56E3D432">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.开标</w:t>
      </w:r>
    </w:p>
    <w:p w14:paraId="6EED4118">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.1开标的时间和地点</w:t>
      </w:r>
    </w:p>
    <w:p w14:paraId="56E8F436">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招标人在第一章“招标公告”规定的投标截止时间前（开标时间）和地点通过电子交易系统公开开标。</w:t>
      </w:r>
    </w:p>
    <w:p w14:paraId="3036A2A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开标程序</w:t>
      </w:r>
    </w:p>
    <w:p w14:paraId="280C899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主持人按下列程序进行开标：</w:t>
      </w:r>
    </w:p>
    <w:p w14:paraId="372DAFC7">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（1）公布在投标截止时间前通过电子交易系统完成投标文件递交的投标人名称；</w:t>
      </w:r>
    </w:p>
    <w:p w14:paraId="6DFF6A45">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（2）投标人在投标截止时间后在投标人须知前附表规定的解密时间内完成投标文件的解密工作；</w:t>
      </w:r>
    </w:p>
    <w:p w14:paraId="08B058C5">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（3）招标人或招标代理机构完成解密工作，导入并读取所有成功解密的投标文件；</w:t>
      </w:r>
    </w:p>
    <w:p w14:paraId="13CEBEBF">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（4）按投标人须知前附表规定公布投标人名称、标段名称、投标报价、工期及其他内容；</w:t>
      </w:r>
    </w:p>
    <w:p w14:paraId="1DEF1466">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（5）开标结束。</w:t>
      </w:r>
    </w:p>
    <w:p w14:paraId="3CF180D5">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 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开标异议</w:t>
      </w:r>
    </w:p>
    <w:p w14:paraId="3B51978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投标人对开标有异议的，应当在开标过程中提出，招标人在开标过程中作出答复，并制作记录。异议与答复应通过电子交易系统进行。</w:t>
      </w:r>
    </w:p>
    <w:p w14:paraId="3A72668D">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26.</w:t>
      </w:r>
      <w:r>
        <w:rPr>
          <w:rFonts w:hint="eastAsia" w:ascii="宋体" w:hAnsi="宋体" w:eastAsia="宋体" w:cs="宋体"/>
          <w:b/>
          <w:bCs/>
          <w:color w:val="auto"/>
          <w:sz w:val="21"/>
          <w:szCs w:val="21"/>
          <w:highlight w:val="none"/>
        </w:rPr>
        <w:t>评标委员会</w:t>
      </w:r>
    </w:p>
    <w:p w14:paraId="72582DBF">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26</w:t>
      </w:r>
      <w:r>
        <w:rPr>
          <w:rFonts w:hint="eastAsia" w:ascii="宋体" w:hAnsi="宋体" w:eastAsia="宋体" w:cs="宋体"/>
          <w:color w:val="auto"/>
          <w:sz w:val="21"/>
          <w:szCs w:val="21"/>
          <w:highlight w:val="none"/>
        </w:rPr>
        <w:t>.1评标由</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依法组建的评标委员会负责。评标委员会由</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或其委托的招标代理机构熟悉相关业务的代表，以及有关技术、经济等方面的专家组成。评标委员会成员人数以及技术、经济等方面专家的确定方式见</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须知前附表。</w:t>
      </w:r>
    </w:p>
    <w:p w14:paraId="72334D38">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26</w:t>
      </w:r>
      <w:r>
        <w:rPr>
          <w:rFonts w:hint="eastAsia" w:ascii="宋体" w:hAnsi="宋体" w:eastAsia="宋体" w:cs="宋体"/>
          <w:color w:val="auto"/>
          <w:sz w:val="21"/>
          <w:szCs w:val="21"/>
          <w:highlight w:val="none"/>
        </w:rPr>
        <w:t>.2 评标委员会成员有下列情形之一的，应当回避：</w:t>
      </w:r>
    </w:p>
    <w:p w14:paraId="0EDD968D">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（1）项目主管部门或行政监督管理部门，项目属地的公共资源交易综合管理部门、交易中心的工作人员； </w:t>
      </w:r>
    </w:p>
    <w:p w14:paraId="21F7F6C2">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（2）与竞争主体主要负责人或者授权参与交易的代理人有近亲属关系的人员； </w:t>
      </w:r>
    </w:p>
    <w:p w14:paraId="23E6C674">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（3）竞争主体的工作人员或者退休人员； </w:t>
      </w:r>
    </w:p>
    <w:p w14:paraId="7CDE3A1C">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（4）竞争主体的上级主管、控股或者被控股单位等相关利害关系的人员，或任职单位与竞争主体单位为同一法定代表人的； </w:t>
      </w:r>
    </w:p>
    <w:p w14:paraId="3F76BC28">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（5）存在其他法定回避情形的。</w:t>
      </w:r>
    </w:p>
    <w:p w14:paraId="4A440051">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项目实施主体及其子公司、下属单位、上级主管部门或者控股公司的工作人员或者退休人员不得以专家身份参与本单位或者代理项目的评标评审。 </w:t>
      </w:r>
    </w:p>
    <w:p w14:paraId="4A01BC59">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评标委员会或评审机构成员有前两款规定情形的，应当主动提出回避；已经进入的应当更换，被更换的成员评标评审意见无效。</w:t>
      </w:r>
    </w:p>
    <w:p w14:paraId="6ABA5FC3">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26</w:t>
      </w:r>
      <w:r>
        <w:rPr>
          <w:rFonts w:hint="eastAsia" w:ascii="宋体" w:hAnsi="宋体" w:eastAsia="宋体" w:cs="宋体"/>
          <w:color w:val="auto"/>
          <w:sz w:val="21"/>
          <w:szCs w:val="21"/>
          <w:highlight w:val="none"/>
        </w:rPr>
        <w:t xml:space="preserve">.3评标过程中，评标委员会成员有回避事由、擅离职守或因健康等原因不能继续评标的， </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有权更换。被更换的评标委员会成员作出的评审结论无效，由更换后的评标委员会成员重新进行评审。</w:t>
      </w:r>
    </w:p>
    <w:p w14:paraId="00E02041">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27</w:t>
      </w:r>
      <w:r>
        <w:rPr>
          <w:rFonts w:hint="eastAsia" w:ascii="宋体" w:hAnsi="宋体" w:eastAsia="宋体" w:cs="宋体"/>
          <w:b/>
          <w:bCs/>
          <w:color w:val="auto"/>
          <w:sz w:val="21"/>
          <w:szCs w:val="21"/>
          <w:highlight w:val="none"/>
        </w:rPr>
        <w:t>.评标</w:t>
      </w:r>
    </w:p>
    <w:p w14:paraId="70BEEED7">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.1评标委员会按照第三章“评标办法”规定的方法、评审因素、标准和程序对</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进行评审。第三章“评标办法”没有规定的方法、评审因素和标准，不作为评标依据。</w:t>
      </w:r>
    </w:p>
    <w:p w14:paraId="26922152">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.2评标完成后，评标委员会应向</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提交书面评标报告和中标候选人名单。评标委员会推荐中标候选人的人数见</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须知前附表。</w:t>
      </w:r>
    </w:p>
    <w:p w14:paraId="260E0B5A">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.3评标原则：遵循公平、公正、科学和择优的原则。</w:t>
      </w:r>
    </w:p>
    <w:p w14:paraId="3865BCA0">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的澄清</w:t>
      </w:r>
    </w:p>
    <w:p w14:paraId="2BE859A2">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.4.1在评标过程中，评标委员会认为需要，可要求</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对</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中的有关问题进行澄清或提供补充说明及有关资料，</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应做出书面答复。</w:t>
      </w:r>
    </w:p>
    <w:p w14:paraId="1AFB7AB9">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.4.2书面答复须经</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法定代表人或其委托代理人签字或盖章，签字或盖章的书面答复将被视为</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的组成部分。</w:t>
      </w:r>
    </w:p>
    <w:p w14:paraId="49E336EA">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.5报价合理性的判断</w:t>
      </w:r>
    </w:p>
    <w:p w14:paraId="7A2C5D0C">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评标委员会认为</w:t>
      </w:r>
      <w:r>
        <w:rPr>
          <w:rFonts w:hint="eastAsia" w:ascii="宋体" w:hAnsi="宋体" w:eastAsia="宋体" w:cs="宋体"/>
          <w:b w:val="0"/>
          <w:bCs w:val="0"/>
          <w:color w:val="auto"/>
          <w:sz w:val="21"/>
          <w:szCs w:val="21"/>
          <w:highlight w:val="none"/>
          <w:lang w:eastAsia="zh-CN"/>
        </w:rPr>
        <w:t>投标人</w:t>
      </w:r>
      <w:r>
        <w:rPr>
          <w:rFonts w:hint="eastAsia" w:ascii="宋体" w:hAnsi="宋体" w:eastAsia="宋体" w:cs="宋体"/>
          <w:b w:val="0"/>
          <w:bCs w:val="0"/>
          <w:color w:val="auto"/>
          <w:sz w:val="21"/>
          <w:szCs w:val="21"/>
          <w:highlight w:val="none"/>
        </w:rPr>
        <w:t>的报价明显低于其他通过符合性审查</w:t>
      </w:r>
      <w:r>
        <w:rPr>
          <w:rFonts w:hint="eastAsia" w:ascii="宋体" w:hAnsi="宋体" w:eastAsia="宋体" w:cs="宋体"/>
          <w:b w:val="0"/>
          <w:bCs w:val="0"/>
          <w:color w:val="auto"/>
          <w:sz w:val="21"/>
          <w:szCs w:val="21"/>
          <w:highlight w:val="none"/>
          <w:lang w:eastAsia="zh-CN"/>
        </w:rPr>
        <w:t>投标人</w:t>
      </w:r>
      <w:r>
        <w:rPr>
          <w:rFonts w:hint="eastAsia" w:ascii="宋体" w:hAnsi="宋体" w:eastAsia="宋体" w:cs="宋体"/>
          <w:b w:val="0"/>
          <w:bCs w:val="0"/>
          <w:color w:val="auto"/>
          <w:sz w:val="21"/>
          <w:szCs w:val="21"/>
          <w:highlight w:val="none"/>
        </w:rPr>
        <w:t>的报价，有可能影响产品质量或者不能诚信履约的，应当要求其在评标现场合理的时间内提供书面说明，必要时提交相关证明材料；</w:t>
      </w:r>
      <w:r>
        <w:rPr>
          <w:rFonts w:hint="eastAsia" w:ascii="宋体" w:hAnsi="宋体" w:eastAsia="宋体" w:cs="宋体"/>
          <w:b w:val="0"/>
          <w:bCs w:val="0"/>
          <w:color w:val="auto"/>
          <w:sz w:val="21"/>
          <w:szCs w:val="21"/>
          <w:highlight w:val="none"/>
          <w:lang w:eastAsia="zh-CN"/>
        </w:rPr>
        <w:t>投标人</w:t>
      </w:r>
      <w:r>
        <w:rPr>
          <w:rFonts w:hint="eastAsia" w:ascii="宋体" w:hAnsi="宋体" w:eastAsia="宋体" w:cs="宋体"/>
          <w:b w:val="0"/>
          <w:bCs w:val="0"/>
          <w:color w:val="auto"/>
          <w:sz w:val="21"/>
          <w:szCs w:val="21"/>
          <w:highlight w:val="none"/>
        </w:rPr>
        <w:t>不能证明其报价合理性的，评标委员会应当将其作为无效投标处理。</w:t>
      </w:r>
    </w:p>
    <w:p w14:paraId="38CAE898">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.6评审意见分歧的处理办法</w:t>
      </w:r>
    </w:p>
    <w:p w14:paraId="737D7BB3">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（1）评标委员会应当对</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提供的报告、证明材料及详细说明认真研究。对存在意见分歧的，可采用投票方式表决决定（按多数评委意见为准）；</w:t>
      </w:r>
    </w:p>
    <w:p w14:paraId="761DA600">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.7评标报告的签署</w:t>
      </w:r>
    </w:p>
    <w:p w14:paraId="29ADB630">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.7.1评标委员会应当编制书面评标报告</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所有成员应签字确认。对评标结论持有异议的评标委员会成员可以书面方式阐述其不同意见和理由。评标委员会成员拒绝在评标报告上签字且不陈述其不同意见和理由的，视为同意评标结论。</w:t>
      </w:r>
    </w:p>
    <w:p w14:paraId="385207F7">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.8评标过程的保密</w:t>
      </w:r>
    </w:p>
    <w:p w14:paraId="4067CB7B">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评标委员会成员和与评标活动有关的工作人员不得透露对</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的评审和比较、中标人的推荐情况以及与评标有关的其他情况。</w:t>
      </w:r>
    </w:p>
    <w:p w14:paraId="42677946">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.9评标结果公告</w:t>
      </w:r>
    </w:p>
    <w:p w14:paraId="2FF99527">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应将中标人的情况在中新苏滁高新技术产业开发区（https://scp.chuzhou.gov.cn/index.html）、滁州市城投工程咨询管理有限公司网站（https://www.czctgczx.com/）予以公告，公告期为3日。</w:t>
      </w:r>
      <w:r>
        <w:rPr>
          <w:rFonts w:hint="eastAsia" w:ascii="宋体" w:hAnsi="宋体" w:eastAsia="宋体" w:cs="宋体"/>
          <w:b/>
          <w:bCs/>
          <w:color w:val="auto"/>
          <w:sz w:val="21"/>
          <w:szCs w:val="21"/>
          <w:highlight w:val="none"/>
        </w:rPr>
        <w:t xml:space="preserve">  </w:t>
      </w:r>
    </w:p>
    <w:p w14:paraId="5E533DB3">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28</w:t>
      </w:r>
      <w:r>
        <w:rPr>
          <w:rFonts w:hint="eastAsia" w:ascii="宋体" w:hAnsi="宋体" w:eastAsia="宋体" w:cs="宋体"/>
          <w:b/>
          <w:bCs/>
          <w:color w:val="auto"/>
          <w:sz w:val="21"/>
          <w:szCs w:val="21"/>
          <w:highlight w:val="none"/>
        </w:rPr>
        <w:t>.定标</w:t>
      </w:r>
    </w:p>
    <w:p w14:paraId="56DDC8FE">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outlineLvl w:val="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28</w:t>
      </w:r>
      <w:r>
        <w:rPr>
          <w:rFonts w:hint="eastAsia" w:ascii="宋体" w:hAnsi="宋体" w:eastAsia="宋体" w:cs="宋体"/>
          <w:color w:val="auto"/>
          <w:sz w:val="21"/>
          <w:szCs w:val="21"/>
          <w:highlight w:val="none"/>
        </w:rPr>
        <w:t>.1</w:t>
      </w:r>
      <w:bookmarkStart w:id="34" w:name="_Toc21491"/>
      <w:r>
        <w:rPr>
          <w:rFonts w:hint="eastAsia" w:ascii="宋体" w:hAnsi="宋体" w:eastAsia="宋体" w:cs="宋体"/>
          <w:color w:val="auto"/>
          <w:sz w:val="21"/>
          <w:szCs w:val="21"/>
          <w:highlight w:val="none"/>
        </w:rPr>
        <w:t>招标人</w:t>
      </w:r>
      <w:r>
        <w:rPr>
          <w:rFonts w:hint="eastAsia" w:ascii="宋体" w:hAnsi="宋体" w:eastAsia="宋体" w:cs="宋体"/>
          <w:color w:val="auto"/>
          <w:sz w:val="21"/>
          <w:szCs w:val="21"/>
          <w:highlight w:val="none"/>
          <w:lang w:val="en-US" w:eastAsia="zh-CN"/>
        </w:rPr>
        <w:t>确定第一中标候选人为本项目中标人</w:t>
      </w:r>
      <w:r>
        <w:rPr>
          <w:rFonts w:hint="eastAsia" w:ascii="宋体" w:hAnsi="宋体" w:eastAsia="宋体" w:cs="宋体"/>
          <w:color w:val="auto"/>
          <w:sz w:val="21"/>
          <w:szCs w:val="21"/>
          <w:highlight w:val="none"/>
        </w:rPr>
        <w:t>。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60953F54">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29.开评标异常情况处理</w:t>
      </w:r>
    </w:p>
    <w:p w14:paraId="0348926A">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29.1废标（重新招标）</w:t>
      </w:r>
    </w:p>
    <w:p w14:paraId="45A4E481">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有下列情形之一的，招标人将废标（重新招标）：</w:t>
      </w:r>
    </w:p>
    <w:p w14:paraId="2B4A84D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 出现影响采购公正的违法、违规行为的；</w:t>
      </w:r>
    </w:p>
    <w:p w14:paraId="5E083CCE">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（2）投标人的报价均脱离实际且无充分证据的；</w:t>
      </w:r>
    </w:p>
    <w:p w14:paraId="3C00AD8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（3）因重大变故，采购任务取消的。</w:t>
      </w:r>
    </w:p>
    <w:p w14:paraId="7438AA4B">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29.2变更采购方式</w:t>
      </w:r>
    </w:p>
    <w:p w14:paraId="59030F84">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bookmarkStart w:id="35" w:name="_Toc449028872"/>
      <w:r>
        <w:rPr>
          <w:rFonts w:hint="eastAsia" w:ascii="宋体" w:hAnsi="宋体" w:eastAsia="宋体" w:cs="宋体"/>
          <w:color w:val="auto"/>
          <w:sz w:val="21"/>
          <w:szCs w:val="21"/>
          <w:highlight w:val="none"/>
          <w:lang w:val="en-US" w:eastAsia="zh-CN"/>
        </w:rPr>
        <w:t>按照相关规定执行。</w:t>
      </w:r>
      <w:bookmarkEnd w:id="35"/>
    </w:p>
    <w:p w14:paraId="343A7C56">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ind w:firstLine="562" w:firstLineChars="200"/>
        <w:jc w:val="center"/>
        <w:textAlignment w:val="auto"/>
        <w:outlineLvl w:val="1"/>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六、合同的授予</w:t>
      </w:r>
      <w:bookmarkEnd w:id="34"/>
    </w:p>
    <w:p w14:paraId="1516E11C">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.合同授予标准</w:t>
      </w:r>
    </w:p>
    <w:p w14:paraId="749AFF8C">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.1本招标工程的合同授予按本须知第32条规定所确定的中标人。</w:t>
      </w:r>
    </w:p>
    <w:p w14:paraId="7CA1A7F9">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 合同协议书的签订</w:t>
      </w:r>
    </w:p>
    <w:p w14:paraId="050456DE">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.1中标通知书发放后</w:t>
      </w:r>
      <w:r>
        <w:rPr>
          <w:rFonts w:hint="eastAsia" w:ascii="宋体" w:hAns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rPr>
        <w:t>日内，按照招标文件和中标人的投标文件订立书面合同。招标人和中标人不得再行订立背离合同实质性内容的其他协议。</w:t>
      </w:r>
    </w:p>
    <w:p w14:paraId="127FA8D8">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.2招标人如不按本投标须知第</w:t>
      </w:r>
      <w:r>
        <w:rPr>
          <w:rFonts w:hint="eastAsia" w:ascii="宋体" w:hAnsi="宋体" w:eastAsia="宋体" w:cs="宋体"/>
          <w:color w:val="auto"/>
          <w:sz w:val="21"/>
          <w:szCs w:val="21"/>
          <w:highlight w:val="none"/>
          <w:lang w:val="en-US" w:eastAsia="zh-CN"/>
        </w:rPr>
        <w:t>31.1</w:t>
      </w:r>
      <w:r>
        <w:rPr>
          <w:rFonts w:hint="eastAsia" w:ascii="宋体" w:hAnsi="宋体" w:eastAsia="宋体" w:cs="宋体"/>
          <w:color w:val="auto"/>
          <w:sz w:val="21"/>
          <w:szCs w:val="21"/>
          <w:highlight w:val="none"/>
        </w:rPr>
        <w:t>条的规定与中标人订立合同，或者招标人、中标人订立背离合同实质性内容的协议，招标人应当按给投标人造成的损失予以赔偿，同时依法承担相应法律责任。</w:t>
      </w:r>
    </w:p>
    <w:p w14:paraId="101D621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.3中标人如不按本投标须知第</w:t>
      </w:r>
      <w:r>
        <w:rPr>
          <w:rFonts w:hint="eastAsia" w:ascii="宋体" w:hAnsi="宋体" w:eastAsia="宋体" w:cs="宋体"/>
          <w:color w:val="auto"/>
          <w:sz w:val="21"/>
          <w:szCs w:val="21"/>
          <w:highlight w:val="none"/>
          <w:lang w:val="en-US" w:eastAsia="zh-CN"/>
        </w:rPr>
        <w:t>31.1</w:t>
      </w:r>
      <w:r>
        <w:rPr>
          <w:rFonts w:hint="eastAsia" w:ascii="宋体" w:hAnsi="宋体" w:eastAsia="宋体" w:cs="宋体"/>
          <w:color w:val="auto"/>
          <w:sz w:val="21"/>
          <w:szCs w:val="21"/>
          <w:highlight w:val="none"/>
        </w:rPr>
        <w:t>条的规定与招标人订立合同，则招标人将取消其中标资格，给招标人造成的损失予以赔偿，同时依法承担相应法律责任。</w:t>
      </w:r>
    </w:p>
    <w:p w14:paraId="714D94AC">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.4中标人应当按照合同履行义务，完成中标项目的实施，不得将中标项目转让（转包）给他人。</w:t>
      </w:r>
    </w:p>
    <w:bookmarkEnd w:id="29"/>
    <w:p w14:paraId="38E9C6F9">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ind w:firstLine="562" w:firstLineChars="200"/>
        <w:jc w:val="center"/>
        <w:textAlignment w:val="auto"/>
        <w:outlineLvl w:val="1"/>
        <w:rPr>
          <w:rFonts w:hint="eastAsia" w:ascii="宋体" w:hAnsi="宋体" w:eastAsia="宋体" w:cs="宋体"/>
          <w:b/>
          <w:bCs/>
          <w:color w:val="auto"/>
          <w:sz w:val="28"/>
          <w:szCs w:val="28"/>
          <w:highlight w:val="none"/>
        </w:rPr>
      </w:pPr>
      <w:bookmarkStart w:id="36" w:name="_Toc449028874"/>
      <w:bookmarkStart w:id="37" w:name="_Toc363135205"/>
      <w:bookmarkStart w:id="38" w:name="_Toc58430328"/>
      <w:r>
        <w:rPr>
          <w:rFonts w:hint="eastAsia" w:ascii="宋体" w:hAnsi="宋体" w:eastAsia="宋体" w:cs="宋体"/>
          <w:b/>
          <w:bCs/>
          <w:color w:val="auto"/>
          <w:sz w:val="28"/>
          <w:szCs w:val="28"/>
          <w:highlight w:val="none"/>
        </w:rPr>
        <w:t>（七）纪律和监督</w:t>
      </w:r>
      <w:bookmarkEnd w:id="36"/>
    </w:p>
    <w:p w14:paraId="26553498">
      <w:pPr>
        <w:keepNext w:val="0"/>
        <w:keepLines w:val="0"/>
        <w:pageBreakBefore w:val="0"/>
        <w:widowControl w:val="0"/>
        <w:kinsoku/>
        <w:wordWrap/>
        <w:overflowPunct/>
        <w:topLinePunct w:val="0"/>
        <w:autoSpaceDE/>
        <w:autoSpaceDN/>
        <w:bidi w:val="0"/>
        <w:spacing w:line="520" w:lineRule="exact"/>
        <w:ind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b/>
          <w:color w:val="auto"/>
          <w:sz w:val="21"/>
          <w:szCs w:val="21"/>
          <w:highlight w:val="none"/>
          <w:lang w:val="en-US" w:eastAsia="zh-CN"/>
        </w:rPr>
        <w:t>2</w:t>
      </w:r>
      <w:r>
        <w:rPr>
          <w:rFonts w:hint="eastAsia" w:ascii="宋体" w:hAnsi="宋体" w:eastAsia="宋体" w:cs="宋体"/>
          <w:b/>
          <w:color w:val="auto"/>
          <w:sz w:val="21"/>
          <w:szCs w:val="21"/>
          <w:highlight w:val="none"/>
        </w:rPr>
        <w:t>. 对</w:t>
      </w:r>
      <w:r>
        <w:rPr>
          <w:rFonts w:hint="eastAsia" w:ascii="宋体" w:hAnsi="宋体" w:eastAsia="宋体" w:cs="宋体"/>
          <w:b/>
          <w:color w:val="auto"/>
          <w:sz w:val="21"/>
          <w:szCs w:val="21"/>
          <w:highlight w:val="none"/>
          <w:lang w:eastAsia="zh-CN"/>
        </w:rPr>
        <w:t>招标人</w:t>
      </w:r>
      <w:r>
        <w:rPr>
          <w:rFonts w:hint="eastAsia" w:ascii="宋体" w:hAnsi="宋体" w:eastAsia="宋体" w:cs="宋体"/>
          <w:b/>
          <w:color w:val="auto"/>
          <w:sz w:val="21"/>
          <w:szCs w:val="21"/>
          <w:highlight w:val="none"/>
        </w:rPr>
        <w:t xml:space="preserve">的纪律要求 </w:t>
      </w:r>
    </w:p>
    <w:p w14:paraId="05EEEA0D">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2</w:t>
      </w:r>
      <w:r>
        <w:rPr>
          <w:rFonts w:hint="eastAsia" w:ascii="宋体" w:hAnsi="宋体" w:eastAsia="宋体" w:cs="宋体"/>
          <w:color w:val="auto"/>
          <w:kern w:val="10"/>
          <w:sz w:val="21"/>
          <w:szCs w:val="21"/>
          <w:highlight w:val="none"/>
        </w:rPr>
        <w:t>.1</w:t>
      </w:r>
      <w:r>
        <w:rPr>
          <w:rFonts w:hint="eastAsia" w:ascii="宋体" w:hAnsi="宋体" w:eastAsia="宋体" w:cs="宋体"/>
          <w:color w:val="auto"/>
          <w:kern w:val="10"/>
          <w:sz w:val="21"/>
          <w:szCs w:val="21"/>
          <w:highlight w:val="none"/>
          <w:lang w:eastAsia="zh-CN"/>
        </w:rPr>
        <w:t>招标人不得泄露</w:t>
      </w:r>
      <w:r>
        <w:rPr>
          <w:rFonts w:hint="eastAsia" w:ascii="宋体" w:hAnsi="宋体" w:eastAsia="宋体" w:cs="宋体"/>
          <w:color w:val="auto"/>
          <w:kern w:val="10"/>
          <w:sz w:val="21"/>
          <w:szCs w:val="21"/>
          <w:highlight w:val="none"/>
        </w:rPr>
        <w:t>招标投标活动中应当保密的情况和资料，不得与</w:t>
      </w:r>
      <w:r>
        <w:rPr>
          <w:rFonts w:hint="eastAsia" w:ascii="宋体" w:hAnsi="宋体" w:eastAsia="宋体" w:cs="宋体"/>
          <w:color w:val="auto"/>
          <w:kern w:val="10"/>
          <w:sz w:val="21"/>
          <w:szCs w:val="21"/>
          <w:highlight w:val="none"/>
          <w:lang w:eastAsia="zh-CN"/>
        </w:rPr>
        <w:t>投标人</w:t>
      </w:r>
      <w:r>
        <w:rPr>
          <w:rFonts w:hint="eastAsia" w:ascii="宋体" w:hAnsi="宋体" w:eastAsia="宋体" w:cs="宋体"/>
          <w:color w:val="auto"/>
          <w:kern w:val="10"/>
          <w:sz w:val="21"/>
          <w:szCs w:val="21"/>
          <w:highlight w:val="none"/>
        </w:rPr>
        <w:t xml:space="preserve">串通损害国家利益，社会公共利益或者他人合法权益。 </w:t>
      </w:r>
    </w:p>
    <w:p w14:paraId="7B232892">
      <w:pPr>
        <w:keepNext w:val="0"/>
        <w:keepLines w:val="0"/>
        <w:pageBreakBefore w:val="0"/>
        <w:widowControl w:val="0"/>
        <w:kinsoku/>
        <w:wordWrap/>
        <w:overflowPunct/>
        <w:topLinePunct w:val="0"/>
        <w:autoSpaceDE/>
        <w:autoSpaceDN/>
        <w:bidi w:val="0"/>
        <w:spacing w:line="520" w:lineRule="exact"/>
        <w:ind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b/>
          <w:color w:val="auto"/>
          <w:sz w:val="21"/>
          <w:szCs w:val="21"/>
          <w:highlight w:val="none"/>
          <w:lang w:val="en-US" w:eastAsia="zh-CN"/>
        </w:rPr>
        <w:t>3</w:t>
      </w:r>
      <w:r>
        <w:rPr>
          <w:rFonts w:hint="eastAsia" w:ascii="宋体" w:hAnsi="宋体" w:eastAsia="宋体" w:cs="宋体"/>
          <w:b/>
          <w:color w:val="auto"/>
          <w:sz w:val="21"/>
          <w:szCs w:val="21"/>
          <w:highlight w:val="none"/>
        </w:rPr>
        <w:t>. 对</w:t>
      </w:r>
      <w:r>
        <w:rPr>
          <w:rFonts w:hint="eastAsia" w:ascii="宋体" w:hAnsi="宋体" w:eastAsia="宋体" w:cs="宋体"/>
          <w:b/>
          <w:color w:val="auto"/>
          <w:sz w:val="21"/>
          <w:szCs w:val="21"/>
          <w:highlight w:val="none"/>
          <w:lang w:eastAsia="zh-CN"/>
        </w:rPr>
        <w:t>投标人</w:t>
      </w:r>
      <w:r>
        <w:rPr>
          <w:rFonts w:hint="eastAsia" w:ascii="宋体" w:hAnsi="宋体" w:eastAsia="宋体" w:cs="宋体"/>
          <w:b/>
          <w:color w:val="auto"/>
          <w:sz w:val="21"/>
          <w:szCs w:val="21"/>
          <w:highlight w:val="none"/>
        </w:rPr>
        <w:t xml:space="preserve">的纪律要求 </w:t>
      </w:r>
    </w:p>
    <w:p w14:paraId="3090510F">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3</w:t>
      </w:r>
      <w:r>
        <w:rPr>
          <w:rFonts w:hint="eastAsia" w:ascii="宋体" w:hAnsi="宋体" w:eastAsia="宋体" w:cs="宋体"/>
          <w:color w:val="auto"/>
          <w:kern w:val="10"/>
          <w:sz w:val="21"/>
          <w:szCs w:val="21"/>
          <w:highlight w:val="none"/>
        </w:rPr>
        <w:t>.1</w:t>
      </w:r>
      <w:r>
        <w:rPr>
          <w:rFonts w:hint="eastAsia" w:ascii="宋体" w:hAnsi="宋体" w:eastAsia="宋体" w:cs="宋体"/>
          <w:color w:val="auto"/>
          <w:kern w:val="10"/>
          <w:sz w:val="21"/>
          <w:szCs w:val="21"/>
          <w:highlight w:val="none"/>
          <w:lang w:eastAsia="zh-CN"/>
        </w:rPr>
        <w:t>投标人</w:t>
      </w:r>
      <w:r>
        <w:rPr>
          <w:rFonts w:hint="eastAsia" w:ascii="宋体" w:hAnsi="宋体" w:eastAsia="宋体" w:cs="宋体"/>
          <w:color w:val="auto"/>
          <w:kern w:val="10"/>
          <w:sz w:val="21"/>
          <w:szCs w:val="21"/>
          <w:highlight w:val="none"/>
        </w:rPr>
        <w:t>不得相互串通投标或者与</w:t>
      </w:r>
      <w:r>
        <w:rPr>
          <w:rFonts w:hint="eastAsia" w:ascii="宋体" w:hAnsi="宋体" w:eastAsia="宋体" w:cs="宋体"/>
          <w:color w:val="auto"/>
          <w:kern w:val="10"/>
          <w:sz w:val="21"/>
          <w:szCs w:val="21"/>
          <w:highlight w:val="none"/>
          <w:lang w:eastAsia="zh-CN"/>
        </w:rPr>
        <w:t>招标人</w:t>
      </w:r>
      <w:r>
        <w:rPr>
          <w:rFonts w:hint="eastAsia" w:ascii="宋体" w:hAnsi="宋体" w:eastAsia="宋体" w:cs="宋体"/>
          <w:color w:val="auto"/>
          <w:kern w:val="10"/>
          <w:sz w:val="21"/>
          <w:szCs w:val="21"/>
          <w:highlight w:val="none"/>
        </w:rPr>
        <w:t>串通投标，不得向</w:t>
      </w:r>
      <w:r>
        <w:rPr>
          <w:rFonts w:hint="eastAsia" w:ascii="宋体" w:hAnsi="宋体" w:eastAsia="宋体" w:cs="宋体"/>
          <w:color w:val="auto"/>
          <w:kern w:val="10"/>
          <w:sz w:val="21"/>
          <w:szCs w:val="21"/>
          <w:highlight w:val="none"/>
          <w:lang w:eastAsia="zh-CN"/>
        </w:rPr>
        <w:t>招标人</w:t>
      </w:r>
      <w:r>
        <w:rPr>
          <w:rFonts w:hint="eastAsia" w:ascii="宋体" w:hAnsi="宋体" w:eastAsia="宋体" w:cs="宋体"/>
          <w:color w:val="auto"/>
          <w:kern w:val="10"/>
          <w:sz w:val="21"/>
          <w:szCs w:val="21"/>
          <w:highlight w:val="none"/>
        </w:rPr>
        <w:t>或者评标委员会成员行贿谋取中标，不得以他人名义投标或者以其他方式弄虚作假骗取中标；</w:t>
      </w:r>
      <w:r>
        <w:rPr>
          <w:rFonts w:hint="eastAsia" w:ascii="宋体" w:hAnsi="宋体" w:eastAsia="宋体" w:cs="宋体"/>
          <w:color w:val="auto"/>
          <w:kern w:val="10"/>
          <w:sz w:val="21"/>
          <w:szCs w:val="21"/>
          <w:highlight w:val="none"/>
          <w:lang w:eastAsia="zh-CN"/>
        </w:rPr>
        <w:t>投标人</w:t>
      </w:r>
      <w:r>
        <w:rPr>
          <w:rFonts w:hint="eastAsia" w:ascii="宋体" w:hAnsi="宋体" w:eastAsia="宋体" w:cs="宋体"/>
          <w:color w:val="auto"/>
          <w:kern w:val="10"/>
          <w:sz w:val="21"/>
          <w:szCs w:val="21"/>
          <w:highlight w:val="none"/>
        </w:rPr>
        <w:t>不得以任何方式干扰、影响评标工作。</w:t>
      </w:r>
    </w:p>
    <w:p w14:paraId="46E99431">
      <w:pPr>
        <w:keepNext w:val="0"/>
        <w:keepLines w:val="0"/>
        <w:pageBreakBefore w:val="0"/>
        <w:widowControl w:val="0"/>
        <w:kinsoku/>
        <w:wordWrap/>
        <w:overflowPunct/>
        <w:topLinePunct w:val="0"/>
        <w:autoSpaceDE/>
        <w:autoSpaceDN/>
        <w:bidi w:val="0"/>
        <w:spacing w:line="520" w:lineRule="exact"/>
        <w:ind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b/>
          <w:color w:val="auto"/>
          <w:sz w:val="21"/>
          <w:szCs w:val="21"/>
          <w:highlight w:val="none"/>
          <w:lang w:val="en-US" w:eastAsia="zh-CN"/>
        </w:rPr>
        <w:t>4</w:t>
      </w:r>
      <w:r>
        <w:rPr>
          <w:rFonts w:hint="eastAsia" w:ascii="宋体" w:hAnsi="宋体" w:eastAsia="宋体" w:cs="宋体"/>
          <w:b/>
          <w:color w:val="auto"/>
          <w:sz w:val="21"/>
          <w:szCs w:val="21"/>
          <w:highlight w:val="none"/>
        </w:rPr>
        <w:t xml:space="preserve">.对评标委员会成员的纪律要求 </w:t>
      </w:r>
    </w:p>
    <w:p w14:paraId="65471E57">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4</w:t>
      </w:r>
      <w:r>
        <w:rPr>
          <w:rFonts w:hint="eastAsia" w:ascii="宋体" w:hAnsi="宋体" w:eastAsia="宋体" w:cs="宋体"/>
          <w:color w:val="auto"/>
          <w:kern w:val="10"/>
          <w:sz w:val="21"/>
          <w:szCs w:val="21"/>
          <w:highlight w:val="none"/>
        </w:rPr>
        <w:t>.1评标委员会成员不得收受他人的财物或者其他好处，不得向他人</w:t>
      </w:r>
      <w:r>
        <w:rPr>
          <w:rFonts w:hint="eastAsia" w:ascii="宋体" w:hAnsi="宋体" w:eastAsia="宋体" w:cs="宋体"/>
          <w:color w:val="auto"/>
          <w:kern w:val="10"/>
          <w:sz w:val="21"/>
          <w:szCs w:val="21"/>
          <w:highlight w:val="none"/>
          <w:lang w:eastAsia="zh-CN"/>
        </w:rPr>
        <w:t>透露</w:t>
      </w:r>
      <w:r>
        <w:rPr>
          <w:rFonts w:hint="eastAsia" w:ascii="宋体" w:hAnsi="宋体" w:eastAsia="宋体" w:cs="宋体"/>
          <w:color w:val="auto"/>
          <w:kern w:val="10"/>
          <w:sz w:val="21"/>
          <w:szCs w:val="21"/>
          <w:highlight w:val="none"/>
        </w:rPr>
        <w:t>对</w:t>
      </w:r>
      <w:r>
        <w:rPr>
          <w:rFonts w:hint="eastAsia" w:ascii="宋体" w:hAnsi="宋体" w:eastAsia="宋体" w:cs="宋体"/>
          <w:color w:val="auto"/>
          <w:kern w:val="10"/>
          <w:sz w:val="21"/>
          <w:szCs w:val="21"/>
          <w:highlight w:val="none"/>
          <w:lang w:eastAsia="zh-CN"/>
        </w:rPr>
        <w:t>招标文件</w:t>
      </w:r>
      <w:r>
        <w:rPr>
          <w:rFonts w:hint="eastAsia" w:ascii="宋体" w:hAnsi="宋体" w:eastAsia="宋体" w:cs="宋体"/>
          <w:color w:val="auto"/>
          <w:kern w:val="10"/>
          <w:sz w:val="21"/>
          <w:szCs w:val="21"/>
          <w:highlight w:val="none"/>
        </w:rPr>
        <w:t>的评审和比较、中标候选人的推荐情况以及评标有关的其他情况。</w:t>
      </w:r>
    </w:p>
    <w:p w14:paraId="3EE85A00">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4</w:t>
      </w:r>
      <w:r>
        <w:rPr>
          <w:rFonts w:hint="eastAsia" w:ascii="宋体" w:hAnsi="宋体" w:eastAsia="宋体" w:cs="宋体"/>
          <w:color w:val="auto"/>
          <w:kern w:val="10"/>
          <w:sz w:val="21"/>
          <w:szCs w:val="21"/>
          <w:highlight w:val="none"/>
        </w:rPr>
        <w:t xml:space="preserve">.2在评标活动中，评标委员会成员不得擅离职守，影响评标程序正常进行，不得使用第三章“评标办法”没有规定的评审因素和标准进行评标。 </w:t>
      </w:r>
    </w:p>
    <w:p w14:paraId="684E0BD7">
      <w:pPr>
        <w:keepNext w:val="0"/>
        <w:keepLines w:val="0"/>
        <w:pageBreakBefore w:val="0"/>
        <w:widowControl w:val="0"/>
        <w:kinsoku/>
        <w:wordWrap/>
        <w:overflowPunct/>
        <w:topLinePunct w:val="0"/>
        <w:autoSpaceDE/>
        <w:autoSpaceDN/>
        <w:bidi w:val="0"/>
        <w:spacing w:line="520" w:lineRule="exact"/>
        <w:ind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b/>
          <w:color w:val="auto"/>
          <w:sz w:val="21"/>
          <w:szCs w:val="21"/>
          <w:highlight w:val="none"/>
          <w:lang w:val="en-US" w:eastAsia="zh-CN"/>
        </w:rPr>
        <w:t>5</w:t>
      </w:r>
      <w:r>
        <w:rPr>
          <w:rFonts w:hint="eastAsia" w:ascii="宋体" w:hAnsi="宋体" w:eastAsia="宋体" w:cs="宋体"/>
          <w:b/>
          <w:color w:val="auto"/>
          <w:sz w:val="21"/>
          <w:szCs w:val="21"/>
          <w:highlight w:val="none"/>
        </w:rPr>
        <w:t xml:space="preserve">.对与评标活动有关的工作人员的纪律要求 </w:t>
      </w:r>
    </w:p>
    <w:p w14:paraId="31F13EA7">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5</w:t>
      </w:r>
      <w:r>
        <w:rPr>
          <w:rFonts w:hint="eastAsia" w:ascii="宋体" w:hAnsi="宋体" w:eastAsia="宋体" w:cs="宋体"/>
          <w:color w:val="auto"/>
          <w:kern w:val="10"/>
          <w:sz w:val="21"/>
          <w:szCs w:val="21"/>
          <w:highlight w:val="none"/>
        </w:rPr>
        <w:t>.1与评标活动有关的工作人员不得收受他人的财物或者其他好处，不得向他人</w:t>
      </w:r>
      <w:r>
        <w:rPr>
          <w:rFonts w:hint="eastAsia" w:ascii="宋体" w:hAnsi="宋体" w:eastAsia="宋体" w:cs="宋体"/>
          <w:color w:val="auto"/>
          <w:kern w:val="10"/>
          <w:sz w:val="21"/>
          <w:szCs w:val="21"/>
          <w:highlight w:val="none"/>
          <w:lang w:eastAsia="zh-CN"/>
        </w:rPr>
        <w:t>透露</w:t>
      </w:r>
      <w:r>
        <w:rPr>
          <w:rFonts w:hint="eastAsia" w:ascii="宋体" w:hAnsi="宋体" w:eastAsia="宋体" w:cs="宋体"/>
          <w:color w:val="auto"/>
          <w:kern w:val="10"/>
          <w:sz w:val="21"/>
          <w:szCs w:val="21"/>
          <w:highlight w:val="none"/>
        </w:rPr>
        <w:t>对</w:t>
      </w:r>
      <w:r>
        <w:rPr>
          <w:rFonts w:hint="eastAsia" w:ascii="宋体" w:hAnsi="宋体" w:eastAsia="宋体" w:cs="宋体"/>
          <w:color w:val="auto"/>
          <w:kern w:val="10"/>
          <w:sz w:val="21"/>
          <w:szCs w:val="21"/>
          <w:highlight w:val="none"/>
          <w:lang w:eastAsia="zh-CN"/>
        </w:rPr>
        <w:t>招标文件</w:t>
      </w:r>
      <w:r>
        <w:rPr>
          <w:rFonts w:hint="eastAsia" w:ascii="宋体" w:hAnsi="宋体" w:eastAsia="宋体" w:cs="宋体"/>
          <w:color w:val="auto"/>
          <w:kern w:val="10"/>
          <w:sz w:val="21"/>
          <w:szCs w:val="21"/>
          <w:highlight w:val="none"/>
        </w:rPr>
        <w:t>的评审和比较、中标候选人的推荐情况以及评标有关的其他情况。在评标活动中，与评标活动有关的工作人员不得擅离职守，影响评标程序正常进行。</w:t>
      </w:r>
    </w:p>
    <w:p w14:paraId="35A25735">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ind w:firstLine="562" w:firstLineChars="200"/>
        <w:jc w:val="center"/>
        <w:textAlignment w:val="auto"/>
        <w:outlineLvl w:val="1"/>
        <w:rPr>
          <w:rFonts w:hint="eastAsia" w:ascii="宋体" w:hAnsi="宋体" w:eastAsia="宋体" w:cs="宋体"/>
          <w:b/>
          <w:bCs/>
          <w:color w:val="auto"/>
          <w:sz w:val="28"/>
          <w:szCs w:val="28"/>
          <w:highlight w:val="none"/>
        </w:rPr>
      </w:pPr>
      <w:bookmarkStart w:id="39" w:name="_Toc449028875"/>
      <w:r>
        <w:rPr>
          <w:rFonts w:hint="eastAsia" w:ascii="宋体" w:hAnsi="宋体" w:eastAsia="宋体" w:cs="宋体"/>
          <w:b/>
          <w:bCs/>
          <w:color w:val="auto"/>
          <w:sz w:val="28"/>
          <w:szCs w:val="28"/>
          <w:highlight w:val="none"/>
        </w:rPr>
        <w:t>（八）质疑与投诉</w:t>
      </w:r>
      <w:bookmarkEnd w:id="39"/>
    </w:p>
    <w:p w14:paraId="77D3D939">
      <w:pPr>
        <w:keepNext w:val="0"/>
        <w:keepLines w:val="0"/>
        <w:pageBreakBefore w:val="0"/>
        <w:widowControl w:val="0"/>
        <w:kinsoku/>
        <w:wordWrap/>
        <w:overflowPunct/>
        <w:topLinePunct w:val="0"/>
        <w:autoSpaceDE/>
        <w:autoSpaceDN/>
        <w:bidi w:val="0"/>
        <w:spacing w:line="520" w:lineRule="exact"/>
        <w:ind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36</w:t>
      </w:r>
      <w:r>
        <w:rPr>
          <w:rFonts w:hint="eastAsia" w:ascii="宋体" w:hAnsi="宋体" w:eastAsia="宋体" w:cs="宋体"/>
          <w:b/>
          <w:color w:val="auto"/>
          <w:sz w:val="21"/>
          <w:szCs w:val="21"/>
          <w:highlight w:val="none"/>
        </w:rPr>
        <w:t>.投诉</w:t>
      </w:r>
    </w:p>
    <w:p w14:paraId="7B2D3B5F">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lang w:val="en-US" w:eastAsia="zh-CN"/>
        </w:rPr>
        <w:t>36</w:t>
      </w:r>
      <w:r>
        <w:rPr>
          <w:rFonts w:hint="eastAsia" w:ascii="宋体" w:hAnsi="宋体" w:eastAsia="宋体" w:cs="宋体"/>
          <w:color w:val="auto"/>
          <w:kern w:val="10"/>
          <w:sz w:val="21"/>
          <w:szCs w:val="21"/>
          <w:highlight w:val="none"/>
        </w:rPr>
        <w:t>.1</w:t>
      </w:r>
      <w:r>
        <w:rPr>
          <w:rFonts w:hint="eastAsia" w:ascii="宋体" w:hAnsi="宋体" w:eastAsia="宋体" w:cs="宋体"/>
          <w:color w:val="auto"/>
          <w:kern w:val="10"/>
          <w:sz w:val="21"/>
          <w:szCs w:val="21"/>
          <w:highlight w:val="none"/>
          <w:lang w:eastAsia="zh-CN"/>
        </w:rPr>
        <w:t>投标人</w:t>
      </w:r>
      <w:r>
        <w:rPr>
          <w:rFonts w:hint="eastAsia" w:ascii="宋体" w:hAnsi="宋体" w:eastAsia="宋体" w:cs="宋体"/>
          <w:color w:val="auto"/>
          <w:kern w:val="10"/>
          <w:sz w:val="21"/>
          <w:szCs w:val="21"/>
          <w:highlight w:val="none"/>
        </w:rPr>
        <w:t>或者其他利害关系人认为招标投标活动违反</w:t>
      </w:r>
      <w:r>
        <w:rPr>
          <w:rFonts w:hint="eastAsia" w:ascii="宋体" w:hAnsi="宋体" w:eastAsia="宋体" w:cs="宋体"/>
          <w:color w:val="auto"/>
          <w:kern w:val="10"/>
          <w:sz w:val="21"/>
          <w:szCs w:val="21"/>
          <w:highlight w:val="none"/>
          <w:lang w:eastAsia="zh-CN"/>
        </w:rPr>
        <w:t>法律法规</w:t>
      </w:r>
      <w:r>
        <w:rPr>
          <w:rFonts w:hint="eastAsia" w:ascii="宋体" w:hAnsi="宋体" w:eastAsia="宋体" w:cs="宋体"/>
          <w:color w:val="auto"/>
          <w:kern w:val="10"/>
          <w:sz w:val="21"/>
          <w:szCs w:val="21"/>
          <w:highlight w:val="none"/>
        </w:rPr>
        <w:t>和规章规定的，有权向相关行政监督部门投诉。投诉应当有明确的请求和必要的证明材料。</w:t>
      </w:r>
    </w:p>
    <w:p w14:paraId="433CA35D">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黑体" w:eastAsia="黑体"/>
          <w:color w:val="auto"/>
          <w:sz w:val="30"/>
          <w:szCs w:val="30"/>
          <w:highlight w:val="none"/>
        </w:rPr>
      </w:pPr>
      <w:r>
        <w:rPr>
          <w:rFonts w:hint="eastAsia" w:ascii="宋体" w:hAnsi="宋体" w:eastAsia="宋体" w:cs="宋体"/>
          <w:color w:val="auto"/>
          <w:kern w:val="10"/>
          <w:sz w:val="21"/>
          <w:szCs w:val="21"/>
          <w:highlight w:val="none"/>
          <w:lang w:val="en-US" w:eastAsia="zh-CN"/>
        </w:rPr>
        <w:t>36</w:t>
      </w:r>
      <w:r>
        <w:rPr>
          <w:rFonts w:hint="eastAsia" w:ascii="宋体" w:hAnsi="宋体" w:eastAsia="宋体" w:cs="宋体"/>
          <w:color w:val="auto"/>
          <w:kern w:val="10"/>
          <w:sz w:val="21"/>
          <w:szCs w:val="21"/>
          <w:highlight w:val="none"/>
        </w:rPr>
        <w:t>.2</w:t>
      </w:r>
      <w:r>
        <w:rPr>
          <w:rFonts w:hint="eastAsia" w:ascii="宋体" w:hAnsi="宋体" w:eastAsia="宋体" w:cs="宋体"/>
          <w:color w:val="auto"/>
          <w:kern w:val="10"/>
          <w:sz w:val="21"/>
          <w:szCs w:val="21"/>
          <w:highlight w:val="none"/>
          <w:lang w:eastAsia="zh-CN"/>
        </w:rPr>
        <w:t>投标人</w:t>
      </w:r>
      <w:r>
        <w:rPr>
          <w:rFonts w:hint="eastAsia" w:ascii="宋体" w:hAnsi="宋体" w:eastAsia="宋体" w:cs="宋体"/>
          <w:color w:val="auto"/>
          <w:kern w:val="10"/>
          <w:sz w:val="21"/>
          <w:szCs w:val="21"/>
          <w:highlight w:val="none"/>
        </w:rPr>
        <w:t>和其他利害关系人对</w:t>
      </w:r>
      <w:r>
        <w:rPr>
          <w:rFonts w:hint="eastAsia" w:ascii="宋体" w:hAnsi="宋体" w:eastAsia="宋体" w:cs="宋体"/>
          <w:color w:val="auto"/>
          <w:kern w:val="10"/>
          <w:sz w:val="21"/>
          <w:szCs w:val="21"/>
          <w:highlight w:val="none"/>
          <w:lang w:eastAsia="zh-CN"/>
        </w:rPr>
        <w:t>招标文件</w:t>
      </w:r>
      <w:r>
        <w:rPr>
          <w:rFonts w:hint="eastAsia" w:ascii="宋体" w:hAnsi="宋体" w:eastAsia="宋体" w:cs="宋体"/>
          <w:color w:val="auto"/>
          <w:kern w:val="10"/>
          <w:sz w:val="21"/>
          <w:szCs w:val="21"/>
          <w:highlight w:val="none"/>
        </w:rPr>
        <w:t>、开标和评标结果事项投诉的，应当按照</w:t>
      </w:r>
      <w:r>
        <w:rPr>
          <w:rFonts w:hint="eastAsia" w:ascii="宋体" w:hAnsi="宋体" w:eastAsia="宋体" w:cs="宋体"/>
          <w:color w:val="auto"/>
          <w:kern w:val="10"/>
          <w:sz w:val="21"/>
          <w:szCs w:val="21"/>
          <w:highlight w:val="none"/>
          <w:lang w:eastAsia="zh-CN"/>
        </w:rPr>
        <w:t>投标人</w:t>
      </w:r>
      <w:r>
        <w:rPr>
          <w:rFonts w:hint="eastAsia" w:ascii="宋体" w:hAnsi="宋体" w:eastAsia="宋体" w:cs="宋体"/>
          <w:color w:val="auto"/>
          <w:kern w:val="10"/>
          <w:sz w:val="21"/>
          <w:szCs w:val="21"/>
          <w:highlight w:val="none"/>
        </w:rPr>
        <w:t>须知的规定先向</w:t>
      </w:r>
      <w:r>
        <w:rPr>
          <w:rFonts w:hint="eastAsia" w:ascii="宋体" w:hAnsi="宋体" w:eastAsia="宋体" w:cs="宋体"/>
          <w:color w:val="auto"/>
          <w:kern w:val="10"/>
          <w:sz w:val="21"/>
          <w:szCs w:val="21"/>
          <w:highlight w:val="none"/>
          <w:lang w:eastAsia="zh-CN"/>
        </w:rPr>
        <w:t>招标人</w:t>
      </w:r>
      <w:r>
        <w:rPr>
          <w:rFonts w:hint="eastAsia" w:ascii="宋体" w:hAnsi="宋体" w:eastAsia="宋体" w:cs="宋体"/>
          <w:color w:val="auto"/>
          <w:kern w:val="10"/>
          <w:sz w:val="21"/>
          <w:szCs w:val="21"/>
          <w:highlight w:val="none"/>
        </w:rPr>
        <w:t>提出异议。异议答复期间不计算在规定的期限内。</w:t>
      </w:r>
    </w:p>
    <w:p w14:paraId="6F6E6CE9">
      <w:pPr>
        <w:rPr>
          <w:rFonts w:hint="eastAsia" w:ascii="宋体" w:hAnsi="宋体" w:eastAsia="宋体" w:cs="宋体"/>
          <w:b/>
          <w:bCs/>
          <w:color w:val="auto"/>
          <w:sz w:val="24"/>
          <w:szCs w:val="24"/>
          <w:highlight w:val="none"/>
          <w:shd w:val="clear" w:color="auto" w:fill="FFFFFF"/>
          <w:lang w:val="en-US" w:eastAsia="zh-CN"/>
        </w:rPr>
      </w:pPr>
    </w:p>
    <w:p w14:paraId="1F577CDC">
      <w:pPr>
        <w:rPr>
          <w:rFonts w:hint="eastAsia" w:ascii="宋体"/>
          <w:b/>
          <w:color w:val="auto"/>
          <w:sz w:val="32"/>
          <w:szCs w:val="32"/>
          <w:highlight w:val="none"/>
        </w:rPr>
      </w:pPr>
      <w:r>
        <w:rPr>
          <w:rFonts w:hint="eastAsia" w:ascii="宋体"/>
          <w:b/>
          <w:color w:val="auto"/>
          <w:sz w:val="32"/>
          <w:szCs w:val="32"/>
          <w:highlight w:val="none"/>
        </w:rPr>
        <w:br w:type="page"/>
      </w:r>
    </w:p>
    <w:p w14:paraId="5368DD7A">
      <w:pPr>
        <w:spacing w:before="156" w:beforeLines="50" w:after="156" w:afterLines="50" w:line="600" w:lineRule="exact"/>
        <w:jc w:val="center"/>
        <w:outlineLvl w:val="0"/>
        <w:rPr>
          <w:rFonts w:hint="eastAsia" w:ascii="宋体" w:hAnsi="Times New Roman" w:eastAsia="宋体" w:cs="Times New Roman"/>
          <w:b/>
          <w:color w:val="auto"/>
          <w:sz w:val="32"/>
          <w:szCs w:val="32"/>
          <w:highlight w:val="none"/>
        </w:rPr>
      </w:pPr>
      <w:r>
        <w:rPr>
          <w:rFonts w:hint="eastAsia" w:ascii="宋体" w:hAnsi="Times New Roman" w:eastAsia="宋体" w:cs="Times New Roman"/>
          <w:b/>
          <w:color w:val="auto"/>
          <w:sz w:val="32"/>
          <w:szCs w:val="32"/>
          <w:highlight w:val="none"/>
        </w:rPr>
        <w:t>第三章 评标办法</w:t>
      </w:r>
    </w:p>
    <w:p w14:paraId="77B91577">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ind w:firstLine="562" w:firstLineChars="200"/>
        <w:jc w:val="center"/>
        <w:textAlignment w:val="auto"/>
        <w:outlineLvl w:val="1"/>
        <w:rPr>
          <w:rFonts w:hint="eastAsia" w:ascii="宋体" w:hAnsi="宋体" w:eastAsia="宋体" w:cs="宋体"/>
          <w:b/>
          <w:bCs/>
          <w:color w:val="auto"/>
          <w:sz w:val="28"/>
          <w:szCs w:val="28"/>
          <w:highlight w:val="none"/>
        </w:rPr>
      </w:pPr>
      <w:bookmarkStart w:id="40" w:name="_Toc449028877"/>
      <w:bookmarkStart w:id="41" w:name="_Toc362983801"/>
      <w:bookmarkStart w:id="42" w:name="_Toc58430317"/>
      <w:bookmarkStart w:id="43" w:name="_Toc267320058"/>
      <w:r>
        <w:rPr>
          <w:rFonts w:hint="eastAsia" w:ascii="宋体" w:hAnsi="宋体" w:eastAsia="宋体" w:cs="宋体"/>
          <w:b/>
          <w:bCs/>
          <w:color w:val="auto"/>
          <w:sz w:val="28"/>
          <w:szCs w:val="28"/>
          <w:highlight w:val="none"/>
        </w:rPr>
        <w:t>一、总则</w:t>
      </w:r>
      <w:bookmarkEnd w:id="40"/>
      <w:bookmarkEnd w:id="41"/>
      <w:bookmarkEnd w:id="42"/>
    </w:p>
    <w:p w14:paraId="4DA06D06">
      <w:pPr>
        <w:keepNext w:val="0"/>
        <w:keepLines w:val="0"/>
        <w:pageBreakBefore w:val="0"/>
        <w:kinsoku/>
        <w:wordWrap/>
        <w:overflowPunct/>
        <w:topLinePunct w:val="0"/>
        <w:autoSpaceDE/>
        <w:autoSpaceDN/>
        <w:bidi w:val="0"/>
        <w:spacing w:line="520" w:lineRule="exact"/>
        <w:ind w:firstLine="422" w:firstLineChars="200"/>
        <w:jc w:val="left"/>
        <w:textAlignment w:val="auto"/>
        <w:rPr>
          <w:rFonts w:hint="eastAsia" w:ascii="宋体"/>
          <w:b/>
          <w:color w:val="auto"/>
          <w:szCs w:val="21"/>
          <w:highlight w:val="none"/>
        </w:rPr>
      </w:pPr>
      <w:bookmarkStart w:id="44" w:name="_Toc58430318"/>
      <w:bookmarkStart w:id="45" w:name="_Toc449028878"/>
      <w:bookmarkStart w:id="46" w:name="_Toc362983802"/>
      <w:r>
        <w:rPr>
          <w:rFonts w:hint="eastAsia" w:ascii="宋体"/>
          <w:b/>
          <w:color w:val="auto"/>
          <w:szCs w:val="21"/>
          <w:highlight w:val="none"/>
        </w:rPr>
        <w:t xml:space="preserve"> 1. 本次评标采用综合评分法</w:t>
      </w:r>
    </w:p>
    <w:p w14:paraId="5DD2B3C0">
      <w:pPr>
        <w:keepNext w:val="0"/>
        <w:keepLines w:val="0"/>
        <w:pageBreakBefore w:val="0"/>
        <w:kinsoku/>
        <w:wordWrap/>
        <w:overflowPunct/>
        <w:topLinePunct w:val="0"/>
        <w:autoSpaceDE/>
        <w:autoSpaceDN/>
        <w:bidi w:val="0"/>
        <w:spacing w:line="520" w:lineRule="exact"/>
        <w:ind w:firstLine="420" w:firstLineChars="200"/>
        <w:jc w:val="left"/>
        <w:textAlignment w:val="auto"/>
        <w:rPr>
          <w:rFonts w:hint="eastAsia" w:ascii="宋体" w:hAnsi="宋体"/>
          <w:color w:val="auto"/>
          <w:szCs w:val="21"/>
          <w:highlight w:val="none"/>
        </w:rPr>
      </w:pPr>
      <w:r>
        <w:rPr>
          <w:rFonts w:hint="eastAsia" w:ascii="宋体"/>
          <w:color w:val="auto"/>
          <w:szCs w:val="21"/>
          <w:highlight w:val="none"/>
        </w:rPr>
        <w:t>1.1综合评分法是指投标文件满足招标文件全部实质性要求且按照评审因素的量化指标评审总得分从高到低的供应商为中标候选人的评标方法。</w:t>
      </w:r>
    </w:p>
    <w:p w14:paraId="0594B1C6">
      <w:pPr>
        <w:keepNext w:val="0"/>
        <w:keepLines w:val="0"/>
        <w:pageBreakBefore w:val="0"/>
        <w:kinsoku/>
        <w:wordWrap/>
        <w:overflowPunct/>
        <w:topLinePunct w:val="0"/>
        <w:autoSpaceDE/>
        <w:autoSpaceDN/>
        <w:bidi w:val="0"/>
        <w:spacing w:line="52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1.2综合评分法一般适用于较为复杂、评价指标难以量化且价格为非主要因素的非标准定制商品和非通用服务项目的项目评审。</w:t>
      </w:r>
    </w:p>
    <w:p w14:paraId="7C53964E">
      <w:pPr>
        <w:keepNext w:val="0"/>
        <w:keepLines w:val="0"/>
        <w:pageBreakBefore w:val="0"/>
        <w:kinsoku/>
        <w:wordWrap/>
        <w:overflowPunct/>
        <w:topLinePunct w:val="0"/>
        <w:autoSpaceDE/>
        <w:autoSpaceDN/>
        <w:bidi w:val="0"/>
        <w:spacing w:line="520" w:lineRule="exact"/>
        <w:ind w:firstLine="422" w:firstLineChars="200"/>
        <w:jc w:val="left"/>
        <w:textAlignment w:val="auto"/>
        <w:rPr>
          <w:rFonts w:hint="eastAsia" w:ascii="宋体"/>
          <w:b/>
          <w:color w:val="auto"/>
          <w:szCs w:val="21"/>
          <w:highlight w:val="none"/>
        </w:rPr>
      </w:pPr>
      <w:r>
        <w:rPr>
          <w:rFonts w:hint="eastAsia" w:ascii="宋体"/>
          <w:b/>
          <w:color w:val="auto"/>
          <w:szCs w:val="21"/>
          <w:highlight w:val="none"/>
          <w:lang w:eastAsia="zh-CN"/>
        </w:rPr>
        <w:t>2.</w:t>
      </w:r>
      <w:r>
        <w:rPr>
          <w:rFonts w:hint="eastAsia" w:ascii="宋体"/>
          <w:b/>
          <w:color w:val="auto"/>
          <w:szCs w:val="21"/>
          <w:highlight w:val="none"/>
        </w:rPr>
        <w:t>评标程序</w:t>
      </w:r>
    </w:p>
    <w:p w14:paraId="26AB7B81">
      <w:pPr>
        <w:keepNext w:val="0"/>
        <w:keepLines w:val="0"/>
        <w:pageBreakBefore w:val="0"/>
        <w:kinsoku/>
        <w:wordWrap/>
        <w:overflowPunct/>
        <w:topLinePunct w:val="0"/>
        <w:autoSpaceDE/>
        <w:autoSpaceDN/>
        <w:bidi w:val="0"/>
        <w:spacing w:line="52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2.1投标文件的初审</w:t>
      </w:r>
    </w:p>
    <w:p w14:paraId="0CD1CC51">
      <w:pPr>
        <w:keepNext w:val="0"/>
        <w:keepLines w:val="0"/>
        <w:pageBreakBefore w:val="0"/>
        <w:kinsoku/>
        <w:wordWrap/>
        <w:overflowPunct/>
        <w:topLinePunct w:val="0"/>
        <w:autoSpaceDE/>
        <w:autoSpaceDN/>
        <w:bidi w:val="0"/>
        <w:spacing w:line="52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 xml:space="preserve">2.1.1资格性检查。依据法律法规和招标文件的规定，对投标文件中的资格证明等进行审查，以确定投标人是否具备投标资格。 </w:t>
      </w:r>
    </w:p>
    <w:p w14:paraId="1855C4F7">
      <w:pPr>
        <w:keepNext w:val="0"/>
        <w:keepLines w:val="0"/>
        <w:pageBreakBefore w:val="0"/>
        <w:kinsoku/>
        <w:wordWrap/>
        <w:overflowPunct/>
        <w:topLinePunct w:val="0"/>
        <w:autoSpaceDE/>
        <w:autoSpaceDN/>
        <w:bidi w:val="0"/>
        <w:spacing w:line="52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2.1.2符合性检查。依据招标文件的规定，从投标文件的有效性、完整性和对招标文件的响应程度进行审查，以确定投标人是否对招标文件的实质性要求作出响应。</w:t>
      </w:r>
    </w:p>
    <w:p w14:paraId="320F1CDB">
      <w:pPr>
        <w:keepNext w:val="0"/>
        <w:keepLines w:val="0"/>
        <w:pageBreakBefore w:val="0"/>
        <w:kinsoku/>
        <w:wordWrap/>
        <w:overflowPunct/>
        <w:topLinePunct w:val="0"/>
        <w:autoSpaceDE/>
        <w:autoSpaceDN/>
        <w:bidi w:val="0"/>
        <w:spacing w:line="52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2.2投标文件的澄清</w:t>
      </w:r>
    </w:p>
    <w:p w14:paraId="5665DDDD">
      <w:pPr>
        <w:keepNext w:val="0"/>
        <w:keepLines w:val="0"/>
        <w:pageBreakBefore w:val="0"/>
        <w:kinsoku/>
        <w:wordWrap/>
        <w:overflowPunct/>
        <w:topLinePunct w:val="0"/>
        <w:autoSpaceDE/>
        <w:autoSpaceDN/>
        <w:bidi w:val="0"/>
        <w:spacing w:line="52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2.2.1在评标过程中，评标委员会认为需要，可要求投标人对投标文件中的有关问题进行澄清或提供补充说明及有关资料，投标人应做出书面答复。书面答复中不得变更价格、</w:t>
      </w:r>
      <w:r>
        <w:rPr>
          <w:rFonts w:hint="eastAsia" w:ascii="宋体"/>
          <w:color w:val="auto"/>
          <w:szCs w:val="21"/>
          <w:highlight w:val="none"/>
          <w:lang w:val="en-US" w:eastAsia="zh-CN"/>
        </w:rPr>
        <w:t>服务期限</w:t>
      </w:r>
      <w:r>
        <w:rPr>
          <w:rFonts w:hint="eastAsia" w:ascii="宋体"/>
          <w:color w:val="auto"/>
          <w:szCs w:val="21"/>
          <w:highlight w:val="none"/>
        </w:rPr>
        <w:t>、自报质量等实质性内容。</w:t>
      </w:r>
    </w:p>
    <w:p w14:paraId="666E8200">
      <w:pPr>
        <w:keepNext w:val="0"/>
        <w:keepLines w:val="0"/>
        <w:pageBreakBefore w:val="0"/>
        <w:kinsoku/>
        <w:wordWrap/>
        <w:overflowPunct/>
        <w:topLinePunct w:val="0"/>
        <w:autoSpaceDE/>
        <w:autoSpaceDN/>
        <w:bidi w:val="0"/>
        <w:spacing w:line="52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2.2.2书面答复须经投标人法定代理人或其授权委托代理人的签字或印鉴，签字或盖印鉴的书面答复将视为投标文件的组成部分。投标截止时间后，投标人对投标报价或</w:t>
      </w:r>
      <w:r>
        <w:rPr>
          <w:rFonts w:hint="eastAsia" w:ascii="宋体"/>
          <w:color w:val="auto"/>
          <w:szCs w:val="21"/>
          <w:highlight w:val="none"/>
          <w:lang w:eastAsia="zh-CN"/>
        </w:rPr>
        <w:t>其他</w:t>
      </w:r>
      <w:r>
        <w:rPr>
          <w:rFonts w:hint="eastAsia" w:ascii="宋体"/>
          <w:color w:val="auto"/>
          <w:szCs w:val="21"/>
          <w:highlight w:val="none"/>
        </w:rPr>
        <w:t>实质性内容修正的函件和增加的任何优惠条件，一律不得作为评标、定标的依据。</w:t>
      </w:r>
    </w:p>
    <w:p w14:paraId="266809AA">
      <w:pPr>
        <w:keepNext w:val="0"/>
        <w:keepLines w:val="0"/>
        <w:pageBreakBefore w:val="0"/>
        <w:kinsoku/>
        <w:wordWrap/>
        <w:overflowPunct/>
        <w:topLinePunct w:val="0"/>
        <w:autoSpaceDE/>
        <w:autoSpaceDN/>
        <w:bidi w:val="0"/>
        <w:spacing w:line="52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2.2.3招标人不接受投标人主动提出的澄清。</w:t>
      </w:r>
    </w:p>
    <w:p w14:paraId="20AF6AFD">
      <w:pPr>
        <w:keepNext w:val="0"/>
        <w:keepLines w:val="0"/>
        <w:pageBreakBefore w:val="0"/>
        <w:kinsoku/>
        <w:wordWrap/>
        <w:overflowPunct/>
        <w:topLinePunct w:val="0"/>
        <w:autoSpaceDE/>
        <w:autoSpaceDN/>
        <w:bidi w:val="0"/>
        <w:spacing w:line="52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2.3比较与评价</w:t>
      </w:r>
    </w:p>
    <w:p w14:paraId="5BD72171">
      <w:pPr>
        <w:keepNext w:val="0"/>
        <w:keepLines w:val="0"/>
        <w:pageBreakBefore w:val="0"/>
        <w:kinsoku/>
        <w:wordWrap/>
        <w:overflowPunct/>
        <w:topLinePunct w:val="0"/>
        <w:autoSpaceDE/>
        <w:autoSpaceDN/>
        <w:bidi w:val="0"/>
        <w:spacing w:line="52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w:t>
      </w:r>
      <w:r>
        <w:rPr>
          <w:rFonts w:hint="eastAsia" w:ascii="宋体"/>
          <w:color w:val="auto"/>
          <w:szCs w:val="21"/>
          <w:highlight w:val="none"/>
        </w:rPr>
        <w:t>3.1按招标文件中规定的评标方法和标准，对资格性检查和符合性检查合格的投标文件进</w:t>
      </w:r>
      <w:r>
        <w:rPr>
          <w:rFonts w:hint="eastAsia" w:ascii="宋体"/>
          <w:color w:val="auto"/>
          <w:szCs w:val="21"/>
          <w:highlight w:val="none"/>
          <w:lang w:val="en-US" w:eastAsia="zh-CN"/>
        </w:rPr>
        <w:t>行</w:t>
      </w:r>
      <w:r>
        <w:rPr>
          <w:rFonts w:hint="eastAsia" w:ascii="宋体"/>
          <w:color w:val="auto"/>
          <w:szCs w:val="21"/>
          <w:highlight w:val="none"/>
        </w:rPr>
        <w:t xml:space="preserve">综合比较与评价。 </w:t>
      </w:r>
    </w:p>
    <w:p w14:paraId="58797B22">
      <w:pPr>
        <w:keepNext w:val="0"/>
        <w:keepLines w:val="0"/>
        <w:pageBreakBefore w:val="0"/>
        <w:kinsoku/>
        <w:wordWrap/>
        <w:overflowPunct/>
        <w:topLinePunct w:val="0"/>
        <w:autoSpaceDE/>
        <w:autoSpaceDN/>
        <w:bidi w:val="0"/>
        <w:spacing w:line="52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2.4推荐中标候选人名单</w:t>
      </w:r>
    </w:p>
    <w:p w14:paraId="110BD1D5">
      <w:pPr>
        <w:keepNext w:val="0"/>
        <w:keepLines w:val="0"/>
        <w:pageBreakBefore w:val="0"/>
        <w:kinsoku/>
        <w:wordWrap/>
        <w:overflowPunct/>
        <w:topLinePunct w:val="0"/>
        <w:autoSpaceDE/>
        <w:autoSpaceDN/>
        <w:bidi w:val="0"/>
        <w:spacing w:line="52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2.4.1中标候选人数量应当根据采购需要确定，但必须按顺序排列中标候选人。</w:t>
      </w:r>
    </w:p>
    <w:p w14:paraId="1A6FDD74">
      <w:pPr>
        <w:keepNext w:val="0"/>
        <w:keepLines w:val="0"/>
        <w:pageBreakBefore w:val="0"/>
        <w:kinsoku/>
        <w:wordWrap/>
        <w:overflowPunct/>
        <w:topLinePunct w:val="0"/>
        <w:autoSpaceDE/>
        <w:autoSpaceDN/>
        <w:bidi w:val="0"/>
        <w:spacing w:line="520" w:lineRule="exact"/>
        <w:ind w:firstLine="420" w:firstLineChars="200"/>
        <w:jc w:val="left"/>
        <w:textAlignment w:val="auto"/>
        <w:rPr>
          <w:rFonts w:hint="eastAsia"/>
          <w:color w:val="auto"/>
          <w:highlight w:val="none"/>
        </w:rPr>
      </w:pPr>
      <w:r>
        <w:rPr>
          <w:rFonts w:hint="eastAsia" w:ascii="宋体"/>
          <w:color w:val="auto"/>
          <w:szCs w:val="21"/>
          <w:highlight w:val="none"/>
        </w:rPr>
        <w:t>2.5在投标文件的审查、澄清、评价和比较以及授予合同过程中，投标人对招标人和评标委员会成员施加影响的任何行为，都将导致取消其中标资格。</w:t>
      </w:r>
    </w:p>
    <w:p w14:paraId="51F0A325">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ind w:firstLine="562" w:firstLineChars="200"/>
        <w:jc w:val="center"/>
        <w:textAlignment w:val="auto"/>
        <w:outlineLvl w:val="1"/>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二、投标文件初审</w:t>
      </w:r>
      <w:bookmarkEnd w:id="44"/>
      <w:bookmarkEnd w:id="45"/>
      <w:bookmarkEnd w:id="46"/>
    </w:p>
    <w:p w14:paraId="51BB9995">
      <w:pPr>
        <w:keepNext w:val="0"/>
        <w:keepLines w:val="0"/>
        <w:pageBreakBefore w:val="0"/>
        <w:kinsoku/>
        <w:wordWrap/>
        <w:overflowPunct/>
        <w:topLinePunct w:val="0"/>
        <w:autoSpaceDE/>
        <w:autoSpaceDN/>
        <w:bidi w:val="0"/>
        <w:spacing w:line="52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3.资格性审查</w:t>
      </w:r>
      <w:r>
        <w:rPr>
          <w:rFonts w:hint="eastAsia" w:ascii="宋体" w:hAnsi="宋体" w:cs="宋体"/>
          <w:b/>
          <w:color w:val="auto"/>
          <w:szCs w:val="21"/>
          <w:highlight w:val="none"/>
          <w:lang w:eastAsia="zh-CN"/>
        </w:rPr>
        <w:t>：</w:t>
      </w:r>
    </w:p>
    <w:p w14:paraId="6A45A2E7">
      <w:pPr>
        <w:keepNext w:val="0"/>
        <w:keepLines w:val="0"/>
        <w:pageBreakBefore w:val="0"/>
        <w:kinsoku/>
        <w:wordWrap/>
        <w:overflowPunct/>
        <w:topLinePunct w:val="0"/>
        <w:autoSpaceDE/>
        <w:autoSpaceDN/>
        <w:bidi w:val="0"/>
        <w:spacing w:line="52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3.1评审细则</w:t>
      </w:r>
    </w:p>
    <w:tbl>
      <w:tblPr>
        <w:tblStyle w:val="35"/>
        <w:tblW w:w="9030" w:type="dxa"/>
        <w:tblInd w:w="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1560"/>
        <w:gridCol w:w="3495"/>
        <w:gridCol w:w="3165"/>
      </w:tblGrid>
      <w:tr w14:paraId="6D988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810" w:type="dxa"/>
            <w:noWrap w:val="0"/>
            <w:vAlign w:val="center"/>
          </w:tcPr>
          <w:p w14:paraId="256B2D89">
            <w:pPr>
              <w:keepNext w:val="0"/>
              <w:keepLines w:val="0"/>
              <w:pageBreakBefore w:val="0"/>
              <w:kinsoku/>
              <w:wordWrap/>
              <w:overflowPunct/>
              <w:topLinePunct w:val="0"/>
              <w:autoSpaceDE/>
              <w:autoSpaceDN/>
              <w:bidi w:val="0"/>
              <w:spacing w:line="520" w:lineRule="exact"/>
              <w:jc w:val="both"/>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5055" w:type="dxa"/>
            <w:gridSpan w:val="2"/>
            <w:noWrap w:val="0"/>
            <w:vAlign w:val="center"/>
          </w:tcPr>
          <w:p w14:paraId="317DFDDF">
            <w:pPr>
              <w:keepNext w:val="0"/>
              <w:keepLines w:val="0"/>
              <w:pageBreakBefore w:val="0"/>
              <w:kinsoku/>
              <w:wordWrap/>
              <w:overflowPunct/>
              <w:topLinePunct w:val="0"/>
              <w:autoSpaceDE/>
              <w:autoSpaceDN/>
              <w:bidi w:val="0"/>
              <w:spacing w:line="520" w:lineRule="exact"/>
              <w:ind w:firstLine="422" w:firstLineChars="200"/>
              <w:jc w:val="center"/>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评审因素</w:t>
            </w:r>
          </w:p>
        </w:tc>
        <w:tc>
          <w:tcPr>
            <w:tcW w:w="3165" w:type="dxa"/>
            <w:noWrap w:val="0"/>
            <w:vAlign w:val="center"/>
          </w:tcPr>
          <w:p w14:paraId="12EF048E">
            <w:pPr>
              <w:keepNext w:val="0"/>
              <w:keepLines w:val="0"/>
              <w:pageBreakBefore w:val="0"/>
              <w:kinsoku/>
              <w:wordWrap/>
              <w:overflowPunct/>
              <w:topLinePunct w:val="0"/>
              <w:autoSpaceDE/>
              <w:autoSpaceDN/>
              <w:bidi w:val="0"/>
              <w:spacing w:line="520" w:lineRule="exact"/>
              <w:ind w:firstLine="422" w:firstLineChars="200"/>
              <w:jc w:val="center"/>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评审标准</w:t>
            </w:r>
          </w:p>
        </w:tc>
      </w:tr>
      <w:tr w14:paraId="4008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810" w:type="dxa"/>
            <w:noWrap w:val="0"/>
            <w:vAlign w:val="center"/>
          </w:tcPr>
          <w:p w14:paraId="1285CBF8">
            <w:pPr>
              <w:keepNext w:val="0"/>
              <w:keepLines w:val="0"/>
              <w:pageBreakBefore w:val="0"/>
              <w:kinsoku/>
              <w:wordWrap/>
              <w:overflowPunct/>
              <w:topLinePunct w:val="0"/>
              <w:autoSpaceDE/>
              <w:autoSpaceDN/>
              <w:bidi w:val="0"/>
              <w:spacing w:line="52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1</w:t>
            </w:r>
          </w:p>
        </w:tc>
        <w:tc>
          <w:tcPr>
            <w:tcW w:w="1560" w:type="dxa"/>
            <w:noWrap w:val="0"/>
            <w:vAlign w:val="center"/>
          </w:tcPr>
          <w:p w14:paraId="3C5C5350">
            <w:pPr>
              <w:keepNext w:val="0"/>
              <w:keepLines w:val="0"/>
              <w:pageBreakBefore w:val="0"/>
              <w:kinsoku/>
              <w:wordWrap/>
              <w:overflowPunct/>
              <w:topLinePunct w:val="0"/>
              <w:autoSpaceDE/>
              <w:autoSpaceDN/>
              <w:bidi w:val="0"/>
              <w:spacing w:line="52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重要要求</w:t>
            </w:r>
          </w:p>
        </w:tc>
        <w:tc>
          <w:tcPr>
            <w:tcW w:w="3495" w:type="dxa"/>
            <w:noWrap w:val="0"/>
            <w:vAlign w:val="center"/>
          </w:tcPr>
          <w:p w14:paraId="308A1E87">
            <w:pPr>
              <w:keepNext w:val="0"/>
              <w:keepLines w:val="0"/>
              <w:pageBreakBefore w:val="0"/>
              <w:kinsoku/>
              <w:wordWrap/>
              <w:overflowPunct/>
              <w:topLinePunct w:val="0"/>
              <w:autoSpaceDE/>
              <w:autoSpaceDN/>
              <w:bidi w:val="0"/>
              <w:spacing w:line="520" w:lineRule="exact"/>
              <w:textAlignment w:val="auto"/>
              <w:rPr>
                <w:rFonts w:hint="eastAsia" w:ascii="宋体" w:hAnsi="宋体" w:cs="宋体"/>
                <w:color w:val="auto"/>
                <w:szCs w:val="21"/>
                <w:highlight w:val="none"/>
              </w:rPr>
            </w:pPr>
            <w:r>
              <w:rPr>
                <w:rFonts w:hint="eastAsia" w:ascii="宋体" w:hAnsi="宋体" w:cs="宋体"/>
                <w:color w:val="auto"/>
                <w:szCs w:val="21"/>
                <w:highlight w:val="none"/>
              </w:rPr>
              <w:t>法定代表人身份证明和本人有效身份证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或法定代表人授权委托书和委托代理人有效身份证</w:t>
            </w:r>
            <w:r>
              <w:rPr>
                <w:rFonts w:hint="eastAsia" w:ascii="宋体" w:hAnsi="宋体" w:cs="宋体"/>
                <w:color w:val="auto"/>
                <w:szCs w:val="21"/>
                <w:highlight w:val="none"/>
                <w:lang w:eastAsia="zh-CN"/>
              </w:rPr>
              <w:t>）</w:t>
            </w:r>
          </w:p>
        </w:tc>
        <w:tc>
          <w:tcPr>
            <w:tcW w:w="3165" w:type="dxa"/>
            <w:noWrap w:val="0"/>
            <w:vAlign w:val="center"/>
          </w:tcPr>
          <w:p w14:paraId="4B0BE00E">
            <w:pPr>
              <w:keepNext w:val="0"/>
              <w:keepLines w:val="0"/>
              <w:pageBreakBefore w:val="0"/>
              <w:kinsoku/>
              <w:wordWrap/>
              <w:overflowPunct/>
              <w:topLinePunct w:val="0"/>
              <w:autoSpaceDE/>
              <w:autoSpaceDN/>
              <w:bidi w:val="0"/>
              <w:spacing w:line="52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r w14:paraId="31FC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trPr>
        <w:tc>
          <w:tcPr>
            <w:tcW w:w="810" w:type="dxa"/>
            <w:vMerge w:val="restart"/>
            <w:noWrap w:val="0"/>
            <w:vAlign w:val="center"/>
          </w:tcPr>
          <w:p w14:paraId="16220CB4">
            <w:pPr>
              <w:keepNext w:val="0"/>
              <w:keepLines w:val="0"/>
              <w:pageBreakBefore w:val="0"/>
              <w:kinsoku/>
              <w:wordWrap/>
              <w:overflowPunct/>
              <w:topLinePunct w:val="0"/>
              <w:autoSpaceDE/>
              <w:autoSpaceDN/>
              <w:bidi w:val="0"/>
              <w:spacing w:line="52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2</w:t>
            </w:r>
          </w:p>
        </w:tc>
        <w:tc>
          <w:tcPr>
            <w:tcW w:w="1560" w:type="dxa"/>
            <w:vMerge w:val="restart"/>
            <w:noWrap w:val="0"/>
            <w:vAlign w:val="center"/>
          </w:tcPr>
          <w:p w14:paraId="4C558808">
            <w:pPr>
              <w:keepNext w:val="0"/>
              <w:keepLines w:val="0"/>
              <w:pageBreakBefore w:val="0"/>
              <w:kinsoku/>
              <w:wordWrap/>
              <w:overflowPunct/>
              <w:topLinePunct w:val="0"/>
              <w:autoSpaceDE/>
              <w:autoSpaceDN/>
              <w:bidi w:val="0"/>
              <w:spacing w:line="52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投标人应符合的基本资格条件</w:t>
            </w:r>
          </w:p>
        </w:tc>
        <w:tc>
          <w:tcPr>
            <w:tcW w:w="3495" w:type="dxa"/>
            <w:noWrap w:val="0"/>
            <w:vAlign w:val="center"/>
          </w:tcPr>
          <w:p w14:paraId="0F7F3050">
            <w:pPr>
              <w:keepNext w:val="0"/>
              <w:keepLines w:val="0"/>
              <w:pageBreakBefore w:val="0"/>
              <w:kinsoku/>
              <w:wordWrap/>
              <w:overflowPunct/>
              <w:topLinePunct w:val="0"/>
              <w:autoSpaceDE/>
              <w:autoSpaceDN/>
              <w:bidi w:val="0"/>
              <w:spacing w:line="520" w:lineRule="exact"/>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具有独立承担民事责任能力和相应服务能力</w:t>
            </w:r>
          </w:p>
        </w:tc>
        <w:tc>
          <w:tcPr>
            <w:tcW w:w="3165" w:type="dxa"/>
            <w:noWrap w:val="0"/>
            <w:vAlign w:val="center"/>
          </w:tcPr>
          <w:p w14:paraId="70F38C35">
            <w:pPr>
              <w:keepNext w:val="0"/>
              <w:keepLines w:val="0"/>
              <w:pageBreakBefore w:val="0"/>
              <w:kinsoku/>
              <w:wordWrap/>
              <w:overflowPunct/>
              <w:topLinePunct w:val="0"/>
              <w:autoSpaceDE/>
              <w:autoSpaceDN/>
              <w:bidi w:val="0"/>
              <w:spacing w:line="520" w:lineRule="exact"/>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有效的营业执照</w:t>
            </w:r>
          </w:p>
        </w:tc>
      </w:tr>
      <w:tr w14:paraId="27F7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810" w:type="dxa"/>
            <w:vMerge w:val="continue"/>
            <w:noWrap w:val="0"/>
            <w:vAlign w:val="center"/>
          </w:tcPr>
          <w:p w14:paraId="5F4128C5">
            <w:pPr>
              <w:keepNext w:val="0"/>
              <w:keepLines w:val="0"/>
              <w:pageBreakBefore w:val="0"/>
              <w:kinsoku/>
              <w:wordWrap/>
              <w:overflowPunct/>
              <w:topLinePunct w:val="0"/>
              <w:autoSpaceDE/>
              <w:autoSpaceDN/>
              <w:bidi w:val="0"/>
              <w:spacing w:line="520" w:lineRule="exact"/>
              <w:ind w:firstLine="420" w:firstLineChars="200"/>
              <w:jc w:val="center"/>
              <w:textAlignment w:val="auto"/>
              <w:rPr>
                <w:rFonts w:hint="eastAsia" w:ascii="宋体" w:hAnsi="宋体" w:cs="宋体"/>
                <w:color w:val="auto"/>
                <w:szCs w:val="21"/>
                <w:highlight w:val="none"/>
              </w:rPr>
            </w:pPr>
          </w:p>
        </w:tc>
        <w:tc>
          <w:tcPr>
            <w:tcW w:w="1560" w:type="dxa"/>
            <w:vMerge w:val="continue"/>
            <w:noWrap w:val="0"/>
            <w:vAlign w:val="center"/>
          </w:tcPr>
          <w:p w14:paraId="788A23E8">
            <w:pPr>
              <w:keepNext w:val="0"/>
              <w:keepLines w:val="0"/>
              <w:pageBreakBefore w:val="0"/>
              <w:kinsoku/>
              <w:wordWrap/>
              <w:overflowPunct/>
              <w:topLinePunct w:val="0"/>
              <w:autoSpaceDE/>
              <w:autoSpaceDN/>
              <w:bidi w:val="0"/>
              <w:spacing w:line="520" w:lineRule="exact"/>
              <w:ind w:firstLine="420" w:firstLineChars="200"/>
              <w:textAlignment w:val="auto"/>
              <w:rPr>
                <w:rFonts w:hint="eastAsia" w:ascii="宋体" w:hAnsi="宋体" w:cs="宋体"/>
                <w:color w:val="auto"/>
                <w:szCs w:val="21"/>
                <w:highlight w:val="none"/>
              </w:rPr>
            </w:pPr>
          </w:p>
        </w:tc>
        <w:tc>
          <w:tcPr>
            <w:tcW w:w="3495" w:type="dxa"/>
            <w:noWrap w:val="0"/>
            <w:vAlign w:val="top"/>
          </w:tcPr>
          <w:p w14:paraId="60066964">
            <w:pPr>
              <w:keepNext w:val="0"/>
              <w:keepLines w:val="0"/>
              <w:pageBreakBefore w:val="0"/>
              <w:kinsoku/>
              <w:wordWrap/>
              <w:overflowPunct/>
              <w:topLinePunct w:val="0"/>
              <w:autoSpaceDE/>
              <w:autoSpaceDN/>
              <w:bidi w:val="0"/>
              <w:spacing w:line="520" w:lineRule="exact"/>
              <w:textAlignment w:val="auto"/>
              <w:rPr>
                <w:rFonts w:hint="eastAsia" w:ascii="宋体" w:hAnsi="宋体" w:cs="宋体"/>
                <w:b/>
                <w:color w:val="auto"/>
                <w:szCs w:val="21"/>
                <w:highlight w:val="none"/>
              </w:rPr>
            </w:pPr>
            <w:r>
              <w:rPr>
                <w:rFonts w:hint="eastAsia" w:ascii="宋体" w:hAnsi="宋体" w:cs="宋体"/>
                <w:color w:val="auto"/>
                <w:szCs w:val="21"/>
                <w:highlight w:val="none"/>
              </w:rPr>
              <w:t>诚信投标承诺书</w:t>
            </w:r>
          </w:p>
        </w:tc>
        <w:tc>
          <w:tcPr>
            <w:tcW w:w="3165" w:type="dxa"/>
            <w:noWrap w:val="0"/>
            <w:vAlign w:val="center"/>
          </w:tcPr>
          <w:p w14:paraId="3EDC332C">
            <w:pPr>
              <w:keepNext w:val="0"/>
              <w:keepLines w:val="0"/>
              <w:pageBreakBefore w:val="0"/>
              <w:kinsoku/>
              <w:wordWrap/>
              <w:overflowPunct/>
              <w:topLinePunct w:val="0"/>
              <w:autoSpaceDE/>
              <w:autoSpaceDN/>
              <w:bidi w:val="0"/>
              <w:spacing w:line="520" w:lineRule="exact"/>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格式见附件，检验</w:t>
            </w:r>
            <w:r>
              <w:rPr>
                <w:rFonts w:hint="eastAsia" w:ascii="宋体" w:hAnsi="宋体" w:eastAsia="宋体" w:cs="宋体"/>
                <w:color w:val="auto"/>
                <w:szCs w:val="21"/>
                <w:highlight w:val="none"/>
                <w:lang w:val="en-US" w:eastAsia="zh-CN"/>
              </w:rPr>
              <w:t>投标文件</w:t>
            </w:r>
          </w:p>
        </w:tc>
      </w:tr>
      <w:tr w14:paraId="37D4A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810" w:type="dxa"/>
            <w:vMerge w:val="continue"/>
            <w:noWrap w:val="0"/>
            <w:vAlign w:val="center"/>
          </w:tcPr>
          <w:p w14:paraId="31E851B6">
            <w:pPr>
              <w:keepNext w:val="0"/>
              <w:keepLines w:val="0"/>
              <w:pageBreakBefore w:val="0"/>
              <w:kinsoku/>
              <w:wordWrap/>
              <w:overflowPunct/>
              <w:topLinePunct w:val="0"/>
              <w:autoSpaceDE/>
              <w:autoSpaceDN/>
              <w:bidi w:val="0"/>
              <w:spacing w:line="520" w:lineRule="exact"/>
              <w:ind w:firstLine="420" w:firstLineChars="200"/>
              <w:jc w:val="center"/>
              <w:textAlignment w:val="auto"/>
              <w:rPr>
                <w:rFonts w:hint="eastAsia" w:ascii="宋体" w:hAnsi="宋体" w:cs="宋体"/>
                <w:color w:val="auto"/>
                <w:szCs w:val="21"/>
                <w:highlight w:val="none"/>
              </w:rPr>
            </w:pPr>
          </w:p>
        </w:tc>
        <w:tc>
          <w:tcPr>
            <w:tcW w:w="1560" w:type="dxa"/>
            <w:vMerge w:val="continue"/>
            <w:noWrap w:val="0"/>
            <w:vAlign w:val="center"/>
          </w:tcPr>
          <w:p w14:paraId="15EF9570">
            <w:pPr>
              <w:keepNext w:val="0"/>
              <w:keepLines w:val="0"/>
              <w:pageBreakBefore w:val="0"/>
              <w:kinsoku/>
              <w:wordWrap/>
              <w:overflowPunct/>
              <w:topLinePunct w:val="0"/>
              <w:autoSpaceDE/>
              <w:autoSpaceDN/>
              <w:bidi w:val="0"/>
              <w:spacing w:line="520" w:lineRule="exact"/>
              <w:ind w:firstLine="420" w:firstLineChars="200"/>
              <w:textAlignment w:val="auto"/>
              <w:rPr>
                <w:rFonts w:hint="eastAsia" w:ascii="宋体" w:hAnsi="宋体" w:cs="宋体"/>
                <w:color w:val="auto"/>
                <w:szCs w:val="21"/>
                <w:highlight w:val="none"/>
              </w:rPr>
            </w:pPr>
          </w:p>
        </w:tc>
        <w:tc>
          <w:tcPr>
            <w:tcW w:w="3495" w:type="dxa"/>
            <w:noWrap w:val="0"/>
            <w:vAlign w:val="top"/>
          </w:tcPr>
          <w:p w14:paraId="0D2626BE">
            <w:pPr>
              <w:keepNext w:val="0"/>
              <w:keepLines w:val="0"/>
              <w:pageBreakBefore w:val="0"/>
              <w:kinsoku/>
              <w:wordWrap/>
              <w:overflowPunct/>
              <w:topLinePunct w:val="0"/>
              <w:autoSpaceDE/>
              <w:autoSpaceDN/>
              <w:bidi w:val="0"/>
              <w:spacing w:line="520" w:lineRule="exact"/>
              <w:textAlignment w:val="auto"/>
              <w:rPr>
                <w:rFonts w:hint="default" w:ascii="宋体" w:hAnsi="宋体" w:eastAsia="宋体" w:cs="宋体"/>
                <w:color w:val="auto"/>
                <w:szCs w:val="21"/>
                <w:highlight w:val="none"/>
                <w:lang w:val="en-US" w:eastAsia="zh-CN"/>
              </w:rPr>
            </w:pPr>
            <w:r>
              <w:rPr>
                <w:rFonts w:hint="eastAsia" w:ascii="宋体" w:hAnsi="宋体" w:cs="宋体"/>
                <w:color w:val="auto"/>
                <w:sz w:val="22"/>
                <w:szCs w:val="22"/>
                <w:highlight w:val="none"/>
                <w:lang w:val="en-US" w:eastAsia="zh-CN"/>
              </w:rPr>
              <w:t>拟派项目负责人具有水土保持专业或水利水电工程专业中级（或以上）职称证书</w:t>
            </w:r>
          </w:p>
        </w:tc>
        <w:tc>
          <w:tcPr>
            <w:tcW w:w="3165" w:type="dxa"/>
            <w:noWrap w:val="0"/>
            <w:vAlign w:val="center"/>
          </w:tcPr>
          <w:p w14:paraId="609D103E">
            <w:pPr>
              <w:keepNext w:val="0"/>
              <w:keepLines w:val="0"/>
              <w:pageBreakBefore w:val="0"/>
              <w:kinsoku/>
              <w:wordWrap/>
              <w:overflowPunct/>
              <w:topLinePunct w:val="0"/>
              <w:autoSpaceDE/>
              <w:autoSpaceDN/>
              <w:bidi w:val="0"/>
              <w:spacing w:line="520" w:lineRule="exact"/>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提供有效的身份证及职称证书</w:t>
            </w:r>
          </w:p>
        </w:tc>
      </w:tr>
    </w:tbl>
    <w:p w14:paraId="4BC832D8">
      <w:pPr>
        <w:keepNext w:val="0"/>
        <w:keepLines w:val="0"/>
        <w:pageBreakBefore w:val="0"/>
        <w:kinsoku/>
        <w:wordWrap/>
        <w:overflowPunct/>
        <w:topLinePunct w:val="0"/>
        <w:autoSpaceDE/>
        <w:autoSpaceDN/>
        <w:bidi w:val="0"/>
        <w:spacing w:line="52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3.</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如评标专家在</w:t>
      </w:r>
      <w:r>
        <w:rPr>
          <w:rFonts w:hint="eastAsia" w:ascii="宋体" w:hAnsi="宋体" w:cs="宋体"/>
          <w:b/>
          <w:color w:val="auto"/>
          <w:szCs w:val="21"/>
          <w:highlight w:val="none"/>
          <w:lang w:val="en-US" w:eastAsia="zh-CN"/>
        </w:rPr>
        <w:t>检验</w:t>
      </w:r>
      <w:r>
        <w:rPr>
          <w:rFonts w:hint="eastAsia" w:ascii="宋体" w:hAnsi="宋体" w:cs="宋体"/>
          <w:b/>
          <w:color w:val="auto"/>
          <w:szCs w:val="21"/>
          <w:highlight w:val="none"/>
        </w:rPr>
        <w:t>投标文件过程中，如果由于投标人自身原因导致评标专家无法查看并检验投标文件中相关资料的，否决其投标。即使投标人将原件携带至现场的，同样按否决投标处理。</w:t>
      </w:r>
    </w:p>
    <w:p w14:paraId="06CA4B4D">
      <w:pPr>
        <w:keepNext w:val="0"/>
        <w:keepLines w:val="0"/>
        <w:pageBreakBefore w:val="0"/>
        <w:kinsoku/>
        <w:wordWrap/>
        <w:overflowPunct/>
        <w:topLinePunct w:val="0"/>
        <w:autoSpaceDE/>
        <w:autoSpaceDN/>
        <w:bidi w:val="0"/>
        <w:spacing w:line="52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4.符合性审查</w:t>
      </w:r>
    </w:p>
    <w:p w14:paraId="4C12151B">
      <w:pPr>
        <w:keepNext w:val="0"/>
        <w:keepLines w:val="0"/>
        <w:pageBreakBefore w:val="0"/>
        <w:kinsoku/>
        <w:wordWrap/>
        <w:overflowPunct/>
        <w:topLinePunct w:val="0"/>
        <w:autoSpaceDE/>
        <w:autoSpaceDN/>
        <w:bidi w:val="0"/>
        <w:spacing w:line="52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cs="宋体"/>
          <w:color w:val="auto"/>
          <w:szCs w:val="21"/>
          <w:highlight w:val="none"/>
        </w:rPr>
        <w:t>1评审细则</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204"/>
        <w:gridCol w:w="2931"/>
        <w:gridCol w:w="4173"/>
      </w:tblGrid>
      <w:tr w14:paraId="7C64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31" w:type="dxa"/>
            <w:noWrap w:val="0"/>
            <w:vAlign w:val="center"/>
          </w:tcPr>
          <w:p w14:paraId="60EE09A5">
            <w:pPr>
              <w:keepNext w:val="0"/>
              <w:keepLines w:val="0"/>
              <w:pageBreakBefore w:val="0"/>
              <w:kinsoku/>
              <w:wordWrap/>
              <w:overflowPunct/>
              <w:topLinePunct w:val="0"/>
              <w:autoSpaceDE/>
              <w:autoSpaceDN/>
              <w:bidi w:val="0"/>
              <w:spacing w:line="520" w:lineRule="exact"/>
              <w:jc w:val="both"/>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4135" w:type="dxa"/>
            <w:gridSpan w:val="2"/>
            <w:noWrap w:val="0"/>
            <w:vAlign w:val="center"/>
          </w:tcPr>
          <w:p w14:paraId="60D2CE17">
            <w:pPr>
              <w:keepNext w:val="0"/>
              <w:keepLines w:val="0"/>
              <w:pageBreakBefore w:val="0"/>
              <w:kinsoku/>
              <w:wordWrap/>
              <w:overflowPunct/>
              <w:topLinePunct w:val="0"/>
              <w:autoSpaceDE/>
              <w:autoSpaceDN/>
              <w:bidi w:val="0"/>
              <w:spacing w:line="520" w:lineRule="exact"/>
              <w:ind w:firstLine="422" w:firstLineChars="200"/>
              <w:jc w:val="center"/>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审查因素</w:t>
            </w:r>
          </w:p>
        </w:tc>
        <w:tc>
          <w:tcPr>
            <w:tcW w:w="4173" w:type="dxa"/>
            <w:noWrap w:val="0"/>
            <w:vAlign w:val="center"/>
          </w:tcPr>
          <w:p w14:paraId="6DE2F9BA">
            <w:pPr>
              <w:keepNext w:val="0"/>
              <w:keepLines w:val="0"/>
              <w:pageBreakBefore w:val="0"/>
              <w:kinsoku/>
              <w:wordWrap/>
              <w:overflowPunct/>
              <w:topLinePunct w:val="0"/>
              <w:autoSpaceDE/>
              <w:autoSpaceDN/>
              <w:bidi w:val="0"/>
              <w:spacing w:line="520" w:lineRule="exact"/>
              <w:ind w:firstLine="422" w:firstLineChars="200"/>
              <w:jc w:val="center"/>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审查内容</w:t>
            </w:r>
          </w:p>
        </w:tc>
      </w:tr>
      <w:tr w14:paraId="03DC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31" w:type="dxa"/>
            <w:vMerge w:val="restart"/>
            <w:noWrap w:val="0"/>
            <w:vAlign w:val="center"/>
          </w:tcPr>
          <w:p w14:paraId="798D3F5C">
            <w:pPr>
              <w:keepNext w:val="0"/>
              <w:keepLines w:val="0"/>
              <w:pageBreakBefore w:val="0"/>
              <w:kinsoku/>
              <w:wordWrap/>
              <w:overflowPunct/>
              <w:topLinePunct w:val="0"/>
              <w:autoSpaceDE/>
              <w:autoSpaceDN/>
              <w:bidi w:val="0"/>
              <w:spacing w:line="52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1</w:t>
            </w:r>
          </w:p>
        </w:tc>
        <w:tc>
          <w:tcPr>
            <w:tcW w:w="1204" w:type="dxa"/>
            <w:vMerge w:val="restart"/>
            <w:noWrap w:val="0"/>
            <w:vAlign w:val="center"/>
          </w:tcPr>
          <w:p w14:paraId="7725307C">
            <w:pPr>
              <w:keepNext w:val="0"/>
              <w:keepLines w:val="0"/>
              <w:pageBreakBefore w:val="0"/>
              <w:kinsoku/>
              <w:wordWrap/>
              <w:overflowPunct/>
              <w:topLinePunct w:val="0"/>
              <w:autoSpaceDE/>
              <w:autoSpaceDN/>
              <w:bidi w:val="0"/>
              <w:spacing w:line="520" w:lineRule="exact"/>
              <w:jc w:val="center"/>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投标文件的有效性</w:t>
            </w:r>
          </w:p>
        </w:tc>
        <w:tc>
          <w:tcPr>
            <w:tcW w:w="2931" w:type="dxa"/>
            <w:noWrap w:val="0"/>
            <w:vAlign w:val="center"/>
          </w:tcPr>
          <w:p w14:paraId="5947951C">
            <w:pPr>
              <w:keepNext w:val="0"/>
              <w:keepLines w:val="0"/>
              <w:pageBreakBefore w:val="0"/>
              <w:kinsoku/>
              <w:wordWrap/>
              <w:overflowPunct/>
              <w:topLinePunct w:val="0"/>
              <w:autoSpaceDE/>
              <w:autoSpaceDN/>
              <w:bidi w:val="0"/>
              <w:spacing w:line="52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投标文件签署</w:t>
            </w:r>
          </w:p>
        </w:tc>
        <w:tc>
          <w:tcPr>
            <w:tcW w:w="4173" w:type="dxa"/>
            <w:noWrap w:val="0"/>
            <w:vAlign w:val="center"/>
          </w:tcPr>
          <w:p w14:paraId="70C044A4">
            <w:pPr>
              <w:keepNext w:val="0"/>
              <w:keepLines w:val="0"/>
              <w:pageBreakBefore w:val="0"/>
              <w:kinsoku/>
              <w:wordWrap/>
              <w:overflowPunct/>
              <w:topLinePunct w:val="0"/>
              <w:autoSpaceDE/>
              <w:autoSpaceDN/>
              <w:bidi w:val="0"/>
              <w:spacing w:line="52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签字、盖章符合要求。</w:t>
            </w:r>
          </w:p>
        </w:tc>
      </w:tr>
      <w:tr w14:paraId="5E9C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731" w:type="dxa"/>
            <w:vMerge w:val="continue"/>
            <w:noWrap w:val="0"/>
            <w:vAlign w:val="center"/>
          </w:tcPr>
          <w:p w14:paraId="0463B276">
            <w:pPr>
              <w:keepNext w:val="0"/>
              <w:keepLines w:val="0"/>
              <w:pageBreakBefore w:val="0"/>
              <w:kinsoku/>
              <w:wordWrap/>
              <w:overflowPunct/>
              <w:topLinePunct w:val="0"/>
              <w:autoSpaceDE/>
              <w:autoSpaceDN/>
              <w:bidi w:val="0"/>
              <w:spacing w:line="520" w:lineRule="exact"/>
              <w:ind w:firstLine="420" w:firstLineChars="200"/>
              <w:jc w:val="center"/>
              <w:textAlignment w:val="auto"/>
              <w:rPr>
                <w:rFonts w:hint="eastAsia" w:ascii="宋体" w:hAnsi="宋体" w:cs="宋体"/>
                <w:color w:val="auto"/>
                <w:szCs w:val="21"/>
                <w:highlight w:val="none"/>
              </w:rPr>
            </w:pPr>
          </w:p>
        </w:tc>
        <w:tc>
          <w:tcPr>
            <w:tcW w:w="1204" w:type="dxa"/>
            <w:vMerge w:val="continue"/>
            <w:noWrap w:val="0"/>
            <w:vAlign w:val="center"/>
          </w:tcPr>
          <w:p w14:paraId="14A50888">
            <w:pPr>
              <w:keepNext w:val="0"/>
              <w:keepLines w:val="0"/>
              <w:pageBreakBefore w:val="0"/>
              <w:kinsoku/>
              <w:wordWrap/>
              <w:overflowPunct/>
              <w:topLinePunct w:val="0"/>
              <w:autoSpaceDE/>
              <w:autoSpaceDN/>
              <w:bidi w:val="0"/>
              <w:spacing w:line="520" w:lineRule="exact"/>
              <w:ind w:firstLine="420" w:firstLineChars="200"/>
              <w:jc w:val="center"/>
              <w:textAlignment w:val="auto"/>
              <w:rPr>
                <w:rFonts w:hint="eastAsia" w:ascii="宋体" w:hAnsi="宋体" w:cs="宋体"/>
                <w:color w:val="auto"/>
                <w:szCs w:val="21"/>
                <w:highlight w:val="none"/>
              </w:rPr>
            </w:pPr>
          </w:p>
        </w:tc>
        <w:tc>
          <w:tcPr>
            <w:tcW w:w="2931" w:type="dxa"/>
            <w:noWrap w:val="0"/>
            <w:vAlign w:val="center"/>
          </w:tcPr>
          <w:p w14:paraId="0999086C">
            <w:pPr>
              <w:keepNext w:val="0"/>
              <w:keepLines w:val="0"/>
              <w:pageBreakBefore w:val="0"/>
              <w:kinsoku/>
              <w:wordWrap/>
              <w:overflowPunct/>
              <w:topLinePunct w:val="0"/>
              <w:autoSpaceDE/>
              <w:autoSpaceDN/>
              <w:bidi w:val="0"/>
              <w:spacing w:line="52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投标方案</w:t>
            </w:r>
          </w:p>
        </w:tc>
        <w:tc>
          <w:tcPr>
            <w:tcW w:w="4173" w:type="dxa"/>
            <w:noWrap w:val="0"/>
            <w:vAlign w:val="center"/>
          </w:tcPr>
          <w:p w14:paraId="4EC3E494">
            <w:pPr>
              <w:keepNext w:val="0"/>
              <w:keepLines w:val="0"/>
              <w:pageBreakBefore w:val="0"/>
              <w:kinsoku/>
              <w:wordWrap/>
              <w:overflowPunct/>
              <w:topLinePunct w:val="0"/>
              <w:autoSpaceDE/>
              <w:autoSpaceDN/>
              <w:bidi w:val="0"/>
              <w:spacing w:line="520" w:lineRule="exact"/>
              <w:textAlignment w:val="auto"/>
              <w:rPr>
                <w:rFonts w:hint="eastAsia" w:ascii="宋体" w:hAnsi="宋体" w:cs="宋体"/>
                <w:color w:val="auto"/>
                <w:szCs w:val="21"/>
                <w:highlight w:val="none"/>
              </w:rPr>
            </w:pPr>
            <w:r>
              <w:rPr>
                <w:rFonts w:hint="eastAsia" w:ascii="宋体" w:hAnsi="宋体" w:cs="宋体"/>
                <w:color w:val="auto"/>
                <w:szCs w:val="21"/>
                <w:highlight w:val="none"/>
                <w:lang w:val="zh-CN"/>
              </w:rPr>
              <w:t>每个分包只能有一个方案投标。</w:t>
            </w:r>
          </w:p>
        </w:tc>
      </w:tr>
      <w:tr w14:paraId="582C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731" w:type="dxa"/>
            <w:vMerge w:val="continue"/>
            <w:noWrap w:val="0"/>
            <w:vAlign w:val="center"/>
          </w:tcPr>
          <w:p w14:paraId="60B973D7">
            <w:pPr>
              <w:keepNext w:val="0"/>
              <w:keepLines w:val="0"/>
              <w:pageBreakBefore w:val="0"/>
              <w:kinsoku/>
              <w:wordWrap/>
              <w:overflowPunct/>
              <w:topLinePunct w:val="0"/>
              <w:autoSpaceDE/>
              <w:autoSpaceDN/>
              <w:bidi w:val="0"/>
              <w:spacing w:line="520" w:lineRule="exact"/>
              <w:ind w:firstLine="420" w:firstLineChars="200"/>
              <w:jc w:val="center"/>
              <w:textAlignment w:val="auto"/>
              <w:rPr>
                <w:rFonts w:hint="eastAsia" w:ascii="宋体" w:hAnsi="宋体" w:cs="宋体"/>
                <w:color w:val="auto"/>
                <w:szCs w:val="21"/>
                <w:highlight w:val="none"/>
              </w:rPr>
            </w:pPr>
          </w:p>
        </w:tc>
        <w:tc>
          <w:tcPr>
            <w:tcW w:w="1204" w:type="dxa"/>
            <w:vMerge w:val="continue"/>
            <w:noWrap w:val="0"/>
            <w:vAlign w:val="center"/>
          </w:tcPr>
          <w:p w14:paraId="06E85D35">
            <w:pPr>
              <w:keepNext w:val="0"/>
              <w:keepLines w:val="0"/>
              <w:pageBreakBefore w:val="0"/>
              <w:kinsoku/>
              <w:wordWrap/>
              <w:overflowPunct/>
              <w:topLinePunct w:val="0"/>
              <w:autoSpaceDE/>
              <w:autoSpaceDN/>
              <w:bidi w:val="0"/>
              <w:spacing w:line="520" w:lineRule="exact"/>
              <w:ind w:firstLine="420" w:firstLineChars="200"/>
              <w:jc w:val="center"/>
              <w:textAlignment w:val="auto"/>
              <w:rPr>
                <w:rFonts w:hint="eastAsia" w:ascii="宋体" w:hAnsi="宋体" w:cs="宋体"/>
                <w:color w:val="auto"/>
                <w:szCs w:val="21"/>
                <w:highlight w:val="none"/>
              </w:rPr>
            </w:pPr>
          </w:p>
        </w:tc>
        <w:tc>
          <w:tcPr>
            <w:tcW w:w="2931" w:type="dxa"/>
            <w:noWrap w:val="0"/>
            <w:vAlign w:val="center"/>
          </w:tcPr>
          <w:p w14:paraId="26DCF9F5">
            <w:pPr>
              <w:keepNext w:val="0"/>
              <w:keepLines w:val="0"/>
              <w:pageBreakBefore w:val="0"/>
              <w:kinsoku/>
              <w:wordWrap/>
              <w:overflowPunct/>
              <w:topLinePunct w:val="0"/>
              <w:autoSpaceDE/>
              <w:autoSpaceDN/>
              <w:bidi w:val="0"/>
              <w:spacing w:line="52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rPr>
              <w:t>报价唯一</w:t>
            </w:r>
          </w:p>
        </w:tc>
        <w:tc>
          <w:tcPr>
            <w:tcW w:w="4173" w:type="dxa"/>
            <w:noWrap w:val="0"/>
            <w:vAlign w:val="center"/>
          </w:tcPr>
          <w:p w14:paraId="22B25870">
            <w:pPr>
              <w:keepNext w:val="0"/>
              <w:keepLines w:val="0"/>
              <w:pageBreakBefore w:val="0"/>
              <w:kinsoku/>
              <w:wordWrap/>
              <w:overflowPunct/>
              <w:topLinePunct w:val="0"/>
              <w:autoSpaceDE/>
              <w:autoSpaceDN/>
              <w:bidi w:val="0"/>
              <w:spacing w:line="520" w:lineRule="exact"/>
              <w:textAlignment w:val="auto"/>
              <w:rPr>
                <w:rFonts w:hint="eastAsia" w:ascii="宋体" w:hAnsi="宋体" w:cs="宋体"/>
                <w:color w:val="auto"/>
                <w:szCs w:val="21"/>
                <w:highlight w:val="none"/>
              </w:rPr>
            </w:pPr>
            <w:r>
              <w:rPr>
                <w:rFonts w:hint="eastAsia" w:ascii="宋体" w:hAnsi="宋体" w:cs="宋体"/>
                <w:color w:val="auto"/>
                <w:szCs w:val="21"/>
                <w:highlight w:val="none"/>
                <w:lang w:val="zh-CN"/>
              </w:rPr>
              <w:t>只能在限价范围内报价，</w:t>
            </w:r>
            <w:r>
              <w:rPr>
                <w:rFonts w:hint="eastAsia" w:ascii="宋体" w:hAnsi="宋体" w:cs="宋体"/>
                <w:color w:val="auto"/>
                <w:szCs w:val="21"/>
                <w:highlight w:val="none"/>
              </w:rPr>
              <w:t>只能有一个有效报价，不得提交选择性报价。</w:t>
            </w:r>
          </w:p>
        </w:tc>
      </w:tr>
      <w:tr w14:paraId="0D81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731" w:type="dxa"/>
            <w:vMerge w:val="continue"/>
            <w:noWrap w:val="0"/>
            <w:vAlign w:val="center"/>
          </w:tcPr>
          <w:p w14:paraId="33710715">
            <w:pPr>
              <w:keepNext w:val="0"/>
              <w:keepLines w:val="0"/>
              <w:pageBreakBefore w:val="0"/>
              <w:kinsoku/>
              <w:wordWrap/>
              <w:overflowPunct/>
              <w:topLinePunct w:val="0"/>
              <w:autoSpaceDE/>
              <w:autoSpaceDN/>
              <w:bidi w:val="0"/>
              <w:spacing w:line="520" w:lineRule="exact"/>
              <w:ind w:firstLine="420" w:firstLineChars="200"/>
              <w:jc w:val="center"/>
              <w:textAlignment w:val="auto"/>
              <w:rPr>
                <w:rFonts w:hint="eastAsia" w:ascii="宋体" w:hAnsi="宋体" w:cs="宋体"/>
                <w:color w:val="auto"/>
                <w:szCs w:val="21"/>
                <w:highlight w:val="none"/>
              </w:rPr>
            </w:pPr>
          </w:p>
        </w:tc>
        <w:tc>
          <w:tcPr>
            <w:tcW w:w="1204" w:type="dxa"/>
            <w:vMerge w:val="continue"/>
            <w:noWrap w:val="0"/>
            <w:vAlign w:val="center"/>
          </w:tcPr>
          <w:p w14:paraId="5F181361">
            <w:pPr>
              <w:keepNext w:val="0"/>
              <w:keepLines w:val="0"/>
              <w:pageBreakBefore w:val="0"/>
              <w:kinsoku/>
              <w:wordWrap/>
              <w:overflowPunct/>
              <w:topLinePunct w:val="0"/>
              <w:autoSpaceDE/>
              <w:autoSpaceDN/>
              <w:bidi w:val="0"/>
              <w:spacing w:line="520" w:lineRule="exact"/>
              <w:ind w:firstLine="420" w:firstLineChars="200"/>
              <w:jc w:val="center"/>
              <w:textAlignment w:val="auto"/>
              <w:rPr>
                <w:rFonts w:hint="eastAsia" w:ascii="宋体" w:hAnsi="宋体" w:cs="宋体"/>
                <w:color w:val="auto"/>
                <w:szCs w:val="21"/>
                <w:highlight w:val="none"/>
              </w:rPr>
            </w:pPr>
          </w:p>
        </w:tc>
        <w:tc>
          <w:tcPr>
            <w:tcW w:w="2931" w:type="dxa"/>
            <w:noWrap w:val="0"/>
            <w:vAlign w:val="center"/>
          </w:tcPr>
          <w:p w14:paraId="4F2754B9">
            <w:pPr>
              <w:keepNext w:val="0"/>
              <w:keepLines w:val="0"/>
              <w:pageBreakBefore w:val="0"/>
              <w:kinsoku/>
              <w:wordWrap/>
              <w:overflowPunct/>
              <w:topLinePunct w:val="0"/>
              <w:autoSpaceDE/>
              <w:autoSpaceDN/>
              <w:bidi w:val="0"/>
              <w:spacing w:line="520" w:lineRule="exact"/>
              <w:textAlignment w:val="auto"/>
              <w:rPr>
                <w:rFonts w:hint="eastAsia" w:ascii="宋体" w:hAnsi="宋体" w:cs="宋体"/>
                <w:color w:val="auto"/>
                <w:szCs w:val="21"/>
                <w:highlight w:val="none"/>
              </w:rPr>
            </w:pPr>
            <w:r>
              <w:rPr>
                <w:rFonts w:hint="eastAsia" w:ascii="宋体" w:hAnsi="宋体" w:cs="宋体"/>
                <w:color w:val="auto"/>
                <w:szCs w:val="21"/>
                <w:highlight w:val="none"/>
              </w:rPr>
              <w:t>投标文件的有效期</w:t>
            </w:r>
          </w:p>
        </w:tc>
        <w:tc>
          <w:tcPr>
            <w:tcW w:w="4173" w:type="dxa"/>
            <w:noWrap w:val="0"/>
            <w:vAlign w:val="center"/>
          </w:tcPr>
          <w:p w14:paraId="3AEEF67B">
            <w:pPr>
              <w:keepNext w:val="0"/>
              <w:keepLines w:val="0"/>
              <w:pageBreakBefore w:val="0"/>
              <w:kinsoku/>
              <w:wordWrap/>
              <w:overflowPunct/>
              <w:topLinePunct w:val="0"/>
              <w:autoSpaceDE/>
              <w:autoSpaceDN/>
              <w:bidi w:val="0"/>
              <w:spacing w:line="52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完全响应。</w:t>
            </w:r>
          </w:p>
        </w:tc>
      </w:tr>
      <w:tr w14:paraId="1AB8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731" w:type="dxa"/>
            <w:vMerge w:val="restart"/>
            <w:noWrap w:val="0"/>
            <w:vAlign w:val="center"/>
          </w:tcPr>
          <w:p w14:paraId="4621D1E5">
            <w:pPr>
              <w:keepNext w:val="0"/>
              <w:keepLines w:val="0"/>
              <w:pageBreakBefore w:val="0"/>
              <w:kinsoku/>
              <w:wordWrap/>
              <w:overflowPunct/>
              <w:topLinePunct w:val="0"/>
              <w:autoSpaceDE/>
              <w:autoSpaceDN/>
              <w:bidi w:val="0"/>
              <w:spacing w:line="52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2</w:t>
            </w:r>
          </w:p>
        </w:tc>
        <w:tc>
          <w:tcPr>
            <w:tcW w:w="1204" w:type="dxa"/>
            <w:vMerge w:val="restart"/>
            <w:noWrap w:val="0"/>
            <w:vAlign w:val="center"/>
          </w:tcPr>
          <w:p w14:paraId="2F386547">
            <w:pPr>
              <w:keepNext w:val="0"/>
              <w:keepLines w:val="0"/>
              <w:pageBreakBefore w:val="0"/>
              <w:kinsoku/>
              <w:wordWrap/>
              <w:overflowPunct/>
              <w:topLinePunct w:val="0"/>
              <w:autoSpaceDE/>
              <w:autoSpaceDN/>
              <w:bidi w:val="0"/>
              <w:spacing w:line="520" w:lineRule="exact"/>
              <w:jc w:val="center"/>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投标文件的完整性</w:t>
            </w:r>
          </w:p>
        </w:tc>
        <w:tc>
          <w:tcPr>
            <w:tcW w:w="2931" w:type="dxa"/>
            <w:noWrap w:val="0"/>
            <w:vAlign w:val="center"/>
          </w:tcPr>
          <w:p w14:paraId="6B20B0DC">
            <w:pPr>
              <w:keepNext w:val="0"/>
              <w:keepLines w:val="0"/>
              <w:pageBreakBefore w:val="0"/>
              <w:kinsoku/>
              <w:wordWrap/>
              <w:overflowPunct/>
              <w:topLinePunct w:val="0"/>
              <w:autoSpaceDE/>
              <w:autoSpaceDN/>
              <w:bidi w:val="0"/>
              <w:spacing w:line="520" w:lineRule="exact"/>
              <w:textAlignment w:val="auto"/>
              <w:rPr>
                <w:rFonts w:hint="eastAsia" w:ascii="宋体" w:hAnsi="宋体" w:cs="宋体"/>
                <w:color w:val="auto"/>
                <w:szCs w:val="21"/>
                <w:highlight w:val="none"/>
              </w:rPr>
            </w:pPr>
            <w:r>
              <w:rPr>
                <w:rFonts w:hint="eastAsia" w:ascii="宋体" w:hAnsi="宋体" w:cs="宋体"/>
                <w:color w:val="auto"/>
                <w:szCs w:val="21"/>
                <w:highlight w:val="none"/>
                <w:lang w:val="zh-CN"/>
              </w:rPr>
              <w:t>投标文件份数</w:t>
            </w:r>
          </w:p>
        </w:tc>
        <w:tc>
          <w:tcPr>
            <w:tcW w:w="4173" w:type="dxa"/>
            <w:noWrap w:val="0"/>
            <w:vAlign w:val="center"/>
          </w:tcPr>
          <w:p w14:paraId="3F3AC3A5">
            <w:pPr>
              <w:keepNext w:val="0"/>
              <w:keepLines w:val="0"/>
              <w:pageBreakBefore w:val="0"/>
              <w:kinsoku/>
              <w:wordWrap/>
              <w:overflowPunct/>
              <w:topLinePunct w:val="0"/>
              <w:autoSpaceDE/>
              <w:autoSpaceDN/>
              <w:bidi w:val="0"/>
              <w:spacing w:line="520" w:lineRule="exac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满足招标文件要求</w:t>
            </w:r>
          </w:p>
        </w:tc>
      </w:tr>
      <w:tr w14:paraId="64F6B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731" w:type="dxa"/>
            <w:vMerge w:val="continue"/>
            <w:noWrap w:val="0"/>
            <w:vAlign w:val="center"/>
          </w:tcPr>
          <w:p w14:paraId="3FBA661D">
            <w:pPr>
              <w:keepNext w:val="0"/>
              <w:keepLines w:val="0"/>
              <w:pageBreakBefore w:val="0"/>
              <w:kinsoku/>
              <w:wordWrap/>
              <w:overflowPunct/>
              <w:topLinePunct w:val="0"/>
              <w:autoSpaceDE/>
              <w:autoSpaceDN/>
              <w:bidi w:val="0"/>
              <w:spacing w:line="520" w:lineRule="exact"/>
              <w:ind w:firstLine="420" w:firstLineChars="200"/>
              <w:jc w:val="center"/>
              <w:textAlignment w:val="auto"/>
              <w:rPr>
                <w:rFonts w:hint="eastAsia" w:ascii="宋体" w:hAnsi="宋体" w:cs="宋体"/>
                <w:color w:val="auto"/>
                <w:szCs w:val="21"/>
                <w:highlight w:val="none"/>
              </w:rPr>
            </w:pPr>
          </w:p>
        </w:tc>
        <w:tc>
          <w:tcPr>
            <w:tcW w:w="1204" w:type="dxa"/>
            <w:vMerge w:val="continue"/>
            <w:noWrap w:val="0"/>
            <w:vAlign w:val="center"/>
          </w:tcPr>
          <w:p w14:paraId="6A942C3C">
            <w:pPr>
              <w:keepNext w:val="0"/>
              <w:keepLines w:val="0"/>
              <w:pageBreakBefore w:val="0"/>
              <w:kinsoku/>
              <w:wordWrap/>
              <w:overflowPunct/>
              <w:topLinePunct w:val="0"/>
              <w:autoSpaceDE/>
              <w:autoSpaceDN/>
              <w:bidi w:val="0"/>
              <w:spacing w:line="520" w:lineRule="exact"/>
              <w:ind w:firstLine="420" w:firstLineChars="200"/>
              <w:jc w:val="center"/>
              <w:textAlignment w:val="auto"/>
              <w:rPr>
                <w:rFonts w:hint="eastAsia" w:ascii="宋体" w:hAnsi="宋体" w:cs="宋体"/>
                <w:color w:val="auto"/>
                <w:szCs w:val="21"/>
                <w:highlight w:val="none"/>
              </w:rPr>
            </w:pPr>
          </w:p>
        </w:tc>
        <w:tc>
          <w:tcPr>
            <w:tcW w:w="2931" w:type="dxa"/>
            <w:noWrap w:val="0"/>
            <w:vAlign w:val="center"/>
          </w:tcPr>
          <w:p w14:paraId="6F3AA6E5">
            <w:pPr>
              <w:keepNext w:val="0"/>
              <w:keepLines w:val="0"/>
              <w:pageBreakBefore w:val="0"/>
              <w:kinsoku/>
              <w:wordWrap/>
              <w:overflowPunct/>
              <w:topLinePunct w:val="0"/>
              <w:autoSpaceDE/>
              <w:autoSpaceDN/>
              <w:bidi w:val="0"/>
              <w:spacing w:line="52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投标文件形式内容</w:t>
            </w:r>
          </w:p>
        </w:tc>
        <w:tc>
          <w:tcPr>
            <w:tcW w:w="4173" w:type="dxa"/>
            <w:noWrap w:val="0"/>
            <w:vAlign w:val="center"/>
          </w:tcPr>
          <w:p w14:paraId="5F49F393">
            <w:pPr>
              <w:keepNext w:val="0"/>
              <w:keepLines w:val="0"/>
              <w:pageBreakBefore w:val="0"/>
              <w:kinsoku/>
              <w:wordWrap/>
              <w:overflowPunct/>
              <w:topLinePunct w:val="0"/>
              <w:autoSpaceDE/>
              <w:autoSpaceDN/>
              <w:bidi w:val="0"/>
              <w:spacing w:line="52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投标文件内容清晰、齐全无遗漏。</w:t>
            </w:r>
          </w:p>
        </w:tc>
      </w:tr>
      <w:tr w14:paraId="625AF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trPr>
        <w:tc>
          <w:tcPr>
            <w:tcW w:w="731" w:type="dxa"/>
            <w:vMerge w:val="restart"/>
            <w:noWrap w:val="0"/>
            <w:vAlign w:val="center"/>
          </w:tcPr>
          <w:p w14:paraId="2A9DB878">
            <w:pPr>
              <w:keepNext w:val="0"/>
              <w:keepLines w:val="0"/>
              <w:pageBreakBefore w:val="0"/>
              <w:kinsoku/>
              <w:wordWrap/>
              <w:overflowPunct/>
              <w:topLinePunct w:val="0"/>
              <w:autoSpaceDE/>
              <w:autoSpaceDN/>
              <w:bidi w:val="0"/>
              <w:spacing w:line="52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3</w:t>
            </w:r>
          </w:p>
        </w:tc>
        <w:tc>
          <w:tcPr>
            <w:tcW w:w="1204" w:type="dxa"/>
            <w:vMerge w:val="restart"/>
            <w:noWrap w:val="0"/>
            <w:vAlign w:val="center"/>
          </w:tcPr>
          <w:p w14:paraId="7F90CC03">
            <w:pPr>
              <w:keepNext w:val="0"/>
              <w:keepLines w:val="0"/>
              <w:pageBreakBefore w:val="0"/>
              <w:kinsoku/>
              <w:wordWrap/>
              <w:overflowPunct/>
              <w:topLinePunct w:val="0"/>
              <w:autoSpaceDE/>
              <w:autoSpaceDN/>
              <w:bidi w:val="0"/>
              <w:spacing w:line="520" w:lineRule="exact"/>
              <w:jc w:val="center"/>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投标文件的响应程度</w:t>
            </w:r>
          </w:p>
        </w:tc>
        <w:tc>
          <w:tcPr>
            <w:tcW w:w="2931" w:type="dxa"/>
            <w:noWrap w:val="0"/>
            <w:vAlign w:val="center"/>
          </w:tcPr>
          <w:p w14:paraId="2EE70FEF">
            <w:pPr>
              <w:keepNext w:val="0"/>
              <w:keepLines w:val="0"/>
              <w:pageBreakBefore w:val="0"/>
              <w:kinsoku/>
              <w:wordWrap/>
              <w:overflowPunct/>
              <w:topLinePunct w:val="0"/>
              <w:autoSpaceDE/>
              <w:autoSpaceDN/>
              <w:bidi w:val="0"/>
              <w:spacing w:line="52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采购需求响应程度</w:t>
            </w:r>
          </w:p>
        </w:tc>
        <w:tc>
          <w:tcPr>
            <w:tcW w:w="4173" w:type="dxa"/>
            <w:noWrap w:val="0"/>
            <w:vAlign w:val="center"/>
          </w:tcPr>
          <w:p w14:paraId="4ABF4552">
            <w:pPr>
              <w:keepNext w:val="0"/>
              <w:keepLines w:val="0"/>
              <w:pageBreakBefore w:val="0"/>
              <w:kinsoku/>
              <w:wordWrap/>
              <w:overflowPunct/>
              <w:topLinePunct w:val="0"/>
              <w:autoSpaceDE/>
              <w:autoSpaceDN/>
              <w:bidi w:val="0"/>
              <w:spacing w:line="52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w:t>
            </w:r>
            <w:r>
              <w:rPr>
                <w:rFonts w:hint="eastAsia" w:ascii="宋体" w:hAnsi="宋体" w:cs="宋体"/>
                <w:color w:val="auto"/>
                <w:szCs w:val="21"/>
                <w:highlight w:val="none"/>
                <w:lang w:val="en-US" w:eastAsia="zh-CN"/>
              </w:rPr>
              <w:t>或优于</w:t>
            </w:r>
            <w:r>
              <w:rPr>
                <w:rFonts w:hint="eastAsia" w:ascii="宋体" w:hAnsi="宋体" w:cs="宋体"/>
                <w:color w:val="auto"/>
                <w:szCs w:val="21"/>
                <w:highlight w:val="none"/>
                <w:lang w:val="zh-CN"/>
              </w:rPr>
              <w:t>招标文件要求</w:t>
            </w:r>
          </w:p>
        </w:tc>
      </w:tr>
      <w:tr w14:paraId="52D1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731" w:type="dxa"/>
            <w:vMerge w:val="continue"/>
            <w:noWrap w:val="0"/>
            <w:vAlign w:val="center"/>
          </w:tcPr>
          <w:p w14:paraId="7BEC7705">
            <w:pPr>
              <w:keepNext w:val="0"/>
              <w:keepLines w:val="0"/>
              <w:pageBreakBefore w:val="0"/>
              <w:kinsoku/>
              <w:wordWrap/>
              <w:overflowPunct/>
              <w:topLinePunct w:val="0"/>
              <w:autoSpaceDE/>
              <w:autoSpaceDN/>
              <w:bidi w:val="0"/>
              <w:spacing w:line="520" w:lineRule="exact"/>
              <w:ind w:firstLine="420" w:firstLineChars="200"/>
              <w:textAlignment w:val="auto"/>
              <w:rPr>
                <w:rFonts w:hint="eastAsia" w:ascii="宋体" w:hAnsi="宋体" w:cs="宋体"/>
                <w:color w:val="auto"/>
                <w:szCs w:val="21"/>
                <w:highlight w:val="none"/>
              </w:rPr>
            </w:pPr>
          </w:p>
        </w:tc>
        <w:tc>
          <w:tcPr>
            <w:tcW w:w="1204" w:type="dxa"/>
            <w:vMerge w:val="continue"/>
            <w:noWrap w:val="0"/>
            <w:vAlign w:val="center"/>
          </w:tcPr>
          <w:p w14:paraId="6258B2F9">
            <w:pPr>
              <w:keepNext w:val="0"/>
              <w:keepLines w:val="0"/>
              <w:pageBreakBefore w:val="0"/>
              <w:kinsoku/>
              <w:wordWrap/>
              <w:overflowPunct/>
              <w:topLinePunct w:val="0"/>
              <w:autoSpaceDE/>
              <w:autoSpaceDN/>
              <w:bidi w:val="0"/>
              <w:spacing w:line="520" w:lineRule="exact"/>
              <w:ind w:firstLine="420" w:firstLineChars="200"/>
              <w:textAlignment w:val="auto"/>
              <w:rPr>
                <w:rFonts w:hint="eastAsia" w:ascii="宋体" w:hAnsi="宋体" w:cs="宋体"/>
                <w:color w:val="auto"/>
                <w:szCs w:val="21"/>
                <w:highlight w:val="none"/>
              </w:rPr>
            </w:pPr>
          </w:p>
        </w:tc>
        <w:tc>
          <w:tcPr>
            <w:tcW w:w="2931" w:type="dxa"/>
            <w:noWrap w:val="0"/>
            <w:vAlign w:val="center"/>
          </w:tcPr>
          <w:p w14:paraId="5998BA8A">
            <w:pPr>
              <w:keepNext w:val="0"/>
              <w:keepLines w:val="0"/>
              <w:pageBreakBefore w:val="0"/>
              <w:kinsoku/>
              <w:wordWrap/>
              <w:overflowPunct/>
              <w:topLinePunct w:val="0"/>
              <w:autoSpaceDE/>
              <w:autoSpaceDN/>
              <w:bidi w:val="0"/>
              <w:spacing w:line="52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商务条款响应程度（包括供货期、售后服务、技术培训等）</w:t>
            </w:r>
          </w:p>
        </w:tc>
        <w:tc>
          <w:tcPr>
            <w:tcW w:w="4173" w:type="dxa"/>
            <w:noWrap w:val="0"/>
            <w:vAlign w:val="center"/>
          </w:tcPr>
          <w:p w14:paraId="3D5CC60B">
            <w:pPr>
              <w:keepNext w:val="0"/>
              <w:keepLines w:val="0"/>
              <w:pageBreakBefore w:val="0"/>
              <w:kinsoku/>
              <w:wordWrap/>
              <w:overflowPunct/>
              <w:topLinePunct w:val="0"/>
              <w:autoSpaceDE/>
              <w:autoSpaceDN/>
              <w:bidi w:val="0"/>
              <w:spacing w:line="52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w:t>
            </w:r>
            <w:r>
              <w:rPr>
                <w:rFonts w:hint="eastAsia" w:ascii="宋体" w:hAnsi="宋体" w:cs="宋体"/>
                <w:color w:val="auto"/>
                <w:szCs w:val="21"/>
                <w:highlight w:val="none"/>
                <w:lang w:val="en-US" w:eastAsia="zh-CN"/>
              </w:rPr>
              <w:t>或优于</w:t>
            </w:r>
            <w:r>
              <w:rPr>
                <w:rFonts w:hint="eastAsia" w:ascii="宋体" w:hAnsi="宋体" w:cs="宋体"/>
                <w:color w:val="auto"/>
                <w:szCs w:val="21"/>
                <w:highlight w:val="none"/>
                <w:lang w:val="zh-CN"/>
              </w:rPr>
              <w:t>招标文件要求</w:t>
            </w:r>
          </w:p>
        </w:tc>
      </w:tr>
    </w:tbl>
    <w:p w14:paraId="155964BF">
      <w:pPr>
        <w:keepNext w:val="0"/>
        <w:keepLines w:val="0"/>
        <w:pageBreakBefore w:val="0"/>
        <w:kinsoku/>
        <w:wordWrap/>
        <w:overflowPunct/>
        <w:topLinePunct w:val="0"/>
        <w:autoSpaceDE/>
        <w:autoSpaceDN/>
        <w:bidi w:val="0"/>
        <w:spacing w:line="52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4.2资格审查及评</w:t>
      </w:r>
      <w:r>
        <w:rPr>
          <w:rFonts w:hint="eastAsia" w:ascii="宋体" w:hAnsi="宋体" w:cs="宋体"/>
          <w:color w:val="auto"/>
          <w:szCs w:val="21"/>
          <w:highlight w:val="none"/>
          <w:lang w:val="en-US" w:eastAsia="zh-CN"/>
        </w:rPr>
        <w:t>审</w:t>
      </w:r>
      <w:r>
        <w:rPr>
          <w:rFonts w:hint="eastAsia" w:ascii="宋体" w:hAnsi="宋体" w:cs="宋体"/>
          <w:color w:val="auto"/>
          <w:szCs w:val="21"/>
          <w:highlight w:val="none"/>
        </w:rPr>
        <w:t>细则中涉及的有关证明材料及相关证书，投标文件中须按招标文件要求</w:t>
      </w:r>
      <w:r>
        <w:rPr>
          <w:rFonts w:hint="eastAsia" w:ascii="宋体" w:hAnsi="宋体" w:cs="宋体"/>
          <w:color w:val="auto"/>
          <w:szCs w:val="21"/>
          <w:highlight w:val="none"/>
          <w:lang w:val="en-US" w:eastAsia="zh-CN"/>
        </w:rPr>
        <w:t>提供</w:t>
      </w:r>
      <w:r>
        <w:rPr>
          <w:rFonts w:hint="eastAsia" w:ascii="宋体" w:hAnsi="宋体" w:cs="宋体"/>
          <w:color w:val="auto"/>
          <w:szCs w:val="21"/>
          <w:highlight w:val="none"/>
        </w:rPr>
        <w:t>。</w:t>
      </w:r>
    </w:p>
    <w:p w14:paraId="6F602920">
      <w:pPr>
        <w:keepNext w:val="0"/>
        <w:keepLines w:val="0"/>
        <w:pageBreakBefore w:val="0"/>
        <w:kinsoku/>
        <w:wordWrap/>
        <w:overflowPunct/>
        <w:topLinePunct w:val="0"/>
        <w:autoSpaceDE/>
        <w:autoSpaceDN/>
        <w:bidi w:val="0"/>
        <w:spacing w:line="52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4.3评标委员会判定投标文件的响应性只根据投标文件本身的内容，而不寻求外部的证据，但投标有不真实不正确的内容时除外。</w:t>
      </w:r>
    </w:p>
    <w:p w14:paraId="5D34CF74">
      <w:pPr>
        <w:keepNext w:val="0"/>
        <w:keepLines w:val="0"/>
        <w:pageBreakBefore w:val="0"/>
        <w:kinsoku/>
        <w:wordWrap/>
        <w:overflowPunct/>
        <w:topLinePunct w:val="0"/>
        <w:autoSpaceDE/>
        <w:autoSpaceDN/>
        <w:bidi w:val="0"/>
        <w:spacing w:line="52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4.4如果投标文件实质上没有响应招标文件的要求，评标委员会将予以拒绝，投标人不得通过修正或撤销不符合要求的偏离或保留，而使其投标成为实质上响应的投标。</w:t>
      </w:r>
    </w:p>
    <w:p w14:paraId="12B8E4D7">
      <w:pPr>
        <w:keepNext w:val="0"/>
        <w:keepLines w:val="0"/>
        <w:pageBreakBefore w:val="0"/>
        <w:kinsoku/>
        <w:wordWrap/>
        <w:overflowPunct/>
        <w:topLinePunct w:val="0"/>
        <w:autoSpaceDE/>
        <w:autoSpaceDN/>
        <w:bidi w:val="0"/>
        <w:spacing w:line="52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4.5只有通过初审的投标人才能进入下一步程序。</w:t>
      </w:r>
    </w:p>
    <w:p w14:paraId="1C20D872">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ind w:firstLine="562" w:firstLineChars="200"/>
        <w:jc w:val="center"/>
        <w:textAlignment w:val="auto"/>
        <w:outlineLvl w:val="1"/>
        <w:rPr>
          <w:rFonts w:hint="eastAsia" w:ascii="宋体" w:hAnsi="宋体" w:eastAsia="宋体" w:cs="宋体"/>
          <w:b/>
          <w:bCs/>
          <w:color w:val="auto"/>
          <w:sz w:val="28"/>
          <w:szCs w:val="28"/>
          <w:highlight w:val="none"/>
        </w:rPr>
      </w:pPr>
      <w:bookmarkStart w:id="47" w:name="_Toc58430319"/>
      <w:bookmarkStart w:id="48" w:name="_Toc449028879"/>
      <w:bookmarkStart w:id="49" w:name="_Toc362983803"/>
      <w:r>
        <w:rPr>
          <w:rFonts w:hint="eastAsia" w:ascii="宋体" w:hAnsi="宋体" w:eastAsia="宋体" w:cs="宋体"/>
          <w:b/>
          <w:bCs/>
          <w:color w:val="auto"/>
          <w:sz w:val="28"/>
          <w:szCs w:val="28"/>
          <w:highlight w:val="none"/>
        </w:rPr>
        <w:t>三、投标文件的澄清和补正</w:t>
      </w:r>
      <w:bookmarkEnd w:id="47"/>
      <w:bookmarkEnd w:id="48"/>
      <w:bookmarkEnd w:id="49"/>
    </w:p>
    <w:p w14:paraId="3228516B">
      <w:pPr>
        <w:keepNext w:val="0"/>
        <w:keepLines w:val="0"/>
        <w:pageBreakBefore w:val="0"/>
        <w:kinsoku/>
        <w:wordWrap/>
        <w:overflowPunct/>
        <w:topLinePunct w:val="0"/>
        <w:autoSpaceDE/>
        <w:autoSpaceDN/>
        <w:bidi w:val="0"/>
        <w:spacing w:line="520" w:lineRule="exact"/>
        <w:ind w:firstLine="420" w:firstLineChars="200"/>
        <w:textAlignment w:val="auto"/>
        <w:rPr>
          <w:rFonts w:hint="eastAsia" w:ascii="宋体" w:eastAsia="宋体"/>
          <w:color w:val="auto"/>
          <w:szCs w:val="21"/>
          <w:highlight w:val="none"/>
          <w:lang w:val="en-US" w:eastAsia="zh-CN"/>
        </w:rPr>
      </w:pPr>
      <w:r>
        <w:rPr>
          <w:rFonts w:hint="eastAsia" w:ascii="宋体"/>
          <w:color w:val="auto"/>
          <w:szCs w:val="21"/>
          <w:highlight w:val="none"/>
        </w:rPr>
        <w:t>5.1评审阶段，评委可能会要求有关投标人就其投标文件中含义不明确、同类问题表述不一致或者有明显文字和计算错误的内容进行澄清。投标人必须在规定时间内进行回复</w:t>
      </w:r>
      <w:r>
        <w:rPr>
          <w:rFonts w:hint="eastAsia" w:ascii="宋体"/>
          <w:color w:val="auto"/>
          <w:szCs w:val="21"/>
          <w:highlight w:val="none"/>
          <w:lang w:eastAsia="zh-CN"/>
        </w:rPr>
        <w:t>。</w:t>
      </w:r>
    </w:p>
    <w:p w14:paraId="3F8B2EC5">
      <w:pPr>
        <w:keepNext w:val="0"/>
        <w:keepLines w:val="0"/>
        <w:pageBreakBefore w:val="0"/>
        <w:kinsoku/>
        <w:wordWrap/>
        <w:overflowPunct/>
        <w:topLinePunct w:val="0"/>
        <w:autoSpaceDE/>
        <w:autoSpaceDN/>
        <w:bidi w:val="0"/>
        <w:spacing w:line="520" w:lineRule="exact"/>
        <w:ind w:firstLine="420" w:firstLineChars="200"/>
        <w:textAlignment w:val="auto"/>
        <w:rPr>
          <w:rFonts w:hint="eastAsia" w:ascii="宋体"/>
          <w:color w:val="auto"/>
          <w:szCs w:val="21"/>
          <w:highlight w:val="none"/>
        </w:rPr>
      </w:pPr>
      <w:r>
        <w:rPr>
          <w:rFonts w:hint="eastAsia" w:ascii="宋体"/>
          <w:color w:val="auto"/>
          <w:szCs w:val="21"/>
          <w:highlight w:val="none"/>
        </w:rPr>
        <w:t>5.2投标人的澄清、说明或者补正应当在系统进行，但不得超出投标文件的范围或者改变投标文件的实质性内容。</w:t>
      </w:r>
    </w:p>
    <w:p w14:paraId="2DFB6C21">
      <w:pPr>
        <w:keepNext w:val="0"/>
        <w:keepLines w:val="0"/>
        <w:pageBreakBefore w:val="0"/>
        <w:kinsoku/>
        <w:wordWrap/>
        <w:overflowPunct/>
        <w:topLinePunct w:val="0"/>
        <w:autoSpaceDE/>
        <w:autoSpaceDN/>
        <w:bidi w:val="0"/>
        <w:spacing w:line="520" w:lineRule="exact"/>
        <w:ind w:firstLine="420" w:firstLineChars="200"/>
        <w:textAlignment w:val="auto"/>
        <w:rPr>
          <w:rFonts w:hint="eastAsia" w:ascii="宋体"/>
          <w:color w:val="auto"/>
          <w:szCs w:val="21"/>
          <w:highlight w:val="none"/>
        </w:rPr>
      </w:pPr>
      <w:r>
        <w:rPr>
          <w:rFonts w:hint="eastAsia" w:ascii="宋体"/>
          <w:color w:val="auto"/>
          <w:szCs w:val="21"/>
          <w:highlight w:val="none"/>
        </w:rPr>
        <w:t>5.3评委会修正错误的原则：</w:t>
      </w:r>
    </w:p>
    <w:p w14:paraId="4125A76F">
      <w:pPr>
        <w:keepNext w:val="0"/>
        <w:keepLines w:val="0"/>
        <w:pageBreakBefore w:val="0"/>
        <w:kinsoku/>
        <w:wordWrap/>
        <w:overflowPunct/>
        <w:topLinePunct w:val="0"/>
        <w:autoSpaceDE/>
        <w:autoSpaceDN/>
        <w:bidi w:val="0"/>
        <w:spacing w:line="520" w:lineRule="exact"/>
        <w:ind w:firstLine="420" w:firstLineChars="200"/>
        <w:textAlignment w:val="auto"/>
        <w:rPr>
          <w:rFonts w:hint="eastAsia" w:ascii="宋体"/>
          <w:color w:val="auto"/>
          <w:szCs w:val="21"/>
          <w:highlight w:val="none"/>
        </w:rPr>
      </w:pPr>
      <w:r>
        <w:rPr>
          <w:rFonts w:hint="eastAsia" w:ascii="宋体"/>
          <w:color w:val="auto"/>
          <w:szCs w:val="21"/>
          <w:highlight w:val="none"/>
        </w:rPr>
        <w:t>5.3.1如果数字表示的金额和用文字表示的金额不一致时，以文字表示的金额为准；当投标数量与招标数量不一致时，以招标数量为准；当分项报价清单、投标函的投标报价与开标一览表不一致时，以开标一览表为准。</w:t>
      </w:r>
    </w:p>
    <w:p w14:paraId="25DA1DB0">
      <w:pPr>
        <w:keepNext w:val="0"/>
        <w:keepLines w:val="0"/>
        <w:pageBreakBefore w:val="0"/>
        <w:kinsoku/>
        <w:wordWrap/>
        <w:overflowPunct/>
        <w:topLinePunct w:val="0"/>
        <w:autoSpaceDE/>
        <w:autoSpaceDN/>
        <w:bidi w:val="0"/>
        <w:spacing w:line="520" w:lineRule="exact"/>
        <w:ind w:firstLine="420" w:firstLineChars="200"/>
        <w:textAlignment w:val="auto"/>
        <w:rPr>
          <w:rFonts w:hint="eastAsia" w:ascii="宋体"/>
          <w:color w:val="auto"/>
          <w:szCs w:val="21"/>
          <w:highlight w:val="none"/>
        </w:rPr>
      </w:pPr>
      <w:r>
        <w:rPr>
          <w:rFonts w:hint="eastAsia" w:ascii="宋体"/>
          <w:color w:val="auto"/>
          <w:szCs w:val="21"/>
          <w:highlight w:val="none"/>
        </w:rPr>
        <w:t>5.3.2如果单价与数量的乘积和总价不一致，以单价为准，修正总价及开标一览表；当单价小数点有明显的错位时，评委会将以总价为准，并修正其单价。</w:t>
      </w:r>
    </w:p>
    <w:p w14:paraId="5808B74A">
      <w:pPr>
        <w:keepNext w:val="0"/>
        <w:keepLines w:val="0"/>
        <w:pageBreakBefore w:val="0"/>
        <w:kinsoku/>
        <w:wordWrap/>
        <w:overflowPunct/>
        <w:topLinePunct w:val="0"/>
        <w:autoSpaceDE/>
        <w:autoSpaceDN/>
        <w:bidi w:val="0"/>
        <w:spacing w:line="520" w:lineRule="exact"/>
        <w:ind w:firstLine="420" w:firstLineChars="200"/>
        <w:jc w:val="left"/>
        <w:textAlignment w:val="auto"/>
        <w:rPr>
          <w:rFonts w:hint="eastAsia" w:ascii="宋体"/>
          <w:b/>
          <w:color w:val="auto"/>
          <w:szCs w:val="21"/>
          <w:highlight w:val="none"/>
        </w:rPr>
      </w:pPr>
      <w:r>
        <w:rPr>
          <w:rFonts w:hint="eastAsia" w:ascii="宋体"/>
          <w:color w:val="auto"/>
          <w:szCs w:val="21"/>
          <w:highlight w:val="none"/>
        </w:rPr>
        <w:t xml:space="preserve"> 5.4评委会将按上述修正错误的方法调整投标文件中的投标报价，调整后的价格应对投标人具有约束力。无论投标人是接受或是拒绝调整后的价格，都应当由投标人在系统中确认。</w:t>
      </w:r>
      <w:r>
        <w:rPr>
          <w:rFonts w:hint="eastAsia" w:ascii="宋体"/>
          <w:b/>
          <w:bCs/>
          <w:color w:val="auto"/>
          <w:szCs w:val="21"/>
          <w:highlight w:val="none"/>
        </w:rPr>
        <w:t>投标人拒绝对投标文件出现的错漏按上述原则进行修正、澄清、说明，评标委员会应当否决其投标。</w:t>
      </w:r>
      <w:bookmarkStart w:id="50" w:name="_Toc449028880"/>
      <w:bookmarkStart w:id="51" w:name="_Toc58430320"/>
    </w:p>
    <w:p w14:paraId="4E078817">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ind w:firstLine="562" w:firstLineChars="200"/>
        <w:jc w:val="center"/>
        <w:textAlignment w:val="auto"/>
        <w:outlineLvl w:val="1"/>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四、比较与评价</w:t>
      </w:r>
      <w:bookmarkEnd w:id="50"/>
      <w:bookmarkEnd w:id="51"/>
    </w:p>
    <w:p w14:paraId="117055AF">
      <w:pPr>
        <w:keepNext w:val="0"/>
        <w:keepLines w:val="0"/>
        <w:pageBreakBefore w:val="0"/>
        <w:kinsoku/>
        <w:wordWrap/>
        <w:overflowPunct/>
        <w:topLinePunct w:val="0"/>
        <w:autoSpaceDE/>
        <w:autoSpaceDN/>
        <w:bidi w:val="0"/>
        <w:spacing w:line="520" w:lineRule="exact"/>
        <w:ind w:right="36" w:rightChars="17" w:firstLine="422" w:firstLineChars="200"/>
        <w:jc w:val="left"/>
        <w:textAlignment w:val="auto"/>
        <w:rPr>
          <w:rFonts w:ascii="宋体" w:hAnsi="宋体" w:cs="宋体"/>
          <w:b/>
          <w:color w:val="auto"/>
          <w:szCs w:val="21"/>
          <w:highlight w:val="none"/>
        </w:rPr>
      </w:pPr>
      <w:r>
        <w:rPr>
          <w:rFonts w:hint="eastAsia" w:ascii="宋体" w:hAnsi="宋体" w:eastAsia="宋体" w:cs="宋体"/>
          <w:b/>
          <w:color w:val="auto"/>
          <w:sz w:val="21"/>
          <w:szCs w:val="21"/>
          <w:highlight w:val="none"/>
        </w:rPr>
        <w:t xml:space="preserve"> </w:t>
      </w:r>
      <w:bookmarkStart w:id="52" w:name="_Toc362983805"/>
      <w:bookmarkStart w:id="53" w:name="_Toc449028881"/>
      <w:r>
        <w:rPr>
          <w:rFonts w:hint="eastAsia" w:ascii="宋体" w:hAnsi="宋体" w:cs="宋体"/>
          <w:b/>
          <w:color w:val="auto"/>
          <w:szCs w:val="21"/>
          <w:highlight w:val="none"/>
        </w:rPr>
        <w:t>6.详细评审即按招标文件中规定的评标方法和标准，评标委员会将对通过初审的投标文件，进行综合比较与评价。</w:t>
      </w:r>
    </w:p>
    <w:tbl>
      <w:tblPr>
        <w:tblStyle w:val="35"/>
        <w:tblW w:w="9887" w:type="dxa"/>
        <w:tblInd w:w="-2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078"/>
        <w:gridCol w:w="840"/>
        <w:gridCol w:w="7217"/>
      </w:tblGrid>
      <w:tr w14:paraId="11A4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52" w:type="dxa"/>
            <w:shd w:val="clear" w:color="auto" w:fill="auto"/>
            <w:noWrap/>
            <w:vAlign w:val="center"/>
          </w:tcPr>
          <w:p w14:paraId="2984BB7B">
            <w:pPr>
              <w:keepNext w:val="0"/>
              <w:keepLines w:val="0"/>
              <w:pageBreakBefore w:val="0"/>
              <w:kinsoku/>
              <w:wordWrap/>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rPr>
            </w:pPr>
            <w:bookmarkStart w:id="54" w:name="_Toc58430321"/>
            <w:r>
              <w:rPr>
                <w:rFonts w:hint="eastAsia" w:ascii="宋体" w:hAnsi="宋体" w:eastAsia="宋体" w:cs="宋体"/>
                <w:b/>
                <w:bCs/>
                <w:color w:val="auto"/>
                <w:sz w:val="21"/>
                <w:szCs w:val="21"/>
                <w:highlight w:val="none"/>
              </w:rPr>
              <w:t>序号</w:t>
            </w:r>
          </w:p>
        </w:tc>
        <w:tc>
          <w:tcPr>
            <w:tcW w:w="1078" w:type="dxa"/>
            <w:shd w:val="clear" w:color="auto" w:fill="auto"/>
            <w:noWrap/>
            <w:vAlign w:val="center"/>
          </w:tcPr>
          <w:p w14:paraId="6D65D728">
            <w:pPr>
              <w:keepNext w:val="0"/>
              <w:keepLines w:val="0"/>
              <w:pageBreakBefore w:val="0"/>
              <w:kinsoku/>
              <w:wordWrap/>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评分因素</w:t>
            </w:r>
          </w:p>
        </w:tc>
        <w:tc>
          <w:tcPr>
            <w:tcW w:w="840" w:type="dxa"/>
            <w:shd w:val="clear" w:color="auto" w:fill="auto"/>
            <w:noWrap/>
            <w:vAlign w:val="center"/>
          </w:tcPr>
          <w:p w14:paraId="70D6E3F2">
            <w:pPr>
              <w:keepNext w:val="0"/>
              <w:keepLines w:val="0"/>
              <w:pageBreakBefore w:val="0"/>
              <w:kinsoku/>
              <w:wordWrap/>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分值</w:t>
            </w:r>
          </w:p>
        </w:tc>
        <w:tc>
          <w:tcPr>
            <w:tcW w:w="7217" w:type="dxa"/>
            <w:shd w:val="clear" w:color="auto" w:fill="auto"/>
            <w:noWrap/>
            <w:vAlign w:val="center"/>
          </w:tcPr>
          <w:p w14:paraId="08548695">
            <w:pPr>
              <w:keepNext w:val="0"/>
              <w:keepLines w:val="0"/>
              <w:pageBreakBefore w:val="0"/>
              <w:kinsoku/>
              <w:wordWrap/>
              <w:overflowPunct/>
              <w:topLinePunct w:val="0"/>
              <w:autoSpaceDE/>
              <w:autoSpaceDN/>
              <w:bidi w:val="0"/>
              <w:adjustRightInd/>
              <w:spacing w:line="5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评审细则</w:t>
            </w:r>
          </w:p>
        </w:tc>
      </w:tr>
      <w:tr w14:paraId="2D34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52" w:type="dxa"/>
            <w:shd w:val="clear" w:color="auto" w:fill="auto"/>
            <w:noWrap/>
            <w:vAlign w:val="center"/>
          </w:tcPr>
          <w:p w14:paraId="4A06C773">
            <w:pPr>
              <w:keepNext w:val="0"/>
              <w:keepLines w:val="0"/>
              <w:pageBreakBefore w:val="0"/>
              <w:kinsoku/>
              <w:wordWrap/>
              <w:overflowPunct/>
              <w:topLinePunct w:val="0"/>
              <w:autoSpaceDE/>
              <w:autoSpaceDN/>
              <w:bidi w:val="0"/>
              <w:adjustRightInd/>
              <w:spacing w:line="52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w:t>
            </w:r>
          </w:p>
        </w:tc>
        <w:tc>
          <w:tcPr>
            <w:tcW w:w="1078" w:type="dxa"/>
            <w:shd w:val="clear" w:color="auto" w:fill="auto"/>
            <w:noWrap/>
            <w:vAlign w:val="center"/>
          </w:tcPr>
          <w:p w14:paraId="37BB57DD">
            <w:pPr>
              <w:keepNext w:val="0"/>
              <w:keepLines w:val="0"/>
              <w:pageBreakBefore w:val="0"/>
              <w:kinsoku/>
              <w:wordWrap/>
              <w:overflowPunct/>
              <w:topLinePunct w:val="0"/>
              <w:autoSpaceDE/>
              <w:autoSpaceDN/>
              <w:bidi w:val="0"/>
              <w:adjustRightInd/>
              <w:spacing w:line="520" w:lineRule="exact"/>
              <w:jc w:val="center"/>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zh-CN"/>
              </w:rPr>
              <w:t>业绩</w:t>
            </w:r>
          </w:p>
        </w:tc>
        <w:tc>
          <w:tcPr>
            <w:tcW w:w="840" w:type="dxa"/>
            <w:shd w:val="clear" w:color="auto" w:fill="auto"/>
            <w:noWrap/>
            <w:vAlign w:val="center"/>
          </w:tcPr>
          <w:p w14:paraId="5497C07C">
            <w:pPr>
              <w:keepNext w:val="0"/>
              <w:keepLines w:val="0"/>
              <w:pageBreakBefore w:val="0"/>
              <w:kinsoku/>
              <w:wordWrap/>
              <w:overflowPunct/>
              <w:topLinePunct w:val="0"/>
              <w:autoSpaceDE/>
              <w:autoSpaceDN/>
              <w:bidi w:val="0"/>
              <w:adjustRightInd/>
              <w:spacing w:line="520" w:lineRule="exact"/>
              <w:jc w:val="center"/>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10分</w:t>
            </w:r>
          </w:p>
        </w:tc>
        <w:tc>
          <w:tcPr>
            <w:tcW w:w="7217" w:type="dxa"/>
            <w:shd w:val="clear" w:color="auto" w:fill="auto"/>
            <w:noWrap/>
            <w:vAlign w:val="center"/>
          </w:tcPr>
          <w:p w14:paraId="5C6F671E">
            <w:pPr>
              <w:pStyle w:val="109"/>
              <w:keepNext w:val="0"/>
              <w:keepLines w:val="0"/>
              <w:pageBreakBefore w:val="0"/>
              <w:numPr>
                <w:ilvl w:val="0"/>
                <w:numId w:val="0"/>
              </w:numPr>
              <w:tabs>
                <w:tab w:val="left" w:pos="1800"/>
                <w:tab w:val="left" w:pos="2340"/>
                <w:tab w:val="left" w:pos="2700"/>
              </w:tabs>
              <w:kinsoku/>
              <w:wordWrap/>
              <w:overflowPunct/>
              <w:topLinePunct w:val="0"/>
              <w:autoSpaceDE/>
              <w:autoSpaceDN/>
              <w:bidi w:val="0"/>
              <w:adjustRightInd w:val="0"/>
              <w:snapToGrid w:val="0"/>
              <w:spacing w:before="0" w:beforeAutospacing="0" w:after="0" w:afterAutospacing="0" w:line="520" w:lineRule="exact"/>
              <w:jc w:val="left"/>
              <w:textAlignment w:val="auto"/>
              <w:rPr>
                <w:rFonts w:hint="eastAsia" w:ascii="宋体" w:hAnsi="宋体" w:cs="Times New Roman"/>
                <w:b w:val="0"/>
                <w:bCs w:val="0"/>
                <w:color w:val="auto"/>
                <w:kern w:val="2"/>
                <w:sz w:val="21"/>
                <w:szCs w:val="21"/>
                <w:highlight w:val="none"/>
                <w:u w:val="none"/>
                <w:lang w:val="en-US" w:eastAsia="zh-CN"/>
              </w:rPr>
            </w:pPr>
            <w:r>
              <w:rPr>
                <w:rFonts w:hint="eastAsia" w:ascii="宋体" w:hAnsi="宋体" w:cs="Times New Roman"/>
                <w:b w:val="0"/>
                <w:bCs w:val="0"/>
                <w:color w:val="auto"/>
                <w:kern w:val="2"/>
                <w:sz w:val="21"/>
                <w:szCs w:val="21"/>
                <w:highlight w:val="none"/>
                <w:u w:val="none"/>
                <w:lang w:val="en-US" w:eastAsia="zh-CN"/>
              </w:rPr>
              <w:t>自2023年1月1日至投标截止日（以合同签订时间为准），投标人具有水土保持方案编制服务业绩</w:t>
            </w:r>
            <w:r>
              <w:rPr>
                <w:rFonts w:hint="eastAsia" w:ascii="宋体" w:hAnsi="宋体" w:cs="Times New Roman"/>
                <w:b w:val="0"/>
                <w:bCs w:val="0"/>
                <w:color w:val="auto"/>
                <w:kern w:val="2"/>
                <w:sz w:val="21"/>
                <w:szCs w:val="21"/>
                <w:highlight w:val="none"/>
                <w:u w:val="none"/>
                <w:lang w:val="en-US" w:eastAsia="zh-CN"/>
              </w:rPr>
              <w:t>，每提供一个得5分，满分10分。</w:t>
            </w:r>
          </w:p>
          <w:p w14:paraId="30D52D68">
            <w:pPr>
              <w:pStyle w:val="109"/>
              <w:keepNext w:val="0"/>
              <w:keepLines w:val="0"/>
              <w:pageBreakBefore w:val="0"/>
              <w:numPr>
                <w:ilvl w:val="0"/>
                <w:numId w:val="0"/>
              </w:numPr>
              <w:tabs>
                <w:tab w:val="left" w:pos="1800"/>
                <w:tab w:val="left" w:pos="2340"/>
                <w:tab w:val="left" w:pos="2700"/>
              </w:tabs>
              <w:kinsoku/>
              <w:wordWrap/>
              <w:overflowPunct/>
              <w:topLinePunct w:val="0"/>
              <w:autoSpaceDE/>
              <w:autoSpaceDN/>
              <w:bidi w:val="0"/>
              <w:adjustRightInd w:val="0"/>
              <w:snapToGrid w:val="0"/>
              <w:spacing w:before="0" w:beforeAutospacing="0" w:after="0" w:afterAutospacing="0" w:line="520" w:lineRule="exact"/>
              <w:jc w:val="left"/>
              <w:textAlignment w:val="auto"/>
              <w:rPr>
                <w:rFonts w:hint="default" w:ascii="宋体" w:hAnsi="宋体" w:eastAsia="宋体" w:cs="Times New Roman"/>
                <w:color w:val="auto"/>
                <w:kern w:val="2"/>
                <w:sz w:val="21"/>
                <w:szCs w:val="21"/>
                <w:highlight w:val="none"/>
                <w:u w:val="none"/>
                <w:lang w:val="en-US" w:eastAsia="zh-CN"/>
              </w:rPr>
            </w:pPr>
            <w:r>
              <w:rPr>
                <w:rFonts w:hint="eastAsia" w:ascii="宋体" w:hAnsi="宋体" w:cs="Times New Roman"/>
                <w:b/>
                <w:bCs/>
                <w:color w:val="auto"/>
                <w:kern w:val="2"/>
                <w:sz w:val="21"/>
                <w:szCs w:val="21"/>
                <w:highlight w:val="none"/>
                <w:u w:val="none"/>
                <w:lang w:val="en-US" w:eastAsia="zh-CN"/>
              </w:rPr>
              <w:t>【投标文件中同时</w:t>
            </w:r>
            <w:r>
              <w:rPr>
                <w:rFonts w:hint="default" w:ascii="宋体" w:hAnsi="宋体" w:eastAsia="宋体" w:cs="Times New Roman"/>
                <w:b/>
                <w:bCs/>
                <w:color w:val="auto"/>
                <w:kern w:val="2"/>
                <w:sz w:val="21"/>
                <w:szCs w:val="21"/>
                <w:highlight w:val="none"/>
                <w:u w:val="none"/>
                <w:lang w:val="en-US" w:eastAsia="zh-CN"/>
              </w:rPr>
              <w:t>提供</w:t>
            </w:r>
            <w:r>
              <w:rPr>
                <w:rFonts w:hint="eastAsia" w:ascii="宋体" w:hAnsi="宋体" w:eastAsia="宋体" w:cs="Times New Roman"/>
                <w:b/>
                <w:bCs/>
                <w:color w:val="auto"/>
                <w:kern w:val="2"/>
                <w:sz w:val="21"/>
                <w:szCs w:val="21"/>
                <w:highlight w:val="none"/>
                <w:u w:val="none"/>
                <w:lang w:val="en-US" w:eastAsia="zh-CN"/>
              </w:rPr>
              <w:t>合同</w:t>
            </w:r>
            <w:r>
              <w:rPr>
                <w:rFonts w:hint="eastAsia" w:ascii="宋体" w:hAnsi="宋体" w:cs="Times New Roman"/>
                <w:b/>
                <w:bCs/>
                <w:color w:val="auto"/>
                <w:kern w:val="2"/>
                <w:sz w:val="21"/>
                <w:szCs w:val="21"/>
                <w:highlight w:val="none"/>
                <w:u w:val="none"/>
                <w:lang w:val="en-US" w:eastAsia="zh-CN"/>
              </w:rPr>
              <w:t>及主管部门的批复（审批）</w:t>
            </w:r>
            <w:r>
              <w:rPr>
                <w:rFonts w:hint="eastAsia" w:ascii="宋体" w:hAnsi="宋体" w:cs="Times New Roman"/>
                <w:b/>
                <w:bCs/>
                <w:color w:val="auto"/>
                <w:kern w:val="2"/>
                <w:sz w:val="21"/>
                <w:szCs w:val="21"/>
                <w:highlight w:val="none"/>
                <w:u w:val="none"/>
                <w:lang w:val="en-US" w:eastAsia="zh-CN"/>
              </w:rPr>
              <w:t>扫描件】</w:t>
            </w:r>
          </w:p>
        </w:tc>
      </w:tr>
      <w:tr w14:paraId="3F336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752" w:type="dxa"/>
            <w:shd w:val="clear" w:color="auto" w:fill="auto"/>
            <w:noWrap/>
            <w:vAlign w:val="center"/>
          </w:tcPr>
          <w:p w14:paraId="3DDE33A7">
            <w:pPr>
              <w:keepNext w:val="0"/>
              <w:keepLines w:val="0"/>
              <w:pageBreakBefore w:val="0"/>
              <w:kinsoku/>
              <w:wordWrap/>
              <w:overflowPunct/>
              <w:topLinePunct w:val="0"/>
              <w:autoSpaceDE/>
              <w:autoSpaceDN/>
              <w:bidi w:val="0"/>
              <w:adjustRightInd/>
              <w:spacing w:line="520" w:lineRule="exact"/>
              <w:jc w:val="center"/>
              <w:textAlignment w:val="auto"/>
              <w:rPr>
                <w:rFonts w:hint="default"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2</w:t>
            </w:r>
          </w:p>
        </w:tc>
        <w:tc>
          <w:tcPr>
            <w:tcW w:w="1078" w:type="dxa"/>
            <w:shd w:val="clear" w:color="auto" w:fill="auto"/>
            <w:noWrap/>
            <w:vAlign w:val="center"/>
          </w:tcPr>
          <w:p w14:paraId="71981CC3">
            <w:pPr>
              <w:keepNext w:val="0"/>
              <w:keepLines w:val="0"/>
              <w:pageBreakBefore w:val="0"/>
              <w:kinsoku/>
              <w:wordWrap/>
              <w:overflowPunct/>
              <w:topLinePunct w:val="0"/>
              <w:autoSpaceDE/>
              <w:autoSpaceDN/>
              <w:bidi w:val="0"/>
              <w:adjustRightInd/>
              <w:spacing w:line="520" w:lineRule="exact"/>
              <w:jc w:val="center"/>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报价</w:t>
            </w:r>
          </w:p>
        </w:tc>
        <w:tc>
          <w:tcPr>
            <w:tcW w:w="840" w:type="dxa"/>
            <w:shd w:val="clear" w:color="auto" w:fill="auto"/>
            <w:noWrap/>
            <w:vAlign w:val="center"/>
          </w:tcPr>
          <w:p w14:paraId="1628F88E">
            <w:pPr>
              <w:keepNext w:val="0"/>
              <w:keepLines w:val="0"/>
              <w:pageBreakBefore w:val="0"/>
              <w:kinsoku/>
              <w:wordWrap/>
              <w:overflowPunct/>
              <w:topLinePunct w:val="0"/>
              <w:autoSpaceDE/>
              <w:autoSpaceDN/>
              <w:bidi w:val="0"/>
              <w:adjustRightInd/>
              <w:spacing w:line="520" w:lineRule="exact"/>
              <w:jc w:val="center"/>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90分</w:t>
            </w:r>
          </w:p>
        </w:tc>
        <w:tc>
          <w:tcPr>
            <w:tcW w:w="7217" w:type="dxa"/>
            <w:shd w:val="clear" w:color="auto" w:fill="auto"/>
            <w:noWrap/>
            <w:vAlign w:val="center"/>
          </w:tcPr>
          <w:p w14:paraId="564B630B">
            <w:pPr>
              <w:keepNext w:val="0"/>
              <w:keepLines w:val="0"/>
              <w:pageBreakBefore w:val="0"/>
              <w:kinsoku/>
              <w:wordWrap/>
              <w:overflowPunct/>
              <w:topLinePunct w:val="0"/>
              <w:autoSpaceDE/>
              <w:autoSpaceDN/>
              <w:bidi w:val="0"/>
              <w:spacing w:line="520" w:lineRule="exac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商务标评分按下列步骤计算：</w:t>
            </w:r>
          </w:p>
          <w:p w14:paraId="0ED533D8">
            <w:pPr>
              <w:keepNext w:val="0"/>
              <w:keepLines w:val="0"/>
              <w:pageBreakBefore w:val="0"/>
              <w:kinsoku/>
              <w:wordWrap/>
              <w:overflowPunct/>
              <w:topLinePunct w:val="0"/>
              <w:autoSpaceDE/>
              <w:autoSpaceDN/>
              <w:bidi w:val="0"/>
              <w:spacing w:line="520" w:lineRule="exac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第一步：计算评标基准价F值。</w:t>
            </w:r>
          </w:p>
          <w:p w14:paraId="1A4914B5">
            <w:pPr>
              <w:keepNext w:val="0"/>
              <w:keepLines w:val="0"/>
              <w:pageBreakBefore w:val="0"/>
              <w:kinsoku/>
              <w:wordWrap/>
              <w:overflowPunct/>
              <w:topLinePunct w:val="0"/>
              <w:autoSpaceDE/>
              <w:autoSpaceDN/>
              <w:bidi w:val="0"/>
              <w:spacing w:line="520" w:lineRule="exact"/>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rPr>
              <w:t>①</w:t>
            </w:r>
            <w:r>
              <w:rPr>
                <w:rFonts w:hint="eastAsia" w:ascii="宋体" w:hAnsi="宋体" w:cs="宋体"/>
                <w:color w:val="auto"/>
                <w:sz w:val="21"/>
                <w:szCs w:val="21"/>
                <w:highlight w:val="none"/>
                <w:lang w:val="en-US" w:eastAsia="zh-CN"/>
              </w:rPr>
              <w:t>F值为计算范围内有效投标人报价的算术平均值。</w:t>
            </w:r>
          </w:p>
          <w:p w14:paraId="4A292A74">
            <w:pPr>
              <w:keepNext w:val="0"/>
              <w:keepLines w:val="0"/>
              <w:pageBreakBefore w:val="0"/>
              <w:kinsoku/>
              <w:wordWrap/>
              <w:overflowPunct/>
              <w:topLinePunct w:val="0"/>
              <w:autoSpaceDE/>
              <w:autoSpaceDN/>
              <w:bidi w:val="0"/>
              <w:spacing w:line="520" w:lineRule="exac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F</w:t>
            </w:r>
            <w:r>
              <w:rPr>
                <w:rFonts w:hint="eastAsia" w:ascii="宋体" w:hAnsi="宋体" w:cs="宋体"/>
                <w:color w:val="auto"/>
                <w:sz w:val="21"/>
                <w:szCs w:val="21"/>
                <w:highlight w:val="none"/>
              </w:rPr>
              <w:t>值的计算方法：计算范围内有效投标人等于或超过5家时，</w:t>
            </w:r>
            <w:r>
              <w:rPr>
                <w:rFonts w:hint="eastAsia" w:ascii="宋体" w:hAnsi="宋体" w:cs="宋体"/>
                <w:color w:val="auto"/>
                <w:sz w:val="21"/>
                <w:szCs w:val="21"/>
                <w:highlight w:val="none"/>
                <w:lang w:val="en-US" w:eastAsia="zh-CN"/>
              </w:rPr>
              <w:t>F</w:t>
            </w:r>
            <w:r>
              <w:rPr>
                <w:rFonts w:hint="eastAsia" w:ascii="宋体" w:hAnsi="宋体" w:cs="宋体"/>
                <w:color w:val="auto"/>
                <w:sz w:val="21"/>
                <w:szCs w:val="21"/>
                <w:highlight w:val="none"/>
              </w:rPr>
              <w:t>值为通过符合性审查的M个投标人投标报价中去除</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M*20%）个最高价和</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M*20%）个最低价后的算术平均值（如去高去低存在报价相同的，仅去除规定数量的投标报价），若（M*20%）为非整数，则直接取整。如M为7，则扣除1个最高价和1个最低价。如M为9，则扣除1个最高价和1个最低价。如果计算范围内有效投标人少于5家时，则计算评标价平均值时不去掉最高值和最低值，评标价平均值即为</w:t>
            </w:r>
            <w:r>
              <w:rPr>
                <w:rFonts w:hint="eastAsia" w:ascii="宋体" w:hAnsi="宋体" w:cs="宋体"/>
                <w:color w:val="auto"/>
                <w:sz w:val="21"/>
                <w:szCs w:val="21"/>
                <w:highlight w:val="none"/>
                <w:lang w:val="en-US" w:eastAsia="zh-CN"/>
              </w:rPr>
              <w:t>F</w:t>
            </w:r>
            <w:r>
              <w:rPr>
                <w:rFonts w:hint="eastAsia" w:ascii="宋体" w:hAnsi="宋体" w:cs="宋体"/>
                <w:color w:val="auto"/>
                <w:sz w:val="21"/>
                <w:szCs w:val="21"/>
                <w:highlight w:val="none"/>
              </w:rPr>
              <w:t xml:space="preserve">值。 </w:t>
            </w:r>
          </w:p>
          <w:p w14:paraId="669AF516">
            <w:pPr>
              <w:keepNext w:val="0"/>
              <w:keepLines w:val="0"/>
              <w:pageBreakBefore w:val="0"/>
              <w:kinsoku/>
              <w:wordWrap/>
              <w:overflowPunct/>
              <w:topLinePunct w:val="0"/>
              <w:autoSpaceDE/>
              <w:autoSpaceDN/>
              <w:bidi w:val="0"/>
              <w:spacing w:line="520" w:lineRule="exac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第</w:t>
            </w:r>
            <w:r>
              <w:rPr>
                <w:rFonts w:hint="eastAsia" w:ascii="宋体" w:hAnsi="宋体" w:cs="宋体"/>
                <w:color w:val="auto"/>
                <w:sz w:val="21"/>
                <w:szCs w:val="21"/>
                <w:highlight w:val="none"/>
                <w:lang w:val="en-US" w:eastAsia="zh-CN"/>
              </w:rPr>
              <w:t>二</w:t>
            </w:r>
            <w:r>
              <w:rPr>
                <w:rFonts w:hint="eastAsia" w:ascii="宋体" w:hAnsi="宋体" w:cs="宋体"/>
                <w:color w:val="auto"/>
                <w:sz w:val="21"/>
                <w:szCs w:val="21"/>
                <w:highlight w:val="none"/>
              </w:rPr>
              <w:t>步：计算报价偏差率。</w:t>
            </w:r>
          </w:p>
          <w:p w14:paraId="3B2C4994">
            <w:pPr>
              <w:keepNext w:val="0"/>
              <w:keepLines w:val="0"/>
              <w:pageBreakBefore w:val="0"/>
              <w:kinsoku/>
              <w:wordWrap/>
              <w:overflowPunct/>
              <w:topLinePunct w:val="0"/>
              <w:autoSpaceDE/>
              <w:autoSpaceDN/>
              <w:bidi w:val="0"/>
              <w:spacing w:line="520" w:lineRule="exact"/>
              <w:textAlignment w:val="auto"/>
              <w:rPr>
                <w:rFonts w:ascii="宋体" w:hAnsi="宋体" w:cs="宋体"/>
                <w:color w:val="auto"/>
                <w:sz w:val="21"/>
                <w:szCs w:val="21"/>
                <w:highlight w:val="none"/>
              </w:rPr>
            </w:pPr>
            <w:r>
              <w:rPr>
                <w:rFonts w:hint="eastAsia" w:ascii="宋体" w:hAnsi="宋体" w:cs="宋体"/>
                <w:color w:val="auto"/>
                <w:sz w:val="21"/>
                <w:szCs w:val="21"/>
                <w:highlight w:val="none"/>
              </w:rPr>
              <w:t>①偏差率=|（投标报价-评标基准价）/评标基准价|×100%</w:t>
            </w:r>
          </w:p>
          <w:p w14:paraId="584F15F8">
            <w:pPr>
              <w:keepNext w:val="0"/>
              <w:keepLines w:val="0"/>
              <w:pageBreakBefore w:val="0"/>
              <w:kinsoku/>
              <w:wordWrap/>
              <w:overflowPunct/>
              <w:topLinePunct w:val="0"/>
              <w:autoSpaceDE/>
              <w:autoSpaceDN/>
              <w:bidi w:val="0"/>
              <w:spacing w:line="520" w:lineRule="exact"/>
              <w:textAlignment w:val="auto"/>
              <w:rPr>
                <w:rFonts w:ascii="宋体" w:hAnsi="宋体" w:cs="宋体"/>
                <w:color w:val="auto"/>
                <w:sz w:val="21"/>
                <w:szCs w:val="21"/>
                <w:highlight w:val="none"/>
              </w:rPr>
            </w:pPr>
            <w:r>
              <w:rPr>
                <w:rFonts w:hint="eastAsia" w:ascii="宋体" w:hAnsi="宋体" w:cs="宋体"/>
                <w:color w:val="auto"/>
                <w:sz w:val="21"/>
                <w:szCs w:val="21"/>
                <w:highlight w:val="none"/>
              </w:rPr>
              <w:t>第</w:t>
            </w:r>
            <w:r>
              <w:rPr>
                <w:rFonts w:hint="eastAsia" w:ascii="宋体" w:hAnsi="宋体" w:cs="宋体"/>
                <w:color w:val="auto"/>
                <w:sz w:val="21"/>
                <w:szCs w:val="21"/>
                <w:highlight w:val="none"/>
                <w:lang w:val="en-US" w:eastAsia="zh-CN"/>
              </w:rPr>
              <w:t>三</w:t>
            </w:r>
            <w:r>
              <w:rPr>
                <w:rFonts w:hint="eastAsia" w:ascii="宋体" w:hAnsi="宋体" w:cs="宋体"/>
                <w:color w:val="auto"/>
                <w:sz w:val="21"/>
                <w:szCs w:val="21"/>
                <w:highlight w:val="none"/>
              </w:rPr>
              <w:t>步：计算报价得分</w:t>
            </w:r>
          </w:p>
          <w:p w14:paraId="05C6F096">
            <w:pPr>
              <w:keepNext w:val="0"/>
              <w:keepLines w:val="0"/>
              <w:pageBreakBefore w:val="0"/>
              <w:kinsoku/>
              <w:wordWrap/>
              <w:overflowPunct/>
              <w:topLinePunct w:val="0"/>
              <w:autoSpaceDE/>
              <w:autoSpaceDN/>
              <w:bidi w:val="0"/>
              <w:spacing w:line="520" w:lineRule="exact"/>
              <w:textAlignment w:val="auto"/>
              <w:rPr>
                <w:rFonts w:ascii="宋体" w:hAnsi="宋体" w:cs="宋体"/>
                <w:color w:val="auto"/>
                <w:sz w:val="21"/>
                <w:szCs w:val="21"/>
                <w:highlight w:val="none"/>
              </w:rPr>
            </w:pPr>
            <w:r>
              <w:rPr>
                <w:rFonts w:hint="eastAsia" w:ascii="宋体" w:hAnsi="宋体" w:cs="宋体"/>
                <w:color w:val="auto"/>
                <w:sz w:val="21"/>
                <w:szCs w:val="21"/>
                <w:highlight w:val="none"/>
              </w:rPr>
              <w:t>①投标报价等于评标基准价的得满分。</w:t>
            </w:r>
          </w:p>
          <w:p w14:paraId="095A04CB">
            <w:pPr>
              <w:keepNext w:val="0"/>
              <w:keepLines w:val="0"/>
              <w:pageBreakBefore w:val="0"/>
              <w:kinsoku/>
              <w:wordWrap/>
              <w:overflowPunct/>
              <w:topLinePunct w:val="0"/>
              <w:autoSpaceDE/>
              <w:autoSpaceDN/>
              <w:bidi w:val="0"/>
              <w:spacing w:line="52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②投标报价高于评标基准价的，投标报价得分=报价满分值-偏差率×</w:t>
            </w:r>
            <w:r>
              <w:rPr>
                <w:rFonts w:hint="eastAsia" w:ascii="宋体" w:hAnsi="宋体" w:cs="宋体"/>
                <w:color w:val="auto"/>
                <w:sz w:val="21"/>
                <w:szCs w:val="21"/>
                <w:highlight w:val="none"/>
                <w:lang w:val="en-US" w:eastAsia="zh-CN"/>
              </w:rPr>
              <w:t>100</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1</w:t>
            </w:r>
          </w:p>
          <w:p w14:paraId="5EABE125">
            <w:pPr>
              <w:keepNext w:val="0"/>
              <w:keepLines w:val="0"/>
              <w:pageBreakBefore w:val="0"/>
              <w:kinsoku/>
              <w:wordWrap/>
              <w:overflowPunct/>
              <w:topLinePunct w:val="0"/>
              <w:autoSpaceDE/>
              <w:autoSpaceDN/>
              <w:bidi w:val="0"/>
              <w:spacing w:line="52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③投标报价低于评标基准价的，投标报价得分=报价满分值-偏差率×</w:t>
            </w:r>
            <w:r>
              <w:rPr>
                <w:rFonts w:hint="eastAsia" w:ascii="宋体" w:hAnsi="宋体" w:cs="宋体"/>
                <w:color w:val="auto"/>
                <w:sz w:val="21"/>
                <w:szCs w:val="21"/>
                <w:highlight w:val="none"/>
                <w:lang w:val="en-US" w:eastAsia="zh-CN"/>
              </w:rPr>
              <w:t>100</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0.5</w:t>
            </w:r>
          </w:p>
          <w:p w14:paraId="2CB41156">
            <w:pPr>
              <w:keepNext w:val="0"/>
              <w:keepLines w:val="0"/>
              <w:pageBreakBefore w:val="0"/>
              <w:kinsoku/>
              <w:wordWrap/>
              <w:overflowPunct/>
              <w:topLinePunct w:val="0"/>
              <w:autoSpaceDE/>
              <w:autoSpaceDN/>
              <w:bidi w:val="0"/>
              <w:adjustRightInd/>
              <w:spacing w:line="520" w:lineRule="exact"/>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color w:val="auto"/>
                <w:sz w:val="21"/>
                <w:szCs w:val="21"/>
                <w:highlight w:val="none"/>
              </w:rPr>
              <w:t>注：计算过程中，评标基准价F值、偏差率、报价得分均保留两位小数，小数点后第三位四舍五入。</w:t>
            </w:r>
          </w:p>
        </w:tc>
      </w:tr>
    </w:tbl>
    <w:p w14:paraId="3800892F">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ind w:firstLine="562" w:firstLineChars="200"/>
        <w:jc w:val="center"/>
        <w:textAlignment w:val="auto"/>
        <w:outlineLvl w:val="1"/>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五、推荐中标候选人</w:t>
      </w:r>
      <w:bookmarkEnd w:id="52"/>
      <w:bookmarkEnd w:id="53"/>
      <w:bookmarkEnd w:id="54"/>
    </w:p>
    <w:bookmarkEnd w:id="43"/>
    <w:p w14:paraId="2F62E0BE">
      <w:pPr>
        <w:keepNext w:val="0"/>
        <w:keepLines w:val="0"/>
        <w:pageBreakBefore w:val="0"/>
        <w:kinsoku/>
        <w:wordWrap/>
        <w:overflowPunct/>
        <w:topLinePunct w:val="0"/>
        <w:autoSpaceDE/>
        <w:autoSpaceDN/>
        <w:bidi w:val="0"/>
        <w:snapToGrid w:val="0"/>
        <w:spacing w:line="520" w:lineRule="exact"/>
        <w:ind w:right="-212" w:rightChars="-101"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7.评标委员会按得分之和从高到低按顺序，推荐3名中标候选人。 </w:t>
      </w:r>
    </w:p>
    <w:p w14:paraId="59A643FB">
      <w:pPr>
        <w:keepNext w:val="0"/>
        <w:keepLines w:val="0"/>
        <w:pageBreakBefore w:val="0"/>
        <w:kinsoku/>
        <w:wordWrap/>
        <w:overflowPunct/>
        <w:topLinePunct w:val="0"/>
        <w:autoSpaceDE/>
        <w:autoSpaceDN/>
        <w:bidi w:val="0"/>
        <w:snapToGrid w:val="0"/>
        <w:spacing w:line="520" w:lineRule="exact"/>
        <w:ind w:right="-212" w:rightChars="-101"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7.1总得分相同的，按报价由低到高顺序排列。总得分且报价相同的并列，由</w:t>
      </w:r>
      <w:r>
        <w:rPr>
          <w:rFonts w:hint="eastAsia" w:ascii="宋体" w:hAnsi="宋体" w:cs="宋体"/>
          <w:color w:val="auto"/>
          <w:szCs w:val="21"/>
          <w:highlight w:val="none"/>
          <w:lang w:val="en-US" w:eastAsia="zh-CN"/>
        </w:rPr>
        <w:t>招标人</w:t>
      </w:r>
      <w:r>
        <w:rPr>
          <w:rFonts w:hint="eastAsia" w:ascii="宋体" w:hAnsi="宋体" w:cs="宋体"/>
          <w:color w:val="auto"/>
          <w:kern w:val="0"/>
          <w:sz w:val="21"/>
          <w:szCs w:val="21"/>
          <w:highlight w:val="none"/>
          <w:lang w:val="en-US" w:eastAsia="zh-CN" w:bidi="ar-SA"/>
        </w:rPr>
        <w:t>或评标委员会主任</w:t>
      </w:r>
      <w:r>
        <w:rPr>
          <w:rFonts w:hint="eastAsia" w:ascii="宋体" w:hAnsi="宋体" w:cs="宋体"/>
          <w:color w:val="auto"/>
          <w:szCs w:val="21"/>
          <w:highlight w:val="none"/>
        </w:rPr>
        <w:t>现场采取随机摇号的方式确定中标候选人。</w:t>
      </w:r>
    </w:p>
    <w:p w14:paraId="252BC8E5">
      <w:pPr>
        <w:keepNext w:val="0"/>
        <w:keepLines w:val="0"/>
        <w:pageBreakBefore w:val="0"/>
        <w:kinsoku/>
        <w:wordWrap/>
        <w:overflowPunct/>
        <w:topLinePunct w:val="0"/>
        <w:autoSpaceDE/>
        <w:autoSpaceDN/>
        <w:bidi w:val="0"/>
        <w:snapToGrid w:val="0"/>
        <w:spacing w:line="520" w:lineRule="exact"/>
        <w:ind w:right="-212" w:rightChars="-101"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7.2招标人确定第一中标候选人为本项目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74E67D8B">
      <w:pPr>
        <w:keepNext w:val="0"/>
        <w:keepLines w:val="0"/>
        <w:pageBreakBefore w:val="0"/>
        <w:kinsoku/>
        <w:wordWrap/>
        <w:overflowPunct/>
        <w:topLinePunct w:val="0"/>
        <w:autoSpaceDE/>
        <w:autoSpaceDN/>
        <w:bidi w:val="0"/>
        <w:snapToGrid w:val="0"/>
        <w:spacing w:line="520" w:lineRule="exact"/>
        <w:ind w:left="0" w:leftChars="0" w:firstLine="420" w:firstLineChars="200"/>
        <w:jc w:val="left"/>
        <w:textAlignment w:val="auto"/>
        <w:rPr>
          <w:rFonts w:hint="eastAsia" w:ascii="宋体" w:hAnsi="宋体" w:cs="宋体"/>
          <w:b/>
          <w:color w:val="auto"/>
          <w:szCs w:val="21"/>
          <w:highlight w:val="none"/>
        </w:rPr>
      </w:pPr>
      <w:r>
        <w:rPr>
          <w:rFonts w:hint="eastAsia" w:ascii="宋体" w:hAnsi="宋体" w:cs="宋体"/>
          <w:color w:val="auto"/>
          <w:szCs w:val="21"/>
          <w:highlight w:val="none"/>
        </w:rPr>
        <w:t>根据评标委员会评审初步结论，项目单位（代理机构）对预中标候选人是否存在招标文件要求查询的失信行为进行网上核查后，提交网站截图等查询记录给评标委员会复核。若核查结果不符合招标文件规定的投标人资格条件信誉要求，由评标委员会取消其预中标候选人资格，并依次替补，再次对替补单位进行核查。如评标现场未发现问题但标后质疑（异议）、投诉发现中标候选人存在信誉问题，则组织评标委员会重新启动复核程序。核查结果不改变原评标基准价。</w:t>
      </w:r>
    </w:p>
    <w:p w14:paraId="6DFDF3F9">
      <w:pPr>
        <w:keepNext w:val="0"/>
        <w:keepLines w:val="0"/>
        <w:pageBreakBefore w:val="0"/>
        <w:kinsoku/>
        <w:wordWrap/>
        <w:overflowPunct/>
        <w:topLinePunct w:val="0"/>
        <w:autoSpaceDE/>
        <w:autoSpaceDN/>
        <w:bidi w:val="0"/>
        <w:snapToGrid w:val="0"/>
        <w:spacing w:line="520" w:lineRule="exact"/>
        <w:ind w:left="0" w:leftChars="0"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 xml:space="preserve">8. </w:t>
      </w:r>
      <w:bookmarkStart w:id="55" w:name="_Hlk61815781"/>
      <w:r>
        <w:rPr>
          <w:rFonts w:hint="eastAsia" w:ascii="宋体" w:hAnsi="宋体" w:cs="宋体"/>
          <w:b/>
          <w:color w:val="auto"/>
          <w:szCs w:val="21"/>
          <w:highlight w:val="none"/>
        </w:rPr>
        <w:t>无效投标条款</w:t>
      </w:r>
    </w:p>
    <w:p w14:paraId="0617F08D">
      <w:pPr>
        <w:keepNext w:val="0"/>
        <w:keepLines w:val="0"/>
        <w:pageBreakBefore w:val="0"/>
        <w:kinsoku/>
        <w:wordWrap/>
        <w:overflowPunct/>
        <w:topLinePunct w:val="0"/>
        <w:autoSpaceDE/>
        <w:autoSpaceDN/>
        <w:bidi w:val="0"/>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8.1投标文件有下列情形之一的</w:t>
      </w:r>
      <w:r>
        <w:rPr>
          <w:rFonts w:hint="eastAsia" w:ascii="宋体" w:hAnsi="宋体" w:cs="宋体"/>
          <w:color w:val="auto"/>
          <w:szCs w:val="21"/>
          <w:highlight w:val="none"/>
          <w:lang w:eastAsia="zh-CN"/>
        </w:rPr>
        <w:t>，</w:t>
      </w:r>
      <w:r>
        <w:rPr>
          <w:rFonts w:hint="eastAsia" w:ascii="宋体" w:hAnsi="宋体" w:cs="宋体"/>
          <w:color w:val="auto"/>
          <w:szCs w:val="21"/>
          <w:highlight w:val="none"/>
        </w:rPr>
        <w:t>其投标文件拒收</w:t>
      </w:r>
      <w:r>
        <w:rPr>
          <w:rFonts w:hint="eastAsia" w:ascii="宋体" w:hAnsi="宋体" w:cs="宋体"/>
          <w:color w:val="auto"/>
          <w:szCs w:val="21"/>
          <w:highlight w:val="none"/>
          <w:lang w:eastAsia="zh-CN"/>
        </w:rPr>
        <w:t>：</w:t>
      </w:r>
    </w:p>
    <w:p w14:paraId="655033CD">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 xml:space="preserve"> 未在开标截止时间前通过网上招标投标系统递交有效电子投标文件的，开标系统不予接收，投标将被拒绝</w:t>
      </w:r>
      <w:r>
        <w:rPr>
          <w:rFonts w:hint="eastAsia" w:ascii="宋体" w:hAnsi="宋体" w:cs="宋体"/>
          <w:color w:val="auto"/>
          <w:szCs w:val="21"/>
          <w:highlight w:val="none"/>
          <w:lang w:eastAsia="zh-CN"/>
        </w:rPr>
        <w:t>。</w:t>
      </w:r>
    </w:p>
    <w:p w14:paraId="1B302EC7">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投标企业接到远程解密指令后，须在规定时间内解密。因投标人自身原因导致投标文件在规定时间内未能解密、解密失败或解密超时，投标文件无效；解密时间：从本项目网上招投标系统解密倒计时开始，至完成投标文件解密时间，不得超过</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分钟，否则投标文件将被拒绝。</w:t>
      </w:r>
    </w:p>
    <w:bookmarkEnd w:id="55"/>
    <w:p w14:paraId="2453625A">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8.2</w:t>
      </w:r>
      <w:r>
        <w:rPr>
          <w:rFonts w:hint="eastAsia" w:ascii="宋体" w:hAnsi="宋体" w:cs="宋体"/>
          <w:color w:val="auto"/>
          <w:szCs w:val="21"/>
          <w:highlight w:val="none"/>
          <w:lang w:eastAsia="zh-CN"/>
        </w:rPr>
        <w:t>投标人</w:t>
      </w:r>
      <w:r>
        <w:rPr>
          <w:rFonts w:hint="eastAsia" w:ascii="宋体" w:hAnsi="宋体" w:cs="宋体"/>
          <w:color w:val="auto"/>
          <w:szCs w:val="21"/>
          <w:highlight w:val="none"/>
        </w:rPr>
        <w:t>有下列情形之一的</w:t>
      </w:r>
      <w:r>
        <w:rPr>
          <w:rFonts w:hint="eastAsia" w:ascii="宋体" w:hAnsi="宋体" w:cs="宋体"/>
          <w:color w:val="auto"/>
          <w:szCs w:val="21"/>
          <w:highlight w:val="none"/>
          <w:lang w:eastAsia="zh-CN"/>
        </w:rPr>
        <w:t>，</w:t>
      </w:r>
      <w:r>
        <w:rPr>
          <w:rFonts w:hint="eastAsia" w:ascii="宋体" w:hAnsi="宋体" w:cs="宋体"/>
          <w:color w:val="auto"/>
          <w:szCs w:val="21"/>
          <w:highlight w:val="none"/>
        </w:rPr>
        <w:t>资格审查后其投标作无效投标处理：</w:t>
      </w:r>
    </w:p>
    <w:p w14:paraId="1D91AF56">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（1）投标人</w:t>
      </w:r>
      <w:r>
        <w:rPr>
          <w:rFonts w:hint="eastAsia" w:ascii="宋体" w:hAnsi="宋体" w:cs="宋体"/>
          <w:color w:val="auto"/>
          <w:szCs w:val="21"/>
          <w:highlight w:val="none"/>
        </w:rPr>
        <w:t>为本项目提供招标代理服务的；</w:t>
      </w:r>
    </w:p>
    <w:p w14:paraId="08467CFA">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（2）投标人</w:t>
      </w:r>
      <w:r>
        <w:rPr>
          <w:rFonts w:hint="eastAsia" w:ascii="宋体" w:hAnsi="宋体" w:cs="宋体"/>
          <w:color w:val="auto"/>
          <w:szCs w:val="21"/>
          <w:highlight w:val="none"/>
        </w:rPr>
        <w:t>与在本项目代理机构存在相互任职或工作的；</w:t>
      </w:r>
    </w:p>
    <w:p w14:paraId="6EB96CB0">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cs="宋体"/>
          <w:color w:val="auto"/>
          <w:szCs w:val="21"/>
          <w:highlight w:val="none"/>
        </w:rPr>
        <w:t xml:space="preserve"> 评标专家无法查看并检验</w:t>
      </w:r>
      <w:r>
        <w:rPr>
          <w:rFonts w:hint="eastAsia" w:ascii="宋体" w:hAnsi="宋体" w:cs="宋体"/>
          <w:color w:val="auto"/>
          <w:szCs w:val="21"/>
          <w:highlight w:val="none"/>
          <w:lang w:eastAsia="zh-CN"/>
        </w:rPr>
        <w:t>招标文件</w:t>
      </w:r>
      <w:r>
        <w:rPr>
          <w:rFonts w:hint="eastAsia" w:ascii="宋体" w:hAnsi="宋体" w:cs="宋体"/>
          <w:color w:val="auto"/>
          <w:szCs w:val="21"/>
          <w:highlight w:val="none"/>
        </w:rPr>
        <w:t>中相关资料的；</w:t>
      </w:r>
    </w:p>
    <w:p w14:paraId="189DF9CB">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cs="宋体"/>
          <w:color w:val="auto"/>
          <w:szCs w:val="21"/>
          <w:highlight w:val="none"/>
        </w:rPr>
        <w:t>被暂停营业的；</w:t>
      </w:r>
    </w:p>
    <w:p w14:paraId="55D011AC">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（5）</w:t>
      </w:r>
      <w:r>
        <w:rPr>
          <w:rFonts w:hint="eastAsia" w:ascii="宋体" w:hAnsi="宋体" w:cs="宋体"/>
          <w:color w:val="auto"/>
          <w:szCs w:val="21"/>
          <w:highlight w:val="none"/>
        </w:rPr>
        <w:t>被暂停或取消投标资格的；</w:t>
      </w:r>
    </w:p>
    <w:p w14:paraId="768FF611">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（6）投标人</w:t>
      </w:r>
      <w:r>
        <w:rPr>
          <w:rFonts w:hint="eastAsia" w:ascii="宋体" w:hAnsi="宋体" w:cs="宋体"/>
          <w:color w:val="auto"/>
          <w:szCs w:val="21"/>
          <w:highlight w:val="none"/>
        </w:rPr>
        <w:t>单位负责人为同一人或者存在</w:t>
      </w:r>
      <w:r>
        <w:rPr>
          <w:rFonts w:hint="eastAsia" w:ascii="宋体" w:hAnsi="宋体" w:cs="宋体"/>
          <w:color w:val="auto"/>
          <w:szCs w:val="21"/>
          <w:highlight w:val="none"/>
          <w:lang w:val="en-US" w:eastAsia="zh-CN"/>
        </w:rPr>
        <w:t>直接</w:t>
      </w:r>
      <w:r>
        <w:rPr>
          <w:rFonts w:hint="eastAsia" w:ascii="宋体" w:hAnsi="宋体" w:cs="宋体"/>
          <w:color w:val="auto"/>
          <w:szCs w:val="21"/>
          <w:highlight w:val="none"/>
        </w:rPr>
        <w:t>控股、管理关系的不同单位的；</w:t>
      </w:r>
    </w:p>
    <w:p w14:paraId="1A8F0C53">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（7）投标人</w:t>
      </w:r>
      <w:r>
        <w:rPr>
          <w:rFonts w:hint="eastAsia" w:ascii="宋体" w:hAnsi="宋体" w:cs="宋体"/>
          <w:color w:val="auto"/>
          <w:szCs w:val="21"/>
          <w:highlight w:val="none"/>
        </w:rPr>
        <w:t>基本资格条件和特定资格条件中有一项及以上不符合要求的；</w:t>
      </w:r>
    </w:p>
    <w:p w14:paraId="24069BC9">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（8）其他情形</w:t>
      </w:r>
      <w:r>
        <w:rPr>
          <w:rFonts w:hint="eastAsia" w:ascii="宋体" w:hAnsi="宋体" w:cs="宋体"/>
          <w:color w:val="auto"/>
          <w:szCs w:val="21"/>
          <w:highlight w:val="none"/>
        </w:rPr>
        <w:t>，经评标</w:t>
      </w:r>
      <w:r>
        <w:rPr>
          <w:rFonts w:hint="eastAsia" w:ascii="宋体" w:hAnsi="宋体" w:cs="宋体"/>
          <w:color w:val="auto"/>
          <w:szCs w:val="21"/>
          <w:highlight w:val="none"/>
          <w:lang w:eastAsia="zh-CN"/>
        </w:rPr>
        <w:t>委员会</w:t>
      </w:r>
      <w:r>
        <w:rPr>
          <w:rFonts w:hint="eastAsia" w:ascii="宋体" w:hAnsi="宋体" w:cs="宋体"/>
          <w:color w:val="auto"/>
          <w:szCs w:val="21"/>
          <w:highlight w:val="none"/>
        </w:rPr>
        <w:t>提出按无效投标处理的；</w:t>
      </w:r>
    </w:p>
    <w:p w14:paraId="145E5271">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lang w:eastAsia="zh-CN"/>
        </w:rPr>
        <w:t>招标文件</w:t>
      </w:r>
      <w:r>
        <w:rPr>
          <w:rFonts w:hint="eastAsia" w:ascii="宋体" w:hAnsi="宋体" w:cs="宋体"/>
          <w:color w:val="auto"/>
          <w:szCs w:val="21"/>
          <w:highlight w:val="none"/>
        </w:rPr>
        <w:t>规定的</w:t>
      </w:r>
      <w:r>
        <w:rPr>
          <w:rFonts w:hint="eastAsia" w:ascii="宋体" w:hAnsi="宋体" w:cs="宋体"/>
          <w:color w:val="auto"/>
          <w:szCs w:val="21"/>
          <w:highlight w:val="none"/>
          <w:lang w:eastAsia="zh-CN"/>
        </w:rPr>
        <w:t>其他无效</w:t>
      </w:r>
      <w:r>
        <w:rPr>
          <w:rFonts w:hint="eastAsia" w:ascii="宋体" w:hAnsi="宋体" w:cs="宋体"/>
          <w:color w:val="auto"/>
          <w:szCs w:val="21"/>
          <w:highlight w:val="none"/>
        </w:rPr>
        <w:t>投标情形。</w:t>
      </w:r>
    </w:p>
    <w:p w14:paraId="50856FB3">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 8.3 </w:t>
      </w:r>
      <w:r>
        <w:rPr>
          <w:rFonts w:hint="eastAsia" w:ascii="宋体" w:hAnsi="宋体" w:cs="宋体"/>
          <w:color w:val="auto"/>
          <w:szCs w:val="21"/>
          <w:highlight w:val="none"/>
          <w:lang w:eastAsia="zh-CN"/>
        </w:rPr>
        <w:t>投标人</w:t>
      </w:r>
      <w:r>
        <w:rPr>
          <w:rFonts w:hint="eastAsia" w:ascii="宋体" w:hAnsi="宋体" w:cs="宋体"/>
          <w:color w:val="auto"/>
          <w:szCs w:val="21"/>
          <w:highlight w:val="none"/>
        </w:rPr>
        <w:t>有下列情形之一的</w:t>
      </w:r>
      <w:r>
        <w:rPr>
          <w:rFonts w:hint="eastAsia" w:ascii="宋体" w:hAnsi="宋体" w:cs="宋体"/>
          <w:color w:val="auto"/>
          <w:szCs w:val="21"/>
          <w:highlight w:val="none"/>
          <w:lang w:eastAsia="zh-CN"/>
        </w:rPr>
        <w:t>，</w:t>
      </w:r>
      <w:r>
        <w:rPr>
          <w:rFonts w:hint="eastAsia" w:ascii="宋体" w:hAnsi="宋体" w:cs="宋体"/>
          <w:color w:val="auto"/>
          <w:szCs w:val="21"/>
          <w:highlight w:val="none"/>
        </w:rPr>
        <w:t>符合性审查后其投标按无效投标处理：</w:t>
      </w:r>
    </w:p>
    <w:p w14:paraId="049A30C3">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（1）招标文件</w:t>
      </w:r>
      <w:r>
        <w:rPr>
          <w:rFonts w:hint="eastAsia" w:ascii="宋体" w:hAnsi="宋体" w:cs="宋体"/>
          <w:color w:val="auto"/>
          <w:szCs w:val="21"/>
          <w:highlight w:val="none"/>
        </w:rPr>
        <w:t>签字、盖章不全，经评标委员会一致认定对开评标内容有实质性影响的；</w:t>
      </w:r>
    </w:p>
    <w:p w14:paraId="53D3D90A">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color w:val="auto"/>
          <w:szCs w:val="21"/>
          <w:highlight w:val="none"/>
        </w:rPr>
      </w:pPr>
      <w:r>
        <w:rPr>
          <w:rFonts w:hint="eastAsia" w:ascii="宋体" w:hAnsi="宋体" w:cs="宋体"/>
          <w:color w:val="auto"/>
          <w:szCs w:val="21"/>
          <w:highlight w:val="none"/>
          <w:lang w:eastAsia="zh-CN"/>
        </w:rPr>
        <w:t>（2）</w:t>
      </w:r>
      <w:r>
        <w:rPr>
          <w:rFonts w:hint="eastAsia" w:ascii="宋体"/>
          <w:color w:val="auto"/>
          <w:szCs w:val="21"/>
          <w:highlight w:val="none"/>
        </w:rPr>
        <w:t>未按规定的格式填写导致实质性内容不全以及实质上不响应，或者关键字迹模糊、无法辨认；</w:t>
      </w:r>
    </w:p>
    <w:p w14:paraId="52200C7D">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cs="宋体"/>
          <w:color w:val="auto"/>
          <w:szCs w:val="21"/>
          <w:highlight w:val="none"/>
        </w:rPr>
        <w:t>同一</w:t>
      </w:r>
      <w:r>
        <w:rPr>
          <w:rFonts w:hint="eastAsia" w:ascii="宋体" w:hAnsi="宋体" w:cs="宋体"/>
          <w:color w:val="auto"/>
          <w:szCs w:val="21"/>
          <w:highlight w:val="none"/>
          <w:lang w:eastAsia="zh-CN"/>
        </w:rPr>
        <w:t>投标人</w:t>
      </w:r>
      <w:r>
        <w:rPr>
          <w:rFonts w:hint="eastAsia" w:ascii="宋体" w:hAnsi="宋体" w:cs="宋体"/>
          <w:color w:val="auto"/>
          <w:szCs w:val="21"/>
          <w:highlight w:val="none"/>
        </w:rPr>
        <w:t>提交两个以上不同的</w:t>
      </w:r>
      <w:r>
        <w:rPr>
          <w:rFonts w:hint="eastAsia" w:ascii="宋体" w:hAnsi="宋体" w:cs="宋体"/>
          <w:color w:val="auto"/>
          <w:szCs w:val="21"/>
          <w:highlight w:val="none"/>
          <w:lang w:eastAsia="zh-CN"/>
        </w:rPr>
        <w:t>招标文件</w:t>
      </w:r>
      <w:r>
        <w:rPr>
          <w:rFonts w:hint="eastAsia" w:ascii="宋体" w:hAnsi="宋体" w:cs="宋体"/>
          <w:color w:val="auto"/>
          <w:szCs w:val="21"/>
          <w:highlight w:val="none"/>
        </w:rPr>
        <w:t>或者投标报价，但</w:t>
      </w:r>
      <w:r>
        <w:rPr>
          <w:rFonts w:hint="eastAsia" w:ascii="宋体" w:hAnsi="宋体" w:cs="宋体"/>
          <w:color w:val="auto"/>
          <w:szCs w:val="21"/>
          <w:highlight w:val="none"/>
          <w:lang w:eastAsia="zh-CN"/>
        </w:rPr>
        <w:t>招标文件</w:t>
      </w:r>
      <w:r>
        <w:rPr>
          <w:rFonts w:hint="eastAsia" w:ascii="宋体" w:hAnsi="宋体" w:cs="宋体"/>
          <w:color w:val="auto"/>
          <w:szCs w:val="21"/>
          <w:highlight w:val="none"/>
        </w:rPr>
        <w:t>规定提交备选方案的除外；</w:t>
      </w:r>
    </w:p>
    <w:p w14:paraId="0BBD4EB6">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（4）招标文件</w:t>
      </w:r>
      <w:r>
        <w:rPr>
          <w:rFonts w:hint="eastAsia" w:ascii="宋体" w:hAnsi="宋体" w:cs="宋体"/>
          <w:color w:val="auto"/>
          <w:szCs w:val="21"/>
          <w:highlight w:val="none"/>
        </w:rPr>
        <w:t>没有对</w:t>
      </w:r>
      <w:r>
        <w:rPr>
          <w:rFonts w:hint="eastAsia" w:ascii="宋体" w:hAnsi="宋体" w:cs="宋体"/>
          <w:color w:val="auto"/>
          <w:szCs w:val="21"/>
          <w:highlight w:val="none"/>
          <w:lang w:eastAsia="zh-CN"/>
        </w:rPr>
        <w:t>招标文件</w:t>
      </w:r>
      <w:r>
        <w:rPr>
          <w:rFonts w:hint="eastAsia" w:ascii="宋体" w:hAnsi="宋体" w:cs="宋体"/>
          <w:color w:val="auto"/>
          <w:szCs w:val="21"/>
          <w:highlight w:val="none"/>
        </w:rPr>
        <w:t>的实质性要求和条件作出响应</w:t>
      </w:r>
      <w:r>
        <w:rPr>
          <w:rFonts w:hint="eastAsia" w:ascii="宋体" w:hAnsi="宋体" w:cs="宋体"/>
          <w:color w:val="auto"/>
          <w:szCs w:val="21"/>
          <w:highlight w:val="none"/>
          <w:lang w:eastAsia="zh-CN"/>
        </w:rPr>
        <w:t>；</w:t>
      </w:r>
    </w:p>
    <w:p w14:paraId="789D207F">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（5）</w:t>
      </w:r>
      <w:r>
        <w:rPr>
          <w:rFonts w:hint="eastAsia" w:ascii="宋体" w:hAnsi="宋体" w:cs="宋体"/>
          <w:color w:val="auto"/>
          <w:szCs w:val="21"/>
          <w:highlight w:val="none"/>
        </w:rPr>
        <w:t>投标报价超出规定的投标限价或公布的采购预算的；</w:t>
      </w:r>
    </w:p>
    <w:p w14:paraId="3A3AF7C9">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（6）</w:t>
      </w:r>
      <w:r>
        <w:rPr>
          <w:rFonts w:hint="eastAsia" w:ascii="宋体" w:hAnsi="宋体" w:cs="宋体"/>
          <w:color w:val="auto"/>
          <w:szCs w:val="21"/>
          <w:highlight w:val="none"/>
        </w:rPr>
        <w:t>不按评标委员会要求澄清、说明或补正的，或者评标委员会根据</w:t>
      </w:r>
      <w:r>
        <w:rPr>
          <w:rFonts w:hint="eastAsia" w:ascii="宋体" w:hAnsi="宋体" w:cs="宋体"/>
          <w:color w:val="auto"/>
          <w:szCs w:val="21"/>
          <w:highlight w:val="none"/>
          <w:lang w:eastAsia="zh-CN"/>
        </w:rPr>
        <w:t>招标文件</w:t>
      </w:r>
      <w:r>
        <w:rPr>
          <w:rFonts w:hint="eastAsia" w:ascii="宋体" w:hAnsi="宋体" w:cs="宋体"/>
          <w:color w:val="auto"/>
          <w:szCs w:val="21"/>
          <w:highlight w:val="none"/>
        </w:rPr>
        <w:t>的规定对</w:t>
      </w:r>
      <w:r>
        <w:rPr>
          <w:rFonts w:hint="eastAsia" w:ascii="宋体" w:hAnsi="宋体" w:cs="宋体"/>
          <w:color w:val="auto"/>
          <w:szCs w:val="21"/>
          <w:highlight w:val="none"/>
          <w:lang w:eastAsia="zh-CN"/>
        </w:rPr>
        <w:t>招标文件</w:t>
      </w:r>
      <w:r>
        <w:rPr>
          <w:rFonts w:hint="eastAsia" w:ascii="宋体" w:hAnsi="宋体" w:cs="宋体"/>
          <w:color w:val="auto"/>
          <w:szCs w:val="21"/>
          <w:highlight w:val="none"/>
        </w:rPr>
        <w:t>的计算错误进行修正后，</w:t>
      </w:r>
      <w:r>
        <w:rPr>
          <w:rFonts w:hint="eastAsia" w:ascii="宋体" w:hAnsi="宋体" w:cs="宋体"/>
          <w:color w:val="auto"/>
          <w:szCs w:val="21"/>
          <w:highlight w:val="none"/>
          <w:lang w:eastAsia="zh-CN"/>
        </w:rPr>
        <w:t>投标人</w:t>
      </w:r>
      <w:r>
        <w:rPr>
          <w:rFonts w:hint="eastAsia" w:ascii="宋体" w:hAnsi="宋体" w:cs="宋体"/>
          <w:color w:val="auto"/>
          <w:szCs w:val="21"/>
          <w:highlight w:val="none"/>
        </w:rPr>
        <w:t>不接受修正的投标报价的。</w:t>
      </w:r>
    </w:p>
    <w:p w14:paraId="2EE8AAE0">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（7）其他情形</w:t>
      </w:r>
      <w:r>
        <w:rPr>
          <w:rFonts w:hint="eastAsia" w:ascii="宋体" w:hAnsi="宋体" w:cs="宋体"/>
          <w:color w:val="auto"/>
          <w:szCs w:val="21"/>
          <w:highlight w:val="none"/>
        </w:rPr>
        <w:t>，经评标</w:t>
      </w:r>
      <w:r>
        <w:rPr>
          <w:rFonts w:hint="eastAsia" w:ascii="宋体" w:hAnsi="宋体" w:cs="宋体"/>
          <w:color w:val="auto"/>
          <w:szCs w:val="21"/>
          <w:highlight w:val="none"/>
          <w:lang w:eastAsia="zh-CN"/>
        </w:rPr>
        <w:t>委员会</w:t>
      </w:r>
      <w:r>
        <w:rPr>
          <w:rFonts w:hint="eastAsia" w:ascii="宋体" w:hAnsi="宋体" w:cs="宋体"/>
          <w:color w:val="auto"/>
          <w:szCs w:val="21"/>
          <w:highlight w:val="none"/>
        </w:rPr>
        <w:t>提出按无效投标处理的；</w:t>
      </w:r>
    </w:p>
    <w:p w14:paraId="7FA82881">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（8）招标文件</w:t>
      </w:r>
      <w:r>
        <w:rPr>
          <w:rFonts w:hint="eastAsia" w:ascii="宋体" w:hAnsi="宋体" w:cs="宋体"/>
          <w:color w:val="auto"/>
          <w:szCs w:val="21"/>
          <w:highlight w:val="none"/>
        </w:rPr>
        <w:t>含有</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不能接受的附加条件的；</w:t>
      </w:r>
    </w:p>
    <w:p w14:paraId="01441677">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（9）招标文件</w:t>
      </w:r>
      <w:r>
        <w:rPr>
          <w:rFonts w:hint="eastAsia" w:ascii="宋体" w:hAnsi="宋体" w:cs="宋体"/>
          <w:color w:val="auto"/>
          <w:szCs w:val="21"/>
          <w:highlight w:val="none"/>
        </w:rPr>
        <w:t>规定的</w:t>
      </w:r>
      <w:r>
        <w:rPr>
          <w:rFonts w:hint="eastAsia" w:ascii="宋体" w:hAnsi="宋体" w:cs="宋体"/>
          <w:color w:val="auto"/>
          <w:szCs w:val="21"/>
          <w:highlight w:val="none"/>
          <w:lang w:eastAsia="zh-CN"/>
        </w:rPr>
        <w:t>其他无效</w:t>
      </w:r>
      <w:r>
        <w:rPr>
          <w:rFonts w:hint="eastAsia" w:ascii="宋体" w:hAnsi="宋体" w:cs="宋体"/>
          <w:color w:val="auto"/>
          <w:szCs w:val="21"/>
          <w:highlight w:val="none"/>
        </w:rPr>
        <w:t>投标情形。</w:t>
      </w:r>
    </w:p>
    <w:p w14:paraId="13919599">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8.4 </w:t>
      </w:r>
      <w:r>
        <w:rPr>
          <w:rFonts w:hint="eastAsia" w:ascii="宋体" w:hAnsi="宋体" w:cs="宋体"/>
          <w:color w:val="auto"/>
          <w:szCs w:val="21"/>
          <w:highlight w:val="none"/>
          <w:lang w:eastAsia="zh-CN"/>
        </w:rPr>
        <w:t>投标人</w:t>
      </w:r>
      <w:r>
        <w:rPr>
          <w:rFonts w:hint="eastAsia" w:ascii="宋体" w:hAnsi="宋体" w:cs="宋体"/>
          <w:color w:val="auto"/>
          <w:szCs w:val="21"/>
          <w:highlight w:val="none"/>
        </w:rPr>
        <w:t>有下列情形之一的</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详细评审后其投标按无效投标处理：</w:t>
      </w:r>
    </w:p>
    <w:p w14:paraId="543ED6A0">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投标产品不符合必须强制执行的国家标准的；</w:t>
      </w:r>
    </w:p>
    <w:p w14:paraId="54CB7D72">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（2）投标人</w:t>
      </w:r>
      <w:r>
        <w:rPr>
          <w:rFonts w:hint="eastAsia" w:ascii="宋体" w:hAnsi="宋体" w:cs="宋体"/>
          <w:color w:val="auto"/>
          <w:szCs w:val="21"/>
          <w:highlight w:val="none"/>
        </w:rPr>
        <w:t>有串通投标、弄虚作假、行贿等违法行为；</w:t>
      </w:r>
    </w:p>
    <w:p w14:paraId="67AD2738">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（3）招标文件</w:t>
      </w:r>
      <w:r>
        <w:rPr>
          <w:rFonts w:hint="eastAsia" w:ascii="宋体" w:hAnsi="宋体" w:cs="宋体"/>
          <w:color w:val="auto"/>
          <w:szCs w:val="21"/>
          <w:highlight w:val="none"/>
        </w:rPr>
        <w:t>含有违反国家</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的内容，或附有</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不能接受的条件的；</w:t>
      </w:r>
    </w:p>
    <w:p w14:paraId="7B7FD85A">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cs="宋体"/>
          <w:color w:val="auto"/>
          <w:szCs w:val="21"/>
          <w:highlight w:val="none"/>
        </w:rPr>
        <w:t>报价明显低于其他</w:t>
      </w:r>
      <w:r>
        <w:rPr>
          <w:rFonts w:hint="eastAsia" w:ascii="宋体" w:hAnsi="宋体" w:cs="宋体"/>
          <w:color w:val="auto"/>
          <w:szCs w:val="21"/>
          <w:highlight w:val="none"/>
          <w:lang w:eastAsia="zh-CN"/>
        </w:rPr>
        <w:t>投标人</w:t>
      </w:r>
      <w:r>
        <w:rPr>
          <w:rFonts w:hint="eastAsia" w:ascii="宋体" w:hAnsi="宋体" w:cs="宋体"/>
          <w:color w:val="auto"/>
          <w:szCs w:val="21"/>
          <w:highlight w:val="none"/>
        </w:rPr>
        <w:t>，且不能证明报价合理性的投标无效；</w:t>
      </w:r>
    </w:p>
    <w:p w14:paraId="40D5C190">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（5）</w:t>
      </w:r>
      <w:r>
        <w:rPr>
          <w:rFonts w:hint="eastAsia" w:ascii="宋体" w:hAnsi="宋体" w:cs="宋体"/>
          <w:color w:val="auto"/>
          <w:szCs w:val="21"/>
          <w:highlight w:val="none"/>
        </w:rPr>
        <w:t>拒不确认评标委员会评审修正的投标无效；</w:t>
      </w:r>
    </w:p>
    <w:p w14:paraId="48AC5EB5">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（6）其他情形</w:t>
      </w:r>
      <w:r>
        <w:rPr>
          <w:rFonts w:hint="eastAsia" w:ascii="宋体" w:hAnsi="宋体" w:cs="宋体"/>
          <w:color w:val="auto"/>
          <w:szCs w:val="21"/>
          <w:highlight w:val="none"/>
        </w:rPr>
        <w:t>，经评标</w:t>
      </w:r>
      <w:r>
        <w:rPr>
          <w:rFonts w:hint="eastAsia" w:ascii="宋体" w:hAnsi="宋体" w:cs="宋体"/>
          <w:color w:val="auto"/>
          <w:szCs w:val="21"/>
          <w:highlight w:val="none"/>
          <w:lang w:eastAsia="zh-CN"/>
        </w:rPr>
        <w:t>委员会</w:t>
      </w:r>
      <w:r>
        <w:rPr>
          <w:rFonts w:hint="eastAsia" w:ascii="宋体" w:hAnsi="宋体" w:cs="宋体"/>
          <w:color w:val="auto"/>
          <w:szCs w:val="21"/>
          <w:highlight w:val="none"/>
        </w:rPr>
        <w:t>提出按无效投标处理的；</w:t>
      </w:r>
    </w:p>
    <w:p w14:paraId="561F270A">
      <w:pPr>
        <w:keepNext w:val="0"/>
        <w:keepLines w:val="0"/>
        <w:pageBreakBefore w:val="0"/>
        <w:kinsoku/>
        <w:wordWrap/>
        <w:overflowPunct/>
        <w:topLinePunct w:val="0"/>
        <w:autoSpaceDE/>
        <w:autoSpaceDN/>
        <w:bidi w:val="0"/>
        <w:snapToGrid w:val="0"/>
        <w:spacing w:line="520" w:lineRule="exact"/>
        <w:ind w:left="0" w:leftChars="0" w:firstLine="420" w:firstLineChars="200"/>
        <w:jc w:val="both"/>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（7）招标文件</w:t>
      </w:r>
      <w:r>
        <w:rPr>
          <w:rFonts w:hint="eastAsia" w:ascii="宋体" w:hAnsi="宋体" w:cs="宋体"/>
          <w:color w:val="auto"/>
          <w:szCs w:val="21"/>
          <w:highlight w:val="none"/>
        </w:rPr>
        <w:t>规定的</w:t>
      </w:r>
      <w:r>
        <w:rPr>
          <w:rFonts w:hint="eastAsia" w:ascii="宋体" w:hAnsi="宋体" w:cs="宋体"/>
          <w:color w:val="auto"/>
          <w:szCs w:val="21"/>
          <w:highlight w:val="none"/>
          <w:lang w:eastAsia="zh-CN"/>
        </w:rPr>
        <w:t>其他无效</w:t>
      </w:r>
      <w:r>
        <w:rPr>
          <w:rFonts w:hint="eastAsia" w:ascii="宋体" w:hAnsi="宋体" w:cs="宋体"/>
          <w:color w:val="auto"/>
          <w:szCs w:val="21"/>
          <w:highlight w:val="none"/>
        </w:rPr>
        <w:t>投标情形</w:t>
      </w:r>
      <w:r>
        <w:rPr>
          <w:rFonts w:hint="eastAsia" w:ascii="宋体" w:hAnsi="宋体" w:cs="宋体"/>
          <w:color w:val="auto"/>
          <w:szCs w:val="21"/>
          <w:highlight w:val="none"/>
          <w:lang w:eastAsia="zh-CN"/>
        </w:rPr>
        <w:t>。</w:t>
      </w:r>
    </w:p>
    <w:p w14:paraId="034D50A5">
      <w:pPr>
        <w:rPr>
          <w:rFonts w:hint="eastAsia" w:ascii="宋体" w:hAnsi="Times New Roman" w:eastAsia="宋体" w:cs="Times New Roman"/>
          <w:b/>
          <w:color w:val="auto"/>
          <w:sz w:val="32"/>
          <w:szCs w:val="32"/>
          <w:highlight w:val="none"/>
        </w:rPr>
      </w:pPr>
      <w:r>
        <w:rPr>
          <w:rFonts w:hint="eastAsia" w:ascii="宋体" w:hAnsi="Times New Roman" w:eastAsia="宋体" w:cs="Times New Roman"/>
          <w:b/>
          <w:color w:val="auto"/>
          <w:sz w:val="32"/>
          <w:szCs w:val="32"/>
          <w:highlight w:val="none"/>
        </w:rPr>
        <w:br w:type="page"/>
      </w:r>
    </w:p>
    <w:p w14:paraId="69149954">
      <w:pPr>
        <w:spacing w:before="156" w:beforeLines="50" w:after="156" w:afterLines="50" w:line="600" w:lineRule="exact"/>
        <w:jc w:val="center"/>
        <w:outlineLvl w:val="0"/>
        <w:rPr>
          <w:rFonts w:hint="eastAsia" w:ascii="宋体" w:hAnsi="Times New Roman" w:eastAsia="宋体" w:cs="Times New Roman"/>
          <w:b/>
          <w:color w:val="auto"/>
          <w:sz w:val="32"/>
          <w:szCs w:val="32"/>
          <w:highlight w:val="none"/>
          <w:lang w:eastAsia="zh-CN"/>
        </w:rPr>
      </w:pPr>
      <w:r>
        <w:rPr>
          <w:rFonts w:hint="eastAsia" w:ascii="宋体" w:hAnsi="Times New Roman" w:eastAsia="宋体" w:cs="Times New Roman"/>
          <w:b/>
          <w:color w:val="auto"/>
          <w:sz w:val="32"/>
          <w:szCs w:val="32"/>
          <w:highlight w:val="none"/>
        </w:rPr>
        <w:t>第四章  采购需求</w:t>
      </w:r>
    </w:p>
    <w:p w14:paraId="431818E0">
      <w:pPr>
        <w:keepNext w:val="0"/>
        <w:keepLines w:val="0"/>
        <w:pageBreakBefore w:val="0"/>
        <w:widowControl w:val="0"/>
        <w:kinsoku/>
        <w:wordWrap/>
        <w:overflowPunct/>
        <w:topLinePunct w:val="0"/>
        <w:autoSpaceDE/>
        <w:autoSpaceDN/>
        <w:bidi w:val="0"/>
        <w:adjustRightInd/>
        <w:snapToGrid/>
        <w:spacing w:before="95" w:beforeLines="30" w:after="95" w:afterLines="30" w:line="500" w:lineRule="exact"/>
        <w:jc w:val="both"/>
        <w:textAlignment w:val="auto"/>
        <w:rPr>
          <w:rFonts w:hint="default"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一、</w:t>
      </w:r>
      <w:r>
        <w:rPr>
          <w:rFonts w:hint="eastAsia" w:ascii="宋体" w:hAnsi="宋体" w:cs="宋体"/>
          <w:b/>
          <w:color w:val="auto"/>
          <w:sz w:val="24"/>
          <w:szCs w:val="24"/>
          <w:highlight w:val="none"/>
          <w:lang w:val="en-US" w:eastAsia="zh-CN"/>
        </w:rPr>
        <w:t>项目概况</w:t>
      </w:r>
    </w:p>
    <w:p w14:paraId="7AA2A42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kern w:val="2"/>
          <w:sz w:val="21"/>
          <w:szCs w:val="21"/>
          <w:highlight w:val="none"/>
          <w:u w:val="none" w:color="000000"/>
          <w:lang w:val="en-US" w:eastAsia="zh-CN" w:bidi="ar-SA"/>
        </w:rPr>
      </w:pPr>
      <w:r>
        <w:rPr>
          <w:rFonts w:hint="eastAsia" w:ascii="宋体" w:hAnsi="宋体" w:eastAsia="宋体" w:cs="宋体"/>
          <w:color w:val="auto"/>
          <w:kern w:val="2"/>
          <w:sz w:val="21"/>
          <w:szCs w:val="21"/>
          <w:highlight w:val="none"/>
          <w:u w:val="none" w:color="000000"/>
          <w:lang w:val="en-US" w:eastAsia="zh-CN" w:bidi="ar-SA"/>
        </w:rPr>
        <w:t>1.</w:t>
      </w:r>
      <w:r>
        <w:rPr>
          <w:rFonts w:hint="default" w:ascii="宋体" w:hAnsi="宋体" w:eastAsia="宋体" w:cs="宋体"/>
          <w:color w:val="auto"/>
          <w:kern w:val="2"/>
          <w:sz w:val="21"/>
          <w:szCs w:val="21"/>
          <w:highlight w:val="none"/>
          <w:u w:val="none" w:color="000000"/>
          <w:lang w:val="en-US" w:eastAsia="zh-CN" w:bidi="ar-SA"/>
        </w:rPr>
        <w:t>苏州路与双城路交叉口西北侧地块开发项目</w:t>
      </w:r>
      <w:r>
        <w:rPr>
          <w:rFonts w:hint="eastAsia" w:ascii="宋体" w:hAnsi="宋体" w:eastAsia="宋体" w:cs="宋体"/>
          <w:color w:val="auto"/>
          <w:kern w:val="2"/>
          <w:sz w:val="21"/>
          <w:szCs w:val="21"/>
          <w:highlight w:val="none"/>
          <w:u w:val="none" w:color="000000"/>
          <w:lang w:val="en-US" w:eastAsia="zh-CN" w:bidi="ar-SA"/>
        </w:rPr>
        <w:t>位于</w:t>
      </w:r>
      <w:r>
        <w:rPr>
          <w:rFonts w:hint="default" w:ascii="宋体" w:hAnsi="宋体" w:eastAsia="宋体" w:cs="宋体"/>
          <w:color w:val="auto"/>
          <w:kern w:val="2"/>
          <w:sz w:val="21"/>
          <w:szCs w:val="21"/>
          <w:highlight w:val="none"/>
          <w:u w:val="none" w:color="000000"/>
          <w:lang w:val="en-US" w:eastAsia="zh-CN" w:bidi="ar-SA"/>
        </w:rPr>
        <w:t>中新苏滁高新技术产业开发区苏州路与双城路交叉口西北侧</w:t>
      </w:r>
      <w:r>
        <w:rPr>
          <w:rFonts w:hint="eastAsia" w:ascii="宋体" w:hAnsi="宋体" w:eastAsia="宋体" w:cs="宋体"/>
          <w:color w:val="auto"/>
          <w:kern w:val="2"/>
          <w:sz w:val="21"/>
          <w:szCs w:val="21"/>
          <w:highlight w:val="none"/>
          <w:u w:val="none" w:color="000000"/>
          <w:lang w:val="en-US" w:eastAsia="zh-CN" w:bidi="ar-SA"/>
        </w:rPr>
        <w:t>，主要内容包括：新建站房：2F1座，建筑面积390.4㎡；新建型钢结构罩棚：1座，建筑面积273.9㎡；新建加油岛：4座，4台四枪四油品潜油泵加油机</w:t>
      </w:r>
      <w:r>
        <w:rPr>
          <w:rFonts w:hint="eastAsia" w:ascii="宋体" w:hAnsi="宋体" w:cs="宋体"/>
          <w:color w:val="auto"/>
          <w:kern w:val="2"/>
          <w:sz w:val="21"/>
          <w:szCs w:val="21"/>
          <w:highlight w:val="none"/>
          <w:u w:val="none" w:color="000000"/>
          <w:lang w:val="en-US" w:eastAsia="zh-CN" w:bidi="ar-SA"/>
        </w:rPr>
        <w:t>，</w:t>
      </w:r>
      <w:r>
        <w:rPr>
          <w:rFonts w:hint="eastAsia" w:ascii="宋体" w:hAnsi="宋体" w:eastAsia="宋体" w:cs="宋体"/>
          <w:color w:val="auto"/>
          <w:kern w:val="2"/>
          <w:sz w:val="21"/>
          <w:szCs w:val="21"/>
          <w:highlight w:val="none"/>
          <w:u w:val="none" w:color="000000"/>
          <w:lang w:val="en-US" w:eastAsia="zh-CN" w:bidi="ar-SA"/>
        </w:rPr>
        <w:t>新建油罐区：1处，3汽1柴，承重罐区，SF双层油罐，水平投影面积139.04㎡；新建围墙：165m；新建隔油池：1座；新建化粪池：1座等；室外工程（含路面、绿化）等。</w:t>
      </w:r>
    </w:p>
    <w:p w14:paraId="01990D4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kern w:val="2"/>
          <w:sz w:val="21"/>
          <w:szCs w:val="21"/>
          <w:highlight w:val="none"/>
          <w:u w:val="none" w:color="000000"/>
          <w:lang w:val="en-US" w:eastAsia="zh-CN" w:bidi="ar-SA"/>
        </w:rPr>
      </w:pPr>
      <w:r>
        <w:rPr>
          <w:rFonts w:hint="eastAsia" w:ascii="宋体" w:hAnsi="宋体" w:eastAsia="宋体" w:cs="宋体"/>
          <w:color w:val="auto"/>
          <w:kern w:val="2"/>
          <w:sz w:val="21"/>
          <w:szCs w:val="21"/>
          <w:highlight w:val="none"/>
          <w:u w:val="none" w:color="000000"/>
          <w:lang w:val="en-US" w:eastAsia="zh-CN" w:bidi="ar-SA"/>
        </w:rPr>
        <w:t>2.中新苏滁高新区超级电容智能制造基地二期项目位于滁州市滨河北路与滁州大道交叉口东北侧，主要内容包括：厂房3、电芯库、厂区道路等主体，项目总建筑面积约3.23万㎡，包括但不限于土方工程、地基与基础工程、建筑结构及装饰工程、钢结构工程、安装工程、厂区道路、绿化等。</w:t>
      </w:r>
    </w:p>
    <w:p w14:paraId="4A50DAEE">
      <w:pPr>
        <w:keepNext w:val="0"/>
        <w:keepLines w:val="0"/>
        <w:pageBreakBefore w:val="0"/>
        <w:widowControl w:val="0"/>
        <w:kinsoku/>
        <w:wordWrap/>
        <w:overflowPunct/>
        <w:topLinePunct w:val="0"/>
        <w:autoSpaceDE/>
        <w:autoSpaceDN/>
        <w:bidi w:val="0"/>
        <w:adjustRightInd/>
        <w:snapToGrid/>
        <w:spacing w:before="95" w:beforeLines="30" w:after="95" w:afterLines="30" w:line="500" w:lineRule="exact"/>
        <w:jc w:val="both"/>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二、服务内容</w:t>
      </w:r>
    </w:p>
    <w:p w14:paraId="3F61BB7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kern w:val="2"/>
          <w:sz w:val="21"/>
          <w:szCs w:val="21"/>
          <w:highlight w:val="none"/>
          <w:u w:val="none" w:color="000000"/>
          <w:lang w:val="en-US" w:eastAsia="zh-CN" w:bidi="ar-SA"/>
        </w:rPr>
      </w:pPr>
      <w:r>
        <w:rPr>
          <w:rFonts w:hint="eastAsia" w:ascii="宋体" w:hAnsi="宋体" w:cs="宋体"/>
          <w:color w:val="auto"/>
          <w:kern w:val="2"/>
          <w:sz w:val="21"/>
          <w:szCs w:val="21"/>
          <w:highlight w:val="none"/>
          <w:u w:val="none" w:color="000000"/>
          <w:lang w:val="en-US" w:eastAsia="zh-CN" w:bidi="ar-SA"/>
        </w:rPr>
        <w:t>1.</w:t>
      </w:r>
      <w:r>
        <w:rPr>
          <w:rFonts w:hint="eastAsia" w:ascii="宋体" w:hAnsi="宋体" w:eastAsia="宋体" w:cs="宋体"/>
          <w:color w:val="auto"/>
          <w:kern w:val="2"/>
          <w:sz w:val="21"/>
          <w:szCs w:val="21"/>
          <w:highlight w:val="none"/>
          <w:u w:val="none" w:color="000000"/>
          <w:lang w:val="en-US" w:eastAsia="zh-CN" w:bidi="ar-SA"/>
        </w:rPr>
        <w:t>按照水土保持法律法规、技术规范和有关文件规定，开展审批生产建设项目水土保持方案（含变更）的技术评审工作，提出每一个已受理水土保持方案的技术评审意见，明确水土保持方案是否满足批准条件。具体工作内容：</w:t>
      </w:r>
    </w:p>
    <w:p w14:paraId="1C66BA1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kern w:val="2"/>
          <w:sz w:val="21"/>
          <w:szCs w:val="21"/>
          <w:highlight w:val="none"/>
          <w:u w:val="none" w:color="000000"/>
          <w:lang w:val="en-US" w:eastAsia="zh-CN" w:bidi="ar-SA"/>
        </w:rPr>
      </w:pPr>
      <w:r>
        <w:rPr>
          <w:rFonts w:hint="eastAsia" w:ascii="宋体" w:hAnsi="宋体" w:eastAsia="宋体" w:cs="宋体"/>
          <w:color w:val="auto"/>
          <w:kern w:val="2"/>
          <w:sz w:val="21"/>
          <w:szCs w:val="21"/>
          <w:highlight w:val="none"/>
          <w:u w:val="none" w:color="000000"/>
          <w:lang w:val="en-US" w:eastAsia="zh-CN" w:bidi="ar-SA"/>
        </w:rPr>
        <w:t>（1）根据水土保持相关法律法规和水利部、安徽省关于生产建设项目水土保持方案的有关要求，配合主管部门不断完善水土保持方案技术评审流程；</w:t>
      </w:r>
    </w:p>
    <w:p w14:paraId="1E5BD6E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kern w:val="2"/>
          <w:sz w:val="21"/>
          <w:szCs w:val="21"/>
          <w:highlight w:val="none"/>
          <w:u w:val="none" w:color="000000"/>
          <w:lang w:val="en-US" w:eastAsia="zh-CN" w:bidi="ar-SA"/>
        </w:rPr>
      </w:pPr>
      <w:r>
        <w:rPr>
          <w:rFonts w:hint="eastAsia" w:ascii="宋体" w:hAnsi="宋体" w:eastAsia="宋体" w:cs="宋体"/>
          <w:color w:val="auto"/>
          <w:kern w:val="2"/>
          <w:sz w:val="21"/>
          <w:szCs w:val="21"/>
          <w:highlight w:val="none"/>
          <w:u w:val="none" w:color="000000"/>
          <w:lang w:val="en-US" w:eastAsia="zh-CN" w:bidi="ar-SA"/>
        </w:rPr>
        <w:t>（2）对生产建设单位送审的水土保持方案报告书进行初步审查，确定是否受理；</w:t>
      </w:r>
    </w:p>
    <w:p w14:paraId="536D20D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kern w:val="2"/>
          <w:sz w:val="21"/>
          <w:szCs w:val="21"/>
          <w:highlight w:val="none"/>
          <w:u w:val="none" w:color="000000"/>
          <w:lang w:val="en-US" w:eastAsia="zh-CN" w:bidi="ar-SA"/>
        </w:rPr>
      </w:pPr>
      <w:r>
        <w:rPr>
          <w:rFonts w:hint="eastAsia" w:ascii="宋体" w:hAnsi="宋体" w:eastAsia="宋体" w:cs="宋体"/>
          <w:color w:val="auto"/>
          <w:kern w:val="2"/>
          <w:sz w:val="21"/>
          <w:szCs w:val="21"/>
          <w:highlight w:val="none"/>
          <w:u w:val="none" w:color="000000"/>
          <w:lang w:val="en-US" w:eastAsia="zh-CN" w:bidi="ar-SA"/>
        </w:rPr>
        <w:t>（3）根据生产建设项目与水土保持有关的施工工艺及可能产生水土流失的隐患程度和项目规模及复杂性，商主管部门确定安排评审专家的类型、数量和是否需考察工程现场。</w:t>
      </w:r>
    </w:p>
    <w:p w14:paraId="3968531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kern w:val="2"/>
          <w:sz w:val="21"/>
          <w:szCs w:val="21"/>
          <w:highlight w:val="none"/>
          <w:u w:val="none" w:color="000000"/>
          <w:lang w:val="en-US" w:eastAsia="zh-CN" w:bidi="ar-SA"/>
        </w:rPr>
      </w:pPr>
      <w:r>
        <w:rPr>
          <w:rFonts w:hint="eastAsia" w:ascii="宋体" w:hAnsi="宋体" w:eastAsia="宋体" w:cs="宋体"/>
          <w:color w:val="auto"/>
          <w:kern w:val="2"/>
          <w:sz w:val="21"/>
          <w:szCs w:val="21"/>
          <w:highlight w:val="none"/>
          <w:u w:val="none" w:color="000000"/>
          <w:lang w:val="en-US" w:eastAsia="zh-CN" w:bidi="ar-SA"/>
        </w:rPr>
        <w:t>（4）组织评审专家考察工程现场；</w:t>
      </w:r>
    </w:p>
    <w:p w14:paraId="1C0C867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kern w:val="2"/>
          <w:sz w:val="21"/>
          <w:szCs w:val="21"/>
          <w:highlight w:val="none"/>
          <w:u w:val="none" w:color="000000"/>
          <w:lang w:val="en-US" w:eastAsia="zh-CN" w:bidi="ar-SA"/>
        </w:rPr>
      </w:pPr>
      <w:r>
        <w:rPr>
          <w:rFonts w:hint="eastAsia" w:ascii="宋体" w:hAnsi="宋体" w:eastAsia="宋体" w:cs="宋体"/>
          <w:color w:val="auto"/>
          <w:kern w:val="2"/>
          <w:sz w:val="21"/>
          <w:szCs w:val="21"/>
          <w:highlight w:val="none"/>
          <w:u w:val="none" w:color="000000"/>
          <w:lang w:val="en-US" w:eastAsia="zh-CN" w:bidi="ar-SA"/>
        </w:rPr>
        <w:t>（5）组织召开技术评审会议，将形成专家评审意见反馈给建设单位进行修改完善，并确定是否需要再次进行技术评审；并整理归档每宗生产建设项目评审会议资料</w:t>
      </w:r>
      <w:r>
        <w:rPr>
          <w:rFonts w:hint="eastAsia" w:ascii="宋体" w:hAnsi="宋体" w:cs="宋体"/>
          <w:color w:val="auto"/>
          <w:kern w:val="2"/>
          <w:sz w:val="21"/>
          <w:szCs w:val="21"/>
          <w:highlight w:val="none"/>
          <w:u w:val="none" w:color="000000"/>
          <w:lang w:val="en-US" w:eastAsia="zh-CN" w:bidi="ar-SA"/>
        </w:rPr>
        <w:t>。</w:t>
      </w:r>
    </w:p>
    <w:p w14:paraId="39B8CC7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kern w:val="2"/>
          <w:sz w:val="21"/>
          <w:szCs w:val="21"/>
          <w:highlight w:val="none"/>
          <w:u w:val="none" w:color="000000"/>
          <w:lang w:val="en-US" w:eastAsia="zh-CN" w:bidi="ar-SA"/>
        </w:rPr>
      </w:pPr>
      <w:r>
        <w:rPr>
          <w:rFonts w:hint="eastAsia" w:ascii="宋体" w:hAnsi="宋体" w:eastAsia="宋体" w:cs="宋体"/>
          <w:color w:val="auto"/>
          <w:kern w:val="2"/>
          <w:sz w:val="21"/>
          <w:szCs w:val="21"/>
          <w:highlight w:val="none"/>
          <w:u w:val="none" w:color="000000"/>
          <w:lang w:val="en-US" w:eastAsia="zh-CN" w:bidi="ar-SA"/>
        </w:rPr>
        <w:t>（6）对按专家意见修改形成的报批稿初稿进行技术复核，复核合格的出具技术审查意见；</w:t>
      </w:r>
    </w:p>
    <w:p w14:paraId="7B7784A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kern w:val="2"/>
          <w:sz w:val="21"/>
          <w:szCs w:val="21"/>
          <w:highlight w:val="none"/>
          <w:u w:val="none" w:color="000000"/>
          <w:lang w:val="en-US" w:eastAsia="zh-CN" w:bidi="ar-SA"/>
        </w:rPr>
      </w:pPr>
      <w:r>
        <w:rPr>
          <w:rFonts w:hint="eastAsia" w:ascii="宋体" w:hAnsi="宋体" w:eastAsia="宋体" w:cs="宋体"/>
          <w:color w:val="auto"/>
          <w:kern w:val="2"/>
          <w:sz w:val="21"/>
          <w:szCs w:val="21"/>
          <w:highlight w:val="none"/>
          <w:u w:val="none" w:color="000000"/>
          <w:lang w:val="en-US" w:eastAsia="zh-CN" w:bidi="ar-SA"/>
        </w:rPr>
        <w:t>（7）协助有关单位，按要求录入生产建设项目相关信息资料等。</w:t>
      </w:r>
    </w:p>
    <w:p w14:paraId="14E79BE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default" w:ascii="宋体" w:hAnsi="宋体" w:eastAsia="宋体" w:cs="宋体"/>
          <w:color w:val="auto"/>
          <w:kern w:val="2"/>
          <w:sz w:val="21"/>
          <w:szCs w:val="21"/>
          <w:highlight w:val="none"/>
          <w:u w:val="none" w:color="000000"/>
          <w:lang w:val="en-US" w:eastAsia="zh-CN" w:bidi="ar-SA"/>
        </w:rPr>
      </w:pPr>
      <w:r>
        <w:rPr>
          <w:rFonts w:hint="eastAsia" w:ascii="宋体" w:hAnsi="宋体" w:eastAsia="宋体" w:cs="宋体"/>
          <w:color w:val="auto"/>
          <w:kern w:val="2"/>
          <w:sz w:val="21"/>
          <w:szCs w:val="21"/>
          <w:highlight w:val="none"/>
          <w:u w:val="none" w:color="000000"/>
          <w:lang w:val="en-US" w:eastAsia="zh-CN" w:bidi="ar-SA"/>
        </w:rPr>
        <w:t>2.</w:t>
      </w:r>
      <w:r>
        <w:rPr>
          <w:rFonts w:hint="default" w:ascii="宋体" w:hAnsi="宋体" w:eastAsia="宋体" w:cs="宋体"/>
          <w:color w:val="auto"/>
          <w:kern w:val="2"/>
          <w:sz w:val="21"/>
          <w:szCs w:val="21"/>
          <w:highlight w:val="none"/>
          <w:u w:val="none" w:color="000000"/>
          <w:lang w:val="en-US" w:eastAsia="zh-CN" w:bidi="ar-SA"/>
        </w:rPr>
        <w:t>协助</w:t>
      </w:r>
      <w:r>
        <w:rPr>
          <w:rFonts w:hint="eastAsia" w:ascii="宋体" w:hAnsi="宋体" w:eastAsia="宋体" w:cs="宋体"/>
          <w:color w:val="auto"/>
          <w:kern w:val="2"/>
          <w:sz w:val="21"/>
          <w:szCs w:val="21"/>
          <w:highlight w:val="none"/>
          <w:u w:val="none" w:color="000000"/>
          <w:lang w:val="en-US" w:eastAsia="zh-CN" w:bidi="ar-SA"/>
        </w:rPr>
        <w:t>建设单位</w:t>
      </w:r>
      <w:r>
        <w:rPr>
          <w:rFonts w:hint="default" w:ascii="宋体" w:hAnsi="宋体" w:eastAsia="宋体" w:cs="宋体"/>
          <w:color w:val="auto"/>
          <w:kern w:val="2"/>
          <w:sz w:val="21"/>
          <w:szCs w:val="21"/>
          <w:highlight w:val="none"/>
          <w:u w:val="none" w:color="000000"/>
          <w:lang w:val="en-US" w:eastAsia="zh-CN" w:bidi="ar-SA"/>
        </w:rPr>
        <w:t>做好水行政主管部门对本项目水土保持开展监督、检查等工作</w:t>
      </w:r>
      <w:r>
        <w:rPr>
          <w:rFonts w:hint="eastAsia" w:ascii="宋体" w:hAnsi="宋体" w:cs="宋体"/>
          <w:color w:val="auto"/>
          <w:kern w:val="2"/>
          <w:sz w:val="21"/>
          <w:szCs w:val="21"/>
          <w:highlight w:val="none"/>
          <w:u w:val="none" w:color="000000"/>
          <w:lang w:val="en-US" w:eastAsia="zh-CN" w:bidi="ar-SA"/>
        </w:rPr>
        <w:t>。</w:t>
      </w:r>
    </w:p>
    <w:p w14:paraId="70AC1A8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default" w:ascii="宋体" w:hAnsi="宋体" w:eastAsia="宋体" w:cs="宋体"/>
          <w:color w:val="auto"/>
          <w:kern w:val="2"/>
          <w:sz w:val="21"/>
          <w:szCs w:val="21"/>
          <w:highlight w:val="none"/>
          <w:u w:val="none" w:color="000000"/>
          <w:lang w:val="en-US" w:eastAsia="zh-CN" w:bidi="ar-SA"/>
        </w:rPr>
      </w:pPr>
      <w:r>
        <w:rPr>
          <w:rFonts w:hint="eastAsia" w:ascii="宋体" w:hAnsi="宋体" w:eastAsia="宋体" w:cs="宋体"/>
          <w:color w:val="auto"/>
          <w:kern w:val="2"/>
          <w:sz w:val="21"/>
          <w:szCs w:val="21"/>
          <w:highlight w:val="none"/>
          <w:u w:val="none" w:color="000000"/>
          <w:lang w:val="en-US" w:eastAsia="zh-CN" w:bidi="ar-SA"/>
        </w:rPr>
        <w:t>3.</w:t>
      </w:r>
      <w:r>
        <w:rPr>
          <w:rFonts w:hint="default" w:ascii="宋体" w:hAnsi="宋体" w:eastAsia="宋体" w:cs="宋体"/>
          <w:color w:val="auto"/>
          <w:kern w:val="2"/>
          <w:sz w:val="21"/>
          <w:szCs w:val="21"/>
          <w:highlight w:val="none"/>
          <w:u w:val="none" w:color="000000"/>
          <w:lang w:val="en-US" w:eastAsia="zh-CN" w:bidi="ar-SA"/>
        </w:rPr>
        <w:t>做好本项目水土保持其他相关技术咨询服务。</w:t>
      </w:r>
    </w:p>
    <w:p w14:paraId="492BCBA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kern w:val="2"/>
          <w:sz w:val="21"/>
          <w:szCs w:val="21"/>
          <w:highlight w:val="none"/>
          <w:u w:val="none" w:color="000000"/>
          <w:lang w:val="en-US" w:eastAsia="zh-CN" w:bidi="ar-SA"/>
        </w:rPr>
      </w:pPr>
      <w:r>
        <w:rPr>
          <w:rFonts w:hint="eastAsia"/>
          <w:color w:val="auto"/>
          <w:highlight w:val="none"/>
          <w:lang w:val="en-US" w:eastAsia="zh-CN"/>
        </w:rPr>
        <w:t>4.</w:t>
      </w:r>
      <w:r>
        <w:rPr>
          <w:rFonts w:hint="eastAsia" w:ascii="宋体" w:hAnsi="宋体" w:eastAsia="宋体" w:cs="宋体"/>
          <w:color w:val="auto"/>
          <w:kern w:val="2"/>
          <w:sz w:val="21"/>
          <w:szCs w:val="21"/>
          <w:highlight w:val="none"/>
          <w:u w:val="none" w:color="000000"/>
          <w:lang w:val="en-US" w:eastAsia="zh-CN" w:bidi="ar-SA"/>
        </w:rPr>
        <w:t>提交的成果应符合并达到国家有关规定的深度要求，通过</w:t>
      </w:r>
      <w:r>
        <w:rPr>
          <w:rFonts w:hint="eastAsia" w:ascii="宋体" w:hAnsi="宋体" w:cs="宋体"/>
          <w:color w:val="auto"/>
          <w:kern w:val="2"/>
          <w:sz w:val="21"/>
          <w:szCs w:val="21"/>
          <w:highlight w:val="none"/>
          <w:u w:val="none" w:color="000000"/>
          <w:lang w:val="en-US" w:eastAsia="zh-CN" w:bidi="ar-SA"/>
        </w:rPr>
        <w:t>相关</w:t>
      </w:r>
      <w:r>
        <w:rPr>
          <w:rFonts w:hint="eastAsia" w:ascii="宋体" w:hAnsi="宋体" w:eastAsia="宋体" w:cs="宋体"/>
          <w:color w:val="auto"/>
          <w:kern w:val="2"/>
          <w:sz w:val="21"/>
          <w:szCs w:val="21"/>
          <w:highlight w:val="none"/>
          <w:u w:val="none" w:color="000000"/>
          <w:lang w:val="en-US" w:eastAsia="zh-CN" w:bidi="ar-SA"/>
        </w:rPr>
        <w:t>主管部门</w:t>
      </w:r>
      <w:r>
        <w:rPr>
          <w:rFonts w:hint="eastAsia" w:ascii="宋体" w:hAnsi="宋体" w:cs="宋体"/>
          <w:color w:val="auto"/>
          <w:kern w:val="2"/>
          <w:sz w:val="21"/>
          <w:szCs w:val="21"/>
          <w:highlight w:val="none"/>
          <w:u w:val="none" w:color="000000"/>
          <w:lang w:val="en-US" w:eastAsia="zh-CN" w:bidi="ar-SA"/>
        </w:rPr>
        <w:t>审批</w:t>
      </w:r>
      <w:r>
        <w:rPr>
          <w:rFonts w:hint="eastAsia" w:ascii="宋体" w:hAnsi="宋体" w:eastAsia="宋体" w:cs="宋体"/>
          <w:color w:val="auto"/>
          <w:kern w:val="2"/>
          <w:sz w:val="21"/>
          <w:szCs w:val="21"/>
          <w:highlight w:val="none"/>
          <w:u w:val="none" w:color="000000"/>
          <w:lang w:val="en-US" w:eastAsia="zh-CN" w:bidi="ar-SA"/>
        </w:rPr>
        <w:t>。</w:t>
      </w:r>
    </w:p>
    <w:p w14:paraId="1CB17F92">
      <w:pPr>
        <w:pStyle w:val="2"/>
        <w:rPr>
          <w:rFonts w:hint="default"/>
          <w:color w:val="auto"/>
          <w:highlight w:val="none"/>
          <w:lang w:val="en-US" w:eastAsia="zh-CN"/>
        </w:rPr>
      </w:pPr>
    </w:p>
    <w:p w14:paraId="74E9BD6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kern w:val="2"/>
          <w:sz w:val="21"/>
          <w:szCs w:val="21"/>
          <w:highlight w:val="none"/>
          <w:u w:val="none" w:color="000000"/>
          <w:lang w:val="en-US" w:eastAsia="zh-CN" w:bidi="ar-SA"/>
        </w:rPr>
      </w:pPr>
      <w:r>
        <w:rPr>
          <w:rFonts w:hint="eastAsia" w:ascii="宋体" w:hAnsi="宋体" w:eastAsia="宋体" w:cs="宋体"/>
          <w:color w:val="auto"/>
          <w:kern w:val="2"/>
          <w:sz w:val="21"/>
          <w:szCs w:val="21"/>
          <w:highlight w:val="none"/>
          <w:u w:val="none" w:color="000000"/>
          <w:lang w:val="en-US" w:eastAsia="zh-CN" w:bidi="ar-SA"/>
        </w:rPr>
        <w:br w:type="page"/>
      </w:r>
    </w:p>
    <w:p w14:paraId="46EA0D7F">
      <w:pPr>
        <w:spacing w:before="156" w:beforeLines="50" w:after="156" w:afterLines="50" w:line="600" w:lineRule="exact"/>
        <w:jc w:val="center"/>
        <w:outlineLvl w:val="0"/>
        <w:rPr>
          <w:rFonts w:hint="eastAsia" w:ascii="宋体" w:hAnsi="Times New Roman" w:eastAsia="宋体" w:cs="Times New Roman"/>
          <w:b/>
          <w:color w:val="auto"/>
          <w:sz w:val="32"/>
          <w:szCs w:val="32"/>
          <w:highlight w:val="none"/>
        </w:rPr>
      </w:pPr>
      <w:r>
        <w:rPr>
          <w:rFonts w:hint="eastAsia" w:ascii="宋体" w:hAnsi="Times New Roman" w:eastAsia="宋体" w:cs="Times New Roman"/>
          <w:b/>
          <w:color w:val="auto"/>
          <w:sz w:val="32"/>
          <w:szCs w:val="32"/>
          <w:highlight w:val="none"/>
          <w:lang w:val="en-US" w:eastAsia="zh-CN"/>
        </w:rPr>
        <w:t xml:space="preserve">第五章  </w:t>
      </w:r>
      <w:r>
        <w:rPr>
          <w:rFonts w:hint="eastAsia" w:ascii="宋体" w:hAnsi="Times New Roman" w:eastAsia="宋体" w:cs="Times New Roman"/>
          <w:b/>
          <w:color w:val="auto"/>
          <w:sz w:val="32"/>
          <w:szCs w:val="32"/>
          <w:highlight w:val="none"/>
        </w:rPr>
        <w:t>合同条款</w:t>
      </w:r>
      <w:bookmarkStart w:id="56" w:name="_Toc469495741"/>
      <w:r>
        <w:rPr>
          <w:rFonts w:hint="eastAsia" w:ascii="宋体" w:hAnsi="Times New Roman" w:eastAsia="宋体" w:cs="Times New Roman"/>
          <w:b/>
          <w:color w:val="auto"/>
          <w:sz w:val="32"/>
          <w:szCs w:val="32"/>
          <w:highlight w:val="none"/>
        </w:rPr>
        <w:t>（参考）</w:t>
      </w:r>
      <w:bookmarkStart w:id="57" w:name="_Toc4982"/>
      <w:bookmarkStart w:id="58" w:name="_Toc29433"/>
      <w:bookmarkStart w:id="59" w:name="_Toc11690"/>
    </w:p>
    <w:bookmarkEnd w:id="37"/>
    <w:bookmarkEnd w:id="38"/>
    <w:bookmarkEnd w:id="56"/>
    <w:bookmarkEnd w:id="57"/>
    <w:bookmarkEnd w:id="58"/>
    <w:bookmarkEnd w:id="59"/>
    <w:p w14:paraId="15808CBD">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bookmarkStart w:id="60" w:name="_Toc58430329"/>
      <w:bookmarkStart w:id="61" w:name="_Toc449028945"/>
      <w:r>
        <w:rPr>
          <w:rFonts w:hint="eastAsia" w:ascii="宋体" w:hAnsi="宋体" w:eastAsia="宋体" w:cs="宋体"/>
          <w:color w:val="auto"/>
          <w:sz w:val="21"/>
          <w:szCs w:val="21"/>
          <w:highlight w:val="none"/>
          <w:lang w:val="en-US" w:eastAsia="zh-CN"/>
        </w:rPr>
        <w:t>招标</w:t>
      </w:r>
      <w:r>
        <w:rPr>
          <w:rFonts w:hint="eastAsia" w:ascii="宋体" w:hAnsi="宋体" w:eastAsia="宋体" w:cs="宋体"/>
          <w:color w:val="auto"/>
          <w:sz w:val="21"/>
          <w:szCs w:val="21"/>
          <w:highlight w:val="none"/>
        </w:rPr>
        <w:t>单位（全称）</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（以下简称甲方）</w:t>
      </w:r>
    </w:p>
    <w:p w14:paraId="45ABAA10">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单位（全称）</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（以下简称乙方）</w:t>
      </w:r>
    </w:p>
    <w:p w14:paraId="0A6C0180">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依照《中华人民</w:t>
      </w:r>
      <w:r>
        <w:rPr>
          <w:rFonts w:hint="eastAsia" w:ascii="宋体" w:hAnsi="宋体" w:cs="宋体"/>
          <w:color w:val="auto"/>
          <w:sz w:val="21"/>
          <w:szCs w:val="21"/>
          <w:highlight w:val="none"/>
          <w:lang w:val="en-US" w:eastAsia="zh-CN"/>
        </w:rPr>
        <w:t>共</w:t>
      </w:r>
      <w:r>
        <w:rPr>
          <w:rFonts w:hint="eastAsia" w:ascii="宋体" w:hAnsi="宋体" w:eastAsia="宋体" w:cs="宋体"/>
          <w:color w:val="auto"/>
          <w:sz w:val="21"/>
          <w:szCs w:val="21"/>
          <w:highlight w:val="none"/>
        </w:rPr>
        <w:t>和国</w:t>
      </w:r>
      <w:r>
        <w:rPr>
          <w:rFonts w:hint="eastAsia" w:ascii="宋体" w:hAnsi="宋体" w:eastAsia="宋体" w:cs="宋体"/>
          <w:color w:val="auto"/>
          <w:sz w:val="21"/>
          <w:szCs w:val="21"/>
          <w:highlight w:val="none"/>
          <w:lang w:val="en-US" w:eastAsia="zh-CN"/>
        </w:rPr>
        <w:t>民法典</w:t>
      </w:r>
      <w:r>
        <w:rPr>
          <w:rFonts w:hint="eastAsia" w:ascii="宋体" w:hAnsi="宋体" w:eastAsia="宋体" w:cs="宋体"/>
          <w:color w:val="auto"/>
          <w:sz w:val="21"/>
          <w:szCs w:val="21"/>
          <w:highlight w:val="none"/>
        </w:rPr>
        <w:t>》及其他有关</w:t>
      </w:r>
      <w:r>
        <w:rPr>
          <w:rFonts w:hint="eastAsia" w:ascii="宋体" w:hAnsi="宋体" w:cs="宋体"/>
          <w:color w:val="auto"/>
          <w:sz w:val="21"/>
          <w:szCs w:val="21"/>
          <w:highlight w:val="none"/>
          <w:lang w:eastAsia="zh-CN"/>
        </w:rPr>
        <w:t>法律法规</w:t>
      </w:r>
      <w:r>
        <w:rPr>
          <w:rFonts w:hint="eastAsia" w:ascii="宋体" w:hAnsi="宋体" w:eastAsia="宋体" w:cs="宋体"/>
          <w:color w:val="auto"/>
          <w:sz w:val="21"/>
          <w:szCs w:val="21"/>
          <w:highlight w:val="none"/>
        </w:rPr>
        <w:t>，遵循平等、自愿、公平和诚实信用的原则，双方就</w:t>
      </w:r>
      <w:r>
        <w:rPr>
          <w:rFonts w:hint="eastAsia" w:ascii="宋体" w:hAnsi="宋体" w:cs="宋体"/>
          <w:color w:val="auto"/>
          <w:sz w:val="21"/>
          <w:szCs w:val="21"/>
          <w:highlight w:val="none"/>
          <w:lang w:eastAsia="zh-CN"/>
        </w:rPr>
        <w:t>本次</w:t>
      </w:r>
      <w:r>
        <w:rPr>
          <w:rFonts w:hint="eastAsia" w:ascii="宋体" w:hAnsi="宋体" w:eastAsia="宋体" w:cs="宋体"/>
          <w:color w:val="auto"/>
          <w:sz w:val="21"/>
          <w:szCs w:val="21"/>
          <w:highlight w:val="none"/>
          <w:lang w:eastAsia="zh-CN"/>
        </w:rPr>
        <w:t>采购服务</w:t>
      </w:r>
      <w:r>
        <w:rPr>
          <w:rFonts w:hint="eastAsia" w:ascii="宋体" w:hAnsi="宋体" w:eastAsia="宋体" w:cs="宋体"/>
          <w:color w:val="auto"/>
          <w:sz w:val="21"/>
          <w:szCs w:val="21"/>
          <w:highlight w:val="none"/>
        </w:rPr>
        <w:t>事项协商一致，订立本合同。</w:t>
      </w:r>
    </w:p>
    <w:p w14:paraId="2C737091">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2" w:firstLineChars="200"/>
        <w:jc w:val="left"/>
        <w:textAlignment w:val="auto"/>
        <w:outlineLvl w:val="9"/>
        <w:rPr>
          <w:rFonts w:hint="eastAsia" w:ascii="宋体" w:hAnsi="宋体" w:eastAsia="宋体" w:cs="宋体"/>
          <w:b/>
          <w:bCs/>
          <w:color w:val="auto"/>
          <w:sz w:val="21"/>
          <w:szCs w:val="21"/>
          <w:highlight w:val="none"/>
          <w:lang w:eastAsia="zh-CN"/>
        </w:rPr>
      </w:pP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eastAsia="zh-CN"/>
        </w:rPr>
        <w:t>生产建设项目</w:t>
      </w:r>
    </w:p>
    <w:p w14:paraId="3B6BC3CF">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w:t>
      </w:r>
      <w:r>
        <w:rPr>
          <w:rFonts w:hint="default" w:ascii="宋体" w:hAnsi="宋体" w:eastAsia="宋体" w:cs="宋体"/>
          <w:color w:val="auto"/>
          <w:sz w:val="21"/>
          <w:szCs w:val="21"/>
          <w:highlight w:val="none"/>
          <w:u w:val="none"/>
          <w:lang w:val="en-US" w:eastAsia="zh-CN"/>
        </w:rPr>
        <w:t>苏州路与双城路交叉口西北侧地块开发项目</w:t>
      </w:r>
      <w:r>
        <w:rPr>
          <w:rFonts w:hint="eastAsia" w:ascii="宋体" w:hAnsi="宋体" w:eastAsia="宋体" w:cs="宋体"/>
          <w:color w:val="auto"/>
          <w:sz w:val="21"/>
          <w:szCs w:val="21"/>
          <w:highlight w:val="none"/>
          <w:u w:val="none"/>
          <w:lang w:val="en-US" w:eastAsia="zh-CN"/>
        </w:rPr>
        <w:t>位于</w:t>
      </w:r>
      <w:r>
        <w:rPr>
          <w:rFonts w:hint="default" w:ascii="宋体" w:hAnsi="宋体" w:eastAsia="宋体" w:cs="宋体"/>
          <w:color w:val="auto"/>
          <w:sz w:val="21"/>
          <w:szCs w:val="21"/>
          <w:highlight w:val="none"/>
          <w:u w:val="none"/>
          <w:lang w:val="en-US" w:eastAsia="zh-CN"/>
        </w:rPr>
        <w:t>中新苏滁高新技术产业开发区苏州路与双城路交叉口西北侧</w:t>
      </w:r>
      <w:r>
        <w:rPr>
          <w:rFonts w:hint="eastAsia" w:ascii="宋体" w:hAnsi="宋体" w:eastAsia="宋体" w:cs="宋体"/>
          <w:color w:val="auto"/>
          <w:sz w:val="21"/>
          <w:szCs w:val="21"/>
          <w:highlight w:val="none"/>
          <w:u w:val="none"/>
          <w:lang w:val="en-US" w:eastAsia="zh-CN"/>
        </w:rPr>
        <w:t>，主要内容包括：新建站房：2F1座，建筑面积390.4㎡；新建型钢结构罩棚：1座，建筑面积273.9㎡；新建加油岛：4座，4台四枪四油品潜油泵加油机</w:t>
      </w:r>
      <w:r>
        <w:rPr>
          <w:rFonts w:hint="eastAsia" w:ascii="宋体" w:hAnsi="宋体" w:cs="宋体"/>
          <w:color w:val="auto"/>
          <w:sz w:val="21"/>
          <w:szCs w:val="21"/>
          <w:highlight w:val="none"/>
          <w:u w:val="none"/>
          <w:lang w:val="en-US" w:eastAsia="zh-CN"/>
        </w:rPr>
        <w:t>，</w:t>
      </w:r>
      <w:r>
        <w:rPr>
          <w:rFonts w:hint="eastAsia" w:ascii="宋体" w:hAnsi="宋体" w:eastAsia="宋体" w:cs="宋体"/>
          <w:color w:val="auto"/>
          <w:sz w:val="21"/>
          <w:szCs w:val="21"/>
          <w:highlight w:val="none"/>
          <w:u w:val="none"/>
          <w:lang w:val="en-US" w:eastAsia="zh-CN"/>
        </w:rPr>
        <w:t>新建油罐区：1处，3汽1柴，承重罐区，SF双层油罐，水平投影面积139.04㎡；新建围墙：165m；新建隔油池：1座；新建化粪池：1座等；室外工程（含路面、绿化）等。</w:t>
      </w:r>
    </w:p>
    <w:p w14:paraId="4B471EBE">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2）中新苏滁高新区超级电容智能制造基地二期项目位于滁州市滨河北路与滁州大道交叉口东北侧，主要内容包括：厂房3、电芯库、厂区道路等主体，项目总建筑面积约3.23万㎡，包括但不限于土方工程、地基与基础工程、建筑结构及装饰工程、钢结构工程、安装工程、厂区道路、绿化等。</w:t>
      </w:r>
    </w:p>
    <w:p w14:paraId="3248A33F">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2"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技术咨询服务范围</w:t>
      </w:r>
    </w:p>
    <w:p w14:paraId="71D99F5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kern w:val="2"/>
          <w:sz w:val="21"/>
          <w:szCs w:val="21"/>
          <w:highlight w:val="none"/>
          <w:u w:val="none" w:color="000000"/>
          <w:lang w:val="en-US" w:eastAsia="zh-CN" w:bidi="ar-SA"/>
        </w:rPr>
      </w:pPr>
      <w:r>
        <w:rPr>
          <w:rFonts w:hint="eastAsia" w:ascii="宋体" w:hAnsi="宋体" w:eastAsia="宋体" w:cs="宋体"/>
          <w:color w:val="auto"/>
          <w:kern w:val="2"/>
          <w:sz w:val="21"/>
          <w:szCs w:val="21"/>
          <w:highlight w:val="none"/>
          <w:u w:val="none" w:color="000000"/>
          <w:lang w:val="en-US" w:eastAsia="zh-CN" w:bidi="ar-SA"/>
        </w:rPr>
        <w:t>2</w:t>
      </w:r>
      <w:r>
        <w:rPr>
          <w:rFonts w:hint="eastAsia" w:ascii="宋体" w:hAnsi="宋体" w:cs="宋体"/>
          <w:color w:val="auto"/>
          <w:kern w:val="2"/>
          <w:sz w:val="21"/>
          <w:szCs w:val="21"/>
          <w:highlight w:val="none"/>
          <w:u w:val="none" w:color="000000"/>
          <w:lang w:val="en-US" w:eastAsia="zh-CN" w:bidi="ar-SA"/>
        </w:rPr>
        <w:t>.</w:t>
      </w:r>
      <w:r>
        <w:rPr>
          <w:rFonts w:hint="eastAsia" w:ascii="宋体" w:hAnsi="宋体" w:eastAsia="宋体" w:cs="宋体"/>
          <w:color w:val="auto"/>
          <w:kern w:val="2"/>
          <w:sz w:val="21"/>
          <w:szCs w:val="21"/>
          <w:highlight w:val="none"/>
          <w:u w:val="none" w:color="000000"/>
          <w:lang w:val="en-US" w:eastAsia="zh-CN" w:bidi="ar-SA"/>
        </w:rPr>
        <w:t>1按照水土保持法律法规、技术规范和有关文件规定，开展审批生产建设项目水土保持方案（含变更）的技术评审工作，提出每一个已受理水土保持方案的技术评审意见，明确水土保持方案是否满足批准条件。具体工作内容：</w:t>
      </w:r>
    </w:p>
    <w:p w14:paraId="15DF6B0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kern w:val="2"/>
          <w:sz w:val="21"/>
          <w:szCs w:val="21"/>
          <w:highlight w:val="none"/>
          <w:u w:val="none" w:color="000000"/>
          <w:lang w:val="en-US" w:eastAsia="zh-CN" w:bidi="ar-SA"/>
        </w:rPr>
      </w:pPr>
      <w:r>
        <w:rPr>
          <w:rFonts w:hint="eastAsia" w:ascii="宋体" w:hAnsi="宋体" w:eastAsia="宋体" w:cs="宋体"/>
          <w:color w:val="auto"/>
          <w:kern w:val="2"/>
          <w:sz w:val="21"/>
          <w:szCs w:val="21"/>
          <w:highlight w:val="none"/>
          <w:u w:val="none" w:color="000000"/>
          <w:lang w:val="en-US" w:eastAsia="zh-CN" w:bidi="ar-SA"/>
        </w:rPr>
        <w:t>（1）根据水土保持相关法律法规和水利部、安徽省关于生产建设项目水土保持方案的有关要求，配合主管部门不断完善水土保持方案技术评审流程；</w:t>
      </w:r>
    </w:p>
    <w:p w14:paraId="2972148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kern w:val="2"/>
          <w:sz w:val="21"/>
          <w:szCs w:val="21"/>
          <w:highlight w:val="none"/>
          <w:u w:val="none" w:color="000000"/>
          <w:lang w:val="en-US" w:eastAsia="zh-CN" w:bidi="ar-SA"/>
        </w:rPr>
      </w:pPr>
      <w:r>
        <w:rPr>
          <w:rFonts w:hint="eastAsia" w:ascii="宋体" w:hAnsi="宋体" w:eastAsia="宋体" w:cs="宋体"/>
          <w:color w:val="auto"/>
          <w:kern w:val="2"/>
          <w:sz w:val="21"/>
          <w:szCs w:val="21"/>
          <w:highlight w:val="none"/>
          <w:u w:val="none" w:color="000000"/>
          <w:lang w:val="en-US" w:eastAsia="zh-CN" w:bidi="ar-SA"/>
        </w:rPr>
        <w:t>（2）对生产建设单位送审的水土保持方案报告书进行初步审查，确定是否受理；</w:t>
      </w:r>
    </w:p>
    <w:p w14:paraId="7B91500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kern w:val="2"/>
          <w:sz w:val="21"/>
          <w:szCs w:val="21"/>
          <w:highlight w:val="none"/>
          <w:u w:val="none" w:color="000000"/>
          <w:lang w:val="en-US" w:eastAsia="zh-CN" w:bidi="ar-SA"/>
        </w:rPr>
      </w:pPr>
      <w:r>
        <w:rPr>
          <w:rFonts w:hint="eastAsia" w:ascii="宋体" w:hAnsi="宋体" w:eastAsia="宋体" w:cs="宋体"/>
          <w:color w:val="auto"/>
          <w:kern w:val="2"/>
          <w:sz w:val="21"/>
          <w:szCs w:val="21"/>
          <w:highlight w:val="none"/>
          <w:u w:val="none" w:color="000000"/>
          <w:lang w:val="en-US" w:eastAsia="zh-CN" w:bidi="ar-SA"/>
        </w:rPr>
        <w:t>（3）根据生产建设项目与水土保持有关的施工工艺及可能产生水土流失的隐患程度和项目规模及复杂性，商主管部门确定安排评审专家的类型、数量和是否需考察工程现场。</w:t>
      </w:r>
    </w:p>
    <w:p w14:paraId="7059D23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kern w:val="2"/>
          <w:sz w:val="21"/>
          <w:szCs w:val="21"/>
          <w:highlight w:val="none"/>
          <w:u w:val="none" w:color="000000"/>
          <w:lang w:val="en-US" w:eastAsia="zh-CN" w:bidi="ar-SA"/>
        </w:rPr>
      </w:pPr>
      <w:r>
        <w:rPr>
          <w:rFonts w:hint="eastAsia" w:ascii="宋体" w:hAnsi="宋体" w:eastAsia="宋体" w:cs="宋体"/>
          <w:color w:val="auto"/>
          <w:kern w:val="2"/>
          <w:sz w:val="21"/>
          <w:szCs w:val="21"/>
          <w:highlight w:val="none"/>
          <w:u w:val="none" w:color="000000"/>
          <w:lang w:val="en-US" w:eastAsia="zh-CN" w:bidi="ar-SA"/>
        </w:rPr>
        <w:t>（4）组织评审专家考察工程现场；</w:t>
      </w:r>
    </w:p>
    <w:p w14:paraId="7B84729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kern w:val="2"/>
          <w:sz w:val="21"/>
          <w:szCs w:val="21"/>
          <w:highlight w:val="none"/>
          <w:u w:val="none" w:color="000000"/>
          <w:lang w:val="en-US" w:eastAsia="zh-CN" w:bidi="ar-SA"/>
        </w:rPr>
      </w:pPr>
      <w:r>
        <w:rPr>
          <w:rFonts w:hint="eastAsia" w:ascii="宋体" w:hAnsi="宋体" w:eastAsia="宋体" w:cs="宋体"/>
          <w:color w:val="auto"/>
          <w:kern w:val="2"/>
          <w:sz w:val="21"/>
          <w:szCs w:val="21"/>
          <w:highlight w:val="none"/>
          <w:u w:val="none" w:color="000000"/>
          <w:lang w:val="en-US" w:eastAsia="zh-CN" w:bidi="ar-SA"/>
        </w:rPr>
        <w:t>（5）组织召开技术评审会议，将形成专家评审意见反馈给建设单位进行修改完善，并确定是否需要再次进行技术评审；并整理归档每宗生产建设项目评审会议资料。</w:t>
      </w:r>
    </w:p>
    <w:p w14:paraId="521347D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kern w:val="2"/>
          <w:sz w:val="21"/>
          <w:szCs w:val="21"/>
          <w:highlight w:val="none"/>
          <w:u w:val="none" w:color="000000"/>
          <w:lang w:val="en-US" w:eastAsia="zh-CN" w:bidi="ar-SA"/>
        </w:rPr>
      </w:pPr>
      <w:r>
        <w:rPr>
          <w:rFonts w:hint="eastAsia" w:ascii="宋体" w:hAnsi="宋体" w:eastAsia="宋体" w:cs="宋体"/>
          <w:color w:val="auto"/>
          <w:kern w:val="2"/>
          <w:sz w:val="21"/>
          <w:szCs w:val="21"/>
          <w:highlight w:val="none"/>
          <w:u w:val="none" w:color="000000"/>
          <w:lang w:val="en-US" w:eastAsia="zh-CN" w:bidi="ar-SA"/>
        </w:rPr>
        <w:t>（6）对按专家意见修改形成的报批稿初稿进行技术复核，复核合格的出具技术审查意见；</w:t>
      </w:r>
    </w:p>
    <w:p w14:paraId="5E08A99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kern w:val="2"/>
          <w:sz w:val="21"/>
          <w:szCs w:val="21"/>
          <w:highlight w:val="none"/>
          <w:u w:val="none" w:color="000000"/>
          <w:lang w:val="en-US" w:eastAsia="zh-CN" w:bidi="ar-SA"/>
        </w:rPr>
      </w:pPr>
      <w:r>
        <w:rPr>
          <w:rFonts w:hint="eastAsia" w:ascii="宋体" w:hAnsi="宋体" w:eastAsia="宋体" w:cs="宋体"/>
          <w:color w:val="auto"/>
          <w:kern w:val="2"/>
          <w:sz w:val="21"/>
          <w:szCs w:val="21"/>
          <w:highlight w:val="none"/>
          <w:u w:val="none" w:color="000000"/>
          <w:lang w:val="en-US" w:eastAsia="zh-CN" w:bidi="ar-SA"/>
        </w:rPr>
        <w:t>（7）协助有关单位，按要求录入生产建设项目相关信息资料等。</w:t>
      </w:r>
    </w:p>
    <w:p w14:paraId="3E1DC1B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default" w:ascii="宋体" w:hAnsi="宋体" w:eastAsia="宋体" w:cs="宋体"/>
          <w:color w:val="auto"/>
          <w:kern w:val="2"/>
          <w:sz w:val="21"/>
          <w:szCs w:val="21"/>
          <w:highlight w:val="none"/>
          <w:u w:val="none" w:color="000000"/>
          <w:lang w:val="en-US" w:eastAsia="zh-CN" w:bidi="ar-SA"/>
        </w:rPr>
      </w:pPr>
      <w:r>
        <w:rPr>
          <w:rFonts w:hint="eastAsia" w:ascii="宋体" w:hAnsi="宋体" w:eastAsia="宋体" w:cs="宋体"/>
          <w:color w:val="auto"/>
          <w:kern w:val="2"/>
          <w:sz w:val="21"/>
          <w:szCs w:val="21"/>
          <w:highlight w:val="none"/>
          <w:u w:val="none" w:color="000000"/>
          <w:lang w:val="en-US" w:eastAsia="zh-CN" w:bidi="ar-SA"/>
        </w:rPr>
        <w:t>2.2</w:t>
      </w:r>
      <w:r>
        <w:rPr>
          <w:rFonts w:hint="default" w:ascii="宋体" w:hAnsi="宋体" w:eastAsia="宋体" w:cs="宋体"/>
          <w:color w:val="auto"/>
          <w:kern w:val="2"/>
          <w:sz w:val="21"/>
          <w:szCs w:val="21"/>
          <w:highlight w:val="none"/>
          <w:u w:val="none" w:color="000000"/>
          <w:lang w:val="en-US" w:eastAsia="zh-CN" w:bidi="ar-SA"/>
        </w:rPr>
        <w:t>协助</w:t>
      </w:r>
      <w:r>
        <w:rPr>
          <w:rFonts w:hint="eastAsia" w:ascii="宋体" w:hAnsi="宋体" w:eastAsia="宋体" w:cs="宋体"/>
          <w:color w:val="auto"/>
          <w:kern w:val="2"/>
          <w:sz w:val="21"/>
          <w:szCs w:val="21"/>
          <w:highlight w:val="none"/>
          <w:u w:val="none" w:color="000000"/>
          <w:lang w:val="en-US" w:eastAsia="zh-CN" w:bidi="ar-SA"/>
        </w:rPr>
        <w:t>建设单位</w:t>
      </w:r>
      <w:r>
        <w:rPr>
          <w:rFonts w:hint="default" w:ascii="宋体" w:hAnsi="宋体" w:eastAsia="宋体" w:cs="宋体"/>
          <w:color w:val="auto"/>
          <w:kern w:val="2"/>
          <w:sz w:val="21"/>
          <w:szCs w:val="21"/>
          <w:highlight w:val="none"/>
          <w:u w:val="none" w:color="000000"/>
          <w:lang w:val="en-US" w:eastAsia="zh-CN" w:bidi="ar-SA"/>
        </w:rPr>
        <w:t>做好水行政主管部门对本项目水土保持开展监督、检查等工作</w:t>
      </w:r>
      <w:r>
        <w:rPr>
          <w:rFonts w:hint="eastAsia" w:ascii="宋体" w:hAnsi="宋体" w:eastAsia="宋体" w:cs="宋体"/>
          <w:color w:val="auto"/>
          <w:kern w:val="2"/>
          <w:sz w:val="21"/>
          <w:szCs w:val="21"/>
          <w:highlight w:val="none"/>
          <w:u w:val="none" w:color="000000"/>
          <w:lang w:val="en-US" w:eastAsia="zh-CN" w:bidi="ar-SA"/>
        </w:rPr>
        <w:t>。</w:t>
      </w:r>
    </w:p>
    <w:p w14:paraId="4F554FD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default" w:ascii="宋体" w:hAnsi="宋体" w:eastAsia="宋体" w:cs="宋体"/>
          <w:color w:val="auto"/>
          <w:kern w:val="2"/>
          <w:sz w:val="21"/>
          <w:szCs w:val="21"/>
          <w:highlight w:val="none"/>
          <w:u w:val="none" w:color="000000"/>
          <w:lang w:val="en-US" w:eastAsia="zh-CN" w:bidi="ar-SA"/>
        </w:rPr>
      </w:pPr>
      <w:r>
        <w:rPr>
          <w:rFonts w:hint="eastAsia" w:ascii="宋体" w:hAnsi="宋体" w:eastAsia="宋体" w:cs="宋体"/>
          <w:color w:val="auto"/>
          <w:kern w:val="2"/>
          <w:sz w:val="21"/>
          <w:szCs w:val="21"/>
          <w:highlight w:val="none"/>
          <w:u w:val="none" w:color="000000"/>
          <w:lang w:val="en-US" w:eastAsia="zh-CN" w:bidi="ar-SA"/>
        </w:rPr>
        <w:t>2.3</w:t>
      </w:r>
      <w:r>
        <w:rPr>
          <w:rFonts w:hint="default" w:ascii="宋体" w:hAnsi="宋体" w:eastAsia="宋体" w:cs="宋体"/>
          <w:color w:val="auto"/>
          <w:kern w:val="2"/>
          <w:sz w:val="21"/>
          <w:szCs w:val="21"/>
          <w:highlight w:val="none"/>
          <w:u w:val="none" w:color="000000"/>
          <w:lang w:val="en-US" w:eastAsia="zh-CN" w:bidi="ar-SA"/>
        </w:rPr>
        <w:t>做好本项目水土保持其他相关技术咨询服务。</w:t>
      </w:r>
    </w:p>
    <w:p w14:paraId="4B355BD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kern w:val="2"/>
          <w:sz w:val="21"/>
          <w:szCs w:val="21"/>
          <w:highlight w:val="none"/>
          <w:u w:val="none" w:color="000000"/>
          <w:lang w:val="en-US" w:eastAsia="zh-CN" w:bidi="ar-SA"/>
        </w:rPr>
      </w:pPr>
      <w:r>
        <w:rPr>
          <w:rFonts w:hint="eastAsia" w:ascii="宋体" w:hAnsi="宋体" w:eastAsia="宋体" w:cs="宋体"/>
          <w:color w:val="auto"/>
          <w:kern w:val="2"/>
          <w:sz w:val="21"/>
          <w:szCs w:val="21"/>
          <w:highlight w:val="none"/>
          <w:u w:val="none" w:color="000000"/>
          <w:lang w:val="en-US" w:eastAsia="zh-CN" w:bidi="ar-SA"/>
        </w:rPr>
        <w:t>2.4提交的成果应符合并达到国家有关规定的深度要求，通过相关主管部门审批。</w:t>
      </w:r>
    </w:p>
    <w:p w14:paraId="3DD413E7">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2"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合同工期</w:t>
      </w:r>
    </w:p>
    <w:p w14:paraId="41B9ABCF">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40" w:firstLineChars="200"/>
        <w:jc w:val="left"/>
        <w:textAlignment w:val="auto"/>
        <w:outlineLvl w:val="9"/>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3.1自接到招标人通知后，于15个日历天内完成方案编制，并通过相关主管部门审批。</w:t>
      </w:r>
    </w:p>
    <w:p w14:paraId="774E4541">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因以下原因造成延误，经甲方确认工期相应顺延：</w:t>
      </w:r>
    </w:p>
    <w:p w14:paraId="7E221FFD">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.1甲方未按照要求提供</w:t>
      </w:r>
      <w:r>
        <w:rPr>
          <w:rFonts w:hint="eastAsia" w:ascii="宋体" w:hAnsi="宋体" w:eastAsia="宋体" w:cs="宋体"/>
          <w:color w:val="auto"/>
          <w:sz w:val="21"/>
          <w:szCs w:val="21"/>
          <w:highlight w:val="none"/>
          <w:lang w:eastAsia="zh-CN"/>
        </w:rPr>
        <w:t>服务</w:t>
      </w:r>
      <w:r>
        <w:rPr>
          <w:rFonts w:hint="eastAsia" w:ascii="宋体" w:hAnsi="宋体" w:eastAsia="宋体" w:cs="宋体"/>
          <w:color w:val="auto"/>
          <w:sz w:val="21"/>
          <w:szCs w:val="21"/>
          <w:highlight w:val="none"/>
        </w:rPr>
        <w:t>条件和相应的资料；</w:t>
      </w:r>
    </w:p>
    <w:p w14:paraId="37C21460">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.2重大设计变更；</w:t>
      </w:r>
    </w:p>
    <w:p w14:paraId="49D10D99">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.3重大民事、停电影响；</w:t>
      </w:r>
    </w:p>
    <w:p w14:paraId="662B2AE4">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.4甲方未按合同约定支付</w:t>
      </w:r>
      <w:r>
        <w:rPr>
          <w:rFonts w:hint="eastAsia" w:ascii="宋体" w:hAnsi="宋体" w:eastAsia="宋体" w:cs="宋体"/>
          <w:color w:val="auto"/>
          <w:sz w:val="21"/>
          <w:szCs w:val="21"/>
          <w:highlight w:val="none"/>
          <w:lang w:eastAsia="zh-CN"/>
        </w:rPr>
        <w:t>合同价</w:t>
      </w:r>
      <w:r>
        <w:rPr>
          <w:rFonts w:hint="eastAsia" w:ascii="宋体" w:hAnsi="宋体" w:eastAsia="宋体" w:cs="宋体"/>
          <w:color w:val="auto"/>
          <w:sz w:val="21"/>
          <w:szCs w:val="21"/>
          <w:highlight w:val="none"/>
        </w:rPr>
        <w:t>款；</w:t>
      </w:r>
    </w:p>
    <w:p w14:paraId="4FB63EC1">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.5因不可抗力影响。</w:t>
      </w:r>
    </w:p>
    <w:p w14:paraId="34DA7772">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2" w:firstLineChars="200"/>
        <w:jc w:val="left"/>
        <w:textAlignment w:val="auto"/>
        <w:outlineLvl w:val="9"/>
        <w:rPr>
          <w:rFonts w:hint="default" w:ascii="宋体" w:hAnsi="宋体" w:eastAsia="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质量</w:t>
      </w:r>
      <w:r>
        <w:rPr>
          <w:rFonts w:hint="eastAsia" w:ascii="宋体" w:hAnsi="宋体" w:eastAsia="宋体" w:cs="宋体"/>
          <w:b/>
          <w:bCs/>
          <w:color w:val="auto"/>
          <w:sz w:val="21"/>
          <w:szCs w:val="21"/>
          <w:highlight w:val="none"/>
          <w:lang w:eastAsia="zh-CN"/>
        </w:rPr>
        <w:t>要求</w:t>
      </w:r>
    </w:p>
    <w:p w14:paraId="0E2CCD53">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4.1质量标准</w:t>
      </w:r>
    </w:p>
    <w:p w14:paraId="74529348">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（1）《水土保持工程设计规范》（GB 51018-2014）</w:t>
      </w:r>
    </w:p>
    <w:p w14:paraId="49853B38">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）国家有关工程建设标准强制性条文和国家及地方有关水土保持验收标准和法律法规要求</w:t>
      </w:r>
    </w:p>
    <w:p w14:paraId="6E458A37">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4.2服务质量</w:t>
      </w:r>
    </w:p>
    <w:p w14:paraId="25400849">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4.2.1水土保持</w:t>
      </w:r>
      <w:r>
        <w:rPr>
          <w:rFonts w:hint="eastAsia" w:ascii="宋体" w:hAnsi="宋体" w:cs="宋体"/>
          <w:color w:val="auto"/>
          <w:sz w:val="21"/>
          <w:szCs w:val="21"/>
          <w:highlight w:val="none"/>
          <w:lang w:val="en-US" w:eastAsia="zh-CN"/>
        </w:rPr>
        <w:t>方案</w:t>
      </w:r>
      <w:r>
        <w:rPr>
          <w:rFonts w:hint="eastAsia" w:ascii="宋体" w:hAnsi="宋体" w:eastAsia="宋体" w:cs="宋体"/>
          <w:color w:val="auto"/>
          <w:sz w:val="21"/>
          <w:szCs w:val="21"/>
          <w:highlight w:val="none"/>
          <w:lang w:val="en-US" w:eastAsia="zh-CN"/>
        </w:rPr>
        <w:t>必须满足相关规范、标准</w:t>
      </w:r>
      <w:r>
        <w:rPr>
          <w:rFonts w:hint="eastAsia" w:ascii="宋体" w:hAnsi="宋体" w:cs="宋体"/>
          <w:color w:val="auto"/>
          <w:sz w:val="21"/>
          <w:szCs w:val="21"/>
          <w:highlight w:val="none"/>
          <w:lang w:val="en-US" w:eastAsia="zh-CN"/>
        </w:rPr>
        <w:t>，以及</w:t>
      </w:r>
      <w:r>
        <w:rPr>
          <w:rFonts w:hint="eastAsia" w:ascii="宋体" w:hAnsi="宋体" w:eastAsia="宋体" w:cs="宋体"/>
          <w:color w:val="auto"/>
          <w:sz w:val="21"/>
          <w:szCs w:val="21"/>
          <w:highlight w:val="none"/>
          <w:lang w:val="en-US" w:eastAsia="zh-CN"/>
        </w:rPr>
        <w:t>水利部和安</w:t>
      </w:r>
      <w:bookmarkStart w:id="73" w:name="_GoBack"/>
      <w:bookmarkEnd w:id="73"/>
      <w:r>
        <w:rPr>
          <w:rFonts w:hint="eastAsia" w:ascii="宋体" w:hAnsi="宋体" w:eastAsia="宋体" w:cs="宋体"/>
          <w:color w:val="auto"/>
          <w:sz w:val="21"/>
          <w:szCs w:val="21"/>
          <w:highlight w:val="none"/>
          <w:lang w:val="en-US" w:eastAsia="zh-CN"/>
        </w:rPr>
        <w:t>徽省水利厅水土保持验收相关报告编制要求，</w:t>
      </w:r>
      <w:r>
        <w:rPr>
          <w:rFonts w:hint="eastAsia" w:ascii="宋体" w:hAnsi="宋体" w:cs="宋体"/>
          <w:color w:val="auto"/>
          <w:sz w:val="21"/>
          <w:szCs w:val="21"/>
          <w:highlight w:val="none"/>
          <w:lang w:val="en-US" w:eastAsia="zh-CN"/>
        </w:rPr>
        <w:t>并</w:t>
      </w:r>
      <w:r>
        <w:rPr>
          <w:rFonts w:hint="eastAsia"/>
          <w:color w:val="auto"/>
          <w:szCs w:val="21"/>
          <w:highlight w:val="none"/>
          <w:lang w:val="en-US" w:eastAsia="zh-CN"/>
        </w:rPr>
        <w:t>通过水行政主管部门审查后并获得批复</w:t>
      </w:r>
      <w:r>
        <w:rPr>
          <w:rFonts w:hint="eastAsia" w:ascii="宋体" w:hAnsi="宋体" w:cs="宋体"/>
          <w:color w:val="auto"/>
          <w:sz w:val="21"/>
          <w:szCs w:val="21"/>
          <w:highlight w:val="none"/>
          <w:lang w:val="en-US" w:eastAsia="zh-CN"/>
        </w:rPr>
        <w:t>。</w:t>
      </w:r>
    </w:p>
    <w:p w14:paraId="4C8D3E74">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4.2.2乙方服务质量达不到规程的质量标准，乙方应承担违约责任；</w:t>
      </w:r>
    </w:p>
    <w:p w14:paraId="1160EC1F">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2"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eastAsia="zh-CN"/>
        </w:rPr>
        <w:t>5.</w:t>
      </w:r>
      <w:r>
        <w:rPr>
          <w:rFonts w:hint="eastAsia" w:ascii="宋体" w:hAnsi="宋体" w:eastAsia="宋体" w:cs="宋体"/>
          <w:b/>
          <w:bCs/>
          <w:color w:val="auto"/>
          <w:sz w:val="21"/>
          <w:szCs w:val="21"/>
          <w:highlight w:val="none"/>
        </w:rPr>
        <w:t>合同价款及支付</w:t>
      </w:r>
    </w:p>
    <w:p w14:paraId="341DFF5A">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5.1本</w:t>
      </w:r>
      <w:r>
        <w:rPr>
          <w:rFonts w:hint="eastAsia" w:ascii="宋体" w:hAnsi="宋体" w:cs="宋体"/>
          <w:color w:val="auto"/>
          <w:sz w:val="21"/>
          <w:szCs w:val="21"/>
          <w:highlight w:val="none"/>
          <w:lang w:val="en-US" w:eastAsia="zh-CN"/>
        </w:rPr>
        <w:t>项目</w:t>
      </w:r>
      <w:r>
        <w:rPr>
          <w:rFonts w:hint="eastAsia" w:ascii="宋体" w:hAnsi="宋体" w:eastAsia="宋体" w:cs="宋体"/>
          <w:color w:val="auto"/>
          <w:sz w:val="21"/>
          <w:szCs w:val="21"/>
          <w:highlight w:val="none"/>
        </w:rPr>
        <w:t>合同价为：</w:t>
      </w:r>
      <w:r>
        <w:rPr>
          <w:rFonts w:hint="eastAsia" w:ascii="宋体" w:hAnsi="宋体" w:eastAsia="宋体" w:cs="宋体"/>
          <w:color w:val="auto"/>
          <w:sz w:val="21"/>
          <w:szCs w:val="21"/>
          <w:highlight w:val="none"/>
          <w:u w:val="single"/>
          <w:lang w:eastAsia="zh-CN"/>
        </w:rPr>
        <w:t>大写：</w:t>
      </w:r>
      <w:r>
        <w:rPr>
          <w:rFonts w:hint="eastAsia" w:ascii="宋体" w:hAnsi="宋体" w:eastAsia="宋体" w:cs="宋体"/>
          <w:color w:val="auto"/>
          <w:sz w:val="21"/>
          <w:szCs w:val="21"/>
          <w:highlight w:val="none"/>
          <w:u w:val="single"/>
          <w:lang w:val="en-US" w:eastAsia="zh-CN"/>
        </w:rPr>
        <w:t xml:space="preserve">                小写：       元 。</w:t>
      </w:r>
    </w:p>
    <w:p w14:paraId="5E29090D">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lang w:val="en-US" w:eastAsia="zh-CN"/>
        </w:rPr>
        <w:t>5.2本项目为</w:t>
      </w:r>
      <w:r>
        <w:rPr>
          <w:rFonts w:hint="eastAsia" w:ascii="宋体" w:hAnsi="宋体" w:cs="宋体"/>
          <w:color w:val="auto"/>
          <w:sz w:val="21"/>
          <w:szCs w:val="21"/>
          <w:highlight w:val="none"/>
          <w:u w:val="none"/>
          <w:lang w:val="en-US" w:eastAsia="zh-CN"/>
        </w:rPr>
        <w:t>总价合同</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rPr>
        <w:t xml:space="preserve">               </w:t>
      </w:r>
    </w:p>
    <w:p w14:paraId="55D97166">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付款方式</w:t>
      </w: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kern w:val="2"/>
          <w:sz w:val="21"/>
          <w:szCs w:val="21"/>
          <w:highlight w:val="none"/>
          <w:lang w:val="en-US" w:eastAsia="zh-CN" w:bidi="ar-SA"/>
        </w:rPr>
        <w:t>方案编制的全部内容并通过相关部门审批后，提交正式报告及整套资料付至合同价100%。</w:t>
      </w:r>
    </w:p>
    <w:p w14:paraId="5A107E9D">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2" w:firstLineChars="200"/>
        <w:jc w:val="left"/>
        <w:textAlignment w:val="auto"/>
        <w:outlineLvl w:val="9"/>
        <w:rPr>
          <w:rFonts w:hint="eastAsia" w:ascii="宋体" w:hAnsi="宋体" w:cs="宋体"/>
          <w:b/>
          <w:bCs/>
          <w:color w:val="auto"/>
          <w:kern w:val="2"/>
          <w:sz w:val="21"/>
          <w:szCs w:val="21"/>
          <w:highlight w:val="none"/>
          <w:lang w:val="en-US" w:eastAsia="zh-CN" w:bidi="ar-SA"/>
        </w:rPr>
      </w:pPr>
      <w:r>
        <w:rPr>
          <w:rFonts w:hint="eastAsia" w:ascii="宋体" w:hAnsi="宋体" w:cs="宋体"/>
          <w:b/>
          <w:bCs/>
          <w:color w:val="auto"/>
          <w:kern w:val="2"/>
          <w:sz w:val="21"/>
          <w:szCs w:val="21"/>
          <w:highlight w:val="none"/>
          <w:lang w:val="en-US" w:eastAsia="zh-CN" w:bidi="ar-SA"/>
        </w:rPr>
        <w:t>注：中标人按招标人要求提供发票。</w:t>
      </w:r>
    </w:p>
    <w:p w14:paraId="69903F6D">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2"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eastAsia="zh-CN"/>
        </w:rPr>
        <w:t>6.</w:t>
      </w:r>
      <w:r>
        <w:rPr>
          <w:rFonts w:hint="eastAsia" w:ascii="宋体" w:hAnsi="宋体" w:eastAsia="宋体" w:cs="宋体"/>
          <w:b/>
          <w:bCs/>
          <w:color w:val="auto"/>
          <w:sz w:val="21"/>
          <w:szCs w:val="21"/>
          <w:highlight w:val="none"/>
        </w:rPr>
        <w:t>双方一般权利和义务</w:t>
      </w:r>
    </w:p>
    <w:p w14:paraId="66139E85">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  甲方权利和义务</w:t>
      </w:r>
    </w:p>
    <w:p w14:paraId="4B8F93E0">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6.1.1 甲方向乙方提供相关资料</w:t>
      </w:r>
      <w:r>
        <w:rPr>
          <w:rFonts w:hint="eastAsia" w:ascii="宋体" w:hAnsi="宋体" w:cs="宋体"/>
          <w:color w:val="auto"/>
          <w:sz w:val="21"/>
          <w:szCs w:val="21"/>
          <w:highlight w:val="none"/>
          <w:lang w:eastAsia="zh-CN"/>
        </w:rPr>
        <w:t>；</w:t>
      </w:r>
    </w:p>
    <w:p w14:paraId="6641672B">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6.1.2 甲方负责调解水土保持技术咨询过程中可能存在的民事纠纷问题，如因民事纠纷导致工期延误，乙方不承担由此引发的一系列责任。</w:t>
      </w:r>
    </w:p>
    <w:p w14:paraId="7783C6BE">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6.1.3甲方有义务按时支付工程款。</w:t>
      </w:r>
    </w:p>
    <w:p w14:paraId="638B63FC">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  乙方权利和义务</w:t>
      </w:r>
    </w:p>
    <w:p w14:paraId="33488793">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6.2.1 乙方应保证水土保持</w:t>
      </w:r>
      <w:r>
        <w:rPr>
          <w:rFonts w:hint="eastAsia" w:ascii="宋体" w:hAnsi="宋体" w:cs="宋体"/>
          <w:color w:val="auto"/>
          <w:sz w:val="21"/>
          <w:szCs w:val="21"/>
          <w:highlight w:val="none"/>
          <w:lang w:val="en-US" w:eastAsia="zh-CN"/>
        </w:rPr>
        <w:t>方案</w:t>
      </w:r>
      <w:r>
        <w:rPr>
          <w:rFonts w:hint="eastAsia" w:ascii="宋体" w:hAnsi="宋体" w:eastAsia="宋体" w:cs="宋体"/>
          <w:color w:val="auto"/>
          <w:sz w:val="21"/>
          <w:szCs w:val="21"/>
          <w:highlight w:val="none"/>
          <w:lang w:val="en-US" w:eastAsia="zh-CN"/>
        </w:rPr>
        <w:t>必须满足相关规范、标准</w:t>
      </w:r>
      <w:r>
        <w:rPr>
          <w:rFonts w:hint="eastAsia" w:ascii="宋体" w:hAnsi="宋体" w:cs="宋体"/>
          <w:color w:val="auto"/>
          <w:sz w:val="21"/>
          <w:szCs w:val="21"/>
          <w:highlight w:val="none"/>
          <w:lang w:val="en-US" w:eastAsia="zh-CN"/>
        </w:rPr>
        <w:t>，以及</w:t>
      </w:r>
      <w:r>
        <w:rPr>
          <w:rFonts w:hint="eastAsia" w:ascii="宋体" w:hAnsi="宋体" w:eastAsia="宋体" w:cs="宋体"/>
          <w:color w:val="auto"/>
          <w:sz w:val="21"/>
          <w:szCs w:val="21"/>
          <w:highlight w:val="none"/>
          <w:lang w:val="en-US" w:eastAsia="zh-CN"/>
        </w:rPr>
        <w:t>水利部和安徽省水利厅水土保持验收相关报告编制要求，</w:t>
      </w:r>
      <w:r>
        <w:rPr>
          <w:rFonts w:hint="eastAsia" w:ascii="宋体" w:hAnsi="宋体" w:cs="宋体"/>
          <w:color w:val="auto"/>
          <w:sz w:val="21"/>
          <w:szCs w:val="21"/>
          <w:highlight w:val="none"/>
          <w:lang w:val="en-US" w:eastAsia="zh-CN"/>
        </w:rPr>
        <w:t>并</w:t>
      </w:r>
      <w:r>
        <w:rPr>
          <w:rFonts w:hint="eastAsia"/>
          <w:color w:val="auto"/>
          <w:szCs w:val="21"/>
          <w:highlight w:val="none"/>
          <w:lang w:val="en-US" w:eastAsia="zh-CN"/>
        </w:rPr>
        <w:t>通过水行政主管部门审查后并获得批复</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负责水土保持技术咨询过程中组织专家评审、会务等本项目水土保持技术咨询相关事项。</w:t>
      </w:r>
    </w:p>
    <w:p w14:paraId="6148EFD0">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6.2.2 承担因方案</w:t>
      </w:r>
      <w:r>
        <w:rPr>
          <w:rFonts w:hint="eastAsia" w:ascii="宋体" w:hAnsi="宋体" w:cs="宋体"/>
          <w:color w:val="auto"/>
          <w:sz w:val="21"/>
          <w:szCs w:val="21"/>
          <w:highlight w:val="none"/>
          <w:lang w:val="en-US" w:eastAsia="zh-CN"/>
        </w:rPr>
        <w:t>编制</w:t>
      </w:r>
      <w:r>
        <w:rPr>
          <w:rFonts w:hint="eastAsia" w:ascii="宋体" w:hAnsi="宋体" w:eastAsia="宋体" w:cs="宋体"/>
          <w:color w:val="auto"/>
          <w:sz w:val="21"/>
          <w:szCs w:val="21"/>
          <w:highlight w:val="none"/>
          <w:lang w:val="en-US" w:eastAsia="zh-CN"/>
        </w:rPr>
        <w:t>不合格而返工费用，因乙方的责任而造成工期延误，承担违约责任；</w:t>
      </w:r>
    </w:p>
    <w:p w14:paraId="4457F3FF">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6.2.3 乙方对未尽事宜应提前两天向甲方提出；</w:t>
      </w:r>
    </w:p>
    <w:p w14:paraId="6DD4752D">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乙方选派项目经理</w:t>
      </w:r>
      <w:r>
        <w:rPr>
          <w:rFonts w:hint="eastAsia" w:ascii="宋体" w:hAnsi="宋体" w:eastAsia="宋体" w:cs="宋体"/>
          <w:color w:val="auto"/>
          <w:sz w:val="21"/>
          <w:szCs w:val="21"/>
          <w:highlight w:val="none"/>
          <w:u w:val="single"/>
        </w:rPr>
        <w:t xml:space="preserve">      （电话：</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负责协调解决施工现场相关事宜；</w:t>
      </w:r>
    </w:p>
    <w:p w14:paraId="708F791F">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2"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eastAsia="zh-CN"/>
        </w:rPr>
        <w:t>7.</w:t>
      </w:r>
      <w:r>
        <w:rPr>
          <w:rFonts w:hint="eastAsia" w:ascii="宋体" w:hAnsi="宋体" w:eastAsia="宋体" w:cs="宋体"/>
          <w:b/>
          <w:bCs/>
          <w:color w:val="auto"/>
          <w:sz w:val="21"/>
          <w:szCs w:val="21"/>
          <w:highlight w:val="none"/>
        </w:rPr>
        <w:t>安全责任</w:t>
      </w:r>
    </w:p>
    <w:p w14:paraId="58EBAA37">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7.1甲方不得要求乙方违反安全管理的规定进行施工，因甲方原因等导致安全事故由甲方承担相应的责任及发生的费用。</w:t>
      </w:r>
    </w:p>
    <w:p w14:paraId="1389CC48">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 乙方应遵守工程建设安全生产的有关管理制度，严格按规程标准组织施工，并接受行业安全人员依法执行的安全检查，采取必要的安全措施，消除事故隐患，由于乙方安全措施不力造成事故责任和因此发生的费用由乙方承担。</w:t>
      </w:r>
    </w:p>
    <w:p w14:paraId="46EADBC0">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2"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8.</w:t>
      </w:r>
      <w:r>
        <w:rPr>
          <w:rFonts w:hint="eastAsia" w:ascii="宋体" w:hAnsi="宋体" w:eastAsia="宋体" w:cs="宋体"/>
          <w:b/>
          <w:bCs/>
          <w:color w:val="auto"/>
          <w:sz w:val="21"/>
          <w:szCs w:val="21"/>
          <w:highlight w:val="none"/>
        </w:rPr>
        <w:t>违约责任</w:t>
      </w:r>
    </w:p>
    <w:p w14:paraId="15DD11AD">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.1甲方违约：当发生下列情况时：</w:t>
      </w:r>
    </w:p>
    <w:p w14:paraId="31E3D85D">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 甲方不履行合同义务或不按合同约定履行义务的其他情况；</w:t>
      </w:r>
    </w:p>
    <w:p w14:paraId="3166FA12">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.2 乙方违约：当发生下列情况时</w:t>
      </w:r>
    </w:p>
    <w:p w14:paraId="722087F9">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8.2.1由于乙方原因质量达不到协议书约定的质量标准，乙方无条件返工并承担损失和违约责任；</w:t>
      </w:r>
    </w:p>
    <w:p w14:paraId="24252A0E">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8.2.2由于乙方不履行合同义务或不按合同约定履行义务的其他情况；</w:t>
      </w:r>
    </w:p>
    <w:p w14:paraId="433CCE62">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8.2.3 乙方承担</w:t>
      </w:r>
      <w:r>
        <w:rPr>
          <w:rFonts w:hint="eastAsia" w:ascii="宋体" w:hAnsi="宋体" w:cs="宋体"/>
          <w:color w:val="auto"/>
          <w:sz w:val="21"/>
          <w:szCs w:val="21"/>
          <w:highlight w:val="none"/>
          <w:lang w:val="en-US" w:eastAsia="zh-CN"/>
        </w:rPr>
        <w:t>违约责任，并赔偿</w:t>
      </w:r>
      <w:r>
        <w:rPr>
          <w:rFonts w:hint="eastAsia" w:ascii="宋体" w:hAnsi="宋体" w:eastAsia="宋体" w:cs="宋体"/>
          <w:color w:val="auto"/>
          <w:sz w:val="21"/>
          <w:szCs w:val="21"/>
          <w:highlight w:val="none"/>
          <w:lang w:val="en-US" w:eastAsia="zh-CN"/>
        </w:rPr>
        <w:t>其因其违约给甲方造成的直接经济损失。</w:t>
      </w:r>
    </w:p>
    <w:p w14:paraId="2F1380B8">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8.3一方违约后， 另一方要求违约方继续履行合同时，违约方承担上述违约责任后，仍继续履行合同。</w:t>
      </w:r>
    </w:p>
    <w:p w14:paraId="0CCC1C62">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2"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合同</w:t>
      </w:r>
      <w:r>
        <w:rPr>
          <w:rFonts w:hint="eastAsia" w:ascii="宋体" w:hAnsi="宋体" w:cs="宋体"/>
          <w:b/>
          <w:bCs/>
          <w:color w:val="auto"/>
          <w:sz w:val="21"/>
          <w:szCs w:val="21"/>
          <w:highlight w:val="none"/>
          <w:lang w:eastAsia="zh-CN"/>
        </w:rPr>
        <w:t>生效及其他</w:t>
      </w:r>
    </w:p>
    <w:p w14:paraId="1E2D90D1">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.1本合同发生的相关图纸、技术资料、工程量变更清单、预算书、传真等纸质材料是本合同的组成部分，与本合同具有同等法律效力。</w:t>
      </w:r>
    </w:p>
    <w:p w14:paraId="756D2F56">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.2 未尽事宜，双方在合同执行时协商解决。</w:t>
      </w:r>
    </w:p>
    <w:p w14:paraId="0FEBC258">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.3甲乙双方在履行和同事发生争议时，可以协商解决，协商不成，可选择</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eastAsia="zh-CN"/>
        </w:rPr>
        <w:t>②</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2555B42E">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①</w:t>
      </w:r>
      <w:r>
        <w:rPr>
          <w:rFonts w:hint="eastAsia" w:ascii="宋体" w:hAnsi="宋体" w:eastAsia="宋体" w:cs="宋体"/>
          <w:color w:val="auto"/>
          <w:sz w:val="21"/>
          <w:szCs w:val="21"/>
          <w:highlight w:val="none"/>
        </w:rPr>
        <w:t>双方同时申请仲裁；</w:t>
      </w:r>
    </w:p>
    <w:p w14:paraId="7BEF3FED">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②</w:t>
      </w:r>
      <w:r>
        <w:rPr>
          <w:rFonts w:hint="eastAsia" w:ascii="宋体" w:hAnsi="宋体" w:eastAsia="宋体" w:cs="宋体"/>
          <w:color w:val="auto"/>
          <w:sz w:val="21"/>
          <w:szCs w:val="21"/>
          <w:highlight w:val="none"/>
        </w:rPr>
        <w:t>向</w:t>
      </w:r>
      <w:r>
        <w:rPr>
          <w:rFonts w:hint="eastAsia" w:ascii="宋体" w:hAnsi="宋体" w:cs="宋体"/>
          <w:color w:val="auto"/>
          <w:sz w:val="21"/>
          <w:szCs w:val="21"/>
          <w:highlight w:val="none"/>
          <w:lang w:val="en-US" w:eastAsia="zh-CN"/>
        </w:rPr>
        <w:t>南谯区</w:t>
      </w:r>
      <w:r>
        <w:rPr>
          <w:rFonts w:hint="eastAsia" w:ascii="宋体" w:hAnsi="宋体" w:eastAsia="宋体" w:cs="宋体"/>
          <w:color w:val="auto"/>
          <w:sz w:val="21"/>
          <w:szCs w:val="21"/>
          <w:highlight w:val="none"/>
        </w:rPr>
        <w:t>人民法院提起诉讼。</w:t>
      </w:r>
    </w:p>
    <w:p w14:paraId="4F00DF89">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.4本合同规定的责任和义务、付款结清后，本合同</w:t>
      </w:r>
      <w:r>
        <w:rPr>
          <w:rFonts w:hint="eastAsia" w:ascii="宋体" w:hAnsi="宋体" w:cs="宋体"/>
          <w:color w:val="auto"/>
          <w:sz w:val="21"/>
          <w:szCs w:val="21"/>
          <w:highlight w:val="none"/>
          <w:lang w:eastAsia="zh-CN"/>
        </w:rPr>
        <w:t>即告</w:t>
      </w:r>
      <w:r>
        <w:rPr>
          <w:rFonts w:hint="eastAsia" w:ascii="宋体" w:hAnsi="宋体" w:eastAsia="宋体" w:cs="宋体"/>
          <w:color w:val="auto"/>
          <w:sz w:val="21"/>
          <w:szCs w:val="21"/>
          <w:highlight w:val="none"/>
        </w:rPr>
        <w:t>终止。</w:t>
      </w:r>
    </w:p>
    <w:p w14:paraId="6887BE42">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.5甲乙双方法定代表人或其委托代理人在合同书上签名</w:t>
      </w:r>
      <w:r>
        <w:rPr>
          <w:rFonts w:hint="eastAsia" w:ascii="宋体" w:hAnsi="宋体" w:cs="宋体"/>
          <w:color w:val="auto"/>
          <w:sz w:val="21"/>
          <w:szCs w:val="21"/>
          <w:highlight w:val="none"/>
          <w:lang w:eastAsia="zh-CN"/>
        </w:rPr>
        <w:t>并加</w:t>
      </w:r>
      <w:r>
        <w:rPr>
          <w:rFonts w:hint="eastAsia" w:ascii="宋体" w:hAnsi="宋体" w:eastAsia="宋体" w:cs="宋体"/>
          <w:color w:val="auto"/>
          <w:sz w:val="21"/>
          <w:szCs w:val="21"/>
          <w:highlight w:val="none"/>
        </w:rPr>
        <w:t>盖单位公章后合同生效。</w:t>
      </w:r>
    </w:p>
    <w:p w14:paraId="73F226ED">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.6本合同正本一式</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份，甲乙双方各执</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份</w:t>
      </w:r>
      <w:r>
        <w:rPr>
          <w:rFonts w:hint="eastAsia" w:ascii="宋体" w:hAnsi="宋体" w:eastAsia="宋体" w:cs="宋体"/>
          <w:color w:val="auto"/>
          <w:sz w:val="21"/>
          <w:szCs w:val="21"/>
          <w:highlight w:val="none"/>
          <w:lang w:val="en-US" w:eastAsia="zh-CN"/>
        </w:rPr>
        <w:t>。</w:t>
      </w:r>
    </w:p>
    <w:p w14:paraId="17849E64">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p>
    <w:p w14:paraId="2A03259A">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甲 方：  </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公章</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 xml:space="preserve">                       乙 方：  </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公章</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 xml:space="preserve">                                 </w:t>
      </w:r>
    </w:p>
    <w:p w14:paraId="408DDDAF">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            法定代表人或其委托代理人：</w:t>
      </w:r>
    </w:p>
    <w:p w14:paraId="69EED7AF">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                             （签字）</w:t>
      </w:r>
    </w:p>
    <w:p w14:paraId="55BAAA2E">
      <w:pPr>
        <w:keepNext w:val="0"/>
        <w:keepLines w:val="0"/>
        <w:pageBreakBefore w:val="0"/>
        <w:widowControl w:val="0"/>
        <w:tabs>
          <w:tab w:val="left" w:pos="4410"/>
        </w:tabs>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组织机构代码：                      组织机构代码：             </w:t>
      </w:r>
    </w:p>
    <w:p w14:paraId="37DF361B">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地  址：                              地  址：                  </w:t>
      </w:r>
    </w:p>
    <w:p w14:paraId="5E41FD06">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法定代表人：                      法定代表人：             </w:t>
      </w:r>
    </w:p>
    <w:p w14:paraId="5FDDAFBF">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委托代理人：                          委托代理人：                 </w:t>
      </w:r>
    </w:p>
    <w:p w14:paraId="3652FD48">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电  话：                              电  话：                     </w:t>
      </w:r>
    </w:p>
    <w:p w14:paraId="3B45192E">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电子信箱：                            电子信箱：                   </w:t>
      </w:r>
    </w:p>
    <w:p w14:paraId="03CF709F">
      <w:pPr>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开户银行：                            开户银行：                   </w:t>
      </w:r>
    </w:p>
    <w:p w14:paraId="1D6744CF">
      <w:pPr>
        <w:pStyle w:val="19"/>
        <w:keepNext w:val="0"/>
        <w:keepLines w:val="0"/>
        <w:pageBreakBefore w:val="0"/>
        <w:widowControl w:val="0"/>
        <w:kinsoku/>
        <w:wordWrap/>
        <w:overflowPunct/>
        <w:topLinePunct w:val="0"/>
        <w:autoSpaceDE/>
        <w:autoSpaceDN/>
        <w:bidi w:val="0"/>
        <w:adjustRightInd/>
        <w:snapToGrid/>
        <w:spacing w:line="520" w:lineRule="exact"/>
        <w:ind w:left="0" w:leftChars="0" w:right="-433" w:rightChars="-206" w:firstLine="420"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 xml:space="preserve">账   号：                           账   号：    </w:t>
      </w:r>
    </w:p>
    <w:p w14:paraId="2E153C0A">
      <w:pPr>
        <w:rPr>
          <w:rFonts w:hint="eastAsia" w:ascii="宋体"/>
          <w:b/>
          <w:color w:val="auto"/>
          <w:sz w:val="32"/>
          <w:szCs w:val="32"/>
          <w:highlight w:val="none"/>
        </w:rPr>
      </w:pPr>
      <w:r>
        <w:rPr>
          <w:rFonts w:hint="eastAsia" w:ascii="宋体"/>
          <w:b/>
          <w:color w:val="auto"/>
          <w:sz w:val="32"/>
          <w:szCs w:val="32"/>
          <w:highlight w:val="none"/>
        </w:rPr>
        <w:br w:type="page"/>
      </w:r>
    </w:p>
    <w:p w14:paraId="2A9878F3">
      <w:pPr>
        <w:spacing w:before="156" w:beforeLines="50" w:after="156" w:afterLines="50" w:line="600" w:lineRule="exact"/>
        <w:jc w:val="center"/>
        <w:outlineLvl w:val="0"/>
        <w:rPr>
          <w:rFonts w:hint="eastAsia" w:ascii="宋体" w:hAnsi="Times New Roman" w:eastAsia="宋体" w:cs="Times New Roman"/>
          <w:b/>
          <w:color w:val="auto"/>
          <w:sz w:val="32"/>
          <w:szCs w:val="32"/>
          <w:highlight w:val="none"/>
        </w:rPr>
      </w:pPr>
      <w:r>
        <w:rPr>
          <w:rFonts w:hint="eastAsia" w:ascii="宋体" w:hAnsi="Times New Roman" w:eastAsia="宋体" w:cs="Times New Roman"/>
          <w:b/>
          <w:color w:val="auto"/>
          <w:sz w:val="32"/>
          <w:szCs w:val="32"/>
          <w:highlight w:val="none"/>
        </w:rPr>
        <w:t>第</w:t>
      </w:r>
      <w:r>
        <w:rPr>
          <w:rFonts w:hint="eastAsia" w:ascii="宋体" w:hAnsi="Times New Roman" w:eastAsia="宋体" w:cs="Times New Roman"/>
          <w:b/>
          <w:color w:val="auto"/>
          <w:sz w:val="32"/>
          <w:szCs w:val="32"/>
          <w:highlight w:val="none"/>
          <w:lang w:val="en-US" w:eastAsia="zh-CN"/>
        </w:rPr>
        <w:t>六</w:t>
      </w:r>
      <w:r>
        <w:rPr>
          <w:rFonts w:hint="eastAsia" w:ascii="宋体" w:hAnsi="Times New Roman" w:eastAsia="宋体" w:cs="Times New Roman"/>
          <w:b/>
          <w:color w:val="auto"/>
          <w:sz w:val="32"/>
          <w:szCs w:val="32"/>
          <w:highlight w:val="none"/>
        </w:rPr>
        <w:t>章  投标文件格式</w:t>
      </w:r>
    </w:p>
    <w:p w14:paraId="192C5D0D">
      <w:pPr>
        <w:jc w:val="center"/>
        <w:rPr>
          <w:rFonts w:hint="eastAsia" w:eastAsia="黑体"/>
          <w:color w:val="auto"/>
          <w:sz w:val="20"/>
          <w:highlight w:val="none"/>
        </w:rPr>
      </w:pPr>
    </w:p>
    <w:p w14:paraId="7A18408F">
      <w:pPr>
        <w:rPr>
          <w:rFonts w:hint="eastAsia" w:eastAsia="黑体"/>
          <w:color w:val="auto"/>
          <w:sz w:val="20"/>
          <w:highlight w:val="none"/>
        </w:rPr>
      </w:pPr>
    </w:p>
    <w:p w14:paraId="47C0D956">
      <w:pPr>
        <w:rPr>
          <w:rFonts w:hint="eastAsia" w:eastAsia="黑体"/>
          <w:color w:val="auto"/>
          <w:sz w:val="20"/>
          <w:highlight w:val="none"/>
        </w:rPr>
      </w:pPr>
    </w:p>
    <w:p w14:paraId="73E63B1A">
      <w:pPr>
        <w:rPr>
          <w:rFonts w:hint="eastAsia" w:eastAsia="黑体"/>
          <w:color w:val="auto"/>
          <w:sz w:val="20"/>
          <w:highlight w:val="none"/>
        </w:rPr>
      </w:pPr>
    </w:p>
    <w:p w14:paraId="38E2A728">
      <w:pPr>
        <w:jc w:val="center"/>
        <w:rPr>
          <w:rFonts w:hint="eastAsia" w:ascii="宋体"/>
          <w:b/>
          <w:color w:val="auto"/>
          <w:sz w:val="44"/>
          <w:szCs w:val="44"/>
          <w:highlight w:val="none"/>
        </w:rPr>
      </w:pPr>
      <w:bookmarkStart w:id="62" w:name="_Toc350698753"/>
      <w:bookmarkStart w:id="63" w:name="_Toc449028949"/>
      <w:r>
        <w:rPr>
          <w:rFonts w:hint="eastAsia" w:ascii="宋体"/>
          <w:b/>
          <w:color w:val="auto"/>
          <w:sz w:val="44"/>
          <w:szCs w:val="44"/>
          <w:highlight w:val="none"/>
          <w:lang w:val="en-US" w:eastAsia="zh-CN"/>
        </w:rPr>
        <w:t>投标</w:t>
      </w:r>
      <w:r>
        <w:rPr>
          <w:rFonts w:hint="eastAsia" w:ascii="宋体"/>
          <w:b/>
          <w:color w:val="auto"/>
          <w:sz w:val="44"/>
          <w:szCs w:val="44"/>
          <w:highlight w:val="none"/>
        </w:rPr>
        <w:t>文件</w:t>
      </w:r>
      <w:bookmarkEnd w:id="62"/>
      <w:bookmarkEnd w:id="63"/>
    </w:p>
    <w:p w14:paraId="755F472F">
      <w:pPr>
        <w:jc w:val="center"/>
        <w:rPr>
          <w:rFonts w:hint="eastAsia" w:eastAsia="黑体"/>
          <w:color w:val="auto"/>
          <w:sz w:val="44"/>
          <w:szCs w:val="44"/>
          <w:highlight w:val="none"/>
        </w:rPr>
      </w:pPr>
    </w:p>
    <w:p w14:paraId="384FEDE3">
      <w:pPr>
        <w:jc w:val="center"/>
        <w:rPr>
          <w:rFonts w:hint="eastAsia" w:eastAsia="黑体"/>
          <w:color w:val="auto"/>
          <w:sz w:val="44"/>
          <w:szCs w:val="44"/>
          <w:highlight w:val="none"/>
        </w:rPr>
      </w:pPr>
    </w:p>
    <w:p w14:paraId="2A27B71A">
      <w:pPr>
        <w:jc w:val="center"/>
        <w:rPr>
          <w:rFonts w:hint="eastAsia" w:ascii="宋体"/>
          <w:color w:val="auto"/>
          <w:sz w:val="32"/>
          <w:szCs w:val="32"/>
          <w:highlight w:val="none"/>
        </w:rPr>
      </w:pPr>
      <w:r>
        <w:rPr>
          <w:rFonts w:hint="eastAsia" w:ascii="宋体"/>
          <w:color w:val="auto"/>
          <w:sz w:val="32"/>
          <w:szCs w:val="32"/>
          <w:highlight w:val="none"/>
          <w:u w:val="single"/>
        </w:rPr>
        <w:t xml:space="preserve">        </w:t>
      </w:r>
      <w:r>
        <w:rPr>
          <w:rFonts w:hint="eastAsia" w:ascii="宋体"/>
          <w:color w:val="auto"/>
          <w:sz w:val="32"/>
          <w:szCs w:val="32"/>
          <w:highlight w:val="none"/>
        </w:rPr>
        <w:t>项目</w:t>
      </w:r>
    </w:p>
    <w:p w14:paraId="187A5569">
      <w:pPr>
        <w:jc w:val="center"/>
        <w:rPr>
          <w:rFonts w:hint="eastAsia" w:ascii="宋体"/>
          <w:color w:val="auto"/>
          <w:sz w:val="44"/>
          <w:szCs w:val="44"/>
          <w:highlight w:val="none"/>
        </w:rPr>
      </w:pPr>
      <w:r>
        <w:rPr>
          <w:rFonts w:hint="eastAsia" w:ascii="宋体"/>
          <w:color w:val="auto"/>
          <w:sz w:val="28"/>
          <w:szCs w:val="28"/>
          <w:highlight w:val="none"/>
          <w:u w:val="single"/>
        </w:rPr>
        <w:t xml:space="preserve">  </w:t>
      </w:r>
    </w:p>
    <w:p w14:paraId="1FE17F29">
      <w:pPr>
        <w:rPr>
          <w:rFonts w:hint="eastAsia" w:ascii="宋体"/>
          <w:color w:val="auto"/>
          <w:sz w:val="28"/>
          <w:szCs w:val="28"/>
          <w:highlight w:val="none"/>
        </w:rPr>
      </w:pPr>
    </w:p>
    <w:p w14:paraId="21A1FF30">
      <w:pPr>
        <w:rPr>
          <w:rFonts w:hint="eastAsia" w:ascii="宋体"/>
          <w:color w:val="auto"/>
          <w:sz w:val="28"/>
          <w:szCs w:val="28"/>
          <w:highlight w:val="none"/>
        </w:rPr>
      </w:pPr>
    </w:p>
    <w:p w14:paraId="7A219189">
      <w:pPr>
        <w:rPr>
          <w:rFonts w:hint="eastAsia" w:ascii="宋体"/>
          <w:color w:val="auto"/>
          <w:sz w:val="28"/>
          <w:szCs w:val="28"/>
          <w:highlight w:val="none"/>
        </w:rPr>
      </w:pPr>
    </w:p>
    <w:p w14:paraId="6349E5BB">
      <w:pPr>
        <w:rPr>
          <w:rFonts w:hint="eastAsia" w:ascii="宋体"/>
          <w:color w:val="auto"/>
          <w:sz w:val="28"/>
          <w:szCs w:val="28"/>
          <w:highlight w:val="none"/>
        </w:rPr>
      </w:pPr>
    </w:p>
    <w:p w14:paraId="68ED8F5B">
      <w:pPr>
        <w:rPr>
          <w:rFonts w:hint="eastAsia" w:ascii="宋体"/>
          <w:color w:val="auto"/>
          <w:sz w:val="28"/>
          <w:szCs w:val="28"/>
          <w:highlight w:val="none"/>
        </w:rPr>
      </w:pPr>
    </w:p>
    <w:p w14:paraId="3BF14EC4">
      <w:pPr>
        <w:rPr>
          <w:rFonts w:hint="eastAsia" w:ascii="宋体"/>
          <w:color w:val="auto"/>
          <w:sz w:val="28"/>
          <w:szCs w:val="28"/>
          <w:highlight w:val="none"/>
        </w:rPr>
      </w:pPr>
    </w:p>
    <w:p w14:paraId="0DD29A80">
      <w:pPr>
        <w:rPr>
          <w:rFonts w:hint="eastAsia" w:ascii="宋体"/>
          <w:color w:val="auto"/>
          <w:sz w:val="28"/>
          <w:szCs w:val="28"/>
          <w:highlight w:val="none"/>
        </w:rPr>
      </w:pPr>
    </w:p>
    <w:p w14:paraId="0664DC25">
      <w:pPr>
        <w:rPr>
          <w:rFonts w:hint="eastAsia" w:ascii="宋体"/>
          <w:color w:val="auto"/>
          <w:sz w:val="28"/>
          <w:szCs w:val="28"/>
          <w:highlight w:val="none"/>
        </w:rPr>
      </w:pPr>
    </w:p>
    <w:p w14:paraId="4D3AA46C">
      <w:pPr>
        <w:jc w:val="center"/>
        <w:rPr>
          <w:rFonts w:hint="eastAsia" w:ascii="宋体"/>
          <w:color w:val="auto"/>
          <w:sz w:val="28"/>
          <w:szCs w:val="28"/>
          <w:highlight w:val="none"/>
          <w:u w:val="single"/>
        </w:rPr>
      </w:pPr>
      <w:r>
        <w:rPr>
          <w:rFonts w:hint="eastAsia" w:ascii="宋体"/>
          <w:color w:val="auto"/>
          <w:sz w:val="28"/>
          <w:szCs w:val="28"/>
          <w:highlight w:val="none"/>
        </w:rPr>
        <w:t>投标人：</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rPr>
        <w:t>（盖单位章）</w:t>
      </w:r>
    </w:p>
    <w:p w14:paraId="113CAA7D">
      <w:pPr>
        <w:ind w:firstLine="560" w:firstLineChars="200"/>
        <w:rPr>
          <w:rFonts w:hint="eastAsia" w:ascii="宋体"/>
          <w:color w:val="auto"/>
          <w:sz w:val="28"/>
          <w:szCs w:val="28"/>
          <w:highlight w:val="none"/>
        </w:rPr>
      </w:pPr>
      <w:r>
        <w:rPr>
          <w:rFonts w:hint="eastAsia" w:ascii="宋体"/>
          <w:color w:val="auto"/>
          <w:sz w:val="28"/>
          <w:szCs w:val="28"/>
          <w:highlight w:val="none"/>
        </w:rPr>
        <w:t>法定代表人：</w:t>
      </w:r>
      <w:r>
        <w:rPr>
          <w:rFonts w:hint="eastAsia" w:ascii="宋体"/>
          <w:color w:val="auto"/>
          <w:sz w:val="28"/>
          <w:szCs w:val="28"/>
          <w:highlight w:val="none"/>
          <w:u w:val="single"/>
        </w:rPr>
        <w:t xml:space="preserve">                              </w:t>
      </w:r>
      <w:r>
        <w:rPr>
          <w:rFonts w:hint="eastAsia" w:ascii="宋体"/>
          <w:color w:val="auto"/>
          <w:sz w:val="28"/>
          <w:szCs w:val="28"/>
          <w:highlight w:val="none"/>
        </w:rPr>
        <w:t>（</w:t>
      </w:r>
      <w:r>
        <w:rPr>
          <w:rFonts w:hint="eastAsia" w:ascii="宋体"/>
          <w:color w:val="auto"/>
          <w:sz w:val="28"/>
          <w:szCs w:val="28"/>
          <w:highlight w:val="none"/>
          <w:lang w:val="en-US" w:eastAsia="zh-CN"/>
        </w:rPr>
        <w:t>签字或盖章</w:t>
      </w:r>
      <w:r>
        <w:rPr>
          <w:rFonts w:hint="eastAsia" w:ascii="宋体"/>
          <w:color w:val="auto"/>
          <w:sz w:val="28"/>
          <w:szCs w:val="28"/>
          <w:highlight w:val="none"/>
        </w:rPr>
        <w:t>）</w:t>
      </w:r>
    </w:p>
    <w:p w14:paraId="658F2E04">
      <w:pPr>
        <w:jc w:val="center"/>
        <w:rPr>
          <w:rFonts w:hint="eastAsia" w:ascii="宋体"/>
          <w:color w:val="auto"/>
          <w:sz w:val="28"/>
          <w:szCs w:val="28"/>
          <w:highlight w:val="none"/>
        </w:rPr>
      </w:pPr>
      <w:r>
        <w:rPr>
          <w:rFonts w:hint="eastAsia" w:ascii="宋体"/>
          <w:color w:val="auto"/>
          <w:sz w:val="28"/>
          <w:szCs w:val="28"/>
          <w:highlight w:val="none"/>
          <w:u w:val="single"/>
        </w:rPr>
        <w:t xml:space="preserve">        </w:t>
      </w:r>
      <w:r>
        <w:rPr>
          <w:rFonts w:hint="eastAsia" w:ascii="宋体"/>
          <w:color w:val="auto"/>
          <w:sz w:val="28"/>
          <w:szCs w:val="28"/>
          <w:highlight w:val="none"/>
        </w:rPr>
        <w:t>年</w:t>
      </w:r>
      <w:r>
        <w:rPr>
          <w:rFonts w:hint="eastAsia" w:ascii="宋体"/>
          <w:color w:val="auto"/>
          <w:sz w:val="28"/>
          <w:szCs w:val="28"/>
          <w:highlight w:val="none"/>
          <w:u w:val="single"/>
        </w:rPr>
        <w:t xml:space="preserve">        </w:t>
      </w:r>
      <w:r>
        <w:rPr>
          <w:rFonts w:hint="eastAsia" w:ascii="宋体"/>
          <w:color w:val="auto"/>
          <w:sz w:val="28"/>
          <w:szCs w:val="28"/>
          <w:highlight w:val="none"/>
        </w:rPr>
        <w:t>月</w:t>
      </w:r>
      <w:r>
        <w:rPr>
          <w:rFonts w:hint="eastAsia" w:ascii="宋体"/>
          <w:color w:val="auto"/>
          <w:sz w:val="28"/>
          <w:szCs w:val="28"/>
          <w:highlight w:val="none"/>
          <w:u w:val="single"/>
        </w:rPr>
        <w:t xml:space="preserve">        </w:t>
      </w:r>
      <w:r>
        <w:rPr>
          <w:rFonts w:hint="eastAsia" w:ascii="宋体"/>
          <w:color w:val="auto"/>
          <w:sz w:val="28"/>
          <w:szCs w:val="28"/>
          <w:highlight w:val="none"/>
        </w:rPr>
        <w:t>日</w:t>
      </w:r>
    </w:p>
    <w:p w14:paraId="3E803545">
      <w:pPr>
        <w:spacing w:line="720" w:lineRule="auto"/>
        <w:jc w:val="center"/>
        <w:rPr>
          <w:rFonts w:hint="eastAsia" w:ascii="宋体"/>
          <w:b/>
          <w:color w:val="auto"/>
          <w:sz w:val="36"/>
          <w:szCs w:val="36"/>
          <w:highlight w:val="none"/>
        </w:rPr>
      </w:pPr>
    </w:p>
    <w:p w14:paraId="019BFAEC">
      <w:pPr>
        <w:spacing w:line="400" w:lineRule="exact"/>
        <w:ind w:firstLine="4130" w:firstLineChars="935"/>
        <w:rPr>
          <w:rFonts w:hint="eastAsia"/>
          <w:b/>
          <w:color w:val="auto"/>
          <w:sz w:val="44"/>
          <w:szCs w:val="44"/>
          <w:highlight w:val="none"/>
        </w:rPr>
      </w:pPr>
    </w:p>
    <w:p w14:paraId="1F360597">
      <w:pPr>
        <w:spacing w:line="400" w:lineRule="exact"/>
        <w:ind w:firstLine="4130" w:firstLineChars="935"/>
        <w:rPr>
          <w:rFonts w:hint="eastAsia"/>
          <w:b/>
          <w:color w:val="auto"/>
          <w:sz w:val="44"/>
          <w:szCs w:val="44"/>
          <w:highlight w:val="none"/>
        </w:rPr>
      </w:pPr>
    </w:p>
    <w:p w14:paraId="611E799E">
      <w:pPr>
        <w:spacing w:line="400" w:lineRule="exact"/>
        <w:ind w:firstLine="4130" w:firstLineChars="935"/>
        <w:rPr>
          <w:rFonts w:hint="eastAsia"/>
          <w:b/>
          <w:color w:val="auto"/>
          <w:sz w:val="44"/>
          <w:szCs w:val="44"/>
          <w:highlight w:val="none"/>
        </w:rPr>
      </w:pPr>
    </w:p>
    <w:p w14:paraId="0C005E99">
      <w:pPr>
        <w:jc w:val="center"/>
        <w:rPr>
          <w:rFonts w:hint="eastAsia"/>
          <w:b/>
          <w:color w:val="auto"/>
          <w:sz w:val="28"/>
          <w:szCs w:val="28"/>
          <w:highlight w:val="none"/>
        </w:rPr>
      </w:pPr>
      <w:r>
        <w:rPr>
          <w:rFonts w:hint="eastAsia"/>
          <w:b/>
          <w:color w:val="auto"/>
          <w:sz w:val="36"/>
          <w:szCs w:val="36"/>
          <w:highlight w:val="none"/>
        </w:rPr>
        <w:t>目   录</w:t>
      </w:r>
    </w:p>
    <w:p w14:paraId="75F9A0ED">
      <w:pPr>
        <w:spacing w:line="500" w:lineRule="exact"/>
        <w:ind w:firstLine="420" w:firstLineChars="200"/>
        <w:jc w:val="left"/>
        <w:rPr>
          <w:rFonts w:hint="eastAsia" w:ascii="Times New Roman" w:hAnsi="宋体" w:eastAsia="宋体" w:cs="Times New Roman"/>
          <w:color w:val="auto"/>
          <w:szCs w:val="21"/>
          <w:highlight w:val="none"/>
        </w:rPr>
      </w:pPr>
      <w:r>
        <w:rPr>
          <w:rFonts w:hint="eastAsia" w:ascii="Times New Roman" w:hAnsi="宋体" w:eastAsia="宋体" w:cs="Times New Roman"/>
          <w:color w:val="auto"/>
          <w:szCs w:val="21"/>
          <w:highlight w:val="none"/>
        </w:rPr>
        <w:t xml:space="preserve">（1）法定代表人身份证明及其有效身份证复印件（或法定代表人授权委托书及其有效身份证复印件）（格式见附件）；                                                                                                                                                                                                                                                                                                                                                                                                                                                                                                                                                                                                                                                                                                                                                                                                                                                                                                                                                                                                                                                                                                                                                                                                                                                                                                                                                                                                                                                                                                                                                                                                                                                                                        </w:t>
      </w:r>
    </w:p>
    <w:p w14:paraId="526B214F">
      <w:pPr>
        <w:spacing w:line="500" w:lineRule="exact"/>
        <w:ind w:firstLine="420" w:firstLineChars="200"/>
        <w:jc w:val="left"/>
        <w:rPr>
          <w:rFonts w:hint="eastAsia" w:ascii="Times New Roman" w:hAnsi="宋体" w:eastAsia="宋体" w:cs="Times New Roman"/>
          <w:color w:val="auto"/>
          <w:szCs w:val="21"/>
          <w:highlight w:val="none"/>
        </w:rPr>
      </w:pPr>
      <w:r>
        <w:rPr>
          <w:rFonts w:hint="eastAsia" w:ascii="Times New Roman" w:hAnsi="宋体" w:eastAsia="宋体" w:cs="Times New Roman"/>
          <w:color w:val="auto"/>
          <w:szCs w:val="21"/>
          <w:highlight w:val="none"/>
        </w:rPr>
        <w:t>（2）投标人</w:t>
      </w:r>
      <w:r>
        <w:rPr>
          <w:rFonts w:hint="eastAsia" w:ascii="Times New Roman" w:hAnsi="宋体" w:eastAsia="宋体" w:cs="Times New Roman"/>
          <w:color w:val="auto"/>
          <w:szCs w:val="21"/>
          <w:highlight w:val="none"/>
          <w:lang w:val="en-US" w:eastAsia="zh-CN"/>
        </w:rPr>
        <w:t>有效的营业执照（或三证合一的有效证件）</w:t>
      </w:r>
      <w:r>
        <w:rPr>
          <w:rFonts w:hint="eastAsia" w:ascii="Times New Roman" w:hAnsi="宋体" w:eastAsia="宋体" w:cs="Times New Roman"/>
          <w:color w:val="auto"/>
          <w:szCs w:val="21"/>
          <w:highlight w:val="none"/>
        </w:rPr>
        <w:t>；</w:t>
      </w:r>
    </w:p>
    <w:p w14:paraId="6E4A09B2">
      <w:pPr>
        <w:spacing w:line="500" w:lineRule="exact"/>
        <w:ind w:firstLine="420" w:firstLineChars="200"/>
        <w:jc w:val="left"/>
        <w:rPr>
          <w:rFonts w:hint="eastAsia" w:ascii="Times New Roman" w:hAnsi="宋体" w:eastAsia="宋体" w:cs="Times New Roman"/>
          <w:color w:val="auto"/>
          <w:szCs w:val="21"/>
          <w:highlight w:val="none"/>
        </w:rPr>
      </w:pPr>
      <w:r>
        <w:rPr>
          <w:rFonts w:hint="eastAsia" w:ascii="Times New Roman" w:hAnsi="宋体" w:eastAsia="宋体" w:cs="Times New Roman"/>
          <w:color w:val="auto"/>
          <w:szCs w:val="21"/>
          <w:highlight w:val="none"/>
        </w:rPr>
        <w:t>（</w:t>
      </w:r>
      <w:r>
        <w:rPr>
          <w:rFonts w:hint="eastAsia" w:ascii="Times New Roman" w:hAnsi="宋体" w:eastAsia="宋体" w:cs="Times New Roman"/>
          <w:color w:val="auto"/>
          <w:szCs w:val="21"/>
          <w:highlight w:val="none"/>
          <w:lang w:val="en-US" w:eastAsia="zh-CN"/>
        </w:rPr>
        <w:t>3</w:t>
      </w:r>
      <w:r>
        <w:rPr>
          <w:rFonts w:hint="eastAsia" w:ascii="Times New Roman" w:hAnsi="宋体" w:eastAsia="宋体" w:cs="Times New Roman"/>
          <w:color w:val="auto"/>
          <w:szCs w:val="21"/>
          <w:highlight w:val="none"/>
        </w:rPr>
        <w:t>）诚信投标承诺书（格式见附件）；</w:t>
      </w:r>
    </w:p>
    <w:p w14:paraId="484D6B13">
      <w:pPr>
        <w:spacing w:line="500" w:lineRule="exact"/>
        <w:ind w:firstLine="420" w:firstLineChars="200"/>
        <w:jc w:val="left"/>
        <w:rPr>
          <w:rFonts w:hint="default"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rPr>
        <w:t>（</w:t>
      </w:r>
      <w:r>
        <w:rPr>
          <w:rFonts w:hint="eastAsia" w:ascii="Times New Roman" w:hAnsi="宋体" w:eastAsia="宋体" w:cs="Times New Roman"/>
          <w:color w:val="auto"/>
          <w:szCs w:val="21"/>
          <w:highlight w:val="none"/>
          <w:lang w:val="en-US" w:eastAsia="zh-CN"/>
        </w:rPr>
        <w:t>4</w:t>
      </w:r>
      <w:r>
        <w:rPr>
          <w:rFonts w:hint="eastAsia" w:ascii="Times New Roman" w:hAnsi="宋体" w:eastAsia="宋体" w:cs="Times New Roman"/>
          <w:color w:val="auto"/>
          <w:szCs w:val="21"/>
          <w:highlight w:val="none"/>
        </w:rPr>
        <w:t>）</w:t>
      </w:r>
      <w:r>
        <w:rPr>
          <w:rFonts w:hint="eastAsia" w:hAnsi="宋体" w:cs="Times New Roman"/>
          <w:color w:val="auto"/>
          <w:szCs w:val="21"/>
          <w:highlight w:val="none"/>
          <w:lang w:val="en-US" w:eastAsia="zh-CN"/>
        </w:rPr>
        <w:t>项目负责人有效身份证及高级职称证书；</w:t>
      </w:r>
    </w:p>
    <w:p w14:paraId="389D5D09">
      <w:pPr>
        <w:spacing w:line="500" w:lineRule="exact"/>
        <w:ind w:firstLine="420" w:firstLineChars="200"/>
        <w:jc w:val="left"/>
        <w:rPr>
          <w:rFonts w:hint="eastAsia"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lang w:eastAsia="zh-CN"/>
        </w:rPr>
        <w:t>（</w:t>
      </w:r>
      <w:r>
        <w:rPr>
          <w:rFonts w:hint="eastAsia" w:hAnsi="宋体" w:cs="Times New Roman"/>
          <w:color w:val="auto"/>
          <w:szCs w:val="21"/>
          <w:highlight w:val="none"/>
          <w:lang w:val="en-US" w:eastAsia="zh-CN"/>
        </w:rPr>
        <w:t>5</w:t>
      </w:r>
      <w:r>
        <w:rPr>
          <w:rFonts w:hint="eastAsia" w:ascii="Times New Roman" w:hAnsi="宋体" w:eastAsia="宋体" w:cs="Times New Roman"/>
          <w:color w:val="auto"/>
          <w:szCs w:val="21"/>
          <w:highlight w:val="none"/>
          <w:lang w:val="en-US" w:eastAsia="zh-CN"/>
        </w:rPr>
        <w:t>）</w:t>
      </w:r>
      <w:r>
        <w:rPr>
          <w:rFonts w:hint="eastAsia" w:ascii="Times New Roman" w:hAnsi="宋体" w:eastAsia="宋体" w:cs="Times New Roman"/>
          <w:color w:val="auto"/>
          <w:szCs w:val="21"/>
          <w:highlight w:val="none"/>
        </w:rPr>
        <w:t>开标一览表（格式见附件）</w:t>
      </w:r>
      <w:r>
        <w:rPr>
          <w:rFonts w:hint="eastAsia" w:ascii="Times New Roman" w:hAnsi="宋体" w:eastAsia="宋体" w:cs="Times New Roman"/>
          <w:color w:val="auto"/>
          <w:szCs w:val="21"/>
          <w:highlight w:val="none"/>
          <w:lang w:eastAsia="zh-CN"/>
        </w:rPr>
        <w:t>；</w:t>
      </w:r>
    </w:p>
    <w:p w14:paraId="2FC4B52F">
      <w:pPr>
        <w:spacing w:line="500" w:lineRule="exact"/>
        <w:ind w:firstLine="420" w:firstLineChars="200"/>
        <w:jc w:val="left"/>
        <w:rPr>
          <w:rFonts w:hint="eastAsia"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lang w:val="en-US" w:eastAsia="zh-CN"/>
        </w:rPr>
        <w:t>（</w:t>
      </w:r>
      <w:r>
        <w:rPr>
          <w:rFonts w:hint="eastAsia" w:hAnsi="宋体" w:cs="Times New Roman"/>
          <w:color w:val="auto"/>
          <w:szCs w:val="21"/>
          <w:highlight w:val="none"/>
          <w:lang w:val="en-US" w:eastAsia="zh-CN"/>
        </w:rPr>
        <w:t>6</w:t>
      </w:r>
      <w:r>
        <w:rPr>
          <w:rFonts w:hint="eastAsia" w:ascii="Times New Roman" w:hAnsi="宋体" w:eastAsia="宋体" w:cs="Times New Roman"/>
          <w:color w:val="auto"/>
          <w:szCs w:val="21"/>
          <w:highlight w:val="none"/>
          <w:lang w:val="en-US" w:eastAsia="zh-CN"/>
        </w:rPr>
        <w:t>）投标函（格式见附件）；</w:t>
      </w:r>
    </w:p>
    <w:p w14:paraId="17D3ACF8">
      <w:pPr>
        <w:spacing w:line="500" w:lineRule="exact"/>
        <w:ind w:firstLine="420" w:firstLineChars="200"/>
        <w:jc w:val="left"/>
        <w:rPr>
          <w:rFonts w:hint="eastAsia" w:ascii="Times New Roman" w:hAnsi="宋体" w:eastAsia="宋体" w:cs="Times New Roman"/>
          <w:color w:val="auto"/>
          <w:szCs w:val="21"/>
          <w:highlight w:val="none"/>
          <w:lang w:eastAsia="zh-CN"/>
        </w:rPr>
      </w:pPr>
      <w:r>
        <w:rPr>
          <w:rFonts w:hint="eastAsia" w:hAnsi="宋体" w:cs="Times New Roman"/>
          <w:color w:val="auto"/>
          <w:szCs w:val="21"/>
          <w:highlight w:val="none"/>
          <w:lang w:val="en-US" w:eastAsia="zh-CN"/>
        </w:rPr>
        <w:t>（7）分项报价清单（</w:t>
      </w:r>
      <w:r>
        <w:rPr>
          <w:rFonts w:hint="eastAsia" w:ascii="Times New Roman" w:hAnsi="宋体" w:eastAsia="宋体" w:cs="Times New Roman"/>
          <w:color w:val="auto"/>
          <w:szCs w:val="21"/>
          <w:highlight w:val="none"/>
          <w:lang w:val="en-US" w:eastAsia="zh-CN"/>
        </w:rPr>
        <w:t>格式见附件）；</w:t>
      </w:r>
    </w:p>
    <w:p w14:paraId="7F656E67">
      <w:pPr>
        <w:spacing w:line="500" w:lineRule="exact"/>
        <w:ind w:firstLine="420" w:firstLineChars="200"/>
        <w:jc w:val="left"/>
        <w:rPr>
          <w:rFonts w:hint="default"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lang w:eastAsia="zh-CN"/>
        </w:rPr>
        <w:t>（</w:t>
      </w:r>
      <w:r>
        <w:rPr>
          <w:rFonts w:hint="eastAsia" w:hAnsi="宋体" w:cs="Times New Roman"/>
          <w:color w:val="auto"/>
          <w:szCs w:val="21"/>
          <w:highlight w:val="none"/>
          <w:lang w:val="en-US" w:eastAsia="zh-CN"/>
        </w:rPr>
        <w:t>8</w:t>
      </w:r>
      <w:r>
        <w:rPr>
          <w:rFonts w:hint="eastAsia" w:ascii="Times New Roman" w:hAnsi="宋体" w:eastAsia="宋体" w:cs="Times New Roman"/>
          <w:color w:val="auto"/>
          <w:szCs w:val="21"/>
          <w:highlight w:val="none"/>
          <w:lang w:val="en-US" w:eastAsia="zh-CN"/>
        </w:rPr>
        <w:t>）投标人认为需要提供的其他证明材料。</w:t>
      </w:r>
    </w:p>
    <w:p w14:paraId="6DC9CAFA">
      <w:pPr>
        <w:spacing w:line="400" w:lineRule="exact"/>
        <w:ind w:firstLine="562" w:firstLineChars="200"/>
        <w:rPr>
          <w:rFonts w:hint="eastAsia"/>
          <w:b/>
          <w:color w:val="auto"/>
          <w:sz w:val="28"/>
          <w:szCs w:val="28"/>
          <w:highlight w:val="none"/>
        </w:rPr>
      </w:pPr>
    </w:p>
    <w:p w14:paraId="7A834E1B">
      <w:pPr>
        <w:spacing w:line="400" w:lineRule="exact"/>
        <w:ind w:firstLine="562" w:firstLineChars="200"/>
        <w:rPr>
          <w:rFonts w:hint="eastAsia"/>
          <w:b/>
          <w:color w:val="auto"/>
          <w:sz w:val="28"/>
          <w:szCs w:val="28"/>
          <w:highlight w:val="none"/>
        </w:rPr>
      </w:pPr>
    </w:p>
    <w:p w14:paraId="3A6C7476">
      <w:pPr>
        <w:spacing w:line="400" w:lineRule="exact"/>
        <w:ind w:firstLine="562" w:firstLineChars="200"/>
        <w:rPr>
          <w:rFonts w:hint="eastAsia"/>
          <w:b/>
          <w:color w:val="auto"/>
          <w:sz w:val="28"/>
          <w:szCs w:val="28"/>
          <w:highlight w:val="none"/>
        </w:rPr>
      </w:pPr>
    </w:p>
    <w:p w14:paraId="0EF61178">
      <w:pPr>
        <w:spacing w:line="400" w:lineRule="exact"/>
        <w:ind w:firstLine="562" w:firstLineChars="200"/>
        <w:rPr>
          <w:rFonts w:hint="eastAsia"/>
          <w:b/>
          <w:color w:val="auto"/>
          <w:sz w:val="28"/>
          <w:szCs w:val="28"/>
          <w:highlight w:val="none"/>
        </w:rPr>
      </w:pPr>
    </w:p>
    <w:p w14:paraId="475E98A4">
      <w:pPr>
        <w:spacing w:line="400" w:lineRule="exact"/>
        <w:rPr>
          <w:b/>
          <w:color w:val="auto"/>
          <w:sz w:val="28"/>
          <w:szCs w:val="28"/>
          <w:highlight w:val="none"/>
        </w:rPr>
        <w:sectPr>
          <w:headerReference r:id="rId8" w:type="default"/>
          <w:footerReference r:id="rId9" w:type="default"/>
          <w:pgSz w:w="11906" w:h="16838"/>
          <w:pgMar w:top="1270" w:right="1417" w:bottom="1270" w:left="1417" w:header="851" w:footer="992" w:gutter="0"/>
          <w:pgNumType w:fmt="numberInDash" w:start="1"/>
          <w:cols w:space="0" w:num="1"/>
          <w:rtlGutter w:val="0"/>
          <w:docGrid w:type="lines" w:linePitch="312" w:charSpace="0"/>
        </w:sectPr>
      </w:pPr>
    </w:p>
    <w:p w14:paraId="4DAC4449">
      <w:pPr>
        <w:spacing w:line="360" w:lineRule="auto"/>
        <w:rPr>
          <w:rFonts w:hint="eastAsia"/>
          <w:b/>
          <w:color w:val="auto"/>
          <w:sz w:val="28"/>
          <w:szCs w:val="28"/>
          <w:highlight w:val="none"/>
        </w:rPr>
      </w:pPr>
      <w:r>
        <w:rPr>
          <w:rFonts w:hint="eastAsia"/>
          <w:b/>
          <w:color w:val="auto"/>
          <w:sz w:val="28"/>
          <w:szCs w:val="28"/>
          <w:highlight w:val="none"/>
        </w:rPr>
        <w:t>附件1</w:t>
      </w:r>
    </w:p>
    <w:p w14:paraId="5E205FBA">
      <w:pPr>
        <w:spacing w:line="360" w:lineRule="auto"/>
        <w:ind w:left="720"/>
        <w:jc w:val="center"/>
        <w:rPr>
          <w:rFonts w:hint="eastAsia" w:ascii="宋体"/>
          <w:b/>
          <w:color w:val="auto"/>
          <w:sz w:val="28"/>
          <w:szCs w:val="28"/>
          <w:highlight w:val="none"/>
        </w:rPr>
      </w:pPr>
      <w:r>
        <w:rPr>
          <w:rFonts w:hint="eastAsia"/>
          <w:b/>
          <w:color w:val="auto"/>
          <w:sz w:val="28"/>
          <w:szCs w:val="28"/>
          <w:highlight w:val="none"/>
        </w:rPr>
        <w:t>法定代表人身份证明或授权委托书</w:t>
      </w:r>
    </w:p>
    <w:p w14:paraId="3C4A335E">
      <w:pPr>
        <w:pStyle w:val="120"/>
        <w:spacing w:before="312" w:beforeLines="100" w:after="312" w:afterLines="100" w:line="480" w:lineRule="exact"/>
        <w:ind w:firstLine="180" w:firstLineChars="75"/>
        <w:rPr>
          <w:rFonts w:hint="eastAsia" w:ascii="宋体"/>
          <w:b/>
          <w:color w:val="auto"/>
          <w:sz w:val="24"/>
          <w:szCs w:val="24"/>
          <w:highlight w:val="none"/>
        </w:rPr>
      </w:pPr>
      <w:r>
        <w:rPr>
          <w:rFonts w:hint="eastAsia" w:ascii="宋体"/>
          <w:color w:val="auto"/>
          <w:sz w:val="24"/>
          <w:szCs w:val="24"/>
          <w:highlight w:val="none"/>
        </w:rPr>
        <w:t>1.法定代表人身份证明</w:t>
      </w:r>
    </w:p>
    <w:p w14:paraId="2BDA0FEA">
      <w:pPr>
        <w:spacing w:line="480" w:lineRule="exact"/>
        <w:ind w:firstLine="480" w:firstLineChars="200"/>
        <w:rPr>
          <w:rFonts w:hint="eastAsia" w:ascii="宋体"/>
          <w:color w:val="auto"/>
          <w:sz w:val="24"/>
          <w:highlight w:val="none"/>
        </w:rPr>
      </w:pPr>
      <w:r>
        <w:rPr>
          <w:rFonts w:hint="eastAsia" w:ascii="宋体"/>
          <w:color w:val="auto"/>
          <w:sz w:val="24"/>
          <w:highlight w:val="none"/>
        </w:rPr>
        <w:t>投标人名称：</w:t>
      </w:r>
      <w:r>
        <w:rPr>
          <w:rFonts w:hint="eastAsia" w:ascii="宋体"/>
          <w:color w:val="auto"/>
          <w:sz w:val="24"/>
          <w:highlight w:val="none"/>
          <w:u w:val="single"/>
        </w:rPr>
        <w:t xml:space="preserve">                                </w:t>
      </w:r>
      <w:r>
        <w:rPr>
          <w:rFonts w:hint="eastAsia" w:ascii="宋体"/>
          <w:color w:val="auto"/>
          <w:sz w:val="24"/>
          <w:highlight w:val="none"/>
        </w:rPr>
        <w:t xml:space="preserve"> </w:t>
      </w:r>
    </w:p>
    <w:p w14:paraId="2EAD80A4">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单位性质： </w:t>
      </w:r>
      <w:r>
        <w:rPr>
          <w:rFonts w:hint="eastAsia" w:ascii="宋体"/>
          <w:color w:val="auto"/>
          <w:sz w:val="24"/>
          <w:highlight w:val="none"/>
          <w:u w:val="single"/>
        </w:rPr>
        <w:t xml:space="preserve">                                  </w:t>
      </w:r>
      <w:r>
        <w:rPr>
          <w:rFonts w:hint="eastAsia" w:ascii="宋体"/>
          <w:color w:val="auto"/>
          <w:sz w:val="24"/>
          <w:highlight w:val="none"/>
        </w:rPr>
        <w:t xml:space="preserve"> </w:t>
      </w:r>
    </w:p>
    <w:p w14:paraId="6DC32C14">
      <w:pPr>
        <w:spacing w:line="480" w:lineRule="exact"/>
        <w:ind w:firstLine="480" w:firstLineChars="200"/>
        <w:rPr>
          <w:rFonts w:hint="eastAsia" w:ascii="宋体"/>
          <w:color w:val="auto"/>
          <w:sz w:val="24"/>
          <w:highlight w:val="none"/>
        </w:rPr>
      </w:pPr>
      <w:r>
        <w:rPr>
          <w:rFonts w:hint="eastAsia" w:ascii="宋体"/>
          <w:color w:val="auto"/>
          <w:sz w:val="24"/>
          <w:highlight w:val="none"/>
        </w:rPr>
        <w:t>地    址：</w:t>
      </w:r>
      <w:r>
        <w:rPr>
          <w:rFonts w:hint="eastAsia" w:ascii="宋体"/>
          <w:color w:val="auto"/>
          <w:sz w:val="24"/>
          <w:highlight w:val="none"/>
          <w:u w:val="single"/>
        </w:rPr>
        <w:t xml:space="preserve">                                   </w:t>
      </w:r>
      <w:r>
        <w:rPr>
          <w:rFonts w:hint="eastAsia" w:ascii="宋体"/>
          <w:color w:val="auto"/>
          <w:sz w:val="24"/>
          <w:highlight w:val="none"/>
        </w:rPr>
        <w:t xml:space="preserve"> </w:t>
      </w:r>
    </w:p>
    <w:p w14:paraId="1BCBCEE4">
      <w:pPr>
        <w:spacing w:line="480" w:lineRule="exact"/>
        <w:ind w:firstLine="480" w:firstLineChars="200"/>
        <w:rPr>
          <w:rFonts w:hint="eastAsia" w:ascii="宋体"/>
          <w:color w:val="auto"/>
          <w:sz w:val="24"/>
          <w:highlight w:val="none"/>
        </w:rPr>
      </w:pPr>
      <w:r>
        <w:rPr>
          <w:rFonts w:hint="eastAsia" w:ascii="宋体"/>
          <w:color w:val="auto"/>
          <w:sz w:val="24"/>
          <w:highlight w:val="none"/>
        </w:rPr>
        <w:t>成立时间：</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p>
    <w:p w14:paraId="2C9BDBEE">
      <w:pPr>
        <w:spacing w:line="480" w:lineRule="exact"/>
        <w:ind w:firstLine="480" w:firstLineChars="200"/>
        <w:rPr>
          <w:rFonts w:hint="eastAsia" w:ascii="宋体"/>
          <w:color w:val="auto"/>
          <w:sz w:val="24"/>
          <w:highlight w:val="none"/>
        </w:rPr>
      </w:pPr>
      <w:r>
        <w:rPr>
          <w:rFonts w:hint="eastAsia" w:ascii="宋体"/>
          <w:color w:val="auto"/>
          <w:sz w:val="24"/>
          <w:highlight w:val="none"/>
        </w:rPr>
        <w:t>经营期限：</w:t>
      </w:r>
      <w:r>
        <w:rPr>
          <w:rFonts w:hint="eastAsia" w:ascii="宋体"/>
          <w:color w:val="auto"/>
          <w:sz w:val="24"/>
          <w:highlight w:val="none"/>
          <w:u w:val="single"/>
        </w:rPr>
        <w:t xml:space="preserve">                                </w:t>
      </w:r>
      <w:r>
        <w:rPr>
          <w:rFonts w:hint="eastAsia" w:ascii="宋体"/>
          <w:color w:val="auto"/>
          <w:sz w:val="24"/>
          <w:highlight w:val="none"/>
        </w:rPr>
        <w:t xml:space="preserve"> </w:t>
      </w:r>
    </w:p>
    <w:p w14:paraId="792DC8DE">
      <w:pPr>
        <w:spacing w:line="480" w:lineRule="exact"/>
        <w:ind w:firstLine="1440" w:firstLineChars="200"/>
        <w:rPr>
          <w:rFonts w:hint="eastAsia" w:ascii="宋体"/>
          <w:color w:val="auto"/>
          <w:sz w:val="24"/>
          <w:highlight w:val="none"/>
        </w:rPr>
      </w:pPr>
      <w:r>
        <w:rPr>
          <w:rFonts w:hint="eastAsia" w:ascii="宋体"/>
          <w:color w:val="auto"/>
          <w:spacing w:val="240"/>
          <w:sz w:val="24"/>
          <w:highlight w:val="none"/>
        </w:rPr>
        <w:t>姓</w:t>
      </w:r>
      <w:r>
        <w:rPr>
          <w:rFonts w:hint="eastAsia" w:ascii="宋体"/>
          <w:color w:val="auto"/>
          <w:sz w:val="24"/>
          <w:highlight w:val="none"/>
        </w:rPr>
        <w:t>名：</w:t>
      </w:r>
      <w:r>
        <w:rPr>
          <w:rFonts w:hint="eastAsia" w:ascii="宋体"/>
          <w:color w:val="auto"/>
          <w:sz w:val="24"/>
          <w:highlight w:val="none"/>
          <w:u w:val="single"/>
        </w:rPr>
        <w:t xml:space="preserve">           </w:t>
      </w:r>
      <w:r>
        <w:rPr>
          <w:rFonts w:hint="eastAsia" w:ascii="宋体"/>
          <w:color w:val="auto"/>
          <w:sz w:val="24"/>
          <w:highlight w:val="none"/>
        </w:rPr>
        <w:t>性别：</w:t>
      </w:r>
      <w:r>
        <w:rPr>
          <w:rFonts w:hint="eastAsia" w:ascii="宋体"/>
          <w:color w:val="auto"/>
          <w:sz w:val="24"/>
          <w:highlight w:val="none"/>
          <w:u w:val="single"/>
        </w:rPr>
        <w:t xml:space="preserve">        </w:t>
      </w:r>
      <w:r>
        <w:rPr>
          <w:rFonts w:hint="eastAsia" w:ascii="宋体"/>
          <w:color w:val="auto"/>
          <w:sz w:val="24"/>
          <w:highlight w:val="none"/>
        </w:rPr>
        <w:t>年龄：＿</w:t>
      </w:r>
      <w:r>
        <w:rPr>
          <w:rFonts w:hint="eastAsia" w:ascii="宋体"/>
          <w:color w:val="auto"/>
          <w:sz w:val="24"/>
          <w:highlight w:val="none"/>
          <w:u w:val="single"/>
        </w:rPr>
        <w:t xml:space="preserve">  </w:t>
      </w:r>
      <w:r>
        <w:rPr>
          <w:rFonts w:hint="eastAsia" w:ascii="宋体"/>
          <w:color w:val="auto"/>
          <w:sz w:val="24"/>
          <w:highlight w:val="none"/>
        </w:rPr>
        <w:t>职务：</w:t>
      </w:r>
      <w:r>
        <w:rPr>
          <w:rFonts w:hint="eastAsia" w:ascii="宋体"/>
          <w:color w:val="auto"/>
          <w:sz w:val="24"/>
          <w:highlight w:val="none"/>
          <w:u w:val="single"/>
        </w:rPr>
        <w:t xml:space="preserve">       </w:t>
      </w:r>
      <w:r>
        <w:rPr>
          <w:rFonts w:hint="eastAsia" w:ascii="宋体"/>
          <w:color w:val="auto"/>
          <w:sz w:val="24"/>
          <w:highlight w:val="none"/>
        </w:rPr>
        <w:t>_</w:t>
      </w:r>
    </w:p>
    <w:p w14:paraId="12A48925">
      <w:pPr>
        <w:spacing w:line="480" w:lineRule="exact"/>
        <w:ind w:firstLine="480" w:firstLineChars="200"/>
        <w:rPr>
          <w:rFonts w:hint="eastAsia" w:ascii="宋体"/>
          <w:color w:val="auto"/>
          <w:sz w:val="24"/>
          <w:highlight w:val="none"/>
        </w:rPr>
      </w:pPr>
      <w:r>
        <w:rPr>
          <w:rFonts w:hint="eastAsia" w:ascii="宋体"/>
          <w:color w:val="auto"/>
          <w:sz w:val="24"/>
          <w:highlight w:val="none"/>
        </w:rPr>
        <w:t>系</w:t>
      </w:r>
      <w:r>
        <w:rPr>
          <w:rFonts w:hint="eastAsia" w:ascii="宋体"/>
          <w:color w:val="auto"/>
          <w:sz w:val="24"/>
          <w:highlight w:val="none"/>
          <w:u w:val="single"/>
        </w:rPr>
        <w:t xml:space="preserve">                                </w:t>
      </w:r>
      <w:r>
        <w:rPr>
          <w:rFonts w:hint="eastAsia" w:ascii="宋体"/>
          <w:color w:val="auto"/>
          <w:sz w:val="24"/>
          <w:highlight w:val="none"/>
        </w:rPr>
        <w:t>（投标人名称）的法定代表人。</w:t>
      </w:r>
    </w:p>
    <w:p w14:paraId="1906E03C">
      <w:pPr>
        <w:spacing w:line="480" w:lineRule="exact"/>
        <w:ind w:firstLine="960" w:firstLineChars="400"/>
        <w:rPr>
          <w:rFonts w:hint="eastAsia" w:ascii="宋体"/>
          <w:color w:val="auto"/>
          <w:sz w:val="24"/>
          <w:highlight w:val="none"/>
        </w:rPr>
      </w:pPr>
      <w:r>
        <w:rPr>
          <w:rFonts w:hint="eastAsia" w:ascii="宋体"/>
          <w:color w:val="auto"/>
          <w:sz w:val="24"/>
          <w:highlight w:val="none"/>
        </w:rPr>
        <w:t>特此证明。</w:t>
      </w:r>
    </w:p>
    <w:p w14:paraId="11B20BDB">
      <w:pPr>
        <w:spacing w:line="360" w:lineRule="auto"/>
        <w:ind w:firstLine="3480" w:firstLineChars="1450"/>
        <w:rPr>
          <w:rFonts w:hint="eastAsia" w:ascii="宋体"/>
          <w:color w:val="auto"/>
          <w:sz w:val="24"/>
          <w:highlight w:val="none"/>
        </w:rPr>
      </w:pPr>
      <w:r>
        <w:rPr>
          <w:rFonts w:hint="eastAsia" w:ascii="宋体"/>
          <w:color w:val="auto"/>
          <w:sz w:val="24"/>
          <w:highlight w:val="none"/>
        </w:rPr>
        <w:t>投标人：</w:t>
      </w:r>
      <w:r>
        <w:rPr>
          <w:rFonts w:hint="eastAsia" w:ascii="宋体"/>
          <w:color w:val="auto"/>
          <w:sz w:val="24"/>
          <w:highlight w:val="none"/>
          <w:u w:val="single"/>
        </w:rPr>
        <w:t xml:space="preserve">                 </w:t>
      </w:r>
      <w:r>
        <w:rPr>
          <w:rFonts w:hint="eastAsia" w:ascii="宋体"/>
          <w:color w:val="auto"/>
          <w:sz w:val="24"/>
          <w:highlight w:val="none"/>
        </w:rPr>
        <w:t>（盖单位章）</w:t>
      </w:r>
    </w:p>
    <w:p w14:paraId="09213383">
      <w:pPr>
        <w:wordWrap w:val="0"/>
        <w:spacing w:line="360" w:lineRule="auto"/>
        <w:jc w:val="right"/>
        <w:rPr>
          <w:rFonts w:hint="eastAsia"/>
          <w:color w:val="auto"/>
          <w:highlight w:val="none"/>
        </w:rPr>
      </w:pPr>
      <w:r>
        <w:rPr>
          <w:rFonts w:hint="eastAsia" w:ascii="宋体"/>
          <w:color w:val="auto"/>
          <w:sz w:val="24"/>
          <w:highlight w:val="none"/>
        </w:rPr>
        <w:t xml:space="preserve">                                        </w:t>
      </w:r>
      <w:r>
        <w:rPr>
          <w:rFonts w:hint="eastAsia" w:ascii="宋体"/>
          <w:color w:val="auto"/>
          <w:sz w:val="24"/>
          <w:highlight w:val="none"/>
          <w:u w:val="single"/>
        </w:rPr>
        <w:t xml:space="preserve">       </w:t>
      </w:r>
      <w:r>
        <w:rPr>
          <w:rFonts w:hint="eastAsia" w:ascii="宋体"/>
          <w:color w:val="auto"/>
          <w:sz w:val="24"/>
          <w:highlight w:val="none"/>
        </w:rPr>
        <w:t xml:space="preserve">年 </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 xml:space="preserve">日  </w:t>
      </w:r>
    </w:p>
    <w:p w14:paraId="63C22545">
      <w:pPr>
        <w:spacing w:before="312" w:beforeLines="100" w:after="312" w:afterLines="100" w:line="480" w:lineRule="exact"/>
        <w:ind w:firstLine="3654" w:firstLineChars="1305"/>
        <w:rPr>
          <w:rFonts w:hint="eastAsia" w:ascii="宋体"/>
          <w:color w:val="auto"/>
          <w:sz w:val="28"/>
          <w:szCs w:val="28"/>
          <w:highlight w:val="none"/>
        </w:rPr>
      </w:pPr>
      <w:r>
        <w:rPr>
          <w:rFonts w:hint="eastAsia" w:ascii="宋体"/>
          <w:color w:val="auto"/>
          <w:sz w:val="28"/>
          <w:szCs w:val="28"/>
          <w:highlight w:val="none"/>
        </w:rPr>
        <w:t>2.授权委托书</w:t>
      </w:r>
    </w:p>
    <w:p w14:paraId="568F9012">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本人 </w:t>
      </w:r>
      <w:r>
        <w:rPr>
          <w:rFonts w:hint="eastAsia" w:ascii="宋体"/>
          <w:color w:val="auto"/>
          <w:sz w:val="24"/>
          <w:highlight w:val="none"/>
          <w:u w:val="single"/>
        </w:rPr>
        <w:t xml:space="preserve">    </w:t>
      </w:r>
      <w:r>
        <w:rPr>
          <w:rFonts w:hint="eastAsia" w:ascii="宋体"/>
          <w:color w:val="auto"/>
          <w:sz w:val="24"/>
          <w:highlight w:val="none"/>
        </w:rPr>
        <w:t>（姓名）系</w:t>
      </w:r>
      <w:r>
        <w:rPr>
          <w:rFonts w:hint="eastAsia" w:ascii="宋体"/>
          <w:color w:val="auto"/>
          <w:sz w:val="24"/>
          <w:highlight w:val="none"/>
          <w:u w:val="single"/>
        </w:rPr>
        <w:t xml:space="preserve">       </w:t>
      </w:r>
      <w:r>
        <w:rPr>
          <w:rFonts w:hint="eastAsia" w:ascii="宋体"/>
          <w:color w:val="auto"/>
          <w:sz w:val="24"/>
          <w:highlight w:val="none"/>
        </w:rPr>
        <w:t>（投标人）的法定代表人，现委托</w:t>
      </w:r>
      <w:r>
        <w:rPr>
          <w:rFonts w:hint="eastAsia" w:ascii="宋体"/>
          <w:color w:val="auto"/>
          <w:sz w:val="24"/>
          <w:highlight w:val="none"/>
          <w:u w:val="single"/>
        </w:rPr>
        <w:t xml:space="preserve">   </w:t>
      </w:r>
      <w:r>
        <w:rPr>
          <w:rFonts w:hint="eastAsia" w:ascii="宋体"/>
          <w:color w:val="auto"/>
          <w:sz w:val="24"/>
          <w:highlight w:val="none"/>
        </w:rPr>
        <w:t>（姓名）为我方代理人。代理人根据授权，以我方名义签署、澄清、说明、补正、递交、撤回、修改 “</w:t>
      </w:r>
      <w:r>
        <w:rPr>
          <w:rFonts w:hint="eastAsia" w:ascii="宋体"/>
          <w:color w:val="auto"/>
          <w:sz w:val="24"/>
          <w:highlight w:val="none"/>
          <w:u w:val="single"/>
        </w:rPr>
        <w:t xml:space="preserve">      </w:t>
      </w:r>
      <w:r>
        <w:rPr>
          <w:rFonts w:hint="eastAsia" w:ascii="宋体"/>
          <w:color w:val="auto"/>
          <w:sz w:val="24"/>
          <w:highlight w:val="none"/>
        </w:rPr>
        <w:t xml:space="preserve"> ”</w:t>
      </w:r>
      <w:r>
        <w:rPr>
          <w:rFonts w:hint="eastAsia" w:ascii="宋体"/>
          <w:color w:val="auto"/>
          <w:sz w:val="24"/>
          <w:highlight w:val="none"/>
          <w:lang w:eastAsia="zh-CN"/>
        </w:rPr>
        <w:t>（</w:t>
      </w:r>
      <w:r>
        <w:rPr>
          <w:rFonts w:hint="eastAsia" w:ascii="宋体"/>
          <w:color w:val="auto"/>
          <w:sz w:val="24"/>
          <w:highlight w:val="none"/>
        </w:rPr>
        <w:t>项目名称、编号）投标文件，全权处理与该项目投标、评审答疑、签订合同以及与合同执行有关的一切事务，其法律后果由我方承担。</w:t>
      </w:r>
    </w:p>
    <w:p w14:paraId="3580B65B">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委托期限：                                </w:t>
      </w:r>
    </w:p>
    <w:p w14:paraId="032ED004">
      <w:pPr>
        <w:spacing w:line="480" w:lineRule="exact"/>
        <w:ind w:firstLine="480" w:firstLineChars="200"/>
        <w:rPr>
          <w:rFonts w:hint="eastAsia" w:ascii="宋体"/>
          <w:color w:val="auto"/>
          <w:sz w:val="24"/>
          <w:highlight w:val="none"/>
        </w:rPr>
      </w:pPr>
      <w:r>
        <w:rPr>
          <w:rFonts w:hint="eastAsia" w:ascii="宋体"/>
          <w:color w:val="auto"/>
          <w:sz w:val="24"/>
          <w:highlight w:val="none"/>
        </w:rPr>
        <w:t>代理人无转委托权。</w:t>
      </w:r>
    </w:p>
    <w:p w14:paraId="5EF36269">
      <w:pPr>
        <w:spacing w:line="480" w:lineRule="exact"/>
        <w:ind w:firstLine="480" w:firstLineChars="200"/>
        <w:rPr>
          <w:rFonts w:hint="eastAsia" w:ascii="宋体"/>
          <w:color w:val="auto"/>
          <w:sz w:val="24"/>
          <w:highlight w:val="none"/>
        </w:rPr>
      </w:pPr>
      <w:r>
        <w:rPr>
          <w:rFonts w:hint="eastAsia" w:ascii="宋体"/>
          <w:color w:val="auto"/>
          <w:sz w:val="24"/>
          <w:highlight w:val="none"/>
        </w:rPr>
        <w:t>附：授权委托人有效身份证及法定代表人有效身份证</w:t>
      </w:r>
    </w:p>
    <w:p w14:paraId="620A394F">
      <w:pPr>
        <w:spacing w:line="480" w:lineRule="exact"/>
        <w:rPr>
          <w:rFonts w:hint="eastAsia" w:ascii="宋体"/>
          <w:color w:val="auto"/>
          <w:sz w:val="24"/>
          <w:highlight w:val="none"/>
        </w:rPr>
      </w:pPr>
      <w:r>
        <w:rPr>
          <w:rFonts w:hint="eastAsia" w:ascii="宋体"/>
          <w:color w:val="auto"/>
          <w:sz w:val="24"/>
          <w:highlight w:val="none"/>
        </w:rPr>
        <w:t xml:space="preserve">                                     投标人：             </w:t>
      </w:r>
      <w:r>
        <w:rPr>
          <w:rFonts w:hint="eastAsia" w:ascii="宋体"/>
          <w:color w:val="auto"/>
          <w:sz w:val="28"/>
          <w:szCs w:val="28"/>
          <w:highlight w:val="none"/>
        </w:rPr>
        <w:t>（盖单位章）</w:t>
      </w:r>
    </w:p>
    <w:p w14:paraId="759D2557">
      <w:pPr>
        <w:spacing w:line="480" w:lineRule="exact"/>
        <w:ind w:firstLine="2280" w:firstLineChars="950"/>
        <w:rPr>
          <w:rFonts w:hint="eastAsia" w:ascii="宋体"/>
          <w:color w:val="auto"/>
          <w:sz w:val="24"/>
          <w:highlight w:val="none"/>
        </w:rPr>
      </w:pPr>
      <w:r>
        <w:rPr>
          <w:rFonts w:hint="eastAsia" w:ascii="宋体"/>
          <w:color w:val="auto"/>
          <w:sz w:val="24"/>
          <w:highlight w:val="none"/>
        </w:rPr>
        <w:t xml:space="preserve">法定代表人（身份证号码）：          </w:t>
      </w:r>
      <w:r>
        <w:rPr>
          <w:rFonts w:hint="eastAsia" w:ascii="宋体"/>
          <w:color w:val="auto"/>
          <w:sz w:val="28"/>
          <w:szCs w:val="28"/>
          <w:highlight w:val="none"/>
        </w:rPr>
        <w:t>（</w:t>
      </w:r>
      <w:r>
        <w:rPr>
          <w:rFonts w:hint="eastAsia" w:ascii="宋体"/>
          <w:color w:val="auto"/>
          <w:sz w:val="28"/>
          <w:szCs w:val="28"/>
          <w:highlight w:val="none"/>
          <w:lang w:val="en-US" w:eastAsia="zh-CN"/>
        </w:rPr>
        <w:t>签字或盖章</w:t>
      </w:r>
      <w:r>
        <w:rPr>
          <w:rFonts w:hint="eastAsia" w:ascii="宋体"/>
          <w:color w:val="auto"/>
          <w:sz w:val="28"/>
          <w:szCs w:val="28"/>
          <w:highlight w:val="none"/>
        </w:rPr>
        <w:t>）</w:t>
      </w:r>
    </w:p>
    <w:p w14:paraId="60EECB41">
      <w:pPr>
        <w:spacing w:line="480" w:lineRule="exact"/>
        <w:ind w:firstLine="2820" w:firstLineChars="1175"/>
        <w:rPr>
          <w:rFonts w:hint="eastAsia" w:ascii="宋体"/>
          <w:color w:val="auto"/>
          <w:sz w:val="24"/>
          <w:highlight w:val="none"/>
        </w:rPr>
      </w:pPr>
      <w:r>
        <w:rPr>
          <w:rFonts w:hint="eastAsia" w:ascii="宋体"/>
          <w:color w:val="auto"/>
          <w:sz w:val="24"/>
          <w:highlight w:val="none"/>
        </w:rPr>
        <w:t xml:space="preserve">              年    月    日</w:t>
      </w:r>
    </w:p>
    <w:p w14:paraId="45280725">
      <w:pPr>
        <w:spacing w:line="360" w:lineRule="exact"/>
        <w:ind w:firstLine="413" w:firstLineChars="147"/>
        <w:rPr>
          <w:rFonts w:hint="eastAsia"/>
          <w:b/>
          <w:color w:val="auto"/>
          <w:sz w:val="28"/>
          <w:szCs w:val="28"/>
          <w:highlight w:val="none"/>
          <w:u w:val="single"/>
        </w:rPr>
      </w:pPr>
    </w:p>
    <w:p w14:paraId="5C500451">
      <w:pPr>
        <w:spacing w:line="360" w:lineRule="exact"/>
        <w:ind w:firstLine="413" w:firstLineChars="147"/>
        <w:rPr>
          <w:rFonts w:hint="eastAsia"/>
          <w:b/>
          <w:color w:val="auto"/>
          <w:sz w:val="28"/>
          <w:szCs w:val="28"/>
          <w:highlight w:val="none"/>
          <w:u w:val="single"/>
        </w:rPr>
      </w:pPr>
    </w:p>
    <w:p w14:paraId="6268DEE0">
      <w:pPr>
        <w:rPr>
          <w:rFonts w:hint="eastAsia" w:ascii="宋体"/>
          <w:b/>
          <w:color w:val="auto"/>
          <w:sz w:val="30"/>
          <w:szCs w:val="30"/>
          <w:highlight w:val="none"/>
        </w:rPr>
      </w:pPr>
      <w:r>
        <w:rPr>
          <w:rFonts w:hint="eastAsia" w:ascii="宋体"/>
          <w:b/>
          <w:color w:val="auto"/>
          <w:sz w:val="30"/>
          <w:szCs w:val="30"/>
          <w:highlight w:val="none"/>
        </w:rPr>
        <w:br w:type="page"/>
      </w:r>
    </w:p>
    <w:p w14:paraId="16714551">
      <w:pPr>
        <w:spacing w:line="360" w:lineRule="exact"/>
        <w:ind w:firstLine="443" w:firstLineChars="147"/>
        <w:rPr>
          <w:rFonts w:hint="eastAsia" w:ascii="宋体"/>
          <w:b/>
          <w:color w:val="auto"/>
          <w:sz w:val="30"/>
          <w:szCs w:val="30"/>
          <w:highlight w:val="none"/>
        </w:rPr>
      </w:pPr>
      <w:r>
        <w:rPr>
          <w:rFonts w:hint="eastAsia" w:ascii="宋体"/>
          <w:b/>
          <w:color w:val="auto"/>
          <w:sz w:val="30"/>
          <w:szCs w:val="30"/>
          <w:highlight w:val="none"/>
        </w:rPr>
        <w:t>附件2</w:t>
      </w:r>
    </w:p>
    <w:p w14:paraId="5A8CB3A6">
      <w:pPr>
        <w:spacing w:line="360" w:lineRule="auto"/>
        <w:jc w:val="center"/>
        <w:rPr>
          <w:rFonts w:hint="eastAsia"/>
          <w:b/>
          <w:color w:val="auto"/>
          <w:sz w:val="28"/>
          <w:szCs w:val="28"/>
          <w:highlight w:val="none"/>
        </w:rPr>
      </w:pPr>
      <w:bookmarkStart w:id="64" w:name="_Toc449028950"/>
      <w:bookmarkStart w:id="65" w:name="_Toc440443268"/>
      <w:r>
        <w:rPr>
          <w:rFonts w:hint="eastAsia"/>
          <w:b/>
          <w:color w:val="auto"/>
          <w:sz w:val="28"/>
          <w:szCs w:val="28"/>
          <w:highlight w:val="none"/>
        </w:rPr>
        <w:t>诚信投标承诺书 </w:t>
      </w:r>
    </w:p>
    <w:p w14:paraId="662F9610">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本人以企业法定代表人的身份郑重承诺：</w:t>
      </w:r>
    </w:p>
    <w:p w14:paraId="34759187">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一、将遵循公</w:t>
      </w:r>
      <w:bookmarkStart w:id="66" w:name="_Toc503196197"/>
      <w:bookmarkStart w:id="67" w:name="_Toc506107356"/>
      <w:bookmarkStart w:id="68" w:name="_Toc26598"/>
      <w:r>
        <w:rPr>
          <w:rFonts w:hint="eastAsia" w:ascii="宋体" w:hAnsi="宋体"/>
          <w:color w:val="auto"/>
          <w:szCs w:val="21"/>
          <w:highlight w:val="none"/>
        </w:rPr>
        <w:t>开、公正和诚实信用</w:t>
      </w:r>
      <w:bookmarkEnd w:id="66"/>
      <w:bookmarkEnd w:id="67"/>
      <w:r>
        <w:rPr>
          <w:rFonts w:hint="eastAsia" w:ascii="宋体" w:hAnsi="宋体"/>
          <w:color w:val="auto"/>
          <w:szCs w:val="21"/>
          <w:highlight w:val="none"/>
        </w:rPr>
        <w:t>的</w:t>
      </w:r>
      <w:bookmarkEnd w:id="68"/>
      <w:r>
        <w:rPr>
          <w:rFonts w:hint="eastAsia" w:ascii="宋体" w:hAnsi="宋体"/>
          <w:color w:val="auto"/>
          <w:szCs w:val="21"/>
          <w:highlight w:val="none"/>
        </w:rPr>
        <w:t>原则自愿参加</w:t>
      </w:r>
      <w:r>
        <w:rPr>
          <w:rFonts w:hint="eastAsia" w:ascii="宋体" w:hAnsi="宋体"/>
          <w:color w:val="auto"/>
          <w:szCs w:val="21"/>
          <w:highlight w:val="none"/>
          <w:u w:val="single"/>
        </w:rPr>
        <w:t xml:space="preserve">         （项目名称）</w:t>
      </w:r>
      <w:r>
        <w:rPr>
          <w:rFonts w:hint="eastAsia" w:ascii="宋体" w:hAnsi="宋体"/>
          <w:color w:val="auto"/>
          <w:szCs w:val="21"/>
          <w:highlight w:val="none"/>
        </w:rPr>
        <w:t>项目的投标；</w:t>
      </w:r>
    </w:p>
    <w:p w14:paraId="6A6E4E96">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二、所提供的一切材料都是真实、合法的；</w:t>
      </w:r>
    </w:p>
    <w:p w14:paraId="52F5ACCA">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三、不出借、转让资质证书，不让他人挂靠投标，不以他人名义投标或者以其他方式弄虚作假，骗取中标；</w:t>
      </w:r>
    </w:p>
    <w:p w14:paraId="29A88E85">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四、不与其他投标人相互串通投标报价，不排挤其他投标人的公平竞争、损害招标人的合法权益；</w:t>
      </w:r>
    </w:p>
    <w:p w14:paraId="4E0AD4BE">
      <w:pPr>
        <w:adjustRightInd w:val="0"/>
        <w:snapToGrid w:val="0"/>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五、不与招标人、招标代理机构或其他投标人串通投标，损害国家利益、社会公共利益或者他人的合法权益；</w:t>
      </w:r>
    </w:p>
    <w:p w14:paraId="3EF49AFE">
      <w:pPr>
        <w:adjustRightInd w:val="0"/>
        <w:snapToGrid w:val="0"/>
        <w:spacing w:line="560" w:lineRule="exact"/>
        <w:ind w:firstLine="420" w:firstLineChars="200"/>
        <w:rPr>
          <w:rFonts w:hint="eastAsia" w:ascii="宋体" w:hAnsi="宋体"/>
          <w:color w:val="auto"/>
          <w:szCs w:val="21"/>
          <w:highlight w:val="none"/>
          <w:lang w:eastAsia="zh-CN"/>
        </w:rPr>
      </w:pPr>
      <w:r>
        <w:rPr>
          <w:rFonts w:hint="eastAsia" w:ascii="宋体" w:hAnsi="宋体"/>
          <w:color w:val="auto"/>
          <w:szCs w:val="21"/>
          <w:highlight w:val="none"/>
        </w:rPr>
        <w:t>六、</w:t>
      </w:r>
      <w:r>
        <w:rPr>
          <w:rFonts w:hint="eastAsia" w:ascii="宋体" w:hAnsi="宋体"/>
          <w:color w:val="auto"/>
          <w:szCs w:val="21"/>
          <w:highlight w:val="none"/>
          <w:u w:val="none"/>
          <w:lang w:eastAsia="zh-CN"/>
        </w:rPr>
        <w:t>我公司</w:t>
      </w:r>
      <w:r>
        <w:rPr>
          <w:rFonts w:hint="eastAsia" w:ascii="宋体" w:hAnsi="宋体"/>
          <w:color w:val="auto"/>
          <w:szCs w:val="21"/>
          <w:highlight w:val="none"/>
        </w:rPr>
        <w:t>没有下列情形：</w:t>
      </w:r>
      <w:bookmarkStart w:id="69" w:name="OLE_LINK133"/>
      <w:bookmarkStart w:id="70" w:name="OLE_LINK134"/>
      <w:r>
        <w:rPr>
          <w:rFonts w:hint="eastAsia" w:ascii="宋体" w:hAnsi="宋体"/>
          <w:color w:val="auto"/>
          <w:szCs w:val="21"/>
          <w:highlight w:val="none"/>
        </w:rPr>
        <w:t>①被列入“信用中国”网站“失信被执行人”的</w:t>
      </w:r>
      <w:r>
        <w:rPr>
          <w:rFonts w:hint="eastAsia" w:ascii="宋体" w:hAnsi="宋体"/>
          <w:color w:val="auto"/>
          <w:szCs w:val="21"/>
          <w:highlight w:val="none"/>
          <w:lang w:eastAsia="zh-CN"/>
        </w:rPr>
        <w:t>；</w:t>
      </w:r>
      <w:r>
        <w:rPr>
          <w:rFonts w:hint="eastAsia" w:ascii="宋体" w:hAnsi="宋体"/>
          <w:color w:val="auto"/>
          <w:szCs w:val="21"/>
          <w:highlight w:val="none"/>
        </w:rPr>
        <w:t>②被列入“信用中国”网站“重大税收违法失信主体”的；③被列入“信用中国”网站“拖欠农民工工资失信联合惩戒对象名单”的；④被列入“信用中国”网站“</w:t>
      </w:r>
      <w:r>
        <w:rPr>
          <w:rFonts w:hint="eastAsia" w:ascii="Times New Roman" w:hAnsi="Times New Roman"/>
          <w:smallCaps w:val="0"/>
          <w:color w:val="auto"/>
          <w:highlight w:val="none"/>
          <w:lang w:eastAsia="zh-CN"/>
        </w:rPr>
        <w:t>安全生产严重失信主体名单</w:t>
      </w:r>
      <w:r>
        <w:rPr>
          <w:rFonts w:hint="eastAsia" w:ascii="宋体" w:hAnsi="宋体"/>
          <w:color w:val="auto"/>
          <w:szCs w:val="21"/>
          <w:highlight w:val="none"/>
        </w:rPr>
        <w:t>”的；⑤被列入国家企业信用信息公示系统网站“严重违法失信名单”的</w:t>
      </w:r>
      <w:r>
        <w:rPr>
          <w:rFonts w:hint="eastAsia" w:ascii="宋体" w:hAnsi="宋体"/>
          <w:color w:val="auto"/>
          <w:szCs w:val="21"/>
          <w:highlight w:val="none"/>
          <w:lang w:eastAsia="zh-CN"/>
        </w:rPr>
        <w:t>；</w:t>
      </w:r>
      <w:bookmarkEnd w:id="69"/>
      <w:bookmarkEnd w:id="70"/>
    </w:p>
    <w:p w14:paraId="269AEE9E">
      <w:pPr>
        <w:adjustRightInd w:val="0"/>
        <w:snapToGrid w:val="0"/>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七、</w:t>
      </w:r>
      <w:r>
        <w:rPr>
          <w:rFonts w:hint="eastAsia" w:ascii="Times New Roman" w:cs="宋体"/>
          <w:color w:val="auto"/>
          <w:szCs w:val="24"/>
          <w:highlight w:val="none"/>
        </w:rPr>
        <w:t>本次投标不存在第二章“投标人须知”第1.4.3项规定的任何一种情形</w:t>
      </w:r>
      <w:r>
        <w:rPr>
          <w:rFonts w:hint="eastAsia" w:ascii="Times New Roman" w:cs="宋体"/>
          <w:color w:val="auto"/>
          <w:szCs w:val="24"/>
          <w:highlight w:val="none"/>
          <w:lang w:eastAsia="zh-CN"/>
        </w:rPr>
        <w:t>；</w:t>
      </w:r>
    </w:p>
    <w:p w14:paraId="41F0AD66">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八、严格遵守开标现场纪律，服从监管人员管理；</w:t>
      </w:r>
    </w:p>
    <w:p w14:paraId="4C78304B">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九、保证中标后不转包及使用挂靠施工队伍，若有分包征得建设单位同意；</w:t>
      </w:r>
    </w:p>
    <w:p w14:paraId="64A09EA5">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十、保证中标之后，按照投标文件承诺派驻管理人员及投入机械设备，如有违反，同意接受建设单位违约处罚；</w:t>
      </w:r>
    </w:p>
    <w:p w14:paraId="6951A808">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十一、保证企业及所属相关人员在本次投标中无行贿等犯罪行为；</w:t>
      </w:r>
    </w:p>
    <w:p w14:paraId="1F264A7E">
      <w:pPr>
        <w:adjustRightInd w:val="0"/>
        <w:snapToGrid w:val="0"/>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十</w:t>
      </w:r>
      <w:r>
        <w:rPr>
          <w:rFonts w:hint="eastAsia" w:ascii="宋体" w:hAnsi="宋体"/>
          <w:color w:val="auto"/>
          <w:szCs w:val="21"/>
          <w:highlight w:val="none"/>
          <w:lang w:val="en-US" w:eastAsia="zh-CN"/>
        </w:rPr>
        <w:t>二</w:t>
      </w:r>
      <w:r>
        <w:rPr>
          <w:rFonts w:hint="eastAsia" w:ascii="宋体" w:hAnsi="宋体"/>
          <w:color w:val="auto"/>
          <w:szCs w:val="21"/>
          <w:highlight w:val="none"/>
        </w:rPr>
        <w:t>、如在投标过程和公示期间发生投诉行为，依法进行投诉。投诉内容符合要求，投诉材料加盖企业公章或由法定代表人授权委托人签字，并附有关身份证明复印件。不恶意投诉，对本公司提供的投诉线索的真实性负责，否则愿接受有关部门的处罚；</w:t>
      </w:r>
    </w:p>
    <w:p w14:paraId="2DD6FCEE">
      <w:pPr>
        <w:adjustRightInd w:val="0"/>
        <w:snapToGrid w:val="0"/>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以上内容我已仔细阅读，本公司若有违反承诺内容的行为，自愿接受取消投标或者中标资格、中标无效、记入不良行为记录等有关处理，愿意承担法律责任，给招标人造成损失的，承担赔偿责任。</w:t>
      </w:r>
    </w:p>
    <w:p w14:paraId="6729AE66">
      <w:pPr>
        <w:adjustRightInd w:val="0"/>
        <w:snapToGrid w:val="0"/>
        <w:spacing w:line="560" w:lineRule="exact"/>
        <w:rPr>
          <w:rFonts w:hint="eastAsia" w:ascii="宋体" w:hAnsi="宋体"/>
          <w:color w:val="auto"/>
          <w:szCs w:val="21"/>
          <w:highlight w:val="none"/>
        </w:rPr>
      </w:pPr>
    </w:p>
    <w:p w14:paraId="104D460B">
      <w:pPr>
        <w:adjustRightInd w:val="0"/>
        <w:snapToGrid w:val="0"/>
        <w:spacing w:line="560" w:lineRule="exact"/>
        <w:ind w:firstLine="420" w:firstLineChars="200"/>
        <w:rPr>
          <w:rFonts w:hint="eastAsia" w:ascii="宋体" w:hAnsi="宋体"/>
          <w:color w:val="auto"/>
          <w:szCs w:val="21"/>
          <w:highlight w:val="none"/>
          <w:u w:val="single"/>
        </w:rPr>
      </w:pPr>
      <w:r>
        <w:rPr>
          <w:rFonts w:hint="eastAsia" w:ascii="宋体" w:hAnsi="宋体"/>
          <w:color w:val="auto"/>
          <w:szCs w:val="21"/>
          <w:highlight w:val="none"/>
        </w:rPr>
        <w:t>开户银行：</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基本账户：                             </w:t>
      </w:r>
    </w:p>
    <w:p w14:paraId="6B1A9789">
      <w:pPr>
        <w:adjustRightInd w:val="0"/>
        <w:snapToGrid w:val="0"/>
        <w:spacing w:line="560" w:lineRule="exact"/>
        <w:rPr>
          <w:rFonts w:ascii="宋体" w:hAnsi="宋体"/>
          <w:color w:val="auto"/>
          <w:szCs w:val="21"/>
          <w:highlight w:val="none"/>
        </w:rPr>
      </w:pPr>
    </w:p>
    <w:p w14:paraId="7FC565CC">
      <w:pPr>
        <w:adjustRightInd w:val="0"/>
        <w:snapToGrid w:val="0"/>
        <w:spacing w:line="560" w:lineRule="exact"/>
        <w:ind w:firstLine="420" w:firstLineChars="200"/>
        <w:rPr>
          <w:rFonts w:hint="eastAsia" w:ascii="宋体" w:hAnsi="宋体"/>
          <w:color w:val="auto"/>
          <w:szCs w:val="21"/>
          <w:highlight w:val="none"/>
          <w:u w:val="single"/>
        </w:rPr>
      </w:pPr>
      <w:r>
        <w:rPr>
          <w:rFonts w:hint="eastAsia" w:ascii="宋体" w:hAnsi="宋体"/>
          <w:color w:val="auto"/>
          <w:szCs w:val="21"/>
          <w:highlight w:val="none"/>
        </w:rPr>
        <w:t xml:space="preserve">投标人（签章）：  </w:t>
      </w:r>
      <w:r>
        <w:rPr>
          <w:rFonts w:hint="eastAsia" w:ascii="宋体" w:hAnsi="宋体"/>
          <w:color w:val="auto"/>
          <w:szCs w:val="21"/>
          <w:highlight w:val="none"/>
          <w:u w:val="single"/>
        </w:rPr>
        <w:t xml:space="preserve">        </w:t>
      </w:r>
      <w:r>
        <w:rPr>
          <w:rFonts w:hint="eastAsia" w:ascii="宋体" w:hAnsi="宋体"/>
          <w:color w:val="auto"/>
          <w:szCs w:val="21"/>
          <w:highlight w:val="none"/>
        </w:rPr>
        <w:t>法定代表人（签章）：</w:t>
      </w:r>
      <w:r>
        <w:rPr>
          <w:rFonts w:hint="eastAsia" w:ascii="宋体" w:hAnsi="宋体"/>
          <w:color w:val="auto"/>
          <w:szCs w:val="21"/>
          <w:highlight w:val="none"/>
          <w:u w:val="single"/>
        </w:rPr>
        <w:t xml:space="preserve">                           </w:t>
      </w:r>
    </w:p>
    <w:p w14:paraId="35028DD7">
      <w:pPr>
        <w:adjustRightInd w:val="0"/>
        <w:snapToGrid w:val="0"/>
        <w:spacing w:line="560" w:lineRule="exact"/>
        <w:rPr>
          <w:rFonts w:hint="eastAsia" w:ascii="宋体" w:hAnsi="宋体"/>
          <w:color w:val="auto"/>
          <w:szCs w:val="21"/>
          <w:highlight w:val="none"/>
        </w:rPr>
      </w:pPr>
    </w:p>
    <w:p w14:paraId="7F5AD965">
      <w:pPr>
        <w:pStyle w:val="2"/>
        <w:rPr>
          <w:rFonts w:hint="eastAsia"/>
          <w:color w:val="auto"/>
          <w:highlight w:val="none"/>
        </w:rPr>
      </w:pPr>
      <w:r>
        <w:rPr>
          <w:rFonts w:hint="eastAsia" w:ascii="宋体" w:hAnsi="宋体"/>
          <w:color w:val="auto"/>
          <w:szCs w:val="21"/>
          <w:highlight w:val="none"/>
        </w:rPr>
        <w:t>日期：</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日</w:t>
      </w:r>
    </w:p>
    <w:p w14:paraId="68860655">
      <w:pPr>
        <w:spacing w:line="560" w:lineRule="exact"/>
        <w:jc w:val="right"/>
        <w:rPr>
          <w:rFonts w:hint="eastAsia" w:ascii="仿宋_GB2312" w:eastAsia="仿宋_GB2312"/>
          <w:color w:val="auto"/>
          <w:sz w:val="32"/>
          <w:szCs w:val="32"/>
          <w:highlight w:val="none"/>
        </w:rPr>
      </w:pPr>
    </w:p>
    <w:p w14:paraId="32FE5E06">
      <w:pPr>
        <w:spacing w:line="360" w:lineRule="auto"/>
        <w:jc w:val="center"/>
        <w:rPr>
          <w:rFonts w:hint="eastAsia"/>
          <w:b/>
          <w:color w:val="auto"/>
          <w:sz w:val="28"/>
          <w:szCs w:val="28"/>
          <w:highlight w:val="none"/>
        </w:rPr>
      </w:pPr>
    </w:p>
    <w:p w14:paraId="069C38AA">
      <w:pPr>
        <w:spacing w:line="360" w:lineRule="exact"/>
        <w:ind w:firstLine="443" w:firstLineChars="147"/>
        <w:rPr>
          <w:rFonts w:hint="eastAsia" w:ascii="宋体"/>
          <w:b/>
          <w:color w:val="auto"/>
          <w:sz w:val="30"/>
          <w:szCs w:val="30"/>
          <w:highlight w:val="none"/>
        </w:rPr>
      </w:pPr>
    </w:p>
    <w:p w14:paraId="3E33275C">
      <w:pPr>
        <w:spacing w:line="360" w:lineRule="exact"/>
        <w:ind w:firstLine="443" w:firstLineChars="147"/>
        <w:rPr>
          <w:rFonts w:hint="eastAsia" w:ascii="宋体"/>
          <w:b/>
          <w:color w:val="auto"/>
          <w:sz w:val="30"/>
          <w:szCs w:val="30"/>
          <w:highlight w:val="none"/>
        </w:rPr>
      </w:pPr>
    </w:p>
    <w:p w14:paraId="0FB3720D">
      <w:pPr>
        <w:spacing w:line="360" w:lineRule="exact"/>
        <w:ind w:firstLine="443" w:firstLineChars="147"/>
        <w:rPr>
          <w:rFonts w:hint="eastAsia" w:ascii="宋体"/>
          <w:b/>
          <w:color w:val="auto"/>
          <w:sz w:val="30"/>
          <w:szCs w:val="30"/>
          <w:highlight w:val="none"/>
        </w:rPr>
      </w:pPr>
    </w:p>
    <w:p w14:paraId="1934444A">
      <w:pPr>
        <w:spacing w:line="360" w:lineRule="exact"/>
        <w:ind w:firstLine="443" w:firstLineChars="147"/>
        <w:rPr>
          <w:rFonts w:hint="eastAsia" w:ascii="宋体"/>
          <w:b/>
          <w:color w:val="auto"/>
          <w:sz w:val="30"/>
          <w:szCs w:val="30"/>
          <w:highlight w:val="none"/>
        </w:rPr>
      </w:pPr>
    </w:p>
    <w:p w14:paraId="7EEF0DF2">
      <w:pPr>
        <w:spacing w:line="360" w:lineRule="exact"/>
        <w:ind w:firstLine="443" w:firstLineChars="147"/>
        <w:rPr>
          <w:rFonts w:hint="eastAsia" w:ascii="宋体"/>
          <w:b/>
          <w:color w:val="auto"/>
          <w:sz w:val="30"/>
          <w:szCs w:val="30"/>
          <w:highlight w:val="none"/>
        </w:rPr>
      </w:pPr>
    </w:p>
    <w:p w14:paraId="697750F7">
      <w:pPr>
        <w:spacing w:line="360" w:lineRule="exact"/>
        <w:ind w:firstLine="443" w:firstLineChars="147"/>
        <w:rPr>
          <w:rFonts w:hint="eastAsia" w:ascii="宋体"/>
          <w:b/>
          <w:color w:val="auto"/>
          <w:sz w:val="30"/>
          <w:szCs w:val="30"/>
          <w:highlight w:val="none"/>
        </w:rPr>
      </w:pPr>
    </w:p>
    <w:p w14:paraId="30F7440A">
      <w:pPr>
        <w:spacing w:line="360" w:lineRule="exact"/>
        <w:ind w:firstLine="443" w:firstLineChars="147"/>
        <w:rPr>
          <w:rFonts w:hint="eastAsia" w:ascii="宋体"/>
          <w:b/>
          <w:color w:val="auto"/>
          <w:sz w:val="30"/>
          <w:szCs w:val="30"/>
          <w:highlight w:val="none"/>
        </w:rPr>
      </w:pPr>
    </w:p>
    <w:p w14:paraId="4757B296">
      <w:pPr>
        <w:spacing w:line="360" w:lineRule="exact"/>
        <w:ind w:firstLine="443" w:firstLineChars="147"/>
        <w:rPr>
          <w:rFonts w:hint="eastAsia" w:ascii="宋体"/>
          <w:b/>
          <w:color w:val="auto"/>
          <w:sz w:val="30"/>
          <w:szCs w:val="30"/>
          <w:highlight w:val="none"/>
        </w:rPr>
      </w:pPr>
    </w:p>
    <w:p w14:paraId="3BF3ED0E">
      <w:pPr>
        <w:rPr>
          <w:rFonts w:hint="eastAsia" w:ascii="宋体"/>
          <w:b/>
          <w:color w:val="auto"/>
          <w:sz w:val="44"/>
          <w:szCs w:val="44"/>
          <w:highlight w:val="none"/>
          <w:lang w:val="en-US" w:eastAsia="zh-CN"/>
        </w:rPr>
      </w:pPr>
      <w:r>
        <w:rPr>
          <w:rFonts w:hint="eastAsia" w:ascii="宋体"/>
          <w:b/>
          <w:color w:val="auto"/>
          <w:sz w:val="44"/>
          <w:szCs w:val="44"/>
          <w:highlight w:val="none"/>
          <w:lang w:val="en-US" w:eastAsia="zh-CN"/>
        </w:rPr>
        <w:br w:type="page"/>
      </w:r>
    </w:p>
    <w:bookmarkEnd w:id="64"/>
    <w:bookmarkEnd w:id="65"/>
    <w:p w14:paraId="15303EA0">
      <w:pPr>
        <w:spacing w:line="360" w:lineRule="exact"/>
        <w:ind w:firstLine="443" w:firstLineChars="147"/>
        <w:rPr>
          <w:rFonts w:hint="eastAsia" w:ascii="宋体" w:hAnsi="宋体" w:eastAsia="宋体"/>
          <w:b/>
          <w:color w:val="auto"/>
          <w:sz w:val="30"/>
          <w:szCs w:val="30"/>
          <w:highlight w:val="none"/>
          <w:lang w:val="en-US" w:eastAsia="zh-CN"/>
        </w:rPr>
      </w:pPr>
      <w:r>
        <w:rPr>
          <w:rFonts w:hint="eastAsia" w:ascii="宋体" w:hAnsi="宋体"/>
          <w:b/>
          <w:color w:val="auto"/>
          <w:sz w:val="30"/>
          <w:szCs w:val="30"/>
          <w:highlight w:val="none"/>
        </w:rPr>
        <w:t>附件</w:t>
      </w:r>
      <w:r>
        <w:rPr>
          <w:rFonts w:hint="eastAsia" w:ascii="宋体" w:hAnsi="宋体"/>
          <w:b/>
          <w:color w:val="auto"/>
          <w:sz w:val="30"/>
          <w:szCs w:val="30"/>
          <w:highlight w:val="none"/>
          <w:lang w:val="en-US" w:eastAsia="zh-CN"/>
        </w:rPr>
        <w:t>3</w:t>
      </w:r>
    </w:p>
    <w:p w14:paraId="6298BA5C">
      <w:pPr>
        <w:spacing w:line="360" w:lineRule="exact"/>
        <w:ind w:firstLine="472" w:firstLineChars="147"/>
        <w:jc w:val="center"/>
        <w:rPr>
          <w:rFonts w:hint="eastAsia" w:ascii="宋体"/>
          <w:b/>
          <w:color w:val="auto"/>
          <w:sz w:val="32"/>
          <w:szCs w:val="32"/>
          <w:highlight w:val="none"/>
        </w:rPr>
      </w:pPr>
    </w:p>
    <w:p w14:paraId="10197C38">
      <w:pPr>
        <w:spacing w:line="360" w:lineRule="exact"/>
        <w:ind w:firstLine="531" w:firstLineChars="147"/>
        <w:jc w:val="center"/>
        <w:rPr>
          <w:rFonts w:hint="eastAsia" w:ascii="宋体"/>
          <w:b/>
          <w:color w:val="auto"/>
          <w:sz w:val="36"/>
          <w:szCs w:val="36"/>
          <w:highlight w:val="none"/>
        </w:rPr>
      </w:pPr>
      <w:r>
        <w:rPr>
          <w:rFonts w:hint="eastAsia" w:ascii="宋体"/>
          <w:b/>
          <w:color w:val="auto"/>
          <w:sz w:val="36"/>
          <w:szCs w:val="36"/>
          <w:highlight w:val="none"/>
        </w:rPr>
        <w:t>开标一览表</w:t>
      </w:r>
    </w:p>
    <w:p w14:paraId="0870403D">
      <w:pPr>
        <w:spacing w:line="360" w:lineRule="exact"/>
        <w:ind w:firstLine="354" w:firstLineChars="147"/>
        <w:rPr>
          <w:rFonts w:hint="eastAsia" w:ascii="宋体"/>
          <w:b/>
          <w:color w:val="auto"/>
          <w:sz w:val="24"/>
          <w:highlight w:val="none"/>
        </w:rPr>
      </w:pPr>
    </w:p>
    <w:p w14:paraId="1208517F">
      <w:pPr>
        <w:spacing w:line="360" w:lineRule="exact"/>
        <w:ind w:firstLine="240" w:firstLineChars="100"/>
        <w:rPr>
          <w:rFonts w:hint="eastAsia" w:ascii="宋体"/>
          <w:color w:val="auto"/>
          <w:sz w:val="24"/>
          <w:highlight w:val="none"/>
        </w:rPr>
      </w:pPr>
      <w:r>
        <w:rPr>
          <w:rFonts w:hint="eastAsia" w:ascii="宋体"/>
          <w:color w:val="auto"/>
          <w:sz w:val="24"/>
          <w:highlight w:val="none"/>
        </w:rPr>
        <w:t>（注：开标一览表必须编入投标文件，唱标时，以投标文件中的开标一览表进行唱标）</w:t>
      </w:r>
    </w:p>
    <w:p w14:paraId="09F12BE1">
      <w:pPr>
        <w:snapToGrid w:val="0"/>
        <w:spacing w:line="460" w:lineRule="exact"/>
        <w:ind w:left="2940" w:leftChars="1400" w:firstLine="720" w:firstLineChars="300"/>
        <w:rPr>
          <w:rFonts w:hint="eastAsia" w:ascii="宋体"/>
          <w:color w:val="auto"/>
          <w:sz w:val="24"/>
          <w:highlight w:val="none"/>
        </w:rPr>
      </w:pPr>
    </w:p>
    <w:tbl>
      <w:tblPr>
        <w:tblStyle w:val="35"/>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03"/>
        <w:gridCol w:w="6952"/>
      </w:tblGrid>
      <w:tr w14:paraId="4404AE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350" w:hRule="exact"/>
        </w:trPr>
        <w:tc>
          <w:tcPr>
            <w:tcW w:w="1803" w:type="dxa"/>
            <w:tcBorders>
              <w:top w:val="single" w:color="auto" w:sz="12" w:space="0"/>
              <w:bottom w:val="single" w:color="auto" w:sz="12" w:space="0"/>
              <w:right w:val="single" w:color="auto" w:sz="12" w:space="0"/>
            </w:tcBorders>
            <w:noWrap w:val="0"/>
            <w:vAlign w:val="center"/>
          </w:tcPr>
          <w:p w14:paraId="6FFF4C7B">
            <w:pPr>
              <w:spacing w:line="460" w:lineRule="exact"/>
              <w:jc w:val="center"/>
              <w:rPr>
                <w:rFonts w:hint="eastAsia" w:ascii="宋体"/>
                <w:color w:val="auto"/>
                <w:sz w:val="24"/>
                <w:highlight w:val="none"/>
              </w:rPr>
            </w:pPr>
            <w:r>
              <w:rPr>
                <w:rFonts w:hint="eastAsia" w:ascii="宋体"/>
                <w:color w:val="auto"/>
                <w:sz w:val="24"/>
                <w:highlight w:val="none"/>
              </w:rPr>
              <w:t>项目名称</w:t>
            </w:r>
          </w:p>
        </w:tc>
        <w:tc>
          <w:tcPr>
            <w:tcW w:w="6952" w:type="dxa"/>
            <w:tcBorders>
              <w:top w:val="single" w:color="auto" w:sz="12" w:space="0"/>
              <w:left w:val="single" w:color="auto" w:sz="12" w:space="0"/>
              <w:bottom w:val="single" w:color="auto" w:sz="12" w:space="0"/>
            </w:tcBorders>
            <w:noWrap w:val="0"/>
            <w:vAlign w:val="center"/>
          </w:tcPr>
          <w:p w14:paraId="37A83495">
            <w:pPr>
              <w:spacing w:line="360" w:lineRule="auto"/>
              <w:jc w:val="left"/>
              <w:rPr>
                <w:rFonts w:hint="eastAsia"/>
                <w:color w:val="auto"/>
                <w:sz w:val="24"/>
                <w:highlight w:val="none"/>
              </w:rPr>
            </w:pPr>
            <w:r>
              <w:rPr>
                <w:rFonts w:hint="eastAsia"/>
                <w:color w:val="auto"/>
                <w:sz w:val="24"/>
                <w:highlight w:val="none"/>
              </w:rPr>
              <w:t xml:space="preserve">         </w:t>
            </w:r>
          </w:p>
        </w:tc>
      </w:tr>
      <w:tr w14:paraId="17D55B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22" w:hRule="exact"/>
        </w:trPr>
        <w:tc>
          <w:tcPr>
            <w:tcW w:w="1803" w:type="dxa"/>
            <w:tcBorders>
              <w:top w:val="single" w:color="auto" w:sz="12" w:space="0"/>
              <w:right w:val="single" w:color="auto" w:sz="12" w:space="0"/>
            </w:tcBorders>
            <w:noWrap w:val="0"/>
            <w:vAlign w:val="center"/>
          </w:tcPr>
          <w:p w14:paraId="71070668">
            <w:pPr>
              <w:spacing w:line="460" w:lineRule="exact"/>
              <w:jc w:val="center"/>
              <w:rPr>
                <w:rFonts w:hint="eastAsia" w:ascii="宋体"/>
                <w:color w:val="auto"/>
                <w:sz w:val="24"/>
                <w:highlight w:val="none"/>
              </w:rPr>
            </w:pPr>
            <w:r>
              <w:rPr>
                <w:rFonts w:hint="eastAsia" w:ascii="宋体"/>
                <w:color w:val="auto"/>
                <w:sz w:val="24"/>
                <w:highlight w:val="none"/>
              </w:rPr>
              <w:t>项目编号</w:t>
            </w:r>
          </w:p>
        </w:tc>
        <w:tc>
          <w:tcPr>
            <w:tcW w:w="6952" w:type="dxa"/>
            <w:tcBorders>
              <w:top w:val="single" w:color="auto" w:sz="12" w:space="0"/>
              <w:left w:val="single" w:color="auto" w:sz="12" w:space="0"/>
            </w:tcBorders>
            <w:noWrap w:val="0"/>
            <w:vAlign w:val="center"/>
          </w:tcPr>
          <w:p w14:paraId="3845560D">
            <w:pPr>
              <w:rPr>
                <w:rFonts w:hint="eastAsia" w:ascii="宋体"/>
                <w:color w:val="auto"/>
                <w:sz w:val="24"/>
                <w:highlight w:val="none"/>
              </w:rPr>
            </w:pPr>
          </w:p>
        </w:tc>
      </w:tr>
      <w:tr w14:paraId="541DA1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18" w:hRule="exact"/>
        </w:trPr>
        <w:tc>
          <w:tcPr>
            <w:tcW w:w="1803" w:type="dxa"/>
            <w:tcBorders>
              <w:right w:val="single" w:color="auto" w:sz="12" w:space="0"/>
            </w:tcBorders>
            <w:noWrap w:val="0"/>
            <w:vAlign w:val="center"/>
          </w:tcPr>
          <w:p w14:paraId="3EEE56DD">
            <w:pPr>
              <w:spacing w:line="460" w:lineRule="exact"/>
              <w:ind w:firstLine="120" w:firstLineChars="50"/>
              <w:rPr>
                <w:rFonts w:hint="eastAsia" w:ascii="宋体"/>
                <w:color w:val="auto"/>
                <w:sz w:val="24"/>
                <w:highlight w:val="none"/>
              </w:rPr>
            </w:pPr>
            <w:r>
              <w:rPr>
                <w:rFonts w:hint="eastAsia" w:ascii="宋体"/>
                <w:color w:val="auto"/>
                <w:sz w:val="24"/>
                <w:highlight w:val="none"/>
              </w:rPr>
              <w:t>投标人名称</w:t>
            </w:r>
          </w:p>
        </w:tc>
        <w:tc>
          <w:tcPr>
            <w:tcW w:w="6952" w:type="dxa"/>
            <w:tcBorders>
              <w:left w:val="single" w:color="auto" w:sz="12" w:space="0"/>
            </w:tcBorders>
            <w:noWrap w:val="0"/>
            <w:vAlign w:val="top"/>
          </w:tcPr>
          <w:p w14:paraId="37F07D5A">
            <w:pPr>
              <w:pStyle w:val="20"/>
              <w:spacing w:line="460" w:lineRule="exact"/>
              <w:ind w:left="86" w:leftChars="41"/>
              <w:rPr>
                <w:rFonts w:hint="eastAsia" w:ascii="宋体" w:eastAsia="宋体"/>
                <w:color w:val="auto"/>
                <w:sz w:val="24"/>
                <w:szCs w:val="24"/>
                <w:highlight w:val="none"/>
              </w:rPr>
            </w:pPr>
          </w:p>
        </w:tc>
      </w:tr>
      <w:tr w14:paraId="5239E8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41" w:hRule="exact"/>
        </w:trPr>
        <w:tc>
          <w:tcPr>
            <w:tcW w:w="1803" w:type="dxa"/>
            <w:tcBorders>
              <w:right w:val="single" w:color="auto" w:sz="12" w:space="0"/>
            </w:tcBorders>
            <w:noWrap w:val="0"/>
            <w:vAlign w:val="center"/>
          </w:tcPr>
          <w:p w14:paraId="1DC26B0F">
            <w:pPr>
              <w:spacing w:line="360" w:lineRule="auto"/>
              <w:jc w:val="center"/>
              <w:rPr>
                <w:rFonts w:ascii="宋体"/>
                <w:color w:val="auto"/>
                <w:sz w:val="24"/>
                <w:highlight w:val="none"/>
              </w:rPr>
            </w:pPr>
            <w:r>
              <w:rPr>
                <w:rFonts w:hint="eastAsia" w:ascii="宋体"/>
                <w:color w:val="auto"/>
                <w:sz w:val="24"/>
                <w:highlight w:val="none"/>
              </w:rPr>
              <w:t>总投标价\</w:t>
            </w:r>
            <w:r>
              <w:rPr>
                <w:rFonts w:hint="eastAsia" w:ascii="宋体"/>
                <w:color w:val="auto"/>
                <w:sz w:val="24"/>
                <w:highlight w:val="none"/>
                <w:lang w:val="en-US" w:eastAsia="zh-CN"/>
              </w:rPr>
              <w:t>服务</w:t>
            </w:r>
            <w:r>
              <w:rPr>
                <w:rFonts w:hint="eastAsia" w:ascii="宋体"/>
                <w:color w:val="auto"/>
                <w:sz w:val="24"/>
                <w:highlight w:val="none"/>
              </w:rPr>
              <w:t>期</w:t>
            </w:r>
          </w:p>
        </w:tc>
        <w:tc>
          <w:tcPr>
            <w:tcW w:w="6952" w:type="dxa"/>
            <w:tcBorders>
              <w:left w:val="single" w:color="auto" w:sz="12" w:space="0"/>
            </w:tcBorders>
            <w:noWrap w:val="0"/>
            <w:vAlign w:val="center"/>
          </w:tcPr>
          <w:p w14:paraId="6CFA899F">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color w:val="auto"/>
                <w:sz w:val="24"/>
                <w:highlight w:val="none"/>
              </w:rPr>
            </w:pPr>
            <w:r>
              <w:rPr>
                <w:rFonts w:hint="eastAsia" w:ascii="宋体"/>
                <w:color w:val="auto"/>
                <w:sz w:val="24"/>
                <w:highlight w:val="none"/>
              </w:rPr>
              <w:t>投标报价 （大写）：</w:t>
            </w:r>
            <w:r>
              <w:rPr>
                <w:rFonts w:hint="eastAsia" w:ascii="宋体"/>
                <w:color w:val="auto"/>
                <w:sz w:val="24"/>
                <w:highlight w:val="none"/>
                <w:u w:val="single"/>
              </w:rPr>
              <w:t xml:space="preserve">                   </w:t>
            </w:r>
            <w:r>
              <w:rPr>
                <w:rFonts w:hint="eastAsia" w:ascii="宋体"/>
                <w:color w:val="auto"/>
                <w:sz w:val="24"/>
                <w:highlight w:val="none"/>
              </w:rPr>
              <w:t>；</w:t>
            </w:r>
          </w:p>
          <w:p w14:paraId="3D0C2DB1">
            <w:pPr>
              <w:keepNext w:val="0"/>
              <w:keepLines w:val="0"/>
              <w:pageBreakBefore w:val="0"/>
              <w:widowControl w:val="0"/>
              <w:kinsoku/>
              <w:wordWrap/>
              <w:overflowPunct/>
              <w:topLinePunct w:val="0"/>
              <w:autoSpaceDE/>
              <w:autoSpaceDN/>
              <w:bidi w:val="0"/>
              <w:adjustRightInd/>
              <w:snapToGrid/>
              <w:spacing w:line="900" w:lineRule="exact"/>
              <w:ind w:firstLine="1200" w:firstLineChars="500"/>
              <w:textAlignment w:val="auto"/>
              <w:rPr>
                <w:rFonts w:hint="eastAsia" w:ascii="宋体"/>
                <w:color w:val="auto"/>
                <w:sz w:val="24"/>
                <w:highlight w:val="none"/>
              </w:rPr>
            </w:pPr>
            <w:r>
              <w:rPr>
                <w:rFonts w:hint="eastAsia" w:ascii="宋体"/>
                <w:color w:val="auto"/>
                <w:sz w:val="24"/>
                <w:highlight w:val="none"/>
                <w:lang w:eastAsia="zh-CN"/>
              </w:rPr>
              <w:t>（</w:t>
            </w:r>
            <w:r>
              <w:rPr>
                <w:rFonts w:hint="eastAsia" w:ascii="宋体"/>
                <w:color w:val="auto"/>
                <w:sz w:val="24"/>
                <w:highlight w:val="none"/>
              </w:rPr>
              <w:t>小写</w:t>
            </w:r>
            <w:r>
              <w:rPr>
                <w:rFonts w:hint="eastAsia" w:ascii="宋体"/>
                <w:color w:val="auto"/>
                <w:sz w:val="24"/>
                <w:highlight w:val="none"/>
                <w:lang w:eastAsia="zh-CN"/>
              </w:rPr>
              <w:t>）</w:t>
            </w:r>
            <w:r>
              <w:rPr>
                <w:rFonts w:hint="eastAsia" w:ascii="宋体"/>
                <w:color w:val="auto"/>
                <w:sz w:val="24"/>
                <w:highlight w:val="none"/>
              </w:rPr>
              <w:t xml:space="preserve"> ：</w:t>
            </w:r>
            <w:r>
              <w:rPr>
                <w:rFonts w:hint="eastAsia" w:ascii="宋体"/>
                <w:color w:val="auto"/>
                <w:sz w:val="24"/>
                <w:highlight w:val="none"/>
                <w:u w:val="single"/>
              </w:rPr>
              <w:t xml:space="preserve">                   </w:t>
            </w:r>
            <w:r>
              <w:rPr>
                <w:rFonts w:hint="eastAsia" w:ascii="宋体"/>
                <w:color w:val="auto"/>
                <w:sz w:val="24"/>
                <w:highlight w:val="none"/>
              </w:rPr>
              <w:t>；</w:t>
            </w:r>
          </w:p>
          <w:p w14:paraId="1F0D0799">
            <w:pPr>
              <w:keepNext w:val="0"/>
              <w:keepLines w:val="0"/>
              <w:pageBreakBefore w:val="0"/>
              <w:widowControl w:val="0"/>
              <w:kinsoku/>
              <w:wordWrap/>
              <w:overflowPunct/>
              <w:topLinePunct w:val="0"/>
              <w:autoSpaceDE/>
              <w:autoSpaceDN/>
              <w:bidi w:val="0"/>
              <w:adjustRightInd/>
              <w:snapToGrid/>
              <w:spacing w:line="900" w:lineRule="exact"/>
              <w:textAlignment w:val="auto"/>
              <w:rPr>
                <w:rFonts w:hint="default"/>
                <w:color w:val="auto"/>
                <w:sz w:val="24"/>
                <w:highlight w:val="none"/>
                <w:lang w:val="en-US"/>
              </w:rPr>
            </w:pPr>
            <w:r>
              <w:rPr>
                <w:rFonts w:hint="eastAsia" w:ascii="宋体"/>
                <w:color w:val="auto"/>
                <w:sz w:val="24"/>
                <w:highlight w:val="none"/>
                <w:lang w:val="en-US" w:eastAsia="zh-CN"/>
              </w:rPr>
              <w:t>服务期</w:t>
            </w:r>
            <w:r>
              <w:rPr>
                <w:rFonts w:hint="eastAsia" w:ascii="宋体"/>
                <w:color w:val="auto"/>
                <w:sz w:val="24"/>
                <w:highlight w:val="none"/>
              </w:rPr>
              <w:t>：</w:t>
            </w:r>
            <w:r>
              <w:rPr>
                <w:rFonts w:hint="eastAsia" w:ascii="宋体" w:hAnsi="宋体" w:cs="宋体"/>
                <w:color w:val="auto"/>
                <w:sz w:val="22"/>
                <w:szCs w:val="22"/>
                <w:highlight w:val="none"/>
                <w:lang w:val="en-US" w:eastAsia="zh-CN"/>
              </w:rPr>
              <w:t>响应招标文件要求。</w:t>
            </w:r>
          </w:p>
        </w:tc>
      </w:tr>
    </w:tbl>
    <w:p w14:paraId="6CDE8AE6">
      <w:pPr>
        <w:snapToGrid w:val="0"/>
        <w:spacing w:line="460" w:lineRule="exact"/>
        <w:ind w:left="2940" w:leftChars="1400" w:firstLine="723" w:firstLineChars="300"/>
        <w:rPr>
          <w:rFonts w:hint="eastAsia" w:ascii="宋体"/>
          <w:b/>
          <w:color w:val="auto"/>
          <w:sz w:val="24"/>
          <w:highlight w:val="none"/>
        </w:rPr>
      </w:pPr>
    </w:p>
    <w:p w14:paraId="37E88748">
      <w:pPr>
        <w:rPr>
          <w:rFonts w:hint="eastAsia" w:ascii="宋体"/>
          <w:color w:val="auto"/>
          <w:sz w:val="24"/>
          <w:highlight w:val="none"/>
        </w:rPr>
      </w:pPr>
      <w:r>
        <w:rPr>
          <w:rFonts w:hint="eastAsia" w:ascii="宋体"/>
          <w:color w:val="auto"/>
          <w:sz w:val="24"/>
          <w:highlight w:val="none"/>
        </w:rPr>
        <w:t>法定代表人（</w:t>
      </w:r>
      <w:r>
        <w:rPr>
          <w:rFonts w:hint="eastAsia" w:ascii="宋体"/>
          <w:color w:val="auto"/>
          <w:sz w:val="24"/>
          <w:highlight w:val="none"/>
          <w:lang w:val="en-US" w:eastAsia="zh-CN"/>
        </w:rPr>
        <w:t>盖章</w:t>
      </w:r>
      <w:r>
        <w:rPr>
          <w:rFonts w:hint="eastAsia" w:ascii="宋体"/>
          <w:color w:val="auto"/>
          <w:sz w:val="24"/>
          <w:highlight w:val="none"/>
        </w:rPr>
        <w:t>）：         投标人（盖单位章）：</w:t>
      </w:r>
    </w:p>
    <w:p w14:paraId="59B6C7D4">
      <w:pPr>
        <w:snapToGrid w:val="0"/>
        <w:spacing w:before="312" w:beforeLines="100" w:after="312" w:afterLines="100" w:line="360" w:lineRule="auto"/>
        <w:jc w:val="center"/>
        <w:rPr>
          <w:rFonts w:cs="Arial"/>
          <w:b/>
          <w:bCs/>
          <w:color w:val="auto"/>
          <w:sz w:val="30"/>
          <w:szCs w:val="30"/>
          <w:highlight w:val="none"/>
        </w:rPr>
        <w:sectPr>
          <w:pgSz w:w="11906" w:h="16838"/>
          <w:pgMar w:top="1270" w:right="1417" w:bottom="1270" w:left="1417" w:header="851" w:footer="992" w:gutter="0"/>
          <w:pgNumType w:fmt="numberInDash"/>
          <w:cols w:space="0" w:num="1"/>
          <w:rtlGutter w:val="0"/>
          <w:docGrid w:type="lines" w:linePitch="312" w:charSpace="0"/>
        </w:sectPr>
      </w:pPr>
      <w:r>
        <w:rPr>
          <w:rFonts w:hint="eastAsia" w:ascii="宋体"/>
          <w:color w:val="auto"/>
          <w:sz w:val="24"/>
          <w:highlight w:val="none"/>
        </w:rPr>
        <w:t xml:space="preserve">                                      日  期：</w:t>
      </w:r>
      <w:r>
        <w:rPr>
          <w:rFonts w:hint="eastAsia" w:ascii="宋体" w:hAnsi="宋体"/>
          <w:color w:val="auto"/>
          <w:sz w:val="24"/>
          <w:highlight w:val="none"/>
          <w:u w:val="single"/>
        </w:rPr>
        <w:t xml:space="preserve">      </w:t>
      </w:r>
      <w:r>
        <w:rPr>
          <w:rFonts w:hint="eastAsia" w:ascii="宋体"/>
          <w:color w:val="auto"/>
          <w:sz w:val="24"/>
          <w:highlight w:val="none"/>
        </w:rPr>
        <w:t>年</w:t>
      </w:r>
      <w:r>
        <w:rPr>
          <w:rFonts w:hint="eastAsia" w:ascii="宋体" w:hAnsi="宋体"/>
          <w:color w:val="auto"/>
          <w:sz w:val="24"/>
          <w:highlight w:val="none"/>
          <w:u w:val="single"/>
        </w:rPr>
        <w:t xml:space="preserve">   </w:t>
      </w:r>
      <w:r>
        <w:rPr>
          <w:rFonts w:hint="eastAsia" w:ascii="宋体"/>
          <w:color w:val="auto"/>
          <w:sz w:val="24"/>
          <w:highlight w:val="none"/>
        </w:rPr>
        <w:t>月</w:t>
      </w:r>
      <w:r>
        <w:rPr>
          <w:rFonts w:hint="eastAsia" w:ascii="宋体" w:hAnsi="宋体"/>
          <w:color w:val="auto"/>
          <w:sz w:val="24"/>
          <w:highlight w:val="none"/>
          <w:u w:val="single"/>
        </w:rPr>
        <w:t xml:space="preserve">   </w:t>
      </w:r>
      <w:r>
        <w:rPr>
          <w:rFonts w:hint="eastAsia" w:ascii="宋体"/>
          <w:color w:val="auto"/>
          <w:sz w:val="24"/>
          <w:highlight w:val="none"/>
        </w:rPr>
        <w:t xml:space="preserve">日 </w:t>
      </w:r>
    </w:p>
    <w:p w14:paraId="4B31D8FF">
      <w:pPr>
        <w:spacing w:line="360" w:lineRule="exact"/>
        <w:ind w:firstLine="443" w:firstLineChars="147"/>
        <w:rPr>
          <w:rFonts w:hint="eastAsia" w:ascii="宋体"/>
          <w:b/>
          <w:color w:val="auto"/>
          <w:sz w:val="30"/>
          <w:szCs w:val="30"/>
          <w:highlight w:val="none"/>
        </w:rPr>
      </w:pPr>
    </w:p>
    <w:p w14:paraId="419FFF36">
      <w:pPr>
        <w:spacing w:line="360" w:lineRule="exact"/>
        <w:ind w:firstLine="443" w:firstLineChars="147"/>
        <w:rPr>
          <w:rFonts w:hint="eastAsia" w:ascii="宋体" w:hAnsi="宋体" w:eastAsia="宋体"/>
          <w:b/>
          <w:color w:val="auto"/>
          <w:sz w:val="30"/>
          <w:szCs w:val="30"/>
          <w:highlight w:val="none"/>
          <w:lang w:eastAsia="zh-CN"/>
        </w:rPr>
      </w:pPr>
      <w:r>
        <w:rPr>
          <w:rFonts w:hint="eastAsia" w:ascii="宋体" w:hAnsi="宋体"/>
          <w:b/>
          <w:color w:val="auto"/>
          <w:sz w:val="30"/>
          <w:szCs w:val="30"/>
          <w:highlight w:val="none"/>
        </w:rPr>
        <w:t>附件</w:t>
      </w:r>
      <w:r>
        <w:rPr>
          <w:rFonts w:hint="eastAsia" w:ascii="宋体" w:hAnsi="宋体"/>
          <w:b/>
          <w:color w:val="auto"/>
          <w:sz w:val="30"/>
          <w:szCs w:val="30"/>
          <w:highlight w:val="none"/>
          <w:lang w:val="en-US" w:eastAsia="zh-CN"/>
        </w:rPr>
        <w:t>4</w:t>
      </w:r>
    </w:p>
    <w:p w14:paraId="2F99B462">
      <w:pPr>
        <w:spacing w:line="360" w:lineRule="exact"/>
        <w:ind w:firstLine="531" w:firstLineChars="147"/>
        <w:jc w:val="center"/>
        <w:rPr>
          <w:rFonts w:hint="eastAsia" w:ascii="宋体"/>
          <w:b/>
          <w:color w:val="auto"/>
          <w:sz w:val="36"/>
          <w:szCs w:val="36"/>
          <w:highlight w:val="none"/>
        </w:rPr>
      </w:pPr>
      <w:r>
        <w:rPr>
          <w:rFonts w:hint="eastAsia" w:ascii="宋体"/>
          <w:b/>
          <w:color w:val="auto"/>
          <w:sz w:val="36"/>
          <w:szCs w:val="36"/>
          <w:highlight w:val="none"/>
        </w:rPr>
        <w:t>投  标  函</w:t>
      </w:r>
    </w:p>
    <w:p w14:paraId="513E0A26">
      <w:pPr>
        <w:spacing w:line="440" w:lineRule="exact"/>
        <w:rPr>
          <w:rFonts w:hint="eastAsia" w:ascii="宋体"/>
          <w:color w:val="auto"/>
          <w:sz w:val="24"/>
          <w:highlight w:val="none"/>
        </w:rPr>
      </w:pPr>
    </w:p>
    <w:p w14:paraId="7BB3375F">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highlight w:val="none"/>
        </w:rPr>
      </w:pPr>
      <w:r>
        <w:rPr>
          <w:rFonts w:hint="eastAsia" w:ascii="宋体" w:hAnsi="宋体" w:cs="宋体"/>
          <w:color w:val="auto"/>
          <w:sz w:val="24"/>
          <w:highlight w:val="none"/>
        </w:rPr>
        <w:t>1.我们决定参加贵单位组织的“</w:t>
      </w:r>
      <w:r>
        <w:rPr>
          <w:rFonts w:hint="eastAsia" w:ascii="宋体" w:hAnsi="宋体" w:cs="宋体"/>
          <w:color w:val="auto"/>
          <w:sz w:val="24"/>
          <w:highlight w:val="none"/>
          <w:u w:val="single"/>
        </w:rPr>
        <w:t xml:space="preserve"> （项目名称）     </w:t>
      </w:r>
      <w:r>
        <w:rPr>
          <w:rFonts w:hint="eastAsia" w:ascii="宋体" w:hAnsi="宋体" w:cs="宋体"/>
          <w:color w:val="auto"/>
          <w:sz w:val="24"/>
          <w:highlight w:val="none"/>
        </w:rPr>
        <w:t xml:space="preserve">”的采购。我方授权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rPr>
        <w:t>姓名和职务</w:t>
      </w:r>
      <w:r>
        <w:rPr>
          <w:rFonts w:hint="eastAsia" w:ascii="宋体" w:hAnsi="宋体" w:cs="宋体"/>
          <w:color w:val="auto"/>
          <w:sz w:val="24"/>
          <w:highlight w:val="none"/>
          <w:lang w:eastAsia="zh-CN"/>
        </w:rPr>
        <w:t>）</w:t>
      </w:r>
      <w:r>
        <w:rPr>
          <w:rFonts w:hint="eastAsia" w:ascii="宋体" w:hAnsi="宋体" w:cs="宋体"/>
          <w:color w:val="auto"/>
          <w:sz w:val="24"/>
          <w:highlight w:val="none"/>
        </w:rPr>
        <w:t>代表我方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（投标人的名称）全权处理本项目投标的有关事宜。</w:t>
      </w:r>
    </w:p>
    <w:p w14:paraId="14EB42DC">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rPr>
        <w:t>2.我方愿意按照招标文件规定的各项要求，向</w:t>
      </w:r>
      <w:r>
        <w:rPr>
          <w:rFonts w:hint="eastAsia" w:ascii="宋体" w:hAnsi="宋体" w:cs="宋体"/>
          <w:color w:val="auto"/>
          <w:sz w:val="24"/>
          <w:highlight w:val="none"/>
          <w:lang w:eastAsia="zh-CN"/>
        </w:rPr>
        <w:t>招标人</w:t>
      </w:r>
      <w:r>
        <w:rPr>
          <w:rFonts w:hint="eastAsia" w:ascii="宋体" w:hAnsi="宋体" w:cs="宋体"/>
          <w:color w:val="auto"/>
          <w:sz w:val="24"/>
          <w:highlight w:val="none"/>
        </w:rPr>
        <w:t xml:space="preserve">提供“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w:t>
      </w:r>
      <w:r>
        <w:rPr>
          <w:rFonts w:hint="eastAsia" w:ascii="宋体" w:hAnsi="宋体" w:cs="宋体"/>
          <w:color w:val="auto"/>
          <w:sz w:val="24"/>
          <w:highlight w:val="none"/>
          <w:lang w:val="en-US" w:eastAsia="zh-CN"/>
        </w:rPr>
        <w:t>名称</w:t>
      </w:r>
      <w:r>
        <w:rPr>
          <w:rFonts w:hint="eastAsia" w:ascii="宋体" w:hAnsi="宋体" w:cs="宋体"/>
          <w:color w:val="auto"/>
          <w:sz w:val="24"/>
          <w:highlight w:val="none"/>
        </w:rPr>
        <w:t>）”项目的服务，投标</w:t>
      </w:r>
      <w:r>
        <w:rPr>
          <w:rFonts w:hint="eastAsia" w:ascii="宋体" w:hAnsi="宋体" w:cs="宋体"/>
          <w:color w:val="auto"/>
          <w:sz w:val="24"/>
          <w:highlight w:val="none"/>
          <w:lang w:val="en-US" w:eastAsia="zh-CN"/>
        </w:rPr>
        <w:t>报</w:t>
      </w:r>
      <w:r>
        <w:rPr>
          <w:rFonts w:hint="eastAsia" w:ascii="宋体" w:hAnsi="宋体" w:cs="宋体"/>
          <w:color w:val="auto"/>
          <w:sz w:val="24"/>
          <w:highlight w:val="none"/>
        </w:rPr>
        <w:t>价为人民币（大写）</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lang w:val="en-US" w:eastAsia="zh-CN"/>
        </w:rPr>
        <w:t>小写）：      元</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 xml:space="preserve">  </w:t>
      </w:r>
    </w:p>
    <w:p w14:paraId="714AB8F0">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color w:val="auto"/>
          <w:sz w:val="24"/>
          <w:highlight w:val="none"/>
        </w:rPr>
      </w:pPr>
      <w:r>
        <w:rPr>
          <w:rFonts w:hint="eastAsia" w:ascii="宋体"/>
          <w:color w:val="auto"/>
          <w:sz w:val="24"/>
          <w:highlight w:val="none"/>
        </w:rPr>
        <w:t>3.一旦我方成为合同签字人，我方将严格履行合同规定的责任和义务。</w:t>
      </w:r>
    </w:p>
    <w:p w14:paraId="6C19E909">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color w:val="auto"/>
          <w:sz w:val="24"/>
          <w:highlight w:val="none"/>
        </w:rPr>
      </w:pPr>
      <w:r>
        <w:rPr>
          <w:rFonts w:hint="eastAsia" w:ascii="宋体"/>
          <w:color w:val="auto"/>
          <w:sz w:val="24"/>
          <w:highlight w:val="none"/>
        </w:rPr>
        <w:t>4.我方愿意提供可能另外要求的、与采购投标有关的文件资料，并保证我方已提供和将要提供的文件是真实的、准确的。</w:t>
      </w:r>
    </w:p>
    <w:p w14:paraId="618EFE67">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color w:val="auto"/>
          <w:sz w:val="24"/>
          <w:highlight w:val="none"/>
        </w:rPr>
      </w:pPr>
      <w:r>
        <w:rPr>
          <w:rFonts w:hint="eastAsia" w:ascii="宋体"/>
          <w:color w:val="auto"/>
          <w:sz w:val="24"/>
          <w:highlight w:val="none"/>
          <w:lang w:eastAsia="zh-CN"/>
        </w:rPr>
        <w:t>5.</w:t>
      </w:r>
      <w:r>
        <w:rPr>
          <w:rFonts w:hint="eastAsia" w:ascii="宋体"/>
          <w:color w:val="auto"/>
          <w:sz w:val="24"/>
          <w:highlight w:val="none"/>
        </w:rPr>
        <w:t>投标有效期为</w:t>
      </w:r>
      <w:r>
        <w:rPr>
          <w:rFonts w:hint="eastAsia" w:ascii="宋体"/>
          <w:color w:val="auto"/>
          <w:sz w:val="24"/>
          <w:highlight w:val="none"/>
          <w:u w:val="single"/>
        </w:rPr>
        <w:t xml:space="preserve"> </w:t>
      </w:r>
      <w:r>
        <w:rPr>
          <w:rFonts w:hint="eastAsia" w:ascii="宋体"/>
          <w:color w:val="auto"/>
          <w:sz w:val="24"/>
          <w:highlight w:val="none"/>
          <w:u w:val="single"/>
          <w:lang w:val="en-US" w:eastAsia="zh-CN"/>
        </w:rPr>
        <w:t>60</w:t>
      </w:r>
      <w:r>
        <w:rPr>
          <w:rFonts w:hint="eastAsia" w:ascii="宋体"/>
          <w:color w:val="auto"/>
          <w:sz w:val="24"/>
          <w:highlight w:val="none"/>
          <w:u w:val="single"/>
        </w:rPr>
        <w:t xml:space="preserve"> </w:t>
      </w:r>
      <w:r>
        <w:rPr>
          <w:rFonts w:hint="eastAsia" w:ascii="宋体"/>
          <w:color w:val="auto"/>
          <w:sz w:val="24"/>
          <w:highlight w:val="none"/>
        </w:rPr>
        <w:t>日历天（从投标截止之日算起）。</w:t>
      </w:r>
    </w:p>
    <w:p w14:paraId="22A835FF">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color w:val="auto"/>
          <w:sz w:val="24"/>
          <w:highlight w:val="none"/>
        </w:rPr>
      </w:pPr>
      <w:r>
        <w:rPr>
          <w:rFonts w:hint="eastAsia" w:ascii="宋体"/>
          <w:color w:val="auto"/>
          <w:sz w:val="24"/>
          <w:highlight w:val="none"/>
          <w:lang w:eastAsia="zh-CN"/>
        </w:rPr>
        <w:t>6.</w:t>
      </w:r>
      <w:r>
        <w:rPr>
          <w:rFonts w:hint="eastAsia" w:ascii="宋体"/>
          <w:color w:val="auto"/>
          <w:sz w:val="24"/>
          <w:highlight w:val="none"/>
        </w:rPr>
        <w:t>我单位提供如下通讯地址：</w:t>
      </w:r>
      <w:r>
        <w:rPr>
          <w:rFonts w:hint="eastAsia" w:ascii="宋体"/>
          <w:color w:val="auto"/>
          <w:sz w:val="24"/>
          <w:highlight w:val="none"/>
          <w:u w:val="single"/>
        </w:rPr>
        <w:t xml:space="preserve">                电子邮箱（地址）</w:t>
      </w:r>
      <w:r>
        <w:rPr>
          <w:rFonts w:hint="eastAsia" w:ascii="宋体"/>
          <w:color w:val="auto"/>
          <w:sz w:val="24"/>
          <w:highlight w:val="none"/>
        </w:rPr>
        <w:t>，确认本项目相关法律文书均通过提供的以上地址送达，相关文书只要发送至以上电子邮箱（地址）即视为送达，投标人愿意承担一切法律后果。</w:t>
      </w:r>
    </w:p>
    <w:p w14:paraId="7D021C2E">
      <w:pPr>
        <w:spacing w:line="440" w:lineRule="exact"/>
        <w:rPr>
          <w:rFonts w:hint="eastAsia" w:ascii="宋体"/>
          <w:color w:val="auto"/>
          <w:sz w:val="24"/>
          <w:highlight w:val="none"/>
        </w:rPr>
      </w:pPr>
      <w:r>
        <w:rPr>
          <w:rFonts w:hint="eastAsia" w:ascii="宋体"/>
          <w:color w:val="auto"/>
          <w:sz w:val="24"/>
          <w:highlight w:val="none"/>
        </w:rPr>
        <w:t> </w:t>
      </w:r>
    </w:p>
    <w:p w14:paraId="047CBAD0">
      <w:pPr>
        <w:spacing w:line="440" w:lineRule="exact"/>
        <w:jc w:val="right"/>
        <w:rPr>
          <w:rFonts w:hint="eastAsia" w:ascii="宋体"/>
          <w:color w:val="auto"/>
          <w:sz w:val="24"/>
          <w:highlight w:val="none"/>
        </w:rPr>
      </w:pPr>
      <w:r>
        <w:rPr>
          <w:rFonts w:hint="eastAsia" w:ascii="宋体"/>
          <w:color w:val="auto"/>
          <w:sz w:val="24"/>
          <w:highlight w:val="none"/>
        </w:rPr>
        <w:t>投标人名称：</w:t>
      </w:r>
      <w:r>
        <w:rPr>
          <w:rFonts w:hint="eastAsia" w:ascii="宋体"/>
          <w:color w:val="auto"/>
          <w:sz w:val="24"/>
          <w:highlight w:val="none"/>
          <w:u w:val="single"/>
        </w:rPr>
        <w:t xml:space="preserve">                        </w:t>
      </w:r>
      <w:r>
        <w:rPr>
          <w:rFonts w:hint="eastAsia" w:ascii="宋体"/>
          <w:color w:val="auto"/>
          <w:sz w:val="24"/>
          <w:highlight w:val="none"/>
        </w:rPr>
        <w:t>（盖单位章）</w:t>
      </w:r>
    </w:p>
    <w:p w14:paraId="5FA1CD3C">
      <w:pPr>
        <w:spacing w:line="440" w:lineRule="exact"/>
        <w:jc w:val="right"/>
        <w:rPr>
          <w:rFonts w:hint="eastAsia" w:ascii="宋体"/>
          <w:color w:val="auto"/>
          <w:sz w:val="24"/>
          <w:highlight w:val="none"/>
        </w:rPr>
      </w:pPr>
    </w:p>
    <w:p w14:paraId="25AD0F43">
      <w:pPr>
        <w:spacing w:line="440" w:lineRule="exact"/>
        <w:jc w:val="right"/>
        <w:rPr>
          <w:rFonts w:hint="eastAsia" w:ascii="宋体"/>
          <w:color w:val="auto"/>
          <w:sz w:val="24"/>
          <w:highlight w:val="none"/>
        </w:rPr>
      </w:pPr>
      <w:r>
        <w:rPr>
          <w:rFonts w:hint="eastAsia" w:ascii="宋体"/>
          <w:color w:val="auto"/>
          <w:sz w:val="24"/>
          <w:highlight w:val="none"/>
        </w:rPr>
        <w:t>投标人法定代表人：</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color w:val="auto"/>
          <w:sz w:val="24"/>
          <w:highlight w:val="none"/>
          <w:lang w:val="en-US" w:eastAsia="zh-CN"/>
        </w:rPr>
        <w:t>签字或盖章</w:t>
      </w:r>
      <w:r>
        <w:rPr>
          <w:rFonts w:hint="eastAsia" w:ascii="宋体"/>
          <w:color w:val="auto"/>
          <w:sz w:val="24"/>
          <w:highlight w:val="none"/>
        </w:rPr>
        <w:t>）</w:t>
      </w:r>
    </w:p>
    <w:p w14:paraId="474C4B8F">
      <w:pPr>
        <w:spacing w:line="440" w:lineRule="exact"/>
        <w:ind w:firstLine="2520" w:firstLineChars="1050"/>
        <w:rPr>
          <w:rFonts w:hint="eastAsia" w:ascii="宋体"/>
          <w:color w:val="auto"/>
          <w:sz w:val="24"/>
          <w:highlight w:val="none"/>
        </w:rPr>
      </w:pPr>
      <w:r>
        <w:rPr>
          <w:rFonts w:hint="eastAsia" w:ascii="宋体"/>
          <w:color w:val="auto"/>
          <w:sz w:val="24"/>
          <w:highlight w:val="none"/>
        </w:rPr>
        <w:t>日    期：</w:t>
      </w:r>
      <w:r>
        <w:rPr>
          <w:rFonts w:hint="eastAsia" w:ascii="宋体"/>
          <w:color w:val="auto"/>
          <w:sz w:val="24"/>
          <w:highlight w:val="none"/>
          <w:u w:val="single"/>
        </w:rPr>
        <w:t xml:space="preserve">                 </w:t>
      </w:r>
    </w:p>
    <w:p w14:paraId="5B0116EB">
      <w:pPr>
        <w:spacing w:line="440" w:lineRule="exact"/>
        <w:ind w:firstLine="2520" w:firstLineChars="1050"/>
        <w:rPr>
          <w:rFonts w:hint="eastAsia" w:ascii="宋体"/>
          <w:color w:val="auto"/>
          <w:sz w:val="24"/>
          <w:highlight w:val="none"/>
        </w:rPr>
      </w:pPr>
      <w:r>
        <w:rPr>
          <w:rFonts w:hint="eastAsia" w:ascii="宋体"/>
          <w:color w:val="auto"/>
          <w:sz w:val="24"/>
          <w:highlight w:val="none"/>
        </w:rPr>
        <w:t>通讯地址：</w:t>
      </w:r>
      <w:r>
        <w:rPr>
          <w:rFonts w:hint="eastAsia" w:ascii="宋体"/>
          <w:color w:val="auto"/>
          <w:sz w:val="24"/>
          <w:highlight w:val="none"/>
          <w:u w:val="single"/>
        </w:rPr>
        <w:t xml:space="preserve">                 </w:t>
      </w:r>
    </w:p>
    <w:p w14:paraId="01B5114C">
      <w:pPr>
        <w:spacing w:line="440" w:lineRule="exact"/>
        <w:ind w:firstLine="2520" w:firstLineChars="1050"/>
        <w:rPr>
          <w:rFonts w:hint="eastAsia" w:ascii="宋体"/>
          <w:color w:val="auto"/>
          <w:sz w:val="24"/>
          <w:highlight w:val="none"/>
        </w:rPr>
      </w:pPr>
      <w:r>
        <w:rPr>
          <w:rFonts w:hint="eastAsia" w:ascii="宋体"/>
          <w:color w:val="auto"/>
          <w:sz w:val="24"/>
          <w:highlight w:val="none"/>
        </w:rPr>
        <w:t>电    话：</w:t>
      </w:r>
      <w:r>
        <w:rPr>
          <w:rFonts w:hint="eastAsia" w:ascii="宋体"/>
          <w:color w:val="auto"/>
          <w:sz w:val="24"/>
          <w:highlight w:val="none"/>
          <w:u w:val="single"/>
        </w:rPr>
        <w:t xml:space="preserve">                 </w:t>
      </w:r>
    </w:p>
    <w:p w14:paraId="51EAD083">
      <w:pPr>
        <w:ind w:right="-178" w:rightChars="-85" w:firstLine="2520" w:firstLineChars="1050"/>
        <w:rPr>
          <w:rFonts w:hint="eastAsia" w:ascii="宋体"/>
          <w:color w:val="auto"/>
          <w:sz w:val="24"/>
          <w:highlight w:val="none"/>
          <w:u w:val="single"/>
        </w:rPr>
      </w:pPr>
      <w:r>
        <w:rPr>
          <w:rFonts w:hint="eastAsia" w:ascii="宋体"/>
          <w:color w:val="auto"/>
          <w:sz w:val="24"/>
          <w:highlight w:val="none"/>
        </w:rPr>
        <w:t>传    真：</w:t>
      </w:r>
      <w:r>
        <w:rPr>
          <w:rFonts w:hint="eastAsia" w:ascii="宋体"/>
          <w:color w:val="auto"/>
          <w:sz w:val="24"/>
          <w:highlight w:val="none"/>
          <w:u w:val="single"/>
        </w:rPr>
        <w:t xml:space="preserve">                 </w:t>
      </w:r>
    </w:p>
    <w:p w14:paraId="7BAE05F4">
      <w:pPr>
        <w:spacing w:line="360" w:lineRule="exact"/>
        <w:rPr>
          <w:rFonts w:hint="eastAsia" w:ascii="宋体"/>
          <w:b/>
          <w:color w:val="auto"/>
          <w:sz w:val="28"/>
          <w:szCs w:val="28"/>
          <w:highlight w:val="none"/>
        </w:rPr>
      </w:pPr>
    </w:p>
    <w:p w14:paraId="3F8999DE">
      <w:pPr>
        <w:spacing w:line="440" w:lineRule="exact"/>
        <w:jc w:val="center"/>
        <w:outlineLvl w:val="0"/>
        <w:rPr>
          <w:rFonts w:hint="eastAsia" w:ascii="宋体"/>
          <w:b/>
          <w:color w:val="auto"/>
          <w:sz w:val="32"/>
          <w:szCs w:val="32"/>
          <w:highlight w:val="none"/>
        </w:rPr>
      </w:pPr>
    </w:p>
    <w:p w14:paraId="54A4A9B5">
      <w:pPr>
        <w:rPr>
          <w:rFonts w:hint="eastAsia" w:ascii="宋体" w:hAnsi="宋体"/>
          <w:b/>
          <w:color w:val="auto"/>
          <w:sz w:val="30"/>
          <w:szCs w:val="30"/>
          <w:highlight w:val="none"/>
        </w:rPr>
      </w:pPr>
      <w:r>
        <w:rPr>
          <w:rFonts w:hint="eastAsia" w:ascii="宋体" w:hAnsi="宋体"/>
          <w:b/>
          <w:color w:val="auto"/>
          <w:sz w:val="30"/>
          <w:szCs w:val="30"/>
          <w:highlight w:val="none"/>
        </w:rPr>
        <w:br w:type="page"/>
      </w:r>
    </w:p>
    <w:p w14:paraId="5938A4B6">
      <w:pPr>
        <w:rPr>
          <w:rFonts w:hint="eastAsia" w:ascii="宋体" w:hAnsi="宋体"/>
          <w:b/>
          <w:color w:val="auto"/>
          <w:sz w:val="30"/>
          <w:szCs w:val="30"/>
          <w:highlight w:val="none"/>
          <w:lang w:val="en-US" w:eastAsia="zh-CN"/>
        </w:rPr>
      </w:pPr>
      <w:r>
        <w:rPr>
          <w:rFonts w:hint="eastAsia" w:ascii="宋体" w:hAnsi="宋体"/>
          <w:b/>
          <w:color w:val="auto"/>
          <w:sz w:val="30"/>
          <w:szCs w:val="30"/>
          <w:highlight w:val="none"/>
        </w:rPr>
        <w:t>附件</w:t>
      </w:r>
      <w:r>
        <w:rPr>
          <w:rFonts w:hint="eastAsia" w:ascii="宋体" w:hAnsi="宋体"/>
          <w:b/>
          <w:color w:val="auto"/>
          <w:sz w:val="30"/>
          <w:szCs w:val="30"/>
          <w:highlight w:val="none"/>
          <w:lang w:val="en-US" w:eastAsia="zh-CN"/>
        </w:rPr>
        <w:t>5</w:t>
      </w:r>
    </w:p>
    <w:p w14:paraId="4DE9B7C3">
      <w:pPr>
        <w:jc w:val="center"/>
        <w:rPr>
          <w:rFonts w:hint="eastAsia" w:ascii="宋体"/>
          <w:b/>
          <w:color w:val="auto"/>
          <w:sz w:val="32"/>
          <w:szCs w:val="32"/>
          <w:highlight w:val="none"/>
          <w:lang w:val="en-US" w:eastAsia="zh-CN"/>
        </w:rPr>
      </w:pPr>
      <w:r>
        <w:rPr>
          <w:rFonts w:hint="eastAsia" w:ascii="宋体"/>
          <w:b/>
          <w:color w:val="auto"/>
          <w:sz w:val="32"/>
          <w:szCs w:val="32"/>
          <w:highlight w:val="none"/>
          <w:lang w:val="en-US" w:eastAsia="zh-CN"/>
        </w:rPr>
        <w:t>分项报价清单</w:t>
      </w:r>
    </w:p>
    <w:tbl>
      <w:tblPr>
        <w:tblStyle w:val="35"/>
        <w:tblpPr w:leftFromText="180" w:rightFromText="180" w:vertAnchor="text" w:horzAnchor="page" w:tblpX="985" w:tblpY="634"/>
        <w:tblOverlap w:val="never"/>
        <w:tblW w:w="101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931"/>
        <w:gridCol w:w="709"/>
        <w:gridCol w:w="709"/>
        <w:gridCol w:w="1665"/>
        <w:gridCol w:w="1455"/>
        <w:gridCol w:w="1185"/>
        <w:gridCol w:w="798"/>
      </w:tblGrid>
      <w:tr w14:paraId="3F04B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noWrap w:val="0"/>
            <w:vAlign w:val="center"/>
          </w:tcPr>
          <w:p w14:paraId="6A0F1C26">
            <w:pPr>
              <w:keepNext w:val="0"/>
              <w:keepLines w:val="0"/>
              <w:pageBreakBefore w:val="0"/>
              <w:widowControl w:val="0"/>
              <w:kinsoku/>
              <w:wordWrap/>
              <w:overflowPunct/>
              <w:topLinePunct w:val="0"/>
              <w:autoSpaceDE/>
              <w:autoSpaceDN/>
              <w:bidi w:val="0"/>
              <w:adjustRightInd/>
              <w:snapToGrid/>
              <w:spacing w:line="600" w:lineRule="exact"/>
              <w:ind w:right="-178" w:rightChars="-85"/>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2931" w:type="dxa"/>
            <w:noWrap w:val="0"/>
            <w:vAlign w:val="center"/>
          </w:tcPr>
          <w:p w14:paraId="4ACDE85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宋体" w:hAnsi="宋体" w:eastAsia="宋体" w:cs="宋体"/>
                <w:b/>
                <w:color w:val="auto"/>
                <w:sz w:val="24"/>
                <w:szCs w:val="24"/>
                <w:highlight w:val="none"/>
                <w:lang w:val="en-US"/>
              </w:rPr>
            </w:pPr>
            <w:r>
              <w:rPr>
                <w:rFonts w:hint="eastAsia" w:ascii="宋体" w:hAnsi="宋体" w:eastAsia="宋体" w:cs="宋体"/>
                <w:b/>
                <w:color w:val="auto"/>
                <w:sz w:val="24"/>
                <w:szCs w:val="24"/>
                <w:highlight w:val="none"/>
                <w:lang w:val="en-US" w:eastAsia="zh-CN"/>
              </w:rPr>
              <w:t>项目名称</w:t>
            </w:r>
          </w:p>
        </w:tc>
        <w:tc>
          <w:tcPr>
            <w:tcW w:w="709" w:type="dxa"/>
            <w:noWrap w:val="0"/>
            <w:vAlign w:val="center"/>
          </w:tcPr>
          <w:p w14:paraId="7AFB46C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单位</w:t>
            </w:r>
          </w:p>
        </w:tc>
        <w:tc>
          <w:tcPr>
            <w:tcW w:w="709" w:type="dxa"/>
            <w:noWrap w:val="0"/>
            <w:vAlign w:val="center"/>
          </w:tcPr>
          <w:p w14:paraId="2586ECC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数量</w:t>
            </w:r>
          </w:p>
        </w:tc>
        <w:tc>
          <w:tcPr>
            <w:tcW w:w="1665" w:type="dxa"/>
            <w:noWrap w:val="0"/>
            <w:vAlign w:val="center"/>
          </w:tcPr>
          <w:p w14:paraId="7443BC1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综合</w:t>
            </w:r>
            <w:r>
              <w:rPr>
                <w:rFonts w:hint="eastAsia" w:ascii="宋体" w:hAnsi="宋体" w:eastAsia="宋体" w:cs="宋体"/>
                <w:b/>
                <w:color w:val="auto"/>
                <w:sz w:val="24"/>
                <w:szCs w:val="24"/>
                <w:highlight w:val="none"/>
                <w:lang w:val="en-US" w:eastAsia="zh-CN"/>
              </w:rPr>
              <w:t>单价</w:t>
            </w:r>
            <w:r>
              <w:rPr>
                <w:rFonts w:hint="eastAsia" w:ascii="宋体" w:hAnsi="宋体" w:eastAsia="宋体" w:cs="宋体"/>
                <w:b/>
                <w:color w:val="auto"/>
                <w:sz w:val="24"/>
                <w:szCs w:val="24"/>
                <w:highlight w:val="none"/>
              </w:rPr>
              <w:t>最高限价（</w:t>
            </w:r>
            <w:r>
              <w:rPr>
                <w:rFonts w:hint="eastAsia" w:ascii="宋体" w:hAnsi="宋体" w:eastAsia="宋体" w:cs="宋体"/>
                <w:b/>
                <w:color w:val="auto"/>
                <w:sz w:val="24"/>
                <w:szCs w:val="24"/>
                <w:highlight w:val="none"/>
                <w:lang w:val="en-US" w:eastAsia="zh-CN"/>
              </w:rPr>
              <w:t>元</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项</w:t>
            </w:r>
            <w:r>
              <w:rPr>
                <w:rFonts w:hint="eastAsia" w:ascii="宋体" w:hAnsi="宋体" w:eastAsia="宋体" w:cs="宋体"/>
                <w:b/>
                <w:color w:val="auto"/>
                <w:sz w:val="24"/>
                <w:szCs w:val="24"/>
                <w:highlight w:val="none"/>
              </w:rPr>
              <w:t>）</w:t>
            </w:r>
          </w:p>
        </w:tc>
        <w:tc>
          <w:tcPr>
            <w:tcW w:w="1455" w:type="dxa"/>
            <w:noWrap w:val="0"/>
            <w:vAlign w:val="center"/>
          </w:tcPr>
          <w:p w14:paraId="138718C9">
            <w:pPr>
              <w:keepNext w:val="0"/>
              <w:keepLines w:val="0"/>
              <w:pageBreakBefore w:val="0"/>
              <w:widowControl w:val="0"/>
              <w:kinsoku/>
              <w:wordWrap/>
              <w:overflowPunct/>
              <w:topLinePunct w:val="0"/>
              <w:autoSpaceDE/>
              <w:autoSpaceDN/>
              <w:bidi w:val="0"/>
              <w:adjustRightInd/>
              <w:snapToGrid/>
              <w:spacing w:line="600" w:lineRule="exact"/>
              <w:ind w:right="34" w:rightChars="16"/>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综合单价</w:t>
            </w:r>
          </w:p>
          <w:p w14:paraId="10894B96">
            <w:pPr>
              <w:keepNext w:val="0"/>
              <w:keepLines w:val="0"/>
              <w:pageBreakBefore w:val="0"/>
              <w:widowControl w:val="0"/>
              <w:kinsoku/>
              <w:wordWrap/>
              <w:overflowPunct/>
              <w:topLinePunct w:val="0"/>
              <w:autoSpaceDE/>
              <w:autoSpaceDN/>
              <w:bidi w:val="0"/>
              <w:adjustRightInd/>
              <w:snapToGrid/>
              <w:spacing w:line="600" w:lineRule="exact"/>
              <w:ind w:right="34" w:rightChars="16"/>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（元/</w:t>
            </w:r>
            <w:r>
              <w:rPr>
                <w:rFonts w:hint="eastAsia" w:ascii="宋体" w:hAnsi="宋体" w:eastAsia="宋体" w:cs="宋体"/>
                <w:b/>
                <w:color w:val="auto"/>
                <w:sz w:val="24"/>
                <w:szCs w:val="24"/>
                <w:highlight w:val="none"/>
                <w:lang w:val="en-US" w:eastAsia="zh-CN"/>
              </w:rPr>
              <w:t>项</w:t>
            </w:r>
            <w:r>
              <w:rPr>
                <w:rFonts w:hint="eastAsia" w:ascii="宋体" w:hAnsi="宋体" w:eastAsia="宋体" w:cs="宋体"/>
                <w:b/>
                <w:color w:val="auto"/>
                <w:sz w:val="24"/>
                <w:szCs w:val="24"/>
                <w:highlight w:val="none"/>
              </w:rPr>
              <w:t>）</w:t>
            </w:r>
          </w:p>
        </w:tc>
        <w:tc>
          <w:tcPr>
            <w:tcW w:w="1185" w:type="dxa"/>
            <w:noWrap w:val="0"/>
            <w:vAlign w:val="center"/>
          </w:tcPr>
          <w:p w14:paraId="56BAB2E6">
            <w:pPr>
              <w:keepNext w:val="0"/>
              <w:keepLines w:val="0"/>
              <w:pageBreakBefore w:val="0"/>
              <w:widowControl w:val="0"/>
              <w:kinsoku/>
              <w:wordWrap/>
              <w:overflowPunct/>
              <w:topLinePunct w:val="0"/>
              <w:autoSpaceDE/>
              <w:autoSpaceDN/>
              <w:bidi w:val="0"/>
              <w:adjustRightInd/>
              <w:snapToGrid/>
              <w:spacing w:line="600" w:lineRule="exact"/>
              <w:ind w:right="-15" w:rightChars="-7"/>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合价（元）</w:t>
            </w:r>
          </w:p>
        </w:tc>
        <w:tc>
          <w:tcPr>
            <w:tcW w:w="798" w:type="dxa"/>
            <w:noWrap w:val="0"/>
            <w:vAlign w:val="center"/>
          </w:tcPr>
          <w:p w14:paraId="0DCD9203">
            <w:pPr>
              <w:keepNext w:val="0"/>
              <w:keepLines w:val="0"/>
              <w:pageBreakBefore w:val="0"/>
              <w:widowControl w:val="0"/>
              <w:kinsoku/>
              <w:wordWrap/>
              <w:overflowPunct/>
              <w:topLinePunct w:val="0"/>
              <w:autoSpaceDE/>
              <w:autoSpaceDN/>
              <w:bidi w:val="0"/>
              <w:adjustRightInd/>
              <w:snapToGrid/>
              <w:spacing w:line="600" w:lineRule="exact"/>
              <w:ind w:right="34" w:rightChars="16"/>
              <w:jc w:val="center"/>
              <w:textAlignment w:val="auto"/>
              <w:rPr>
                <w:rFonts w:hint="eastAsia" w:ascii="宋体" w:hAnsi="宋体" w:eastAsia="宋体" w:cs="宋体"/>
                <w:b/>
                <w:color w:val="auto"/>
                <w:sz w:val="24"/>
                <w:szCs w:val="24"/>
                <w:highlight w:val="none"/>
                <w:lang w:eastAsia="zh-CN"/>
              </w:rPr>
            </w:pPr>
            <w:r>
              <w:rPr>
                <w:rFonts w:hint="eastAsia" w:ascii="宋体" w:hAnsi="宋体" w:eastAsia="宋体" w:cs="宋体"/>
                <w:bCs/>
                <w:color w:val="auto"/>
                <w:sz w:val="24"/>
                <w:szCs w:val="24"/>
                <w:highlight w:val="none"/>
                <w:lang w:val="en-US" w:eastAsia="zh-CN"/>
              </w:rPr>
              <w:t>备注</w:t>
            </w:r>
          </w:p>
        </w:tc>
      </w:tr>
      <w:tr w14:paraId="2F8FE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trPr>
        <w:tc>
          <w:tcPr>
            <w:tcW w:w="721" w:type="dxa"/>
            <w:noWrap w:val="0"/>
            <w:vAlign w:val="center"/>
          </w:tcPr>
          <w:p w14:paraId="67A449C9">
            <w:pPr>
              <w:keepNext w:val="0"/>
              <w:keepLines w:val="0"/>
              <w:pageBreakBefore w:val="0"/>
              <w:widowControl w:val="0"/>
              <w:kinsoku/>
              <w:wordWrap/>
              <w:overflowPunct/>
              <w:topLinePunct w:val="0"/>
              <w:autoSpaceDE/>
              <w:autoSpaceDN/>
              <w:bidi w:val="0"/>
              <w:adjustRightInd/>
              <w:snapToGrid/>
              <w:spacing w:line="600" w:lineRule="exact"/>
              <w:ind w:right="-178" w:rightChars="-85"/>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931" w:type="dxa"/>
            <w:noWrap w:val="0"/>
            <w:vAlign w:val="center"/>
          </w:tcPr>
          <w:p w14:paraId="554A317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苏州路与双城路交叉口西北侧地块开发项目</w:t>
            </w:r>
          </w:p>
        </w:tc>
        <w:tc>
          <w:tcPr>
            <w:tcW w:w="709" w:type="dxa"/>
            <w:noWrap w:val="0"/>
            <w:vAlign w:val="center"/>
          </w:tcPr>
          <w:p w14:paraId="1A514E9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项</w:t>
            </w:r>
          </w:p>
        </w:tc>
        <w:tc>
          <w:tcPr>
            <w:tcW w:w="709" w:type="dxa"/>
            <w:noWrap w:val="0"/>
            <w:vAlign w:val="center"/>
          </w:tcPr>
          <w:p w14:paraId="70139D4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665" w:type="dxa"/>
            <w:noWrap w:val="0"/>
            <w:vAlign w:val="center"/>
          </w:tcPr>
          <w:p w14:paraId="3559E5A0">
            <w:pPr>
              <w:keepNext w:val="0"/>
              <w:keepLines w:val="0"/>
              <w:pageBreakBefore w:val="0"/>
              <w:widowControl w:val="0"/>
              <w:kinsoku/>
              <w:wordWrap/>
              <w:overflowPunct/>
              <w:topLinePunct w:val="0"/>
              <w:autoSpaceDE/>
              <w:autoSpaceDN/>
              <w:bidi w:val="0"/>
              <w:adjustRightInd/>
              <w:snapToGrid/>
              <w:spacing w:line="600" w:lineRule="exact"/>
              <w:ind w:right="-178" w:rightChars="-85"/>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20000</w:t>
            </w:r>
          </w:p>
        </w:tc>
        <w:tc>
          <w:tcPr>
            <w:tcW w:w="1455" w:type="dxa"/>
            <w:noWrap w:val="0"/>
            <w:vAlign w:val="center"/>
          </w:tcPr>
          <w:p w14:paraId="11E28DA2">
            <w:pPr>
              <w:keepNext w:val="0"/>
              <w:keepLines w:val="0"/>
              <w:pageBreakBefore w:val="0"/>
              <w:widowControl w:val="0"/>
              <w:kinsoku/>
              <w:wordWrap/>
              <w:overflowPunct/>
              <w:topLinePunct w:val="0"/>
              <w:autoSpaceDE/>
              <w:autoSpaceDN/>
              <w:bidi w:val="0"/>
              <w:adjustRightInd/>
              <w:snapToGrid/>
              <w:spacing w:line="600" w:lineRule="exact"/>
              <w:ind w:right="34" w:rightChars="16"/>
              <w:jc w:val="center"/>
              <w:textAlignment w:val="auto"/>
              <w:rPr>
                <w:rFonts w:hint="eastAsia" w:ascii="宋体" w:hAnsi="宋体" w:eastAsia="宋体" w:cs="宋体"/>
                <w:color w:val="auto"/>
                <w:sz w:val="24"/>
                <w:szCs w:val="24"/>
                <w:highlight w:val="none"/>
                <w:lang w:val="en-US" w:eastAsia="zh-CN"/>
              </w:rPr>
            </w:pPr>
          </w:p>
        </w:tc>
        <w:tc>
          <w:tcPr>
            <w:tcW w:w="1185" w:type="dxa"/>
            <w:noWrap w:val="0"/>
            <w:vAlign w:val="center"/>
          </w:tcPr>
          <w:p w14:paraId="1D2B6ACA">
            <w:pPr>
              <w:keepNext w:val="0"/>
              <w:keepLines w:val="0"/>
              <w:pageBreakBefore w:val="0"/>
              <w:widowControl w:val="0"/>
              <w:kinsoku/>
              <w:wordWrap/>
              <w:overflowPunct/>
              <w:topLinePunct w:val="0"/>
              <w:autoSpaceDE/>
              <w:autoSpaceDN/>
              <w:bidi w:val="0"/>
              <w:adjustRightInd/>
              <w:snapToGrid/>
              <w:spacing w:line="600" w:lineRule="exact"/>
              <w:ind w:right="-15" w:rightChars="-7"/>
              <w:jc w:val="center"/>
              <w:textAlignment w:val="auto"/>
              <w:rPr>
                <w:rFonts w:hint="eastAsia" w:ascii="宋体" w:hAnsi="宋体" w:eastAsia="宋体" w:cs="宋体"/>
                <w:color w:val="auto"/>
                <w:sz w:val="24"/>
                <w:szCs w:val="24"/>
                <w:highlight w:val="none"/>
              </w:rPr>
            </w:pPr>
          </w:p>
        </w:tc>
        <w:tc>
          <w:tcPr>
            <w:tcW w:w="798" w:type="dxa"/>
            <w:noWrap w:val="0"/>
            <w:vAlign w:val="center"/>
          </w:tcPr>
          <w:p w14:paraId="73B8A099">
            <w:pPr>
              <w:keepNext w:val="0"/>
              <w:keepLines w:val="0"/>
              <w:pageBreakBefore w:val="0"/>
              <w:widowControl w:val="0"/>
              <w:kinsoku/>
              <w:wordWrap/>
              <w:overflowPunct/>
              <w:topLinePunct w:val="0"/>
              <w:autoSpaceDE/>
              <w:autoSpaceDN/>
              <w:bidi w:val="0"/>
              <w:adjustRightInd/>
              <w:snapToGrid/>
              <w:spacing w:line="600" w:lineRule="exact"/>
              <w:ind w:right="34" w:rightChars="16"/>
              <w:jc w:val="center"/>
              <w:textAlignment w:val="auto"/>
              <w:rPr>
                <w:rFonts w:hint="eastAsia" w:ascii="宋体" w:hAnsi="宋体" w:eastAsia="宋体" w:cs="宋体"/>
                <w:color w:val="auto"/>
                <w:sz w:val="24"/>
                <w:szCs w:val="24"/>
                <w:highlight w:val="none"/>
              </w:rPr>
            </w:pPr>
          </w:p>
        </w:tc>
      </w:tr>
      <w:tr w14:paraId="04D54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721" w:type="dxa"/>
            <w:noWrap w:val="0"/>
            <w:vAlign w:val="center"/>
          </w:tcPr>
          <w:p w14:paraId="38B3A518">
            <w:pPr>
              <w:keepNext w:val="0"/>
              <w:keepLines w:val="0"/>
              <w:pageBreakBefore w:val="0"/>
              <w:widowControl w:val="0"/>
              <w:kinsoku/>
              <w:wordWrap/>
              <w:overflowPunct/>
              <w:topLinePunct w:val="0"/>
              <w:autoSpaceDE/>
              <w:autoSpaceDN/>
              <w:bidi w:val="0"/>
              <w:adjustRightInd/>
              <w:snapToGrid/>
              <w:spacing w:line="600" w:lineRule="exact"/>
              <w:ind w:right="-178" w:rightChars="-85"/>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931" w:type="dxa"/>
            <w:noWrap w:val="0"/>
            <w:vAlign w:val="center"/>
          </w:tcPr>
          <w:p w14:paraId="3206A32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中新苏滁高新区超级电容智能制造基地二期项目</w:t>
            </w:r>
          </w:p>
        </w:tc>
        <w:tc>
          <w:tcPr>
            <w:tcW w:w="709" w:type="dxa"/>
            <w:noWrap w:val="0"/>
            <w:vAlign w:val="center"/>
          </w:tcPr>
          <w:p w14:paraId="5ACE17C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项</w:t>
            </w:r>
          </w:p>
        </w:tc>
        <w:tc>
          <w:tcPr>
            <w:tcW w:w="709" w:type="dxa"/>
            <w:noWrap w:val="0"/>
            <w:vAlign w:val="center"/>
          </w:tcPr>
          <w:p w14:paraId="31982A6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665" w:type="dxa"/>
            <w:noWrap w:val="0"/>
            <w:vAlign w:val="center"/>
          </w:tcPr>
          <w:p w14:paraId="6C43F84B">
            <w:pPr>
              <w:keepNext w:val="0"/>
              <w:keepLines w:val="0"/>
              <w:pageBreakBefore w:val="0"/>
              <w:widowControl w:val="0"/>
              <w:kinsoku/>
              <w:wordWrap/>
              <w:overflowPunct/>
              <w:topLinePunct w:val="0"/>
              <w:autoSpaceDE/>
              <w:autoSpaceDN/>
              <w:bidi w:val="0"/>
              <w:adjustRightInd/>
              <w:snapToGrid/>
              <w:spacing w:line="600" w:lineRule="exact"/>
              <w:ind w:right="-178" w:rightChars="-85"/>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20000</w:t>
            </w:r>
          </w:p>
        </w:tc>
        <w:tc>
          <w:tcPr>
            <w:tcW w:w="1455" w:type="dxa"/>
            <w:noWrap w:val="0"/>
            <w:vAlign w:val="center"/>
          </w:tcPr>
          <w:p w14:paraId="630BF4CB">
            <w:pPr>
              <w:keepNext w:val="0"/>
              <w:keepLines w:val="0"/>
              <w:pageBreakBefore w:val="0"/>
              <w:widowControl w:val="0"/>
              <w:kinsoku/>
              <w:wordWrap/>
              <w:overflowPunct/>
              <w:topLinePunct w:val="0"/>
              <w:autoSpaceDE/>
              <w:autoSpaceDN/>
              <w:bidi w:val="0"/>
              <w:adjustRightInd/>
              <w:snapToGrid/>
              <w:spacing w:line="600" w:lineRule="exact"/>
              <w:ind w:right="34" w:rightChars="16"/>
              <w:jc w:val="center"/>
              <w:textAlignment w:val="auto"/>
              <w:rPr>
                <w:rFonts w:hint="eastAsia" w:ascii="宋体" w:hAnsi="宋体" w:eastAsia="宋体" w:cs="宋体"/>
                <w:color w:val="auto"/>
                <w:sz w:val="24"/>
                <w:szCs w:val="24"/>
                <w:highlight w:val="none"/>
                <w:lang w:val="en-US" w:eastAsia="zh-CN"/>
              </w:rPr>
            </w:pPr>
          </w:p>
        </w:tc>
        <w:tc>
          <w:tcPr>
            <w:tcW w:w="1185" w:type="dxa"/>
            <w:noWrap w:val="0"/>
            <w:vAlign w:val="center"/>
          </w:tcPr>
          <w:p w14:paraId="3C0396F2">
            <w:pPr>
              <w:keepNext w:val="0"/>
              <w:keepLines w:val="0"/>
              <w:pageBreakBefore w:val="0"/>
              <w:widowControl w:val="0"/>
              <w:kinsoku/>
              <w:wordWrap/>
              <w:overflowPunct/>
              <w:topLinePunct w:val="0"/>
              <w:autoSpaceDE/>
              <w:autoSpaceDN/>
              <w:bidi w:val="0"/>
              <w:adjustRightInd/>
              <w:snapToGrid/>
              <w:spacing w:line="600" w:lineRule="exact"/>
              <w:ind w:right="-15" w:rightChars="-7"/>
              <w:jc w:val="center"/>
              <w:textAlignment w:val="auto"/>
              <w:rPr>
                <w:rFonts w:hint="eastAsia" w:ascii="宋体" w:hAnsi="宋体" w:eastAsia="宋体" w:cs="宋体"/>
                <w:color w:val="auto"/>
                <w:sz w:val="24"/>
                <w:szCs w:val="24"/>
                <w:highlight w:val="none"/>
              </w:rPr>
            </w:pPr>
          </w:p>
        </w:tc>
        <w:tc>
          <w:tcPr>
            <w:tcW w:w="798" w:type="dxa"/>
            <w:noWrap w:val="0"/>
            <w:vAlign w:val="center"/>
          </w:tcPr>
          <w:p w14:paraId="3C59E665">
            <w:pPr>
              <w:keepNext w:val="0"/>
              <w:keepLines w:val="0"/>
              <w:pageBreakBefore w:val="0"/>
              <w:widowControl w:val="0"/>
              <w:kinsoku/>
              <w:wordWrap/>
              <w:overflowPunct/>
              <w:topLinePunct w:val="0"/>
              <w:autoSpaceDE/>
              <w:autoSpaceDN/>
              <w:bidi w:val="0"/>
              <w:adjustRightInd/>
              <w:snapToGrid/>
              <w:spacing w:line="600" w:lineRule="exact"/>
              <w:ind w:right="34" w:rightChars="16"/>
              <w:jc w:val="center"/>
              <w:textAlignment w:val="auto"/>
              <w:rPr>
                <w:rFonts w:hint="eastAsia" w:ascii="宋体" w:hAnsi="宋体" w:eastAsia="宋体" w:cs="宋体"/>
                <w:color w:val="auto"/>
                <w:sz w:val="24"/>
                <w:szCs w:val="24"/>
                <w:highlight w:val="none"/>
              </w:rPr>
            </w:pPr>
          </w:p>
        </w:tc>
      </w:tr>
      <w:tr w14:paraId="116F3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652" w:type="dxa"/>
            <w:gridSpan w:val="2"/>
            <w:noWrap w:val="0"/>
            <w:vAlign w:val="center"/>
          </w:tcPr>
          <w:p w14:paraId="38694023">
            <w:pPr>
              <w:keepNext w:val="0"/>
              <w:keepLines w:val="0"/>
              <w:pageBreakBefore w:val="0"/>
              <w:widowControl w:val="0"/>
              <w:kinsoku/>
              <w:wordWrap/>
              <w:overflowPunct/>
              <w:topLinePunct w:val="0"/>
              <w:autoSpaceDE/>
              <w:autoSpaceDN/>
              <w:bidi w:val="0"/>
              <w:adjustRightInd/>
              <w:snapToGrid/>
              <w:spacing w:line="600" w:lineRule="exact"/>
              <w:ind w:right="-178" w:rightChars="-85"/>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投标总报价</w:t>
            </w:r>
          </w:p>
        </w:tc>
        <w:tc>
          <w:tcPr>
            <w:tcW w:w="6521" w:type="dxa"/>
            <w:gridSpan w:val="6"/>
            <w:noWrap w:val="0"/>
            <w:vAlign w:val="center"/>
          </w:tcPr>
          <w:p w14:paraId="6C268350">
            <w:pPr>
              <w:keepNext w:val="0"/>
              <w:keepLines w:val="0"/>
              <w:pageBreakBefore w:val="0"/>
              <w:widowControl w:val="0"/>
              <w:kinsoku/>
              <w:wordWrap/>
              <w:overflowPunct/>
              <w:topLinePunct w:val="0"/>
              <w:autoSpaceDE/>
              <w:autoSpaceDN/>
              <w:bidi w:val="0"/>
              <w:adjustRightInd/>
              <w:snapToGrid/>
              <w:spacing w:line="600" w:lineRule="exact"/>
              <w:ind w:right="-178" w:rightChars="-85"/>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大写：                        </w:t>
            </w:r>
            <w:r>
              <w:rPr>
                <w:rFonts w:hint="eastAsia" w:ascii="宋体" w:hAnsi="宋体" w:eastAsia="宋体" w:cs="宋体"/>
                <w:b/>
                <w:color w:val="auto"/>
                <w:sz w:val="24"/>
                <w:szCs w:val="24"/>
                <w:highlight w:val="none"/>
                <w:lang w:val="en-US" w:eastAsia="zh-CN"/>
              </w:rPr>
              <w:t xml:space="preserve"> </w:t>
            </w:r>
            <w:r>
              <w:rPr>
                <w:rFonts w:hint="eastAsia" w:ascii="宋体" w:hAnsi="宋体" w:eastAsia="宋体" w:cs="宋体"/>
                <w:b/>
                <w:color w:val="auto"/>
                <w:sz w:val="24"/>
                <w:szCs w:val="24"/>
                <w:highlight w:val="none"/>
              </w:rPr>
              <w:t xml:space="preserve">小写：         </w:t>
            </w:r>
          </w:p>
        </w:tc>
      </w:tr>
    </w:tbl>
    <w:p w14:paraId="639D3A28">
      <w:pPr>
        <w:pStyle w:val="7"/>
        <w:numPr>
          <w:ilvl w:val="1"/>
          <w:numId w:val="0"/>
        </w:numPr>
        <w:rPr>
          <w:rFonts w:hint="eastAsia"/>
          <w:color w:val="auto"/>
          <w:highlight w:val="none"/>
          <w:lang w:val="zh-CN"/>
        </w:rPr>
      </w:pPr>
    </w:p>
    <w:p w14:paraId="4E997073">
      <w:pPr>
        <w:rPr>
          <w:rFonts w:hint="eastAsia" w:ascii="宋体" w:hAnsi="宋体" w:eastAsia="宋体" w:cs="宋体"/>
          <w:b/>
          <w:bCs/>
          <w:color w:val="auto"/>
          <w:szCs w:val="21"/>
          <w:highlight w:val="none"/>
          <w:lang w:val="zh-CN"/>
        </w:rPr>
      </w:pPr>
      <w:r>
        <w:rPr>
          <w:rFonts w:hint="eastAsia" w:ascii="宋体" w:hAnsi="宋体" w:eastAsia="宋体" w:cs="宋体"/>
          <w:b/>
          <w:bCs/>
          <w:color w:val="auto"/>
          <w:szCs w:val="21"/>
          <w:highlight w:val="none"/>
          <w:lang w:val="zh-CN"/>
        </w:rPr>
        <w:t>注：1.所有投标只能选择一种方案，单价和合价的报价只能是唯一。</w:t>
      </w:r>
    </w:p>
    <w:p w14:paraId="42AED1B4">
      <w:pPr>
        <w:keepNext w:val="0"/>
        <w:keepLines w:val="0"/>
        <w:pageBreakBefore w:val="0"/>
        <w:widowControl w:val="0"/>
        <w:kinsoku/>
        <w:wordWrap/>
        <w:overflowPunct/>
        <w:topLinePunct w:val="0"/>
        <w:autoSpaceDE/>
        <w:autoSpaceDN/>
        <w:bidi w:val="0"/>
        <w:adjustRightInd/>
        <w:snapToGrid/>
        <w:spacing w:line="500" w:lineRule="exact"/>
        <w:ind w:firstLine="422" w:firstLineChars="200"/>
        <w:jc w:val="left"/>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rPr>
        <w:t>2</w:t>
      </w:r>
      <w:r>
        <w:rPr>
          <w:rFonts w:hint="eastAsia" w:ascii="宋体" w:hAnsi="宋体" w:eastAsia="宋体" w:cs="宋体"/>
          <w:b/>
          <w:bCs/>
          <w:color w:val="auto"/>
          <w:szCs w:val="21"/>
          <w:highlight w:val="none"/>
          <w:lang w:val="zh-CN"/>
        </w:rPr>
        <w:t>.</w:t>
      </w:r>
      <w:r>
        <w:rPr>
          <w:rFonts w:hint="eastAsia" w:ascii="宋体" w:hAnsi="宋体" w:eastAsia="宋体" w:cs="宋体"/>
          <w:b/>
          <w:bCs/>
          <w:color w:val="auto"/>
          <w:szCs w:val="21"/>
          <w:highlight w:val="none"/>
          <w:lang w:val="en-US" w:eastAsia="zh-CN"/>
        </w:rPr>
        <w:t>所报综合单价不得高于综合单价最高限价，否则按无效标处理。</w:t>
      </w:r>
    </w:p>
    <w:p w14:paraId="3EC938E5">
      <w:pPr>
        <w:spacing w:line="400" w:lineRule="exact"/>
        <w:rPr>
          <w:rFonts w:hint="eastAsia" w:ascii="宋体"/>
          <w:color w:val="auto"/>
          <w:sz w:val="24"/>
          <w:highlight w:val="none"/>
        </w:rPr>
      </w:pPr>
    </w:p>
    <w:p w14:paraId="732B925E">
      <w:pPr>
        <w:pStyle w:val="21"/>
        <w:rPr>
          <w:rFonts w:hint="eastAsia"/>
          <w:color w:val="auto"/>
          <w:highlight w:val="none"/>
        </w:rPr>
      </w:pPr>
    </w:p>
    <w:p w14:paraId="31CCFA8A">
      <w:pPr>
        <w:keepNext w:val="0"/>
        <w:keepLines w:val="0"/>
        <w:pageBreakBefore w:val="0"/>
        <w:widowControl w:val="0"/>
        <w:kinsoku/>
        <w:wordWrap/>
        <w:overflowPunct/>
        <w:topLinePunct w:val="0"/>
        <w:autoSpaceDE/>
        <w:autoSpaceDN/>
        <w:bidi w:val="0"/>
        <w:adjustRightInd/>
        <w:snapToGrid/>
        <w:spacing w:line="600" w:lineRule="exact"/>
        <w:ind w:firstLine="420" w:firstLineChars="200"/>
        <w:jc w:val="right"/>
        <w:textAlignment w:val="auto"/>
        <w:rPr>
          <w:rFonts w:hint="eastAsia" w:ascii="宋体" w:hAnsi="宋体" w:cs="宋体"/>
          <w:color w:val="auto"/>
          <w:sz w:val="24"/>
          <w:szCs w:val="24"/>
          <w:highlight w:val="none"/>
          <w:lang w:val="zh-CN"/>
        </w:rPr>
      </w:pPr>
      <w:r>
        <w:rPr>
          <w:rFonts w:hint="eastAsia" w:ascii="宋体" w:hAnsi="宋体" w:cs="宋体"/>
          <w:color w:val="auto"/>
          <w:szCs w:val="21"/>
          <w:highlight w:val="none"/>
        </w:rPr>
        <w:t xml:space="preserve">             </w:t>
      </w:r>
      <w:r>
        <w:rPr>
          <w:rFonts w:hint="eastAsia" w:ascii="宋体" w:hAnsi="宋体" w:cs="宋体"/>
          <w:color w:val="auto"/>
          <w:sz w:val="24"/>
          <w:szCs w:val="24"/>
          <w:highlight w:val="none"/>
        </w:rPr>
        <w:t xml:space="preserve">     </w:t>
      </w:r>
      <w:r>
        <w:rPr>
          <w:rFonts w:hint="eastAsia" w:ascii="宋体" w:hAnsi="宋体" w:cs="宋体"/>
          <w:color w:val="auto"/>
          <w:sz w:val="24"/>
          <w:szCs w:val="24"/>
          <w:highlight w:val="none"/>
          <w:lang w:val="zh-CN"/>
        </w:rPr>
        <w:t>投标人名称（</w:t>
      </w:r>
      <w:r>
        <w:rPr>
          <w:rFonts w:hint="eastAsia" w:ascii="宋体" w:hAnsi="宋体" w:cs="宋体"/>
          <w:color w:val="auto"/>
          <w:sz w:val="24"/>
          <w:szCs w:val="24"/>
          <w:highlight w:val="none"/>
          <w:lang w:val="en-US" w:eastAsia="zh-CN"/>
        </w:rPr>
        <w:t>盖章</w:t>
      </w:r>
      <w:r>
        <w:rPr>
          <w:rFonts w:hint="eastAsia" w:ascii="宋体" w:hAnsi="宋体" w:cs="宋体"/>
          <w:color w:val="auto"/>
          <w:sz w:val="24"/>
          <w:szCs w:val="24"/>
          <w:highlight w:val="none"/>
          <w:lang w:val="zh-CN"/>
        </w:rPr>
        <w:t>）：</w:t>
      </w:r>
      <w:r>
        <w:rPr>
          <w:rFonts w:hint="eastAsia" w:ascii="宋体" w:hAnsi="宋体" w:cs="宋体"/>
          <w:color w:val="auto"/>
          <w:sz w:val="24"/>
          <w:szCs w:val="24"/>
          <w:highlight w:val="none"/>
          <w:u w:val="single"/>
          <w:lang w:val="zh-CN"/>
        </w:rPr>
        <w:t xml:space="preserve">                    </w:t>
      </w:r>
      <w:r>
        <w:rPr>
          <w:rFonts w:hint="eastAsia" w:ascii="宋体" w:hAnsi="宋体" w:cs="宋体"/>
          <w:color w:val="auto"/>
          <w:sz w:val="24"/>
          <w:szCs w:val="24"/>
          <w:highlight w:val="none"/>
          <w:lang w:val="zh-CN"/>
        </w:rPr>
        <w:t xml:space="preserve"> </w:t>
      </w:r>
    </w:p>
    <w:p w14:paraId="7558E38D">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right"/>
        <w:textAlignment w:val="auto"/>
        <w:rPr>
          <w:rFonts w:hint="eastAsia" w:ascii="宋体" w:hAnsi="宋体" w:cs="宋体"/>
          <w:color w:val="auto"/>
          <w:sz w:val="24"/>
          <w:szCs w:val="24"/>
          <w:highlight w:val="none"/>
          <w:lang w:val="zh-CN"/>
        </w:rPr>
      </w:pPr>
      <w:r>
        <w:rPr>
          <w:rFonts w:hint="eastAsia" w:ascii="宋体" w:hAnsi="宋体" w:cs="宋体"/>
          <w:color w:val="auto"/>
          <w:sz w:val="24"/>
          <w:szCs w:val="24"/>
          <w:highlight w:val="none"/>
        </w:rPr>
        <w:t xml:space="preserve">                 </w:t>
      </w:r>
      <w:r>
        <w:rPr>
          <w:rFonts w:hint="eastAsia" w:ascii="宋体" w:hAnsi="宋体" w:cs="宋体"/>
          <w:color w:val="auto"/>
          <w:sz w:val="24"/>
          <w:szCs w:val="24"/>
          <w:highlight w:val="none"/>
          <w:lang w:val="zh-CN"/>
        </w:rPr>
        <w:t>法定代表人 （</w:t>
      </w:r>
      <w:r>
        <w:rPr>
          <w:rFonts w:hint="eastAsia" w:ascii="宋体" w:hAnsi="宋体" w:cs="宋体"/>
          <w:color w:val="auto"/>
          <w:sz w:val="24"/>
          <w:szCs w:val="24"/>
          <w:highlight w:val="none"/>
          <w:lang w:val="en-US" w:eastAsia="zh-CN"/>
        </w:rPr>
        <w:t>签字或盖章）</w:t>
      </w:r>
      <w:r>
        <w:rPr>
          <w:rFonts w:hint="eastAsia" w:ascii="宋体" w:hAnsi="宋体" w:cs="宋体"/>
          <w:color w:val="auto"/>
          <w:sz w:val="24"/>
          <w:szCs w:val="24"/>
          <w:highlight w:val="none"/>
          <w:lang w:val="zh-CN"/>
        </w:rPr>
        <w:t>：</w:t>
      </w:r>
      <w:r>
        <w:rPr>
          <w:rFonts w:hint="eastAsia" w:ascii="宋体" w:hAnsi="宋体" w:cs="宋体"/>
          <w:color w:val="auto"/>
          <w:sz w:val="24"/>
          <w:szCs w:val="24"/>
          <w:highlight w:val="none"/>
          <w:u w:val="single"/>
          <w:lang w:val="zh-CN"/>
        </w:rPr>
        <w:t xml:space="preserve">                     </w:t>
      </w:r>
      <w:r>
        <w:rPr>
          <w:rFonts w:hint="eastAsia" w:ascii="宋体" w:hAnsi="宋体" w:cs="宋体"/>
          <w:color w:val="auto"/>
          <w:sz w:val="24"/>
          <w:szCs w:val="24"/>
          <w:highlight w:val="none"/>
          <w:lang w:val="zh-CN"/>
        </w:rPr>
        <w:t xml:space="preserve"> </w:t>
      </w:r>
    </w:p>
    <w:p w14:paraId="55F55745">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eastAsia" w:ascii="宋体"/>
          <w:b/>
          <w:color w:val="auto"/>
          <w:sz w:val="32"/>
          <w:szCs w:val="32"/>
          <w:highlight w:val="none"/>
          <w:lang w:val="en-US" w:eastAsia="zh-CN"/>
        </w:rPr>
      </w:pPr>
      <w:r>
        <w:rPr>
          <w:rFonts w:hint="eastAsia" w:ascii="宋体" w:hAnsi="宋体" w:cs="宋体"/>
          <w:color w:val="auto"/>
          <w:sz w:val="24"/>
          <w:szCs w:val="24"/>
          <w:highlight w:val="none"/>
        </w:rPr>
        <w:t xml:space="preserve">                                </w:t>
      </w:r>
      <w:r>
        <w:rPr>
          <w:rFonts w:hint="eastAsia" w:ascii="宋体" w:hAnsi="宋体" w:cs="宋体"/>
          <w:color w:val="auto"/>
          <w:sz w:val="24"/>
          <w:szCs w:val="24"/>
          <w:highlight w:val="none"/>
          <w:lang w:val="zh-CN"/>
        </w:rPr>
        <w:t>日    期：     年   月   日</w:t>
      </w:r>
    </w:p>
    <w:p w14:paraId="509ACE49">
      <w:pPr>
        <w:rPr>
          <w:rFonts w:hint="eastAsia" w:ascii="宋体" w:hAnsi="宋体"/>
          <w:b/>
          <w:color w:val="auto"/>
          <w:sz w:val="30"/>
          <w:szCs w:val="30"/>
          <w:highlight w:val="none"/>
        </w:rPr>
      </w:pPr>
    </w:p>
    <w:bookmarkEnd w:id="60"/>
    <w:bookmarkEnd w:id="61"/>
    <w:p w14:paraId="6A24029D">
      <w:pPr>
        <w:spacing w:line="440" w:lineRule="exact"/>
        <w:jc w:val="center"/>
        <w:outlineLvl w:val="0"/>
        <w:rPr>
          <w:rFonts w:hint="eastAsia" w:ascii="宋体"/>
          <w:b/>
          <w:color w:val="auto"/>
          <w:sz w:val="32"/>
          <w:szCs w:val="32"/>
          <w:highlight w:val="none"/>
          <w:lang w:val="en-US" w:eastAsia="zh-CN"/>
        </w:rPr>
      </w:pPr>
      <w:bookmarkStart w:id="71" w:name="_Toc449028957"/>
      <w:bookmarkStart w:id="72" w:name="_Toc58430333"/>
    </w:p>
    <w:p w14:paraId="598AD089">
      <w:pPr>
        <w:spacing w:line="440" w:lineRule="exact"/>
        <w:jc w:val="center"/>
        <w:outlineLvl w:val="0"/>
        <w:rPr>
          <w:rFonts w:hint="eastAsia" w:ascii="宋体"/>
          <w:b/>
          <w:color w:val="auto"/>
          <w:sz w:val="32"/>
          <w:szCs w:val="32"/>
          <w:highlight w:val="none"/>
          <w:lang w:val="en-US" w:eastAsia="zh-CN"/>
        </w:rPr>
      </w:pPr>
    </w:p>
    <w:p w14:paraId="63A652FD">
      <w:pPr>
        <w:spacing w:line="440" w:lineRule="exact"/>
        <w:jc w:val="center"/>
        <w:outlineLvl w:val="0"/>
        <w:rPr>
          <w:rFonts w:hint="eastAsia" w:ascii="宋体"/>
          <w:b/>
          <w:color w:val="auto"/>
          <w:sz w:val="32"/>
          <w:szCs w:val="32"/>
          <w:highlight w:val="none"/>
          <w:lang w:val="en-US" w:eastAsia="zh-CN"/>
        </w:rPr>
      </w:pPr>
    </w:p>
    <w:p w14:paraId="6692221C">
      <w:pPr>
        <w:rPr>
          <w:rFonts w:hint="eastAsia" w:ascii="宋体"/>
          <w:b/>
          <w:color w:val="auto"/>
          <w:sz w:val="32"/>
          <w:szCs w:val="32"/>
          <w:highlight w:val="none"/>
          <w:lang w:val="en-US" w:eastAsia="zh-CN"/>
        </w:rPr>
      </w:pPr>
      <w:r>
        <w:rPr>
          <w:rFonts w:hint="eastAsia" w:ascii="宋体"/>
          <w:b/>
          <w:color w:val="auto"/>
          <w:sz w:val="32"/>
          <w:szCs w:val="32"/>
          <w:highlight w:val="none"/>
          <w:lang w:val="en-US" w:eastAsia="zh-CN"/>
        </w:rPr>
        <w:br w:type="page"/>
      </w:r>
    </w:p>
    <w:p w14:paraId="387F4CC8">
      <w:pPr>
        <w:spacing w:before="156" w:beforeLines="50" w:after="156" w:afterLines="50" w:line="600" w:lineRule="exact"/>
        <w:jc w:val="center"/>
        <w:outlineLvl w:val="0"/>
        <w:rPr>
          <w:rFonts w:hint="eastAsia" w:ascii="宋体" w:hAnsi="Times New Roman" w:eastAsia="宋体" w:cs="Times New Roman"/>
          <w:b/>
          <w:color w:val="auto"/>
          <w:sz w:val="32"/>
          <w:szCs w:val="32"/>
          <w:highlight w:val="none"/>
        </w:rPr>
      </w:pPr>
      <w:r>
        <w:rPr>
          <w:rFonts w:hint="eastAsia" w:ascii="宋体" w:hAnsi="Times New Roman" w:eastAsia="宋体" w:cs="Times New Roman"/>
          <w:b/>
          <w:color w:val="auto"/>
          <w:sz w:val="32"/>
          <w:szCs w:val="32"/>
          <w:highlight w:val="none"/>
          <w:lang w:val="en-US" w:eastAsia="zh-CN"/>
        </w:rPr>
        <w:t>招标人</w:t>
      </w:r>
      <w:r>
        <w:rPr>
          <w:rFonts w:hint="eastAsia" w:ascii="宋体" w:hAnsi="Times New Roman" w:eastAsia="宋体" w:cs="Times New Roman"/>
          <w:b/>
          <w:color w:val="auto"/>
          <w:sz w:val="32"/>
          <w:szCs w:val="32"/>
          <w:highlight w:val="none"/>
        </w:rPr>
        <w:t>、</w:t>
      </w:r>
      <w:r>
        <w:rPr>
          <w:rFonts w:hint="eastAsia" w:ascii="宋体" w:hAnsi="Times New Roman" w:eastAsia="宋体" w:cs="Times New Roman"/>
          <w:b/>
          <w:color w:val="auto"/>
          <w:sz w:val="32"/>
          <w:szCs w:val="32"/>
          <w:highlight w:val="none"/>
          <w:lang w:val="en-US" w:eastAsia="zh-CN"/>
        </w:rPr>
        <w:t>招标</w:t>
      </w:r>
      <w:r>
        <w:rPr>
          <w:rFonts w:hint="eastAsia" w:ascii="宋体" w:hAnsi="Times New Roman" w:eastAsia="宋体" w:cs="Times New Roman"/>
          <w:b/>
          <w:color w:val="auto"/>
          <w:sz w:val="32"/>
          <w:szCs w:val="32"/>
          <w:highlight w:val="none"/>
        </w:rPr>
        <w:t>代理机构对本招标文件的确认</w:t>
      </w:r>
      <w:bookmarkEnd w:id="71"/>
      <w:bookmarkEnd w:id="72"/>
    </w:p>
    <w:p w14:paraId="30321077">
      <w:pPr>
        <w:spacing w:line="440" w:lineRule="exact"/>
        <w:rPr>
          <w:rFonts w:hint="eastAsia" w:ascii="宋体"/>
          <w:color w:val="auto"/>
          <w:sz w:val="24"/>
          <w:highlight w:val="none"/>
          <w:u w:val="single"/>
        </w:rPr>
      </w:pPr>
    </w:p>
    <w:tbl>
      <w:tblPr>
        <w:tblStyle w:val="35"/>
        <w:tblW w:w="0" w:type="auto"/>
        <w:jc w:val="center"/>
        <w:tblLayout w:type="fixed"/>
        <w:tblCellMar>
          <w:top w:w="0" w:type="dxa"/>
          <w:left w:w="108" w:type="dxa"/>
          <w:bottom w:w="0" w:type="dxa"/>
          <w:right w:w="108" w:type="dxa"/>
        </w:tblCellMar>
      </w:tblPr>
      <w:tblGrid>
        <w:gridCol w:w="9374"/>
      </w:tblGrid>
      <w:tr w14:paraId="737E625B">
        <w:tblPrEx>
          <w:tblCellMar>
            <w:top w:w="0" w:type="dxa"/>
            <w:left w:w="108" w:type="dxa"/>
            <w:bottom w:w="0" w:type="dxa"/>
            <w:right w:w="108" w:type="dxa"/>
          </w:tblCellMar>
        </w:tblPrEx>
        <w:trPr>
          <w:trHeight w:val="4493" w:hRule="atLeast"/>
          <w:jc w:val="center"/>
        </w:trPr>
        <w:tc>
          <w:tcPr>
            <w:tcW w:w="9374" w:type="dxa"/>
            <w:tcBorders>
              <w:top w:val="single" w:color="auto" w:sz="4" w:space="0"/>
              <w:left w:val="single" w:color="auto" w:sz="4" w:space="0"/>
              <w:bottom w:val="single" w:color="auto" w:sz="4" w:space="0"/>
              <w:right w:val="single" w:color="auto" w:sz="4" w:space="0"/>
            </w:tcBorders>
            <w:noWrap w:val="0"/>
            <w:vAlign w:val="top"/>
          </w:tcPr>
          <w:p w14:paraId="7A7ABF5F">
            <w:pPr>
              <w:spacing w:line="440" w:lineRule="exact"/>
              <w:ind w:firstLine="560" w:firstLineChars="200"/>
              <w:rPr>
                <w:rFonts w:hint="eastAsia" w:ascii="宋体" w:cs="宋体"/>
                <w:color w:val="auto"/>
                <w:sz w:val="28"/>
                <w:szCs w:val="28"/>
                <w:highlight w:val="none"/>
              </w:rPr>
            </w:pPr>
          </w:p>
          <w:p w14:paraId="75CB13B3">
            <w:pPr>
              <w:spacing w:line="360" w:lineRule="auto"/>
              <w:ind w:firstLine="560" w:firstLineChars="200"/>
              <w:rPr>
                <w:rFonts w:hint="eastAsia" w:ascii="宋体" w:hAnsi="宋体" w:cs="宋体"/>
                <w:color w:val="auto"/>
                <w:sz w:val="28"/>
                <w:szCs w:val="28"/>
                <w:highlight w:val="none"/>
              </w:rPr>
            </w:pPr>
            <w:r>
              <w:rPr>
                <w:rFonts w:hint="eastAsia" w:ascii="宋体" w:cs="宋体"/>
                <w:color w:val="auto"/>
                <w:sz w:val="28"/>
                <w:szCs w:val="28"/>
                <w:highlight w:val="none"/>
              </w:rPr>
              <w:t>我单位对</w:t>
            </w:r>
            <w:r>
              <w:rPr>
                <w:rFonts w:hint="eastAsia" w:ascii="宋体" w:cs="宋体"/>
                <w:color w:val="auto"/>
                <w:sz w:val="28"/>
                <w:szCs w:val="28"/>
                <w:highlight w:val="none"/>
                <w:u w:val="single"/>
                <w:lang w:val="en-US" w:eastAsia="zh-CN"/>
              </w:rPr>
              <w:t xml:space="preserve"> 苏州路与双城路交叉口西北侧地块开发等项目水土保持方案编制服务项目 </w:t>
            </w:r>
            <w:r>
              <w:rPr>
                <w:rFonts w:hint="eastAsia" w:ascii="宋体" w:cs="宋体"/>
                <w:color w:val="auto"/>
                <w:sz w:val="28"/>
                <w:szCs w:val="28"/>
                <w:highlight w:val="none"/>
              </w:rPr>
              <w:t>的招标文件进行确认。</w:t>
            </w:r>
          </w:p>
          <w:p w14:paraId="3D76DFFA">
            <w:p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cs="宋体"/>
                <w:color w:val="auto"/>
                <w:sz w:val="28"/>
                <w:szCs w:val="28"/>
                <w:highlight w:val="none"/>
              </w:rPr>
              <w:t>招标单位：</w:t>
            </w:r>
            <w:r>
              <w:rPr>
                <w:rFonts w:hint="eastAsia" w:ascii="宋体" w:hAnsi="宋体" w:cs="宋体"/>
                <w:color w:val="auto"/>
                <w:sz w:val="28"/>
                <w:szCs w:val="28"/>
                <w:highlight w:val="none"/>
                <w:lang w:eastAsia="zh-CN"/>
              </w:rPr>
              <w:t>滁州苏滁产城开发有限公司</w:t>
            </w:r>
          </w:p>
          <w:p w14:paraId="7A03B3CB">
            <w:pPr>
              <w:spacing w:line="360" w:lineRule="auto"/>
              <w:ind w:firstLine="560" w:firstLineChars="200"/>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委托代理人：</w:t>
            </w:r>
            <w:r>
              <w:rPr>
                <w:rFonts w:hint="eastAsia" w:ascii="宋体" w:hAnsi="宋体" w:cs="宋体"/>
                <w:color w:val="auto"/>
                <w:sz w:val="28"/>
                <w:szCs w:val="28"/>
                <w:highlight w:val="none"/>
                <w:lang w:val="en-US" w:eastAsia="zh-CN"/>
              </w:rPr>
              <w:t>李工</w:t>
            </w:r>
          </w:p>
          <w:p w14:paraId="12CBF71D">
            <w:pPr>
              <w:spacing w:line="360" w:lineRule="auto"/>
              <w:ind w:firstLine="560" w:firstLineChars="200"/>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联系电话：</w:t>
            </w:r>
            <w:r>
              <w:rPr>
                <w:rFonts w:hint="eastAsia" w:ascii="宋体" w:hAnsi="宋体" w:cs="宋体"/>
                <w:color w:val="auto"/>
                <w:sz w:val="28"/>
                <w:szCs w:val="28"/>
                <w:highlight w:val="none"/>
                <w:lang w:val="en-US" w:eastAsia="zh-CN"/>
              </w:rPr>
              <w:t>0550-3026900</w:t>
            </w:r>
          </w:p>
          <w:p w14:paraId="4383ACA9">
            <w:pPr>
              <w:spacing w:line="540" w:lineRule="exact"/>
              <w:ind w:firstLine="7140" w:firstLineChars="2550"/>
              <w:rPr>
                <w:rFonts w:hint="eastAsia" w:ascii="宋体" w:cs="宋体"/>
                <w:color w:val="auto"/>
                <w:sz w:val="28"/>
                <w:szCs w:val="28"/>
                <w:highlight w:val="none"/>
              </w:rPr>
            </w:pPr>
          </w:p>
          <w:p w14:paraId="07CD1B6D">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（盖单位章）</w:t>
            </w:r>
          </w:p>
          <w:p w14:paraId="010C3253">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202</w:t>
            </w:r>
            <w:r>
              <w:rPr>
                <w:rFonts w:hint="eastAsia" w:ascii="宋体" w:cs="宋体"/>
                <w:color w:val="auto"/>
                <w:sz w:val="28"/>
                <w:szCs w:val="28"/>
                <w:highlight w:val="none"/>
                <w:lang w:val="en-US" w:eastAsia="zh-CN"/>
              </w:rPr>
              <w:t>6</w:t>
            </w:r>
            <w:r>
              <w:rPr>
                <w:rFonts w:hint="eastAsia" w:ascii="宋体" w:cs="宋体"/>
                <w:color w:val="auto"/>
                <w:sz w:val="28"/>
                <w:szCs w:val="28"/>
                <w:highlight w:val="none"/>
              </w:rPr>
              <w:t>年</w:t>
            </w:r>
            <w:r>
              <w:rPr>
                <w:rFonts w:hint="eastAsia" w:ascii="宋体" w:cs="宋体"/>
                <w:color w:val="auto"/>
                <w:sz w:val="28"/>
                <w:szCs w:val="28"/>
                <w:highlight w:val="none"/>
                <w:lang w:val="en-US" w:eastAsia="zh-CN"/>
              </w:rPr>
              <w:t>9</w:t>
            </w:r>
            <w:r>
              <w:rPr>
                <w:rFonts w:hint="eastAsia" w:ascii="宋体" w:cs="宋体"/>
                <w:color w:val="auto"/>
                <w:sz w:val="28"/>
                <w:szCs w:val="28"/>
                <w:highlight w:val="none"/>
              </w:rPr>
              <w:t>月</w:t>
            </w:r>
          </w:p>
        </w:tc>
      </w:tr>
      <w:tr w14:paraId="002C3551">
        <w:tblPrEx>
          <w:tblCellMar>
            <w:top w:w="0" w:type="dxa"/>
            <w:left w:w="108" w:type="dxa"/>
            <w:bottom w:w="0" w:type="dxa"/>
            <w:right w:w="108" w:type="dxa"/>
          </w:tblCellMar>
        </w:tblPrEx>
        <w:trPr>
          <w:trHeight w:val="4920" w:hRule="atLeast"/>
          <w:jc w:val="center"/>
        </w:trPr>
        <w:tc>
          <w:tcPr>
            <w:tcW w:w="9374" w:type="dxa"/>
            <w:tcBorders>
              <w:top w:val="single" w:color="auto" w:sz="4" w:space="0"/>
              <w:left w:val="single" w:color="auto" w:sz="4" w:space="0"/>
              <w:bottom w:val="single" w:color="auto" w:sz="4" w:space="0"/>
              <w:right w:val="single" w:color="auto" w:sz="4" w:space="0"/>
            </w:tcBorders>
            <w:noWrap w:val="0"/>
            <w:vAlign w:val="top"/>
          </w:tcPr>
          <w:p w14:paraId="625D445C">
            <w:pPr>
              <w:spacing w:line="440" w:lineRule="exact"/>
              <w:rPr>
                <w:rFonts w:hint="eastAsia" w:ascii="宋体" w:cs="宋体"/>
                <w:color w:val="auto"/>
                <w:sz w:val="28"/>
                <w:szCs w:val="28"/>
                <w:highlight w:val="none"/>
              </w:rPr>
            </w:pPr>
          </w:p>
          <w:p w14:paraId="4FDA7679">
            <w:pPr>
              <w:spacing w:line="520" w:lineRule="exact"/>
              <w:ind w:firstLine="560" w:firstLineChars="200"/>
              <w:rPr>
                <w:rFonts w:hint="eastAsia" w:ascii="宋体" w:eastAsia="宋体" w:cs="宋体"/>
                <w:color w:val="auto"/>
                <w:sz w:val="28"/>
                <w:szCs w:val="28"/>
                <w:highlight w:val="none"/>
                <w:lang w:eastAsia="zh-CN"/>
              </w:rPr>
            </w:pPr>
            <w:r>
              <w:rPr>
                <w:rFonts w:hint="eastAsia" w:ascii="宋体" w:cs="宋体"/>
                <w:color w:val="auto"/>
                <w:sz w:val="28"/>
                <w:szCs w:val="28"/>
                <w:highlight w:val="none"/>
              </w:rPr>
              <w:t>招标代理机构：</w:t>
            </w:r>
            <w:r>
              <w:rPr>
                <w:rFonts w:hint="eastAsia" w:ascii="宋体" w:cs="宋体"/>
                <w:color w:val="auto"/>
                <w:sz w:val="28"/>
                <w:szCs w:val="28"/>
                <w:highlight w:val="none"/>
                <w:lang w:eastAsia="zh-CN"/>
              </w:rPr>
              <w:t>滁州市城投工程咨询管理有限公司</w:t>
            </w:r>
          </w:p>
          <w:p w14:paraId="480CAE96">
            <w:pPr>
              <w:spacing w:line="520" w:lineRule="exact"/>
              <w:ind w:firstLine="560" w:firstLineChars="200"/>
              <w:rPr>
                <w:rFonts w:ascii="宋体" w:cs="宋体"/>
                <w:color w:val="auto"/>
                <w:sz w:val="28"/>
                <w:szCs w:val="28"/>
                <w:highlight w:val="none"/>
              </w:rPr>
            </w:pPr>
            <w:r>
              <w:rPr>
                <w:rFonts w:hint="eastAsia" w:ascii="宋体" w:cs="宋体"/>
                <w:color w:val="auto"/>
                <w:sz w:val="28"/>
                <w:szCs w:val="28"/>
                <w:highlight w:val="none"/>
              </w:rPr>
              <w:t>经办人：杨韦</w:t>
            </w:r>
          </w:p>
          <w:p w14:paraId="3032B2B3">
            <w:pPr>
              <w:spacing w:line="520" w:lineRule="exact"/>
              <w:ind w:firstLine="560" w:firstLineChars="200"/>
              <w:rPr>
                <w:rFonts w:ascii="宋体" w:cs="宋体"/>
                <w:color w:val="auto"/>
                <w:sz w:val="28"/>
                <w:szCs w:val="28"/>
                <w:highlight w:val="none"/>
              </w:rPr>
            </w:pPr>
            <w:r>
              <w:rPr>
                <w:rFonts w:hint="eastAsia" w:ascii="宋体" w:cs="宋体"/>
                <w:color w:val="auto"/>
                <w:sz w:val="28"/>
                <w:szCs w:val="28"/>
                <w:highlight w:val="none"/>
              </w:rPr>
              <w:t>电  话：0550-3519590、18005501210</w:t>
            </w:r>
          </w:p>
          <w:p w14:paraId="7070E7D4">
            <w:pPr>
              <w:spacing w:line="520" w:lineRule="exact"/>
              <w:ind w:firstLine="6300" w:firstLineChars="2250"/>
              <w:rPr>
                <w:rFonts w:hint="eastAsia" w:ascii="宋体" w:cs="宋体"/>
                <w:color w:val="auto"/>
                <w:sz w:val="28"/>
                <w:szCs w:val="28"/>
                <w:highlight w:val="none"/>
              </w:rPr>
            </w:pPr>
          </w:p>
          <w:p w14:paraId="297599F8">
            <w:pPr>
              <w:pStyle w:val="2"/>
              <w:rPr>
                <w:rFonts w:hint="eastAsia"/>
                <w:color w:val="auto"/>
                <w:highlight w:val="none"/>
              </w:rPr>
            </w:pPr>
          </w:p>
          <w:p w14:paraId="77858E6D">
            <w:pPr>
              <w:spacing w:line="520" w:lineRule="exact"/>
              <w:ind w:firstLine="6580" w:firstLineChars="2350"/>
              <w:rPr>
                <w:rFonts w:hint="eastAsia" w:ascii="宋体" w:cs="宋体"/>
                <w:color w:val="auto"/>
                <w:sz w:val="28"/>
                <w:szCs w:val="28"/>
                <w:highlight w:val="none"/>
              </w:rPr>
            </w:pPr>
          </w:p>
          <w:p w14:paraId="13F6E5CB">
            <w:pPr>
              <w:spacing w:line="520" w:lineRule="exact"/>
              <w:jc w:val="right"/>
              <w:rPr>
                <w:rFonts w:hint="eastAsia" w:ascii="宋体" w:cs="宋体"/>
                <w:color w:val="auto"/>
                <w:sz w:val="28"/>
                <w:szCs w:val="28"/>
                <w:highlight w:val="none"/>
              </w:rPr>
            </w:pPr>
            <w:r>
              <w:rPr>
                <w:rFonts w:hint="eastAsia" w:ascii="宋体" w:cs="宋体"/>
                <w:color w:val="auto"/>
                <w:sz w:val="28"/>
                <w:szCs w:val="28"/>
                <w:highlight w:val="none"/>
              </w:rPr>
              <w:t>（盖单位章）</w:t>
            </w:r>
          </w:p>
          <w:p w14:paraId="12FF7607">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202</w:t>
            </w:r>
            <w:r>
              <w:rPr>
                <w:rFonts w:hint="eastAsia" w:ascii="宋体" w:cs="宋体"/>
                <w:color w:val="auto"/>
                <w:sz w:val="28"/>
                <w:szCs w:val="28"/>
                <w:highlight w:val="none"/>
                <w:lang w:val="en-US" w:eastAsia="zh-CN"/>
              </w:rPr>
              <w:t>6</w:t>
            </w:r>
            <w:r>
              <w:rPr>
                <w:rFonts w:hint="eastAsia" w:ascii="宋体" w:cs="宋体"/>
                <w:color w:val="auto"/>
                <w:sz w:val="28"/>
                <w:szCs w:val="28"/>
                <w:highlight w:val="none"/>
              </w:rPr>
              <w:t>年</w:t>
            </w:r>
            <w:r>
              <w:rPr>
                <w:rFonts w:hint="eastAsia" w:ascii="宋体" w:cs="宋体"/>
                <w:color w:val="auto"/>
                <w:sz w:val="28"/>
                <w:szCs w:val="28"/>
                <w:highlight w:val="none"/>
                <w:lang w:val="en-US" w:eastAsia="zh-CN"/>
              </w:rPr>
              <w:t>9</w:t>
            </w:r>
            <w:r>
              <w:rPr>
                <w:rFonts w:hint="eastAsia" w:ascii="宋体" w:cs="宋体"/>
                <w:color w:val="auto"/>
                <w:sz w:val="28"/>
                <w:szCs w:val="28"/>
                <w:highlight w:val="none"/>
              </w:rPr>
              <w:t>月</w:t>
            </w:r>
          </w:p>
        </w:tc>
      </w:tr>
      <w:bookmarkEnd w:id="0"/>
    </w:tbl>
    <w:p w14:paraId="442BC392">
      <w:pPr>
        <w:rPr>
          <w:color w:val="auto"/>
          <w:highlight w:val="none"/>
        </w:rPr>
      </w:pPr>
    </w:p>
    <w:sectPr>
      <w:headerReference r:id="rId10" w:type="default"/>
      <w:footerReference r:id="rId11" w:type="default"/>
      <w:pgSz w:w="11906" w:h="16838"/>
      <w:pgMar w:top="1270" w:right="1417" w:bottom="1270" w:left="141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DokChampa">
    <w:altName w:val="Leelawadee UI"/>
    <w:panose1 w:val="020B0604020202020204"/>
    <w:charset w:val="00"/>
    <w:family w:val="swiss"/>
    <w:pitch w:val="default"/>
    <w:sig w:usb0="00000000" w:usb1="00000000" w:usb2="00000000" w:usb3="00000000" w:csb0="40010001" w:csb1="00000000"/>
  </w:font>
  <w:font w:name="Leelawadee UI">
    <w:panose1 w:val="020B0502040204020203"/>
    <w:charset w:val="00"/>
    <w:family w:val="auto"/>
    <w:pitch w:val="default"/>
    <w:sig w:usb0="83000003" w:usb1="00000000" w:usb2="00010000" w:usb3="00000001" w:csb0="000101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Times">
    <w:altName w:val="Times New Roman"/>
    <w:panose1 w:val="02020603050405020304"/>
    <w:charset w:val="00"/>
    <w:family w:val="roman"/>
    <w:pitch w:val="default"/>
    <w:sig w:usb0="00000000" w:usb1="00000000" w:usb2="00000009" w:usb3="00000000" w:csb0="0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B33A1">
    <w:pPr>
      <w:pStyle w:val="24"/>
      <w:tabs>
        <w:tab w:val="clear" w:pos="4153"/>
        <w:tab w:val="clear" w:pos="8306"/>
      </w:tabs>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1C526">
    <w:pPr>
      <w:pStyle w:val="24"/>
      <w:framePr w:wrap="around" w:vAnchor="text" w:hAnchor="margin" w:xAlign="center" w:y="1"/>
      <w:tabs>
        <w:tab w:val="clear" w:pos="4153"/>
        <w:tab w:val="clear" w:pos="8306"/>
      </w:tabs>
      <w:rPr>
        <w:rStyle w:val="39"/>
      </w:rPr>
    </w:pPr>
    <w:r>
      <w:fldChar w:fldCharType="begin"/>
    </w:r>
    <w:r>
      <w:rPr>
        <w:rStyle w:val="39"/>
      </w:rPr>
      <w:instrText xml:space="preserve">PAGE  </w:instrText>
    </w:r>
    <w:r>
      <w:fldChar w:fldCharType="separate"/>
    </w:r>
    <w:r>
      <w:t xml:space="preserve"> </w:t>
    </w:r>
    <w:r>
      <w:fldChar w:fldCharType="end"/>
    </w:r>
  </w:p>
  <w:p w14:paraId="2590DA70">
    <w:pPr>
      <w:pStyle w:val="24"/>
      <w:tabs>
        <w:tab w:val="clear" w:pos="4153"/>
        <w:tab w:val="clear"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8726B">
    <w:pPr>
      <w:pStyle w:val="24"/>
      <w:framePr w:wrap="around" w:vAnchor="text" w:hAnchor="margin" w:xAlign="center" w:y="1"/>
      <w:tabs>
        <w:tab w:val="clear" w:pos="4153"/>
        <w:tab w:val="clear" w:pos="8306"/>
      </w:tabs>
      <w:rPr>
        <w:rStyle w:val="39"/>
        <w:rFonts w:hint="eastAsia"/>
      </w:rPr>
    </w:pPr>
  </w:p>
  <w:p w14:paraId="0695E02E">
    <w:pPr>
      <w:pStyle w:val="24"/>
      <w:tabs>
        <w:tab w:val="clear" w:pos="4153"/>
        <w:tab w:val="clear" w:pos="8306"/>
      </w:tabs>
      <w:rPr>
        <w:rFonts w:hint="eastAsia"/>
        <w:szCs w:val="21"/>
      </w:rPr>
    </w:pPr>
  </w:p>
  <w:p w14:paraId="63411DC4">
    <w:pPr>
      <w:pStyle w:val="24"/>
      <w:tabs>
        <w:tab w:val="clear" w:pos="4153"/>
        <w:tab w:val="clear"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A4761">
    <w:pPr>
      <w:pStyle w:val="24"/>
      <w:tabs>
        <w:tab w:val="clear" w:pos="4153"/>
        <w:tab w:val="clear" w:pos="8306"/>
      </w:tabs>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E9D8B5">
                          <w:pPr>
                            <w:pStyle w:val="24"/>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5E9D8B5">
                    <w:pPr>
                      <w:pStyle w:val="24"/>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B2522">
    <w:pPr>
      <w:pStyle w:val="24"/>
      <w:tabs>
        <w:tab w:val="clear" w:pos="4153"/>
        <w:tab w:val="clear" w:pos="8306"/>
      </w:tabs>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8B6B28">
                          <w:pPr>
                            <w:pStyle w:val="24"/>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18B6B28">
                    <w:pPr>
                      <w:pStyle w:val="24"/>
                    </w:pPr>
                    <w:r>
                      <w:fldChar w:fldCharType="begin"/>
                    </w:r>
                    <w:r>
                      <w:instrText xml:space="preserve"> PAGE  \* MERGEFORMAT </w:instrText>
                    </w:r>
                    <w:r>
                      <w:fldChar w:fldCharType="separate"/>
                    </w:r>
                    <w:r>
                      <w:t>35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6CF2E">
    <w:pPr>
      <w:pStyle w:val="25"/>
      <w:pBdr>
        <w:bottom w:val="none" w:color="auto" w:sz="0" w:space="0"/>
      </w:pBdr>
      <w:tabs>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DCA50">
    <w:pPr>
      <w:pStyle w:val="25"/>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3013D">
    <w:pPr>
      <w:pStyle w:val="25"/>
      <w:pBdr>
        <w:bottom w:val="none" w:color="auto" w:sz="0" w:space="0"/>
      </w:pBdr>
      <w:tabs>
        <w:tab w:val="clear" w:pos="4153"/>
        <w:tab w:val="clear" w:pos="8306"/>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B047C">
    <w:pPr>
      <w:pStyle w:val="25"/>
      <w:pBdr>
        <w:bottom w:val="none" w:color="auto" w:sz="0" w:space="0"/>
      </w:pBdr>
      <w:tabs>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9"/>
    <w:multiLevelType w:val="multilevel"/>
    <w:tmpl w:val="00000019"/>
    <w:lvl w:ilvl="0" w:tentative="0">
      <w:start w:val="1"/>
      <w:numFmt w:val="chineseCountingThousand"/>
      <w:pStyle w:val="117"/>
      <w:suff w:val="space"/>
      <w:lvlText w:val="%1、"/>
      <w:lvlJc w:val="left"/>
      <w:pPr>
        <w:ind w:left="425" w:hanging="425"/>
      </w:pPr>
      <w:rPr>
        <w:rFonts w:hint="eastAsia"/>
      </w:rPr>
    </w:lvl>
    <w:lvl w:ilvl="1" w:tentative="0">
      <w:start w:val="1"/>
      <w:numFmt w:val="decimal"/>
      <w:lvlRestart w:val="0"/>
      <w:suff w:val="space"/>
      <w:lvlText w:val="%2、"/>
      <w:lvlJc w:val="left"/>
      <w:pPr>
        <w:ind w:left="454" w:hanging="454"/>
      </w:pPr>
      <w:rPr>
        <w:rFonts w:hint="eastAsia"/>
      </w:rPr>
    </w:lvl>
    <w:lvl w:ilvl="2" w:tentative="0">
      <w:start w:val="1"/>
      <w:numFmt w:val="decimal"/>
      <w:lvlRestart w:val="0"/>
      <w:suff w:val="space"/>
      <w:lvlText w:val="%2.%3"/>
      <w:lvlJc w:val="left"/>
      <w:pPr>
        <w:ind w:left="454" w:hanging="454"/>
      </w:pPr>
      <w:rPr>
        <w:rFonts w:hint="default" w:ascii="Cambria" w:hAnsi="Cambria"/>
      </w:rPr>
    </w:lvl>
    <w:lvl w:ilvl="3" w:tentative="0">
      <w:start w:val="1"/>
      <w:numFmt w:val="decimal"/>
      <w:lvlText w:val="%2.%3.%4"/>
      <w:lvlJc w:val="left"/>
      <w:pPr>
        <w:ind w:left="454" w:hanging="454"/>
      </w:pPr>
      <w:rPr>
        <w:rFonts w:hint="eastAsia"/>
      </w:rPr>
    </w:lvl>
    <w:lvl w:ilvl="4" w:tentative="0">
      <w:start w:val="1"/>
      <w:numFmt w:val="decimal"/>
      <w:lvlText w:val="%2.%3.%4.%5"/>
      <w:lvlJc w:val="left"/>
      <w:pPr>
        <w:ind w:left="454" w:hanging="454"/>
      </w:pPr>
      <w:rPr>
        <w:rFonts w:hint="eastAsia"/>
      </w:rPr>
    </w:lvl>
    <w:lvl w:ilvl="5" w:tentative="0">
      <w:start w:val="1"/>
      <w:numFmt w:val="decimal"/>
      <w:lvlText w:val="%1.%2.%3.%4.%5.%6"/>
      <w:lvlJc w:val="left"/>
      <w:pPr>
        <w:ind w:left="2550" w:hanging="425"/>
      </w:pPr>
      <w:rPr>
        <w:rFonts w:hint="eastAsia"/>
      </w:rPr>
    </w:lvl>
    <w:lvl w:ilvl="6" w:tentative="0">
      <w:start w:val="1"/>
      <w:numFmt w:val="decimal"/>
      <w:lvlText w:val="%1.%2.%3.%4.%5.%6.%7"/>
      <w:lvlJc w:val="left"/>
      <w:pPr>
        <w:ind w:left="2975" w:hanging="425"/>
      </w:pPr>
      <w:rPr>
        <w:rFonts w:hint="eastAsia"/>
      </w:rPr>
    </w:lvl>
    <w:lvl w:ilvl="7" w:tentative="0">
      <w:start w:val="1"/>
      <w:numFmt w:val="decimal"/>
      <w:lvlText w:val="%1.%2.%3.%4.%5.%6.%7.%8"/>
      <w:lvlJc w:val="left"/>
      <w:pPr>
        <w:ind w:left="3400" w:hanging="425"/>
      </w:pPr>
      <w:rPr>
        <w:rFonts w:hint="eastAsia"/>
      </w:rPr>
    </w:lvl>
    <w:lvl w:ilvl="8" w:tentative="0">
      <w:start w:val="1"/>
      <w:numFmt w:val="decimal"/>
      <w:lvlText w:val="%1.%2.%3.%4.%5.%6.%7.%8.%9"/>
      <w:lvlJc w:val="left"/>
      <w:pPr>
        <w:ind w:left="3825" w:hanging="425"/>
      </w:pPr>
      <w:rPr>
        <w:rFonts w:hint="eastAsia"/>
      </w:rPr>
    </w:lvl>
  </w:abstractNum>
  <w:abstractNum w:abstractNumId="1">
    <w:nsid w:val="18995355"/>
    <w:multiLevelType w:val="multilevel"/>
    <w:tmpl w:val="18995355"/>
    <w:lvl w:ilvl="0" w:tentative="0">
      <w:start w:val="1"/>
      <w:numFmt w:val="decimal"/>
      <w:pStyle w:val="102"/>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2323379E"/>
    <w:multiLevelType w:val="multilevel"/>
    <w:tmpl w:val="2323379E"/>
    <w:lvl w:ilvl="0" w:tentative="0">
      <w:start w:val="1"/>
      <w:numFmt w:val="chineseCountingThousand"/>
      <w:pStyle w:val="5"/>
      <w:lvlText w:val="%1、"/>
      <w:lvlJc w:val="left"/>
      <w:pPr>
        <w:ind w:left="420" w:hanging="42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6857717"/>
    <w:multiLevelType w:val="multilevel"/>
    <w:tmpl w:val="26857717"/>
    <w:lvl w:ilvl="0" w:tentative="0">
      <w:start w:val="1"/>
      <w:numFmt w:val="chineseCountingThousand"/>
      <w:pStyle w:val="100"/>
      <w:lvlText w:val="%1、"/>
      <w:lvlJc w:val="left"/>
      <w:pPr>
        <w:tabs>
          <w:tab w:val="left" w:pos="425"/>
        </w:tabs>
        <w:ind w:left="425" w:hanging="425"/>
      </w:pPr>
      <w:rPr>
        <w:rFonts w:hint="eastAsia" w:cs="Times New Roman"/>
      </w:rPr>
    </w:lvl>
    <w:lvl w:ilvl="1" w:tentative="0">
      <w:start w:val="1"/>
      <w:numFmt w:val="decimal"/>
      <w:isLgl/>
      <w:lvlText w:val="%1.%2"/>
      <w:lvlJc w:val="left"/>
      <w:pPr>
        <w:tabs>
          <w:tab w:val="left" w:pos="567"/>
        </w:tabs>
        <w:ind w:left="567" w:hanging="567"/>
      </w:pPr>
      <w:rPr>
        <w:rFonts w:hint="default" w:ascii="Arial" w:hAnsi="Arial" w:cs="Arial"/>
      </w:rPr>
    </w:lvl>
    <w:lvl w:ilvl="2" w:tentative="0">
      <w:start w:val="1"/>
      <w:numFmt w:val="decimal"/>
      <w:isLgl/>
      <w:lvlText w:val="%1.%2.%3"/>
      <w:lvlJc w:val="left"/>
      <w:pPr>
        <w:tabs>
          <w:tab w:val="left" w:pos="1069"/>
        </w:tabs>
        <w:ind w:left="1069" w:hanging="709"/>
      </w:pPr>
      <w:rPr>
        <w:rFonts w:hint="default" w:ascii="Arial" w:hAnsi="Arial" w:cs="Arial"/>
      </w:rPr>
    </w:lvl>
    <w:lvl w:ilvl="3" w:tentative="0">
      <w:start w:val="1"/>
      <w:numFmt w:val="decimal"/>
      <w:isLgl/>
      <w:lvlText w:val="%1.%2.%3.%4"/>
      <w:lvlJc w:val="left"/>
      <w:pPr>
        <w:tabs>
          <w:tab w:val="left" w:pos="1080"/>
        </w:tabs>
        <w:ind w:left="851" w:hanging="851"/>
      </w:pPr>
      <w:rPr>
        <w:rFonts w:hint="default" w:ascii="Arial" w:hAnsi="Arial" w:cs="Arial"/>
        <w:sz w:val="24"/>
        <w:szCs w:val="24"/>
      </w:rPr>
    </w:lvl>
    <w:lvl w:ilvl="4" w:tentative="0">
      <w:start w:val="1"/>
      <w:numFmt w:val="decimal"/>
      <w:isLgl/>
      <w:lvlText w:val="%1.%2.%3.%4.%5"/>
      <w:lvlJc w:val="left"/>
      <w:pPr>
        <w:tabs>
          <w:tab w:val="left" w:pos="1440"/>
        </w:tabs>
        <w:ind w:left="992" w:hanging="992"/>
      </w:pPr>
      <w:rPr>
        <w:rFonts w:hint="eastAsia" w:cs="Times New Roman"/>
      </w:rPr>
    </w:lvl>
    <w:lvl w:ilvl="5" w:tentative="0">
      <w:start w:val="1"/>
      <w:numFmt w:val="decimal"/>
      <w:isLgl/>
      <w:lvlText w:val="%1.%2.%3.%4.%5.%6"/>
      <w:lvlJc w:val="left"/>
      <w:pPr>
        <w:tabs>
          <w:tab w:val="left" w:pos="1440"/>
        </w:tabs>
        <w:ind w:left="1134" w:hanging="1134"/>
      </w:pPr>
      <w:rPr>
        <w:rFonts w:hint="eastAsia" w:cs="Times New Roman"/>
      </w:rPr>
    </w:lvl>
    <w:lvl w:ilvl="6" w:tentative="0">
      <w:start w:val="1"/>
      <w:numFmt w:val="decimal"/>
      <w:isLgl/>
      <w:lvlText w:val="%1.%2.%3.%4.%5.%6.%7"/>
      <w:lvlJc w:val="left"/>
      <w:pPr>
        <w:tabs>
          <w:tab w:val="left" w:pos="1800"/>
        </w:tabs>
        <w:ind w:left="1276" w:hanging="1276"/>
      </w:pPr>
      <w:rPr>
        <w:rFonts w:hint="eastAsia" w:cs="Times New Roman"/>
      </w:rPr>
    </w:lvl>
    <w:lvl w:ilvl="7" w:tentative="0">
      <w:start w:val="1"/>
      <w:numFmt w:val="decimal"/>
      <w:isLgl/>
      <w:lvlText w:val="%1.%2.%3.%4.%5.%6.%7.%8"/>
      <w:lvlJc w:val="left"/>
      <w:pPr>
        <w:tabs>
          <w:tab w:val="left" w:pos="1800"/>
        </w:tabs>
        <w:ind w:left="1418" w:hanging="1418"/>
      </w:pPr>
      <w:rPr>
        <w:rFonts w:hint="eastAsia" w:cs="Times New Roman"/>
      </w:rPr>
    </w:lvl>
    <w:lvl w:ilvl="8" w:tentative="0">
      <w:start w:val="1"/>
      <w:numFmt w:val="decimal"/>
      <w:isLgl/>
      <w:lvlText w:val="%1.%2.%3.%4.%5.%6.%7.%8.%9"/>
      <w:lvlJc w:val="left"/>
      <w:pPr>
        <w:tabs>
          <w:tab w:val="left" w:pos="2160"/>
        </w:tabs>
        <w:ind w:left="1559" w:hanging="1559"/>
      </w:pPr>
      <w:rPr>
        <w:rFonts w:hint="eastAsia" w:cs="Times New Roman"/>
      </w:rPr>
    </w:lvl>
  </w:abstractNum>
  <w:abstractNum w:abstractNumId="4">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7"/>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5">
    <w:nsid w:val="6CB11212"/>
    <w:multiLevelType w:val="multilevel"/>
    <w:tmpl w:val="6CB11212"/>
    <w:lvl w:ilvl="0" w:tentative="0">
      <w:start w:val="1"/>
      <w:numFmt w:val="decimal"/>
      <w:pStyle w:val="14"/>
      <w:lvlText w:val="%1"/>
      <w:lvlJc w:val="left"/>
      <w:pPr>
        <w:tabs>
          <w:tab w:val="left" w:pos="425"/>
        </w:tabs>
        <w:ind w:left="425" w:hanging="425"/>
      </w:pPr>
      <w:rPr>
        <w:rFonts w:hint="default" w:ascii="Times New Roman" w:hAnsi="Times New Roman" w:cs="Times New Roman"/>
        <w:b/>
        <w:i w:val="0"/>
        <w:sz w:val="28"/>
      </w:rPr>
    </w:lvl>
    <w:lvl w:ilvl="1" w:tentative="0">
      <w:start w:val="1"/>
      <w:numFmt w:val="decimal"/>
      <w:lvlText w:val="%1.%2"/>
      <w:lvlJc w:val="left"/>
      <w:pPr>
        <w:tabs>
          <w:tab w:val="left" w:pos="992"/>
        </w:tabs>
        <w:ind w:left="992" w:hanging="567"/>
      </w:pPr>
      <w:rPr>
        <w:rFonts w:hint="eastAsia" w:cs="Times New Roman"/>
      </w:rPr>
    </w:lvl>
    <w:lvl w:ilvl="2" w:tentative="0">
      <w:start w:val="1"/>
      <w:numFmt w:val="decimal"/>
      <w:lvlText w:val="%1.%2.%3"/>
      <w:lvlJc w:val="left"/>
      <w:pPr>
        <w:tabs>
          <w:tab w:val="left" w:pos="1418"/>
        </w:tabs>
        <w:ind w:left="1418" w:hanging="567"/>
      </w:pPr>
      <w:rPr>
        <w:rFonts w:hint="eastAsia" w:cs="Times New Roman"/>
      </w:rPr>
    </w:lvl>
    <w:lvl w:ilvl="3" w:tentative="0">
      <w:start w:val="1"/>
      <w:numFmt w:val="decimal"/>
      <w:lvlText w:val="%1.%2.%3.%4"/>
      <w:lvlJc w:val="left"/>
      <w:pPr>
        <w:tabs>
          <w:tab w:val="left" w:pos="1984"/>
        </w:tabs>
        <w:ind w:left="1984" w:hanging="708"/>
      </w:pPr>
      <w:rPr>
        <w:rFonts w:hint="eastAsia" w:cs="Times New Roman"/>
      </w:rPr>
    </w:lvl>
    <w:lvl w:ilvl="4" w:tentative="0">
      <w:start w:val="1"/>
      <w:numFmt w:val="decimal"/>
      <w:lvlText w:val="%1.%2.%3.%4.%5"/>
      <w:lvlJc w:val="left"/>
      <w:pPr>
        <w:tabs>
          <w:tab w:val="left" w:pos="2551"/>
        </w:tabs>
        <w:ind w:left="2551" w:hanging="850"/>
      </w:pPr>
      <w:rPr>
        <w:rFonts w:hint="eastAsia" w:cs="Times New Roman"/>
      </w:rPr>
    </w:lvl>
    <w:lvl w:ilvl="5" w:tentative="0">
      <w:start w:val="1"/>
      <w:numFmt w:val="decimal"/>
      <w:lvlText w:val="%1.%2.%3.%4.%5.%6"/>
      <w:lvlJc w:val="left"/>
      <w:pPr>
        <w:tabs>
          <w:tab w:val="left" w:pos="3260"/>
        </w:tabs>
        <w:ind w:left="3260" w:hanging="1134"/>
      </w:pPr>
      <w:rPr>
        <w:rFonts w:hint="eastAsia" w:cs="Times New Roman"/>
      </w:rPr>
    </w:lvl>
    <w:lvl w:ilvl="6" w:tentative="0">
      <w:start w:val="1"/>
      <w:numFmt w:val="decimal"/>
      <w:lvlText w:val="%1.%2.%3.%4.%5.%6.%7"/>
      <w:lvlJc w:val="left"/>
      <w:pPr>
        <w:tabs>
          <w:tab w:val="left" w:pos="3827"/>
        </w:tabs>
        <w:ind w:left="3827" w:hanging="1276"/>
      </w:pPr>
      <w:rPr>
        <w:rFonts w:hint="eastAsia" w:cs="Times New Roman"/>
      </w:rPr>
    </w:lvl>
    <w:lvl w:ilvl="7" w:tentative="0">
      <w:start w:val="1"/>
      <w:numFmt w:val="decimal"/>
      <w:lvlText w:val="%1.%2.%3.%4.%5.%6.%7.%8"/>
      <w:lvlJc w:val="left"/>
      <w:pPr>
        <w:tabs>
          <w:tab w:val="left" w:pos="4394"/>
        </w:tabs>
        <w:ind w:left="4394" w:hanging="1418"/>
      </w:pPr>
      <w:rPr>
        <w:rFonts w:hint="eastAsia" w:cs="Times New Roman"/>
      </w:rPr>
    </w:lvl>
    <w:lvl w:ilvl="8" w:tentative="0">
      <w:start w:val="1"/>
      <w:numFmt w:val="decimal"/>
      <w:lvlText w:val="%1.%2.%3.%4.%5.%6.%7.%8.%9"/>
      <w:lvlJc w:val="left"/>
      <w:pPr>
        <w:tabs>
          <w:tab w:val="left" w:pos="5102"/>
        </w:tabs>
        <w:ind w:left="5102" w:hanging="1700"/>
      </w:pPr>
      <w:rPr>
        <w:rFonts w:hint="eastAsia" w:cs="Times New Roman"/>
      </w:rPr>
    </w:lvl>
  </w:abstractNum>
  <w:abstractNum w:abstractNumId="6">
    <w:nsid w:val="6F1D7D26"/>
    <w:multiLevelType w:val="multilevel"/>
    <w:tmpl w:val="6F1D7D26"/>
    <w:lvl w:ilvl="0" w:tentative="0">
      <w:start w:val="1"/>
      <w:numFmt w:val="decimal"/>
      <w:pStyle w:val="27"/>
      <w:lvlText w:val="%1."/>
      <w:lvlJc w:val="left"/>
      <w:pPr>
        <w:ind w:left="420" w:firstLine="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4"/>
  </w:num>
  <w:num w:numId="2">
    <w:abstractNumId w:val="2"/>
  </w:num>
  <w:num w:numId="3">
    <w:abstractNumId w:val="5"/>
  </w:num>
  <w:num w:numId="4">
    <w:abstractNumId w:val="6"/>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5MGI3YTdkMjVkZTZjM2ZjZTQ5YjMxYTJjZjRlOWEifQ=="/>
  </w:docVars>
  <w:rsids>
    <w:rsidRoot w:val="00AE79E0"/>
    <w:rsid w:val="00000FD7"/>
    <w:rsid w:val="00001745"/>
    <w:rsid w:val="000018C2"/>
    <w:rsid w:val="00001EDD"/>
    <w:rsid w:val="00002FE3"/>
    <w:rsid w:val="00003231"/>
    <w:rsid w:val="0000387A"/>
    <w:rsid w:val="00003B78"/>
    <w:rsid w:val="00003E3C"/>
    <w:rsid w:val="00003F2A"/>
    <w:rsid w:val="00005025"/>
    <w:rsid w:val="00005C91"/>
    <w:rsid w:val="0000620B"/>
    <w:rsid w:val="0000682D"/>
    <w:rsid w:val="00007272"/>
    <w:rsid w:val="00007892"/>
    <w:rsid w:val="00011FD2"/>
    <w:rsid w:val="0001207D"/>
    <w:rsid w:val="00012CBB"/>
    <w:rsid w:val="00012CFA"/>
    <w:rsid w:val="00013187"/>
    <w:rsid w:val="000131BA"/>
    <w:rsid w:val="00014B17"/>
    <w:rsid w:val="0001582D"/>
    <w:rsid w:val="00015980"/>
    <w:rsid w:val="0001696F"/>
    <w:rsid w:val="00016F81"/>
    <w:rsid w:val="00017E3B"/>
    <w:rsid w:val="000201C1"/>
    <w:rsid w:val="000204E4"/>
    <w:rsid w:val="00020F35"/>
    <w:rsid w:val="00021C59"/>
    <w:rsid w:val="00021FD3"/>
    <w:rsid w:val="00023055"/>
    <w:rsid w:val="00023156"/>
    <w:rsid w:val="00023185"/>
    <w:rsid w:val="00026A08"/>
    <w:rsid w:val="00026B7C"/>
    <w:rsid w:val="000279EA"/>
    <w:rsid w:val="000314DB"/>
    <w:rsid w:val="000316BD"/>
    <w:rsid w:val="00032E2D"/>
    <w:rsid w:val="000334DF"/>
    <w:rsid w:val="00033536"/>
    <w:rsid w:val="00033AA1"/>
    <w:rsid w:val="00033B6A"/>
    <w:rsid w:val="00034324"/>
    <w:rsid w:val="0003496F"/>
    <w:rsid w:val="00034BA3"/>
    <w:rsid w:val="00034CDA"/>
    <w:rsid w:val="00034F63"/>
    <w:rsid w:val="0003627F"/>
    <w:rsid w:val="00037505"/>
    <w:rsid w:val="000404C6"/>
    <w:rsid w:val="000405BF"/>
    <w:rsid w:val="00040C87"/>
    <w:rsid w:val="00040CAE"/>
    <w:rsid w:val="00041067"/>
    <w:rsid w:val="00041856"/>
    <w:rsid w:val="00041921"/>
    <w:rsid w:val="000430E9"/>
    <w:rsid w:val="00044BB7"/>
    <w:rsid w:val="00044F9F"/>
    <w:rsid w:val="00045942"/>
    <w:rsid w:val="00045EE5"/>
    <w:rsid w:val="00047196"/>
    <w:rsid w:val="00050258"/>
    <w:rsid w:val="0005034F"/>
    <w:rsid w:val="00051277"/>
    <w:rsid w:val="0005173F"/>
    <w:rsid w:val="00051ECE"/>
    <w:rsid w:val="00054663"/>
    <w:rsid w:val="00055300"/>
    <w:rsid w:val="00055AB6"/>
    <w:rsid w:val="0005632F"/>
    <w:rsid w:val="00056A13"/>
    <w:rsid w:val="00061311"/>
    <w:rsid w:val="00061B85"/>
    <w:rsid w:val="00062064"/>
    <w:rsid w:val="00063028"/>
    <w:rsid w:val="00063B93"/>
    <w:rsid w:val="00063EFE"/>
    <w:rsid w:val="00064417"/>
    <w:rsid w:val="0006463B"/>
    <w:rsid w:val="00064649"/>
    <w:rsid w:val="00064BF9"/>
    <w:rsid w:val="00065388"/>
    <w:rsid w:val="00065665"/>
    <w:rsid w:val="0006601A"/>
    <w:rsid w:val="000665FE"/>
    <w:rsid w:val="000671A2"/>
    <w:rsid w:val="00067818"/>
    <w:rsid w:val="00067833"/>
    <w:rsid w:val="00067D7A"/>
    <w:rsid w:val="00070340"/>
    <w:rsid w:val="000708F9"/>
    <w:rsid w:val="000719DB"/>
    <w:rsid w:val="00071DAC"/>
    <w:rsid w:val="0007207A"/>
    <w:rsid w:val="00072CA0"/>
    <w:rsid w:val="00072FF3"/>
    <w:rsid w:val="00073F2F"/>
    <w:rsid w:val="00073F71"/>
    <w:rsid w:val="00073F84"/>
    <w:rsid w:val="000743D1"/>
    <w:rsid w:val="000746A8"/>
    <w:rsid w:val="00074FC6"/>
    <w:rsid w:val="00076052"/>
    <w:rsid w:val="00076223"/>
    <w:rsid w:val="00076436"/>
    <w:rsid w:val="00076558"/>
    <w:rsid w:val="00077068"/>
    <w:rsid w:val="0007793B"/>
    <w:rsid w:val="00077C43"/>
    <w:rsid w:val="00077D8B"/>
    <w:rsid w:val="00082390"/>
    <w:rsid w:val="00082EB0"/>
    <w:rsid w:val="00083463"/>
    <w:rsid w:val="00083C57"/>
    <w:rsid w:val="00084EFD"/>
    <w:rsid w:val="00085489"/>
    <w:rsid w:val="000863D1"/>
    <w:rsid w:val="00086A7A"/>
    <w:rsid w:val="000874E4"/>
    <w:rsid w:val="00087DEF"/>
    <w:rsid w:val="000921FF"/>
    <w:rsid w:val="000942A8"/>
    <w:rsid w:val="00094641"/>
    <w:rsid w:val="00094F01"/>
    <w:rsid w:val="00095245"/>
    <w:rsid w:val="00095368"/>
    <w:rsid w:val="00095431"/>
    <w:rsid w:val="000955A6"/>
    <w:rsid w:val="0009679B"/>
    <w:rsid w:val="00097185"/>
    <w:rsid w:val="000A2970"/>
    <w:rsid w:val="000A2A2A"/>
    <w:rsid w:val="000A3B88"/>
    <w:rsid w:val="000A3FD5"/>
    <w:rsid w:val="000A4A5B"/>
    <w:rsid w:val="000A4BA2"/>
    <w:rsid w:val="000A4C42"/>
    <w:rsid w:val="000A4D00"/>
    <w:rsid w:val="000A6219"/>
    <w:rsid w:val="000A694F"/>
    <w:rsid w:val="000A6DD1"/>
    <w:rsid w:val="000A6DF5"/>
    <w:rsid w:val="000A7BFA"/>
    <w:rsid w:val="000A7E34"/>
    <w:rsid w:val="000B071E"/>
    <w:rsid w:val="000B0A14"/>
    <w:rsid w:val="000B0B87"/>
    <w:rsid w:val="000B0C3D"/>
    <w:rsid w:val="000B2E83"/>
    <w:rsid w:val="000B40C2"/>
    <w:rsid w:val="000B428C"/>
    <w:rsid w:val="000B5B09"/>
    <w:rsid w:val="000B5CD6"/>
    <w:rsid w:val="000B5DAB"/>
    <w:rsid w:val="000B6098"/>
    <w:rsid w:val="000B615E"/>
    <w:rsid w:val="000B7097"/>
    <w:rsid w:val="000B71A8"/>
    <w:rsid w:val="000B7353"/>
    <w:rsid w:val="000B7627"/>
    <w:rsid w:val="000B7B9F"/>
    <w:rsid w:val="000B7FF5"/>
    <w:rsid w:val="000C0D0A"/>
    <w:rsid w:val="000C3114"/>
    <w:rsid w:val="000C5FF0"/>
    <w:rsid w:val="000C7F94"/>
    <w:rsid w:val="000D0783"/>
    <w:rsid w:val="000D0794"/>
    <w:rsid w:val="000D1770"/>
    <w:rsid w:val="000D1955"/>
    <w:rsid w:val="000D1963"/>
    <w:rsid w:val="000D2B25"/>
    <w:rsid w:val="000D2BE7"/>
    <w:rsid w:val="000D3563"/>
    <w:rsid w:val="000D3FE5"/>
    <w:rsid w:val="000D456B"/>
    <w:rsid w:val="000D45FF"/>
    <w:rsid w:val="000D522D"/>
    <w:rsid w:val="000D57AA"/>
    <w:rsid w:val="000D5856"/>
    <w:rsid w:val="000D5BFA"/>
    <w:rsid w:val="000D73C3"/>
    <w:rsid w:val="000E12E1"/>
    <w:rsid w:val="000E169F"/>
    <w:rsid w:val="000E18AA"/>
    <w:rsid w:val="000E1C32"/>
    <w:rsid w:val="000E3822"/>
    <w:rsid w:val="000E416E"/>
    <w:rsid w:val="000E427E"/>
    <w:rsid w:val="000E4C55"/>
    <w:rsid w:val="000E4F64"/>
    <w:rsid w:val="000E5225"/>
    <w:rsid w:val="000E7541"/>
    <w:rsid w:val="000F1DED"/>
    <w:rsid w:val="000F1DEE"/>
    <w:rsid w:val="000F1E18"/>
    <w:rsid w:val="000F2EDB"/>
    <w:rsid w:val="000F365B"/>
    <w:rsid w:val="000F3FFF"/>
    <w:rsid w:val="000F44ED"/>
    <w:rsid w:val="000F4B95"/>
    <w:rsid w:val="000F5992"/>
    <w:rsid w:val="000F6AB9"/>
    <w:rsid w:val="000F6B00"/>
    <w:rsid w:val="000F6FE4"/>
    <w:rsid w:val="000F7194"/>
    <w:rsid w:val="000F746A"/>
    <w:rsid w:val="0010047E"/>
    <w:rsid w:val="001008C8"/>
    <w:rsid w:val="0010124A"/>
    <w:rsid w:val="001017D7"/>
    <w:rsid w:val="00102D15"/>
    <w:rsid w:val="00103102"/>
    <w:rsid w:val="00104E2B"/>
    <w:rsid w:val="001051AF"/>
    <w:rsid w:val="001057AF"/>
    <w:rsid w:val="00106684"/>
    <w:rsid w:val="0010699C"/>
    <w:rsid w:val="00106EC5"/>
    <w:rsid w:val="00107005"/>
    <w:rsid w:val="001072E0"/>
    <w:rsid w:val="00107B42"/>
    <w:rsid w:val="001108D1"/>
    <w:rsid w:val="00111111"/>
    <w:rsid w:val="001123E7"/>
    <w:rsid w:val="001129B2"/>
    <w:rsid w:val="00112A7E"/>
    <w:rsid w:val="00113A3E"/>
    <w:rsid w:val="00114702"/>
    <w:rsid w:val="00114A7D"/>
    <w:rsid w:val="001159EE"/>
    <w:rsid w:val="00115E66"/>
    <w:rsid w:val="001161CF"/>
    <w:rsid w:val="001167DB"/>
    <w:rsid w:val="00116967"/>
    <w:rsid w:val="00116A34"/>
    <w:rsid w:val="00116D76"/>
    <w:rsid w:val="00116E49"/>
    <w:rsid w:val="00117062"/>
    <w:rsid w:val="001170CE"/>
    <w:rsid w:val="001178E2"/>
    <w:rsid w:val="00117C52"/>
    <w:rsid w:val="001209B7"/>
    <w:rsid w:val="001213E9"/>
    <w:rsid w:val="001214D0"/>
    <w:rsid w:val="00123DB7"/>
    <w:rsid w:val="0012425E"/>
    <w:rsid w:val="00124F09"/>
    <w:rsid w:val="0012511F"/>
    <w:rsid w:val="00125262"/>
    <w:rsid w:val="00125392"/>
    <w:rsid w:val="00126AD8"/>
    <w:rsid w:val="001276ED"/>
    <w:rsid w:val="00127E6A"/>
    <w:rsid w:val="00130067"/>
    <w:rsid w:val="001302B8"/>
    <w:rsid w:val="00131086"/>
    <w:rsid w:val="0013112F"/>
    <w:rsid w:val="0013161B"/>
    <w:rsid w:val="00131C30"/>
    <w:rsid w:val="00131D14"/>
    <w:rsid w:val="00131F24"/>
    <w:rsid w:val="00132477"/>
    <w:rsid w:val="0013362D"/>
    <w:rsid w:val="0013431D"/>
    <w:rsid w:val="00134648"/>
    <w:rsid w:val="001347EC"/>
    <w:rsid w:val="00135759"/>
    <w:rsid w:val="00135AED"/>
    <w:rsid w:val="00135BC4"/>
    <w:rsid w:val="001369C3"/>
    <w:rsid w:val="00136EE6"/>
    <w:rsid w:val="001378A8"/>
    <w:rsid w:val="00137AF4"/>
    <w:rsid w:val="00137B6B"/>
    <w:rsid w:val="001407AB"/>
    <w:rsid w:val="00141CB6"/>
    <w:rsid w:val="00142194"/>
    <w:rsid w:val="0014457C"/>
    <w:rsid w:val="001449E6"/>
    <w:rsid w:val="0014579B"/>
    <w:rsid w:val="00146A7E"/>
    <w:rsid w:val="0015132A"/>
    <w:rsid w:val="00151628"/>
    <w:rsid w:val="00151A64"/>
    <w:rsid w:val="0015210B"/>
    <w:rsid w:val="0015286F"/>
    <w:rsid w:val="001528B1"/>
    <w:rsid w:val="00152AFF"/>
    <w:rsid w:val="001554EC"/>
    <w:rsid w:val="001565DA"/>
    <w:rsid w:val="00157E12"/>
    <w:rsid w:val="001602D9"/>
    <w:rsid w:val="001605FB"/>
    <w:rsid w:val="00160863"/>
    <w:rsid w:val="00160C56"/>
    <w:rsid w:val="001621B2"/>
    <w:rsid w:val="00162769"/>
    <w:rsid w:val="00162B12"/>
    <w:rsid w:val="00163021"/>
    <w:rsid w:val="00163A4F"/>
    <w:rsid w:val="00164A96"/>
    <w:rsid w:val="001654FA"/>
    <w:rsid w:val="0016649D"/>
    <w:rsid w:val="00166692"/>
    <w:rsid w:val="0016722F"/>
    <w:rsid w:val="00167DD2"/>
    <w:rsid w:val="00167EAD"/>
    <w:rsid w:val="00170051"/>
    <w:rsid w:val="00170340"/>
    <w:rsid w:val="0017080E"/>
    <w:rsid w:val="00170C26"/>
    <w:rsid w:val="00171430"/>
    <w:rsid w:val="00173435"/>
    <w:rsid w:val="00173C5E"/>
    <w:rsid w:val="00174529"/>
    <w:rsid w:val="00174D16"/>
    <w:rsid w:val="00174E84"/>
    <w:rsid w:val="00175041"/>
    <w:rsid w:val="00175BB3"/>
    <w:rsid w:val="00176570"/>
    <w:rsid w:val="0017662E"/>
    <w:rsid w:val="0017703B"/>
    <w:rsid w:val="00177477"/>
    <w:rsid w:val="00177851"/>
    <w:rsid w:val="00177B77"/>
    <w:rsid w:val="00177E3F"/>
    <w:rsid w:val="001801CB"/>
    <w:rsid w:val="00180275"/>
    <w:rsid w:val="00180644"/>
    <w:rsid w:val="0018131E"/>
    <w:rsid w:val="00181735"/>
    <w:rsid w:val="00181BE3"/>
    <w:rsid w:val="00182153"/>
    <w:rsid w:val="00183195"/>
    <w:rsid w:val="00183525"/>
    <w:rsid w:val="0018358B"/>
    <w:rsid w:val="00183724"/>
    <w:rsid w:val="00184EAF"/>
    <w:rsid w:val="0018503D"/>
    <w:rsid w:val="0018523C"/>
    <w:rsid w:val="00185E01"/>
    <w:rsid w:val="00186292"/>
    <w:rsid w:val="00187319"/>
    <w:rsid w:val="00187533"/>
    <w:rsid w:val="0019079F"/>
    <w:rsid w:val="00190953"/>
    <w:rsid w:val="00191194"/>
    <w:rsid w:val="00192441"/>
    <w:rsid w:val="00192922"/>
    <w:rsid w:val="001935E2"/>
    <w:rsid w:val="0019444D"/>
    <w:rsid w:val="00194A22"/>
    <w:rsid w:val="00194D8F"/>
    <w:rsid w:val="001958DC"/>
    <w:rsid w:val="00196252"/>
    <w:rsid w:val="001966AA"/>
    <w:rsid w:val="00196D5E"/>
    <w:rsid w:val="00196F4B"/>
    <w:rsid w:val="001A0CAB"/>
    <w:rsid w:val="001A0E41"/>
    <w:rsid w:val="001A11EB"/>
    <w:rsid w:val="001A1D0A"/>
    <w:rsid w:val="001A3056"/>
    <w:rsid w:val="001A312F"/>
    <w:rsid w:val="001A330F"/>
    <w:rsid w:val="001A344A"/>
    <w:rsid w:val="001A3ACE"/>
    <w:rsid w:val="001A406C"/>
    <w:rsid w:val="001A62A1"/>
    <w:rsid w:val="001A63E7"/>
    <w:rsid w:val="001A64CF"/>
    <w:rsid w:val="001A6AF5"/>
    <w:rsid w:val="001B0F50"/>
    <w:rsid w:val="001B16CE"/>
    <w:rsid w:val="001B1C75"/>
    <w:rsid w:val="001B253D"/>
    <w:rsid w:val="001B31D7"/>
    <w:rsid w:val="001B4093"/>
    <w:rsid w:val="001B522A"/>
    <w:rsid w:val="001B5738"/>
    <w:rsid w:val="001B58C9"/>
    <w:rsid w:val="001B6006"/>
    <w:rsid w:val="001B6C2D"/>
    <w:rsid w:val="001B6E93"/>
    <w:rsid w:val="001B74F5"/>
    <w:rsid w:val="001B79FD"/>
    <w:rsid w:val="001B7B84"/>
    <w:rsid w:val="001C05AB"/>
    <w:rsid w:val="001C1059"/>
    <w:rsid w:val="001C2A8A"/>
    <w:rsid w:val="001C4859"/>
    <w:rsid w:val="001C54F3"/>
    <w:rsid w:val="001C5539"/>
    <w:rsid w:val="001C5E26"/>
    <w:rsid w:val="001D28A8"/>
    <w:rsid w:val="001D2F5F"/>
    <w:rsid w:val="001D30A6"/>
    <w:rsid w:val="001D4206"/>
    <w:rsid w:val="001D44EC"/>
    <w:rsid w:val="001D58FF"/>
    <w:rsid w:val="001D59B0"/>
    <w:rsid w:val="001D6266"/>
    <w:rsid w:val="001D63FD"/>
    <w:rsid w:val="001D677E"/>
    <w:rsid w:val="001D6F3F"/>
    <w:rsid w:val="001D72FB"/>
    <w:rsid w:val="001D77EC"/>
    <w:rsid w:val="001D79C2"/>
    <w:rsid w:val="001E04A0"/>
    <w:rsid w:val="001E04F1"/>
    <w:rsid w:val="001E07BF"/>
    <w:rsid w:val="001E1E50"/>
    <w:rsid w:val="001E3BD1"/>
    <w:rsid w:val="001E3F0E"/>
    <w:rsid w:val="001E44BA"/>
    <w:rsid w:val="001E460E"/>
    <w:rsid w:val="001E4EE8"/>
    <w:rsid w:val="001E5159"/>
    <w:rsid w:val="001E5898"/>
    <w:rsid w:val="001E68D0"/>
    <w:rsid w:val="001E7E31"/>
    <w:rsid w:val="001F07C5"/>
    <w:rsid w:val="001F1324"/>
    <w:rsid w:val="001F134E"/>
    <w:rsid w:val="001F1946"/>
    <w:rsid w:val="001F1C38"/>
    <w:rsid w:val="001F1C73"/>
    <w:rsid w:val="001F3378"/>
    <w:rsid w:val="001F3C43"/>
    <w:rsid w:val="001F4719"/>
    <w:rsid w:val="001F602E"/>
    <w:rsid w:val="001F66CF"/>
    <w:rsid w:val="001F7137"/>
    <w:rsid w:val="001F7DFE"/>
    <w:rsid w:val="002005FD"/>
    <w:rsid w:val="00201180"/>
    <w:rsid w:val="00201590"/>
    <w:rsid w:val="00201F0C"/>
    <w:rsid w:val="00202157"/>
    <w:rsid w:val="002028E4"/>
    <w:rsid w:val="00202D5B"/>
    <w:rsid w:val="00202F2A"/>
    <w:rsid w:val="002036F3"/>
    <w:rsid w:val="00204191"/>
    <w:rsid w:val="002047D3"/>
    <w:rsid w:val="002054D8"/>
    <w:rsid w:val="002056FA"/>
    <w:rsid w:val="00205A83"/>
    <w:rsid w:val="00205CBD"/>
    <w:rsid w:val="00206487"/>
    <w:rsid w:val="0020674D"/>
    <w:rsid w:val="00206C3F"/>
    <w:rsid w:val="00206E10"/>
    <w:rsid w:val="00207273"/>
    <w:rsid w:val="00207E8B"/>
    <w:rsid w:val="002108DD"/>
    <w:rsid w:val="0021092F"/>
    <w:rsid w:val="0021169E"/>
    <w:rsid w:val="00211789"/>
    <w:rsid w:val="00211C20"/>
    <w:rsid w:val="00212686"/>
    <w:rsid w:val="002130FB"/>
    <w:rsid w:val="0021421B"/>
    <w:rsid w:val="002157C5"/>
    <w:rsid w:val="00215BDE"/>
    <w:rsid w:val="0021605B"/>
    <w:rsid w:val="002164F2"/>
    <w:rsid w:val="002169E6"/>
    <w:rsid w:val="0021708A"/>
    <w:rsid w:val="002173CF"/>
    <w:rsid w:val="00217490"/>
    <w:rsid w:val="00217DC1"/>
    <w:rsid w:val="00220226"/>
    <w:rsid w:val="00220734"/>
    <w:rsid w:val="002216C1"/>
    <w:rsid w:val="00222513"/>
    <w:rsid w:val="0022259D"/>
    <w:rsid w:val="0022346E"/>
    <w:rsid w:val="00224266"/>
    <w:rsid w:val="00224DB7"/>
    <w:rsid w:val="00225305"/>
    <w:rsid w:val="00225A4D"/>
    <w:rsid w:val="00226100"/>
    <w:rsid w:val="00227667"/>
    <w:rsid w:val="00227E9F"/>
    <w:rsid w:val="002306BE"/>
    <w:rsid w:val="00230CC1"/>
    <w:rsid w:val="00230D14"/>
    <w:rsid w:val="00231065"/>
    <w:rsid w:val="002314E9"/>
    <w:rsid w:val="00231F99"/>
    <w:rsid w:val="00232729"/>
    <w:rsid w:val="00233016"/>
    <w:rsid w:val="00235478"/>
    <w:rsid w:val="00235509"/>
    <w:rsid w:val="002358C7"/>
    <w:rsid w:val="002362CC"/>
    <w:rsid w:val="00237506"/>
    <w:rsid w:val="002378D0"/>
    <w:rsid w:val="00237D12"/>
    <w:rsid w:val="002402A5"/>
    <w:rsid w:val="0024055D"/>
    <w:rsid w:val="00240863"/>
    <w:rsid w:val="00240C70"/>
    <w:rsid w:val="00240ECA"/>
    <w:rsid w:val="002410F9"/>
    <w:rsid w:val="0024120B"/>
    <w:rsid w:val="002414ED"/>
    <w:rsid w:val="002423ED"/>
    <w:rsid w:val="00242A2B"/>
    <w:rsid w:val="00243A1C"/>
    <w:rsid w:val="00245ACA"/>
    <w:rsid w:val="00245C87"/>
    <w:rsid w:val="00246194"/>
    <w:rsid w:val="00246411"/>
    <w:rsid w:val="00247253"/>
    <w:rsid w:val="00247B6D"/>
    <w:rsid w:val="00252089"/>
    <w:rsid w:val="0025249A"/>
    <w:rsid w:val="00252ADA"/>
    <w:rsid w:val="00252FF5"/>
    <w:rsid w:val="0025326E"/>
    <w:rsid w:val="0025448F"/>
    <w:rsid w:val="002553EA"/>
    <w:rsid w:val="00255705"/>
    <w:rsid w:val="0025577C"/>
    <w:rsid w:val="002557DC"/>
    <w:rsid w:val="0025785F"/>
    <w:rsid w:val="00261696"/>
    <w:rsid w:val="00261984"/>
    <w:rsid w:val="0026258A"/>
    <w:rsid w:val="00262A9D"/>
    <w:rsid w:val="00263540"/>
    <w:rsid w:val="00263AF8"/>
    <w:rsid w:val="00264279"/>
    <w:rsid w:val="0026440A"/>
    <w:rsid w:val="002646DF"/>
    <w:rsid w:val="00265130"/>
    <w:rsid w:val="00265203"/>
    <w:rsid w:val="0026581B"/>
    <w:rsid w:val="00265D50"/>
    <w:rsid w:val="00265EDA"/>
    <w:rsid w:val="00266594"/>
    <w:rsid w:val="0026664B"/>
    <w:rsid w:val="00270D49"/>
    <w:rsid w:val="00270FEA"/>
    <w:rsid w:val="00272390"/>
    <w:rsid w:val="00272582"/>
    <w:rsid w:val="00272A37"/>
    <w:rsid w:val="00272B60"/>
    <w:rsid w:val="00272E91"/>
    <w:rsid w:val="002734B2"/>
    <w:rsid w:val="00273945"/>
    <w:rsid w:val="00273DEE"/>
    <w:rsid w:val="0027522C"/>
    <w:rsid w:val="0027543F"/>
    <w:rsid w:val="002760E4"/>
    <w:rsid w:val="002765B9"/>
    <w:rsid w:val="00277378"/>
    <w:rsid w:val="002775E0"/>
    <w:rsid w:val="00280BAA"/>
    <w:rsid w:val="002834D7"/>
    <w:rsid w:val="0028431C"/>
    <w:rsid w:val="00284AA1"/>
    <w:rsid w:val="00284BDB"/>
    <w:rsid w:val="00284FF3"/>
    <w:rsid w:val="00285937"/>
    <w:rsid w:val="00285CC4"/>
    <w:rsid w:val="00286851"/>
    <w:rsid w:val="002870BB"/>
    <w:rsid w:val="002909AD"/>
    <w:rsid w:val="00291B90"/>
    <w:rsid w:val="00292F4A"/>
    <w:rsid w:val="00293F97"/>
    <w:rsid w:val="00294D1A"/>
    <w:rsid w:val="002962C6"/>
    <w:rsid w:val="0029660E"/>
    <w:rsid w:val="00296FAA"/>
    <w:rsid w:val="00297134"/>
    <w:rsid w:val="0029727E"/>
    <w:rsid w:val="0029798C"/>
    <w:rsid w:val="002A04DB"/>
    <w:rsid w:val="002A1959"/>
    <w:rsid w:val="002A3638"/>
    <w:rsid w:val="002A49E9"/>
    <w:rsid w:val="002A4D9A"/>
    <w:rsid w:val="002A61A0"/>
    <w:rsid w:val="002A64B0"/>
    <w:rsid w:val="002A666B"/>
    <w:rsid w:val="002A6B50"/>
    <w:rsid w:val="002A7567"/>
    <w:rsid w:val="002A7DF4"/>
    <w:rsid w:val="002B0308"/>
    <w:rsid w:val="002B14F2"/>
    <w:rsid w:val="002B1A43"/>
    <w:rsid w:val="002B1ABC"/>
    <w:rsid w:val="002B1FB9"/>
    <w:rsid w:val="002B2690"/>
    <w:rsid w:val="002B26EC"/>
    <w:rsid w:val="002B324A"/>
    <w:rsid w:val="002B3D17"/>
    <w:rsid w:val="002B3EF5"/>
    <w:rsid w:val="002B5793"/>
    <w:rsid w:val="002B5F03"/>
    <w:rsid w:val="002B6423"/>
    <w:rsid w:val="002B65EE"/>
    <w:rsid w:val="002B6A63"/>
    <w:rsid w:val="002B6B7B"/>
    <w:rsid w:val="002B7C85"/>
    <w:rsid w:val="002B7DCD"/>
    <w:rsid w:val="002C0484"/>
    <w:rsid w:val="002C0D1E"/>
    <w:rsid w:val="002C1DFD"/>
    <w:rsid w:val="002C20CF"/>
    <w:rsid w:val="002C2381"/>
    <w:rsid w:val="002C2987"/>
    <w:rsid w:val="002C2BF7"/>
    <w:rsid w:val="002C324F"/>
    <w:rsid w:val="002C3B7F"/>
    <w:rsid w:val="002C4380"/>
    <w:rsid w:val="002C44F8"/>
    <w:rsid w:val="002C66EA"/>
    <w:rsid w:val="002D1BCB"/>
    <w:rsid w:val="002D2B6F"/>
    <w:rsid w:val="002D4617"/>
    <w:rsid w:val="002D5B85"/>
    <w:rsid w:val="002D64B1"/>
    <w:rsid w:val="002D6C02"/>
    <w:rsid w:val="002D6F6A"/>
    <w:rsid w:val="002D73D4"/>
    <w:rsid w:val="002E023A"/>
    <w:rsid w:val="002E05E3"/>
    <w:rsid w:val="002E0CF1"/>
    <w:rsid w:val="002E1533"/>
    <w:rsid w:val="002E1AF0"/>
    <w:rsid w:val="002E1F1A"/>
    <w:rsid w:val="002E2E1F"/>
    <w:rsid w:val="002E3A69"/>
    <w:rsid w:val="002E3B8A"/>
    <w:rsid w:val="002E5015"/>
    <w:rsid w:val="002E55E5"/>
    <w:rsid w:val="002E5DC8"/>
    <w:rsid w:val="002E620F"/>
    <w:rsid w:val="002E6CBA"/>
    <w:rsid w:val="002E6CF3"/>
    <w:rsid w:val="002E779E"/>
    <w:rsid w:val="002F0126"/>
    <w:rsid w:val="002F04E5"/>
    <w:rsid w:val="002F0C88"/>
    <w:rsid w:val="002F1B07"/>
    <w:rsid w:val="002F29ED"/>
    <w:rsid w:val="002F33E4"/>
    <w:rsid w:val="002F553D"/>
    <w:rsid w:val="002F5EA3"/>
    <w:rsid w:val="002F60DC"/>
    <w:rsid w:val="002F6189"/>
    <w:rsid w:val="002F62E7"/>
    <w:rsid w:val="002F6350"/>
    <w:rsid w:val="002F65D3"/>
    <w:rsid w:val="002F6C62"/>
    <w:rsid w:val="002F6E36"/>
    <w:rsid w:val="002F7307"/>
    <w:rsid w:val="002F7D96"/>
    <w:rsid w:val="003002FC"/>
    <w:rsid w:val="0030054A"/>
    <w:rsid w:val="00301451"/>
    <w:rsid w:val="00301764"/>
    <w:rsid w:val="003061F3"/>
    <w:rsid w:val="003065EA"/>
    <w:rsid w:val="0030791A"/>
    <w:rsid w:val="00310A63"/>
    <w:rsid w:val="00311D1C"/>
    <w:rsid w:val="0031215C"/>
    <w:rsid w:val="00312B46"/>
    <w:rsid w:val="00313C11"/>
    <w:rsid w:val="00313E87"/>
    <w:rsid w:val="00314E48"/>
    <w:rsid w:val="00314EAA"/>
    <w:rsid w:val="00315218"/>
    <w:rsid w:val="003162FE"/>
    <w:rsid w:val="003169FF"/>
    <w:rsid w:val="00317374"/>
    <w:rsid w:val="0031782B"/>
    <w:rsid w:val="00320797"/>
    <w:rsid w:val="003209A5"/>
    <w:rsid w:val="00321303"/>
    <w:rsid w:val="003215D0"/>
    <w:rsid w:val="00321B0F"/>
    <w:rsid w:val="00321BF5"/>
    <w:rsid w:val="00321CA7"/>
    <w:rsid w:val="00322242"/>
    <w:rsid w:val="0032294B"/>
    <w:rsid w:val="00322BDA"/>
    <w:rsid w:val="00322FEA"/>
    <w:rsid w:val="0032368B"/>
    <w:rsid w:val="00323B3C"/>
    <w:rsid w:val="00323B9B"/>
    <w:rsid w:val="00323EE0"/>
    <w:rsid w:val="003250B5"/>
    <w:rsid w:val="0032569D"/>
    <w:rsid w:val="00325E39"/>
    <w:rsid w:val="00327342"/>
    <w:rsid w:val="003275CF"/>
    <w:rsid w:val="00327958"/>
    <w:rsid w:val="00327AE8"/>
    <w:rsid w:val="003300D1"/>
    <w:rsid w:val="00330EEC"/>
    <w:rsid w:val="003310FC"/>
    <w:rsid w:val="003316A2"/>
    <w:rsid w:val="00331BA2"/>
    <w:rsid w:val="00331F09"/>
    <w:rsid w:val="0033248F"/>
    <w:rsid w:val="0033289C"/>
    <w:rsid w:val="00334294"/>
    <w:rsid w:val="00336881"/>
    <w:rsid w:val="0033705C"/>
    <w:rsid w:val="00337E3A"/>
    <w:rsid w:val="00340700"/>
    <w:rsid w:val="00341701"/>
    <w:rsid w:val="00341E1B"/>
    <w:rsid w:val="00342538"/>
    <w:rsid w:val="00343F2D"/>
    <w:rsid w:val="00345340"/>
    <w:rsid w:val="003454D9"/>
    <w:rsid w:val="003468BE"/>
    <w:rsid w:val="003468D2"/>
    <w:rsid w:val="00346D81"/>
    <w:rsid w:val="0034767C"/>
    <w:rsid w:val="003504E0"/>
    <w:rsid w:val="00351B7B"/>
    <w:rsid w:val="003520CF"/>
    <w:rsid w:val="00352130"/>
    <w:rsid w:val="00352629"/>
    <w:rsid w:val="00352F5E"/>
    <w:rsid w:val="003535C3"/>
    <w:rsid w:val="0035435C"/>
    <w:rsid w:val="00354637"/>
    <w:rsid w:val="0035480E"/>
    <w:rsid w:val="0035494E"/>
    <w:rsid w:val="00354BFF"/>
    <w:rsid w:val="00355078"/>
    <w:rsid w:val="00355BD8"/>
    <w:rsid w:val="00356AD2"/>
    <w:rsid w:val="003577C2"/>
    <w:rsid w:val="003607F7"/>
    <w:rsid w:val="00360DE5"/>
    <w:rsid w:val="00361C08"/>
    <w:rsid w:val="0036201E"/>
    <w:rsid w:val="003633E1"/>
    <w:rsid w:val="0036373E"/>
    <w:rsid w:val="003639F7"/>
    <w:rsid w:val="00363AD4"/>
    <w:rsid w:val="00363D93"/>
    <w:rsid w:val="00363EAE"/>
    <w:rsid w:val="00364893"/>
    <w:rsid w:val="00365A9D"/>
    <w:rsid w:val="00366C81"/>
    <w:rsid w:val="00366D2F"/>
    <w:rsid w:val="00367FDD"/>
    <w:rsid w:val="0037282B"/>
    <w:rsid w:val="0037338E"/>
    <w:rsid w:val="003738CE"/>
    <w:rsid w:val="0037433D"/>
    <w:rsid w:val="003764D2"/>
    <w:rsid w:val="00376B56"/>
    <w:rsid w:val="003773A5"/>
    <w:rsid w:val="003775F7"/>
    <w:rsid w:val="0037765D"/>
    <w:rsid w:val="0037791B"/>
    <w:rsid w:val="00377CC1"/>
    <w:rsid w:val="0038033E"/>
    <w:rsid w:val="003822A4"/>
    <w:rsid w:val="003822B8"/>
    <w:rsid w:val="00382429"/>
    <w:rsid w:val="00382C45"/>
    <w:rsid w:val="00382C7E"/>
    <w:rsid w:val="00383387"/>
    <w:rsid w:val="0038351C"/>
    <w:rsid w:val="00383891"/>
    <w:rsid w:val="003845F8"/>
    <w:rsid w:val="00384A94"/>
    <w:rsid w:val="003852A8"/>
    <w:rsid w:val="00385827"/>
    <w:rsid w:val="00385E7A"/>
    <w:rsid w:val="00386A77"/>
    <w:rsid w:val="00386B3B"/>
    <w:rsid w:val="003872A8"/>
    <w:rsid w:val="00387EF5"/>
    <w:rsid w:val="0039030C"/>
    <w:rsid w:val="003906A3"/>
    <w:rsid w:val="003907C0"/>
    <w:rsid w:val="00390A55"/>
    <w:rsid w:val="003916E8"/>
    <w:rsid w:val="00391F3C"/>
    <w:rsid w:val="00392149"/>
    <w:rsid w:val="00392461"/>
    <w:rsid w:val="00392690"/>
    <w:rsid w:val="0039288E"/>
    <w:rsid w:val="00393021"/>
    <w:rsid w:val="00393365"/>
    <w:rsid w:val="0039363C"/>
    <w:rsid w:val="00393D4C"/>
    <w:rsid w:val="00394B4B"/>
    <w:rsid w:val="00397EBC"/>
    <w:rsid w:val="00397F87"/>
    <w:rsid w:val="003A185C"/>
    <w:rsid w:val="003A1C83"/>
    <w:rsid w:val="003A1FAF"/>
    <w:rsid w:val="003A24EE"/>
    <w:rsid w:val="003A2A46"/>
    <w:rsid w:val="003A2BEE"/>
    <w:rsid w:val="003A4F37"/>
    <w:rsid w:val="003A53B6"/>
    <w:rsid w:val="003A5F71"/>
    <w:rsid w:val="003A6060"/>
    <w:rsid w:val="003A797D"/>
    <w:rsid w:val="003A7EA6"/>
    <w:rsid w:val="003B03DB"/>
    <w:rsid w:val="003B080C"/>
    <w:rsid w:val="003B0BC6"/>
    <w:rsid w:val="003B25FB"/>
    <w:rsid w:val="003B436D"/>
    <w:rsid w:val="003B45BC"/>
    <w:rsid w:val="003B49C5"/>
    <w:rsid w:val="003B500B"/>
    <w:rsid w:val="003B7173"/>
    <w:rsid w:val="003B76FC"/>
    <w:rsid w:val="003B7796"/>
    <w:rsid w:val="003B77DC"/>
    <w:rsid w:val="003C0070"/>
    <w:rsid w:val="003C008F"/>
    <w:rsid w:val="003C1764"/>
    <w:rsid w:val="003C1D2A"/>
    <w:rsid w:val="003C2AF5"/>
    <w:rsid w:val="003C4520"/>
    <w:rsid w:val="003C4616"/>
    <w:rsid w:val="003C4D5C"/>
    <w:rsid w:val="003C522F"/>
    <w:rsid w:val="003C562D"/>
    <w:rsid w:val="003C58A1"/>
    <w:rsid w:val="003C6DB2"/>
    <w:rsid w:val="003C7D73"/>
    <w:rsid w:val="003C7EC0"/>
    <w:rsid w:val="003D0205"/>
    <w:rsid w:val="003D086A"/>
    <w:rsid w:val="003D1587"/>
    <w:rsid w:val="003D238C"/>
    <w:rsid w:val="003D24F7"/>
    <w:rsid w:val="003D3259"/>
    <w:rsid w:val="003D38BA"/>
    <w:rsid w:val="003D589D"/>
    <w:rsid w:val="003D6965"/>
    <w:rsid w:val="003D6DAE"/>
    <w:rsid w:val="003E0184"/>
    <w:rsid w:val="003E042B"/>
    <w:rsid w:val="003E0721"/>
    <w:rsid w:val="003E0CD3"/>
    <w:rsid w:val="003E13FF"/>
    <w:rsid w:val="003E14E7"/>
    <w:rsid w:val="003E1E30"/>
    <w:rsid w:val="003E2182"/>
    <w:rsid w:val="003E333B"/>
    <w:rsid w:val="003E334E"/>
    <w:rsid w:val="003E3BF0"/>
    <w:rsid w:val="003E4056"/>
    <w:rsid w:val="003E42A7"/>
    <w:rsid w:val="003E4507"/>
    <w:rsid w:val="003E5852"/>
    <w:rsid w:val="003E5EB4"/>
    <w:rsid w:val="003E5F67"/>
    <w:rsid w:val="003E6E09"/>
    <w:rsid w:val="003E6F20"/>
    <w:rsid w:val="003E718F"/>
    <w:rsid w:val="003E7D50"/>
    <w:rsid w:val="003F101A"/>
    <w:rsid w:val="003F1095"/>
    <w:rsid w:val="003F15CD"/>
    <w:rsid w:val="003F1B20"/>
    <w:rsid w:val="003F2112"/>
    <w:rsid w:val="003F2267"/>
    <w:rsid w:val="003F2E97"/>
    <w:rsid w:val="003F3171"/>
    <w:rsid w:val="003F382F"/>
    <w:rsid w:val="003F41E8"/>
    <w:rsid w:val="003F4D4E"/>
    <w:rsid w:val="003F5570"/>
    <w:rsid w:val="003F6082"/>
    <w:rsid w:val="003F6180"/>
    <w:rsid w:val="003F6452"/>
    <w:rsid w:val="003F6931"/>
    <w:rsid w:val="003F7D6D"/>
    <w:rsid w:val="004006D6"/>
    <w:rsid w:val="00401DB1"/>
    <w:rsid w:val="00402646"/>
    <w:rsid w:val="00402C0A"/>
    <w:rsid w:val="004039CF"/>
    <w:rsid w:val="00404F09"/>
    <w:rsid w:val="00405792"/>
    <w:rsid w:val="00405802"/>
    <w:rsid w:val="00405E5E"/>
    <w:rsid w:val="004066FB"/>
    <w:rsid w:val="00407458"/>
    <w:rsid w:val="004079D9"/>
    <w:rsid w:val="00410282"/>
    <w:rsid w:val="00410585"/>
    <w:rsid w:val="0041072B"/>
    <w:rsid w:val="00410764"/>
    <w:rsid w:val="004113FC"/>
    <w:rsid w:val="0041223C"/>
    <w:rsid w:val="004126E0"/>
    <w:rsid w:val="00412E27"/>
    <w:rsid w:val="0041542E"/>
    <w:rsid w:val="004154BF"/>
    <w:rsid w:val="00415780"/>
    <w:rsid w:val="00415A8A"/>
    <w:rsid w:val="00415D23"/>
    <w:rsid w:val="0041615B"/>
    <w:rsid w:val="00416645"/>
    <w:rsid w:val="004168C5"/>
    <w:rsid w:val="00416D78"/>
    <w:rsid w:val="00417BC7"/>
    <w:rsid w:val="0042096D"/>
    <w:rsid w:val="00420E6D"/>
    <w:rsid w:val="00421C2B"/>
    <w:rsid w:val="004233B2"/>
    <w:rsid w:val="004236FB"/>
    <w:rsid w:val="004237BE"/>
    <w:rsid w:val="00423B8C"/>
    <w:rsid w:val="00423FF8"/>
    <w:rsid w:val="00424232"/>
    <w:rsid w:val="00424370"/>
    <w:rsid w:val="00424BCC"/>
    <w:rsid w:val="00427129"/>
    <w:rsid w:val="0042715C"/>
    <w:rsid w:val="004274FB"/>
    <w:rsid w:val="004301B1"/>
    <w:rsid w:val="00430339"/>
    <w:rsid w:val="004303D4"/>
    <w:rsid w:val="00432121"/>
    <w:rsid w:val="004326BA"/>
    <w:rsid w:val="004333A6"/>
    <w:rsid w:val="004338B0"/>
    <w:rsid w:val="00433900"/>
    <w:rsid w:val="00434AED"/>
    <w:rsid w:val="00434EAA"/>
    <w:rsid w:val="004350B4"/>
    <w:rsid w:val="004363E7"/>
    <w:rsid w:val="004376E9"/>
    <w:rsid w:val="00437EE6"/>
    <w:rsid w:val="004400F3"/>
    <w:rsid w:val="004416DD"/>
    <w:rsid w:val="00441793"/>
    <w:rsid w:val="00441D12"/>
    <w:rsid w:val="004425B4"/>
    <w:rsid w:val="00443B24"/>
    <w:rsid w:val="00445AD1"/>
    <w:rsid w:val="004460F3"/>
    <w:rsid w:val="004465A9"/>
    <w:rsid w:val="0044683C"/>
    <w:rsid w:val="00446E3D"/>
    <w:rsid w:val="00447213"/>
    <w:rsid w:val="00447CE2"/>
    <w:rsid w:val="00450FFB"/>
    <w:rsid w:val="004511E3"/>
    <w:rsid w:val="004520ED"/>
    <w:rsid w:val="00452E71"/>
    <w:rsid w:val="00453895"/>
    <w:rsid w:val="00453EBB"/>
    <w:rsid w:val="004542CB"/>
    <w:rsid w:val="0045480C"/>
    <w:rsid w:val="00454DE2"/>
    <w:rsid w:val="004555C5"/>
    <w:rsid w:val="00457544"/>
    <w:rsid w:val="0046063A"/>
    <w:rsid w:val="0046069B"/>
    <w:rsid w:val="004607F9"/>
    <w:rsid w:val="00460DA4"/>
    <w:rsid w:val="00461382"/>
    <w:rsid w:val="00462D9B"/>
    <w:rsid w:val="004630FD"/>
    <w:rsid w:val="0046342A"/>
    <w:rsid w:val="00463E1B"/>
    <w:rsid w:val="0046401C"/>
    <w:rsid w:val="00464999"/>
    <w:rsid w:val="004650EF"/>
    <w:rsid w:val="004676E9"/>
    <w:rsid w:val="00467822"/>
    <w:rsid w:val="00467898"/>
    <w:rsid w:val="00470476"/>
    <w:rsid w:val="00471219"/>
    <w:rsid w:val="00471564"/>
    <w:rsid w:val="0047382F"/>
    <w:rsid w:val="00473C03"/>
    <w:rsid w:val="00474DB3"/>
    <w:rsid w:val="004753B8"/>
    <w:rsid w:val="00475748"/>
    <w:rsid w:val="00476BBF"/>
    <w:rsid w:val="00477AEB"/>
    <w:rsid w:val="00477C21"/>
    <w:rsid w:val="00480BD3"/>
    <w:rsid w:val="00480E1C"/>
    <w:rsid w:val="00480ED4"/>
    <w:rsid w:val="004810CA"/>
    <w:rsid w:val="00481B48"/>
    <w:rsid w:val="004824DF"/>
    <w:rsid w:val="00484148"/>
    <w:rsid w:val="004845DF"/>
    <w:rsid w:val="004860C8"/>
    <w:rsid w:val="0048617F"/>
    <w:rsid w:val="004870BB"/>
    <w:rsid w:val="004874ED"/>
    <w:rsid w:val="0049006E"/>
    <w:rsid w:val="00491CA5"/>
    <w:rsid w:val="00492569"/>
    <w:rsid w:val="00492593"/>
    <w:rsid w:val="00493825"/>
    <w:rsid w:val="004946A1"/>
    <w:rsid w:val="00495EE5"/>
    <w:rsid w:val="00496239"/>
    <w:rsid w:val="00496267"/>
    <w:rsid w:val="00496540"/>
    <w:rsid w:val="00496F58"/>
    <w:rsid w:val="004A009F"/>
    <w:rsid w:val="004A1991"/>
    <w:rsid w:val="004A1F33"/>
    <w:rsid w:val="004A2693"/>
    <w:rsid w:val="004A2A11"/>
    <w:rsid w:val="004A2E1E"/>
    <w:rsid w:val="004A3F21"/>
    <w:rsid w:val="004A44AE"/>
    <w:rsid w:val="004A478F"/>
    <w:rsid w:val="004A4B21"/>
    <w:rsid w:val="004A4C5E"/>
    <w:rsid w:val="004A65D9"/>
    <w:rsid w:val="004A7286"/>
    <w:rsid w:val="004A7AB9"/>
    <w:rsid w:val="004B1083"/>
    <w:rsid w:val="004B1BB6"/>
    <w:rsid w:val="004B21D8"/>
    <w:rsid w:val="004B2282"/>
    <w:rsid w:val="004B3258"/>
    <w:rsid w:val="004B36C2"/>
    <w:rsid w:val="004B3765"/>
    <w:rsid w:val="004B39C1"/>
    <w:rsid w:val="004B3D77"/>
    <w:rsid w:val="004B46CA"/>
    <w:rsid w:val="004B4B38"/>
    <w:rsid w:val="004B6214"/>
    <w:rsid w:val="004B67D1"/>
    <w:rsid w:val="004B7182"/>
    <w:rsid w:val="004B74DD"/>
    <w:rsid w:val="004C031B"/>
    <w:rsid w:val="004C0519"/>
    <w:rsid w:val="004C07D7"/>
    <w:rsid w:val="004C0F35"/>
    <w:rsid w:val="004C193F"/>
    <w:rsid w:val="004C1A8A"/>
    <w:rsid w:val="004C1D16"/>
    <w:rsid w:val="004C1E29"/>
    <w:rsid w:val="004C2023"/>
    <w:rsid w:val="004C2D1E"/>
    <w:rsid w:val="004C32E5"/>
    <w:rsid w:val="004C34B1"/>
    <w:rsid w:val="004C4357"/>
    <w:rsid w:val="004C4429"/>
    <w:rsid w:val="004C4656"/>
    <w:rsid w:val="004C50AB"/>
    <w:rsid w:val="004C5351"/>
    <w:rsid w:val="004C5697"/>
    <w:rsid w:val="004C5734"/>
    <w:rsid w:val="004C6E98"/>
    <w:rsid w:val="004C6EA0"/>
    <w:rsid w:val="004C6EFC"/>
    <w:rsid w:val="004C7260"/>
    <w:rsid w:val="004C7DF5"/>
    <w:rsid w:val="004C7FDD"/>
    <w:rsid w:val="004D067C"/>
    <w:rsid w:val="004D072B"/>
    <w:rsid w:val="004D0CC6"/>
    <w:rsid w:val="004D1634"/>
    <w:rsid w:val="004D18C2"/>
    <w:rsid w:val="004D27C4"/>
    <w:rsid w:val="004D2AC1"/>
    <w:rsid w:val="004D2C5E"/>
    <w:rsid w:val="004D3FCF"/>
    <w:rsid w:val="004D44DC"/>
    <w:rsid w:val="004D470B"/>
    <w:rsid w:val="004D4765"/>
    <w:rsid w:val="004D4CC6"/>
    <w:rsid w:val="004D4E3E"/>
    <w:rsid w:val="004D52FF"/>
    <w:rsid w:val="004D5837"/>
    <w:rsid w:val="004D63C6"/>
    <w:rsid w:val="004D7742"/>
    <w:rsid w:val="004D7796"/>
    <w:rsid w:val="004E03FE"/>
    <w:rsid w:val="004E1DDA"/>
    <w:rsid w:val="004E2027"/>
    <w:rsid w:val="004E23B9"/>
    <w:rsid w:val="004E33E6"/>
    <w:rsid w:val="004E3802"/>
    <w:rsid w:val="004E4631"/>
    <w:rsid w:val="004E4C3E"/>
    <w:rsid w:val="004E5DDF"/>
    <w:rsid w:val="004E7513"/>
    <w:rsid w:val="004E7687"/>
    <w:rsid w:val="004F0179"/>
    <w:rsid w:val="004F0776"/>
    <w:rsid w:val="004F07B4"/>
    <w:rsid w:val="004F0A2E"/>
    <w:rsid w:val="004F0A50"/>
    <w:rsid w:val="004F0BBC"/>
    <w:rsid w:val="004F158C"/>
    <w:rsid w:val="004F2179"/>
    <w:rsid w:val="004F2D39"/>
    <w:rsid w:val="004F2E66"/>
    <w:rsid w:val="004F31B6"/>
    <w:rsid w:val="00500239"/>
    <w:rsid w:val="005013C8"/>
    <w:rsid w:val="00501669"/>
    <w:rsid w:val="00501833"/>
    <w:rsid w:val="00501D1E"/>
    <w:rsid w:val="00502D77"/>
    <w:rsid w:val="00502E30"/>
    <w:rsid w:val="0050301A"/>
    <w:rsid w:val="00503965"/>
    <w:rsid w:val="00503B38"/>
    <w:rsid w:val="00503F0C"/>
    <w:rsid w:val="005048EF"/>
    <w:rsid w:val="00506243"/>
    <w:rsid w:val="00506740"/>
    <w:rsid w:val="00506AF4"/>
    <w:rsid w:val="0051007B"/>
    <w:rsid w:val="00510100"/>
    <w:rsid w:val="005103F6"/>
    <w:rsid w:val="00510FF3"/>
    <w:rsid w:val="00511A3F"/>
    <w:rsid w:val="005123B0"/>
    <w:rsid w:val="00512C46"/>
    <w:rsid w:val="00513292"/>
    <w:rsid w:val="005133F8"/>
    <w:rsid w:val="005140B3"/>
    <w:rsid w:val="00514644"/>
    <w:rsid w:val="00515E9D"/>
    <w:rsid w:val="005170DB"/>
    <w:rsid w:val="0051736C"/>
    <w:rsid w:val="0051783C"/>
    <w:rsid w:val="00517A78"/>
    <w:rsid w:val="00520130"/>
    <w:rsid w:val="00520994"/>
    <w:rsid w:val="00520DE4"/>
    <w:rsid w:val="005212D1"/>
    <w:rsid w:val="00521398"/>
    <w:rsid w:val="005216F4"/>
    <w:rsid w:val="00521A71"/>
    <w:rsid w:val="00521C4C"/>
    <w:rsid w:val="005230ED"/>
    <w:rsid w:val="0052353E"/>
    <w:rsid w:val="005241CD"/>
    <w:rsid w:val="005253CD"/>
    <w:rsid w:val="005254B6"/>
    <w:rsid w:val="00525807"/>
    <w:rsid w:val="00526CD8"/>
    <w:rsid w:val="00526EAD"/>
    <w:rsid w:val="00527552"/>
    <w:rsid w:val="00530019"/>
    <w:rsid w:val="00530813"/>
    <w:rsid w:val="00530C83"/>
    <w:rsid w:val="00531CED"/>
    <w:rsid w:val="00531D80"/>
    <w:rsid w:val="0053214E"/>
    <w:rsid w:val="005324E4"/>
    <w:rsid w:val="005329CE"/>
    <w:rsid w:val="00532A14"/>
    <w:rsid w:val="00533A96"/>
    <w:rsid w:val="00534464"/>
    <w:rsid w:val="005355C1"/>
    <w:rsid w:val="00535B0B"/>
    <w:rsid w:val="005360E0"/>
    <w:rsid w:val="005364A9"/>
    <w:rsid w:val="00536A36"/>
    <w:rsid w:val="005402D0"/>
    <w:rsid w:val="005407B3"/>
    <w:rsid w:val="0054154B"/>
    <w:rsid w:val="005425D7"/>
    <w:rsid w:val="005429C0"/>
    <w:rsid w:val="005429D8"/>
    <w:rsid w:val="00543A5B"/>
    <w:rsid w:val="005448F0"/>
    <w:rsid w:val="0054503F"/>
    <w:rsid w:val="00545325"/>
    <w:rsid w:val="005453AD"/>
    <w:rsid w:val="00545DB7"/>
    <w:rsid w:val="005462E0"/>
    <w:rsid w:val="00546C28"/>
    <w:rsid w:val="00547001"/>
    <w:rsid w:val="00547251"/>
    <w:rsid w:val="005478AA"/>
    <w:rsid w:val="00550097"/>
    <w:rsid w:val="00550481"/>
    <w:rsid w:val="00550683"/>
    <w:rsid w:val="005511C0"/>
    <w:rsid w:val="0055255E"/>
    <w:rsid w:val="0055448A"/>
    <w:rsid w:val="0055471E"/>
    <w:rsid w:val="00555A2D"/>
    <w:rsid w:val="00555DC1"/>
    <w:rsid w:val="005567A5"/>
    <w:rsid w:val="00560806"/>
    <w:rsid w:val="00560AC2"/>
    <w:rsid w:val="00560F48"/>
    <w:rsid w:val="0056185D"/>
    <w:rsid w:val="00561DE3"/>
    <w:rsid w:val="005623A4"/>
    <w:rsid w:val="00562825"/>
    <w:rsid w:val="00562CB9"/>
    <w:rsid w:val="00563E7F"/>
    <w:rsid w:val="005651DF"/>
    <w:rsid w:val="0056536A"/>
    <w:rsid w:val="0056585D"/>
    <w:rsid w:val="005667D3"/>
    <w:rsid w:val="005669E9"/>
    <w:rsid w:val="005678C9"/>
    <w:rsid w:val="00567EE8"/>
    <w:rsid w:val="0057014C"/>
    <w:rsid w:val="005713D9"/>
    <w:rsid w:val="00573793"/>
    <w:rsid w:val="005742A7"/>
    <w:rsid w:val="00576042"/>
    <w:rsid w:val="00576136"/>
    <w:rsid w:val="0057660A"/>
    <w:rsid w:val="005770D8"/>
    <w:rsid w:val="00577A29"/>
    <w:rsid w:val="00577EBF"/>
    <w:rsid w:val="00580632"/>
    <w:rsid w:val="0058170B"/>
    <w:rsid w:val="00581CF2"/>
    <w:rsid w:val="00581D96"/>
    <w:rsid w:val="005828DE"/>
    <w:rsid w:val="00582938"/>
    <w:rsid w:val="0058309C"/>
    <w:rsid w:val="005851F3"/>
    <w:rsid w:val="00586D56"/>
    <w:rsid w:val="0058721B"/>
    <w:rsid w:val="00590CD1"/>
    <w:rsid w:val="00591360"/>
    <w:rsid w:val="00591AAD"/>
    <w:rsid w:val="00591DFC"/>
    <w:rsid w:val="00592A5D"/>
    <w:rsid w:val="00592D2A"/>
    <w:rsid w:val="0059373E"/>
    <w:rsid w:val="00594EC0"/>
    <w:rsid w:val="0059545B"/>
    <w:rsid w:val="00596D16"/>
    <w:rsid w:val="00596DC4"/>
    <w:rsid w:val="005A0E19"/>
    <w:rsid w:val="005A224F"/>
    <w:rsid w:val="005A268E"/>
    <w:rsid w:val="005A3F5D"/>
    <w:rsid w:val="005A5F79"/>
    <w:rsid w:val="005A7103"/>
    <w:rsid w:val="005A7372"/>
    <w:rsid w:val="005A79B9"/>
    <w:rsid w:val="005A7A1D"/>
    <w:rsid w:val="005B0CEE"/>
    <w:rsid w:val="005B214C"/>
    <w:rsid w:val="005B2527"/>
    <w:rsid w:val="005B4E15"/>
    <w:rsid w:val="005B583B"/>
    <w:rsid w:val="005B5A2B"/>
    <w:rsid w:val="005B6758"/>
    <w:rsid w:val="005B6852"/>
    <w:rsid w:val="005B6B94"/>
    <w:rsid w:val="005B72DA"/>
    <w:rsid w:val="005B7348"/>
    <w:rsid w:val="005B79A8"/>
    <w:rsid w:val="005B7DF7"/>
    <w:rsid w:val="005B7E73"/>
    <w:rsid w:val="005C12E9"/>
    <w:rsid w:val="005C14DC"/>
    <w:rsid w:val="005C1E5C"/>
    <w:rsid w:val="005C2D29"/>
    <w:rsid w:val="005C326A"/>
    <w:rsid w:val="005C386B"/>
    <w:rsid w:val="005C3EB0"/>
    <w:rsid w:val="005C4719"/>
    <w:rsid w:val="005C47D6"/>
    <w:rsid w:val="005C50B4"/>
    <w:rsid w:val="005C61C4"/>
    <w:rsid w:val="005C6209"/>
    <w:rsid w:val="005C6232"/>
    <w:rsid w:val="005C62AB"/>
    <w:rsid w:val="005C6739"/>
    <w:rsid w:val="005C6A97"/>
    <w:rsid w:val="005C6ABF"/>
    <w:rsid w:val="005C7960"/>
    <w:rsid w:val="005D03FC"/>
    <w:rsid w:val="005D082B"/>
    <w:rsid w:val="005D146B"/>
    <w:rsid w:val="005D1CAE"/>
    <w:rsid w:val="005D2E94"/>
    <w:rsid w:val="005D32B9"/>
    <w:rsid w:val="005D3C7D"/>
    <w:rsid w:val="005D4C9D"/>
    <w:rsid w:val="005D50B8"/>
    <w:rsid w:val="005D5217"/>
    <w:rsid w:val="005D5811"/>
    <w:rsid w:val="005D6DFF"/>
    <w:rsid w:val="005D7212"/>
    <w:rsid w:val="005D72C0"/>
    <w:rsid w:val="005E04D3"/>
    <w:rsid w:val="005E0585"/>
    <w:rsid w:val="005E1071"/>
    <w:rsid w:val="005E135F"/>
    <w:rsid w:val="005E14C5"/>
    <w:rsid w:val="005E1AD4"/>
    <w:rsid w:val="005E216A"/>
    <w:rsid w:val="005E21ED"/>
    <w:rsid w:val="005E3267"/>
    <w:rsid w:val="005E424D"/>
    <w:rsid w:val="005E63E0"/>
    <w:rsid w:val="005E6A58"/>
    <w:rsid w:val="005E74AA"/>
    <w:rsid w:val="005F037B"/>
    <w:rsid w:val="005F20ED"/>
    <w:rsid w:val="005F250C"/>
    <w:rsid w:val="005F265C"/>
    <w:rsid w:val="005F272D"/>
    <w:rsid w:val="005F276A"/>
    <w:rsid w:val="005F34DC"/>
    <w:rsid w:val="005F472D"/>
    <w:rsid w:val="005F486C"/>
    <w:rsid w:val="005F4A05"/>
    <w:rsid w:val="005F515D"/>
    <w:rsid w:val="005F58F6"/>
    <w:rsid w:val="005F6A04"/>
    <w:rsid w:val="005F70C0"/>
    <w:rsid w:val="005F7D1A"/>
    <w:rsid w:val="0060026A"/>
    <w:rsid w:val="00600974"/>
    <w:rsid w:val="00600D49"/>
    <w:rsid w:val="00601AD4"/>
    <w:rsid w:val="00601EFD"/>
    <w:rsid w:val="006026B5"/>
    <w:rsid w:val="00602F06"/>
    <w:rsid w:val="0060367E"/>
    <w:rsid w:val="00603A0D"/>
    <w:rsid w:val="00604420"/>
    <w:rsid w:val="006047C3"/>
    <w:rsid w:val="00604D8B"/>
    <w:rsid w:val="0060515D"/>
    <w:rsid w:val="0060572C"/>
    <w:rsid w:val="00605ADC"/>
    <w:rsid w:val="00605E01"/>
    <w:rsid w:val="0060714A"/>
    <w:rsid w:val="006077C1"/>
    <w:rsid w:val="00610392"/>
    <w:rsid w:val="0061141D"/>
    <w:rsid w:val="00611CD4"/>
    <w:rsid w:val="00611CE4"/>
    <w:rsid w:val="00612728"/>
    <w:rsid w:val="00612914"/>
    <w:rsid w:val="00612E4C"/>
    <w:rsid w:val="006147E7"/>
    <w:rsid w:val="006148C0"/>
    <w:rsid w:val="0061506A"/>
    <w:rsid w:val="00615574"/>
    <w:rsid w:val="006156DE"/>
    <w:rsid w:val="00615AC0"/>
    <w:rsid w:val="00616E90"/>
    <w:rsid w:val="0061737F"/>
    <w:rsid w:val="006207BC"/>
    <w:rsid w:val="00621166"/>
    <w:rsid w:val="00621C81"/>
    <w:rsid w:val="00621DDA"/>
    <w:rsid w:val="00621E03"/>
    <w:rsid w:val="00623207"/>
    <w:rsid w:val="0062332E"/>
    <w:rsid w:val="00623DFC"/>
    <w:rsid w:val="0062412C"/>
    <w:rsid w:val="0062440C"/>
    <w:rsid w:val="0062472F"/>
    <w:rsid w:val="006247C0"/>
    <w:rsid w:val="00625048"/>
    <w:rsid w:val="00625D78"/>
    <w:rsid w:val="00626629"/>
    <w:rsid w:val="00626A56"/>
    <w:rsid w:val="00626E36"/>
    <w:rsid w:val="00627173"/>
    <w:rsid w:val="00627474"/>
    <w:rsid w:val="00627B8B"/>
    <w:rsid w:val="0063105D"/>
    <w:rsid w:val="0063330A"/>
    <w:rsid w:val="00633CBC"/>
    <w:rsid w:val="00633D90"/>
    <w:rsid w:val="006347A2"/>
    <w:rsid w:val="00634A5D"/>
    <w:rsid w:val="0063570F"/>
    <w:rsid w:val="00635711"/>
    <w:rsid w:val="006363D5"/>
    <w:rsid w:val="006363DA"/>
    <w:rsid w:val="00640F05"/>
    <w:rsid w:val="006421DF"/>
    <w:rsid w:val="00643884"/>
    <w:rsid w:val="0064418E"/>
    <w:rsid w:val="00644F7F"/>
    <w:rsid w:val="0064538E"/>
    <w:rsid w:val="00645472"/>
    <w:rsid w:val="00645F55"/>
    <w:rsid w:val="00646A25"/>
    <w:rsid w:val="00646EA5"/>
    <w:rsid w:val="00647A5E"/>
    <w:rsid w:val="00647B5F"/>
    <w:rsid w:val="00647B67"/>
    <w:rsid w:val="00647C7F"/>
    <w:rsid w:val="00650039"/>
    <w:rsid w:val="006510E8"/>
    <w:rsid w:val="00651C76"/>
    <w:rsid w:val="00654555"/>
    <w:rsid w:val="00654915"/>
    <w:rsid w:val="00654D9A"/>
    <w:rsid w:val="00654EEE"/>
    <w:rsid w:val="00655F87"/>
    <w:rsid w:val="006562F3"/>
    <w:rsid w:val="00656573"/>
    <w:rsid w:val="00657568"/>
    <w:rsid w:val="006600B9"/>
    <w:rsid w:val="00660260"/>
    <w:rsid w:val="00661381"/>
    <w:rsid w:val="0066164D"/>
    <w:rsid w:val="00661B4A"/>
    <w:rsid w:val="00662265"/>
    <w:rsid w:val="006624E0"/>
    <w:rsid w:val="00662FB6"/>
    <w:rsid w:val="00663804"/>
    <w:rsid w:val="00664193"/>
    <w:rsid w:val="006643DF"/>
    <w:rsid w:val="00664E12"/>
    <w:rsid w:val="006651D0"/>
    <w:rsid w:val="006653DB"/>
    <w:rsid w:val="0066573E"/>
    <w:rsid w:val="00665D65"/>
    <w:rsid w:val="006664BC"/>
    <w:rsid w:val="006665F2"/>
    <w:rsid w:val="00666FE8"/>
    <w:rsid w:val="006671DE"/>
    <w:rsid w:val="00667EA6"/>
    <w:rsid w:val="006702FE"/>
    <w:rsid w:val="00670AF3"/>
    <w:rsid w:val="00670B5E"/>
    <w:rsid w:val="00671C63"/>
    <w:rsid w:val="00671FF3"/>
    <w:rsid w:val="006726D4"/>
    <w:rsid w:val="00672BF0"/>
    <w:rsid w:val="00672EBC"/>
    <w:rsid w:val="006733E5"/>
    <w:rsid w:val="006736C1"/>
    <w:rsid w:val="006743BA"/>
    <w:rsid w:val="00674A18"/>
    <w:rsid w:val="0067528F"/>
    <w:rsid w:val="0067619F"/>
    <w:rsid w:val="00677784"/>
    <w:rsid w:val="0068001A"/>
    <w:rsid w:val="0068018B"/>
    <w:rsid w:val="00680B45"/>
    <w:rsid w:val="00680B97"/>
    <w:rsid w:val="006810FA"/>
    <w:rsid w:val="00681A38"/>
    <w:rsid w:val="00682F92"/>
    <w:rsid w:val="00683085"/>
    <w:rsid w:val="00683B4C"/>
    <w:rsid w:val="0068522C"/>
    <w:rsid w:val="0068609C"/>
    <w:rsid w:val="006874D8"/>
    <w:rsid w:val="00687E01"/>
    <w:rsid w:val="00687F19"/>
    <w:rsid w:val="00690220"/>
    <w:rsid w:val="00690638"/>
    <w:rsid w:val="00691098"/>
    <w:rsid w:val="00691980"/>
    <w:rsid w:val="006932B6"/>
    <w:rsid w:val="00694402"/>
    <w:rsid w:val="0069481D"/>
    <w:rsid w:val="00694887"/>
    <w:rsid w:val="00694C91"/>
    <w:rsid w:val="006950FD"/>
    <w:rsid w:val="006957C4"/>
    <w:rsid w:val="00696109"/>
    <w:rsid w:val="00696684"/>
    <w:rsid w:val="006967E5"/>
    <w:rsid w:val="00696B27"/>
    <w:rsid w:val="006A02CB"/>
    <w:rsid w:val="006A0D9E"/>
    <w:rsid w:val="006A10D8"/>
    <w:rsid w:val="006A1449"/>
    <w:rsid w:val="006A1797"/>
    <w:rsid w:val="006A1EAF"/>
    <w:rsid w:val="006A2403"/>
    <w:rsid w:val="006A25A4"/>
    <w:rsid w:val="006A298B"/>
    <w:rsid w:val="006A2FFC"/>
    <w:rsid w:val="006A3379"/>
    <w:rsid w:val="006A33C7"/>
    <w:rsid w:val="006A3701"/>
    <w:rsid w:val="006A39AF"/>
    <w:rsid w:val="006A3D83"/>
    <w:rsid w:val="006A5308"/>
    <w:rsid w:val="006A59BA"/>
    <w:rsid w:val="006A59DA"/>
    <w:rsid w:val="006A5D0C"/>
    <w:rsid w:val="006A6B2B"/>
    <w:rsid w:val="006A6CA2"/>
    <w:rsid w:val="006A7844"/>
    <w:rsid w:val="006B0212"/>
    <w:rsid w:val="006B1C46"/>
    <w:rsid w:val="006B1E20"/>
    <w:rsid w:val="006B2C55"/>
    <w:rsid w:val="006B32A5"/>
    <w:rsid w:val="006B38E7"/>
    <w:rsid w:val="006B404E"/>
    <w:rsid w:val="006B522D"/>
    <w:rsid w:val="006B5339"/>
    <w:rsid w:val="006B5367"/>
    <w:rsid w:val="006B5455"/>
    <w:rsid w:val="006B63AA"/>
    <w:rsid w:val="006B66C8"/>
    <w:rsid w:val="006B7579"/>
    <w:rsid w:val="006B7E61"/>
    <w:rsid w:val="006B7FD5"/>
    <w:rsid w:val="006B7FDD"/>
    <w:rsid w:val="006C0111"/>
    <w:rsid w:val="006C012F"/>
    <w:rsid w:val="006C0731"/>
    <w:rsid w:val="006C119B"/>
    <w:rsid w:val="006C1DF0"/>
    <w:rsid w:val="006C208C"/>
    <w:rsid w:val="006C3157"/>
    <w:rsid w:val="006C5277"/>
    <w:rsid w:val="006C54F9"/>
    <w:rsid w:val="006C6955"/>
    <w:rsid w:val="006C73EB"/>
    <w:rsid w:val="006C7B78"/>
    <w:rsid w:val="006D123A"/>
    <w:rsid w:val="006D2000"/>
    <w:rsid w:val="006D2689"/>
    <w:rsid w:val="006D3D6F"/>
    <w:rsid w:val="006D5A20"/>
    <w:rsid w:val="006D5FF4"/>
    <w:rsid w:val="006D6134"/>
    <w:rsid w:val="006D64C7"/>
    <w:rsid w:val="006D6704"/>
    <w:rsid w:val="006D6C92"/>
    <w:rsid w:val="006D6D53"/>
    <w:rsid w:val="006D76C3"/>
    <w:rsid w:val="006D7DF8"/>
    <w:rsid w:val="006E0634"/>
    <w:rsid w:val="006E17C0"/>
    <w:rsid w:val="006E188C"/>
    <w:rsid w:val="006E190E"/>
    <w:rsid w:val="006E2D7D"/>
    <w:rsid w:val="006E33B2"/>
    <w:rsid w:val="006E3A1F"/>
    <w:rsid w:val="006E42CB"/>
    <w:rsid w:val="006E49ED"/>
    <w:rsid w:val="006E5612"/>
    <w:rsid w:val="006E592D"/>
    <w:rsid w:val="006E62A3"/>
    <w:rsid w:val="006E6620"/>
    <w:rsid w:val="006E7719"/>
    <w:rsid w:val="006E7B1E"/>
    <w:rsid w:val="006F106B"/>
    <w:rsid w:val="006F108F"/>
    <w:rsid w:val="006F1BBF"/>
    <w:rsid w:val="006F2DED"/>
    <w:rsid w:val="006F46C4"/>
    <w:rsid w:val="006F4A9F"/>
    <w:rsid w:val="006F4FC7"/>
    <w:rsid w:val="006F5022"/>
    <w:rsid w:val="006F611E"/>
    <w:rsid w:val="006F74E4"/>
    <w:rsid w:val="006F770D"/>
    <w:rsid w:val="00700E28"/>
    <w:rsid w:val="007022E1"/>
    <w:rsid w:val="0070290A"/>
    <w:rsid w:val="0070320D"/>
    <w:rsid w:val="007033FB"/>
    <w:rsid w:val="007040AD"/>
    <w:rsid w:val="007049BE"/>
    <w:rsid w:val="00704A99"/>
    <w:rsid w:val="00704F7C"/>
    <w:rsid w:val="00705D76"/>
    <w:rsid w:val="0070660A"/>
    <w:rsid w:val="00706680"/>
    <w:rsid w:val="00706B95"/>
    <w:rsid w:val="00706F32"/>
    <w:rsid w:val="00707B58"/>
    <w:rsid w:val="00707B88"/>
    <w:rsid w:val="00707EC6"/>
    <w:rsid w:val="00707F3F"/>
    <w:rsid w:val="0071013E"/>
    <w:rsid w:val="00710702"/>
    <w:rsid w:val="007107B7"/>
    <w:rsid w:val="00710E26"/>
    <w:rsid w:val="0071121C"/>
    <w:rsid w:val="007113B6"/>
    <w:rsid w:val="007114B6"/>
    <w:rsid w:val="00711A71"/>
    <w:rsid w:val="00711C04"/>
    <w:rsid w:val="00712829"/>
    <w:rsid w:val="00713390"/>
    <w:rsid w:val="00713748"/>
    <w:rsid w:val="007151E5"/>
    <w:rsid w:val="00716902"/>
    <w:rsid w:val="007175D3"/>
    <w:rsid w:val="00717AFA"/>
    <w:rsid w:val="00717D7C"/>
    <w:rsid w:val="00720042"/>
    <w:rsid w:val="00720655"/>
    <w:rsid w:val="00720BA7"/>
    <w:rsid w:val="00722CF8"/>
    <w:rsid w:val="00723080"/>
    <w:rsid w:val="00723224"/>
    <w:rsid w:val="00723285"/>
    <w:rsid w:val="0072329B"/>
    <w:rsid w:val="00723CDC"/>
    <w:rsid w:val="0072525F"/>
    <w:rsid w:val="00725D4E"/>
    <w:rsid w:val="007272AF"/>
    <w:rsid w:val="007277E1"/>
    <w:rsid w:val="00727812"/>
    <w:rsid w:val="0072790F"/>
    <w:rsid w:val="007307A3"/>
    <w:rsid w:val="00731244"/>
    <w:rsid w:val="00731AE4"/>
    <w:rsid w:val="00731CBA"/>
    <w:rsid w:val="0073264B"/>
    <w:rsid w:val="00732771"/>
    <w:rsid w:val="007333C0"/>
    <w:rsid w:val="007349FD"/>
    <w:rsid w:val="00737C5E"/>
    <w:rsid w:val="007402C7"/>
    <w:rsid w:val="00740E95"/>
    <w:rsid w:val="00741B79"/>
    <w:rsid w:val="007425D6"/>
    <w:rsid w:val="00742777"/>
    <w:rsid w:val="00743424"/>
    <w:rsid w:val="00743AB1"/>
    <w:rsid w:val="0074550E"/>
    <w:rsid w:val="00745A48"/>
    <w:rsid w:val="00745C40"/>
    <w:rsid w:val="00747549"/>
    <w:rsid w:val="0075047D"/>
    <w:rsid w:val="00751B48"/>
    <w:rsid w:val="00752498"/>
    <w:rsid w:val="007535AE"/>
    <w:rsid w:val="00754F7F"/>
    <w:rsid w:val="00755589"/>
    <w:rsid w:val="0075760B"/>
    <w:rsid w:val="007576C7"/>
    <w:rsid w:val="00757D8F"/>
    <w:rsid w:val="00757DCD"/>
    <w:rsid w:val="00760288"/>
    <w:rsid w:val="00760490"/>
    <w:rsid w:val="00760ECE"/>
    <w:rsid w:val="00761014"/>
    <w:rsid w:val="007618D8"/>
    <w:rsid w:val="0076208F"/>
    <w:rsid w:val="00762219"/>
    <w:rsid w:val="007625DB"/>
    <w:rsid w:val="00762725"/>
    <w:rsid w:val="00762EF7"/>
    <w:rsid w:val="00762F07"/>
    <w:rsid w:val="0076323D"/>
    <w:rsid w:val="007638D6"/>
    <w:rsid w:val="00763B28"/>
    <w:rsid w:val="0076430C"/>
    <w:rsid w:val="00764A1D"/>
    <w:rsid w:val="00764DD4"/>
    <w:rsid w:val="0076535E"/>
    <w:rsid w:val="00765824"/>
    <w:rsid w:val="00766571"/>
    <w:rsid w:val="007666F9"/>
    <w:rsid w:val="00766F93"/>
    <w:rsid w:val="007704C6"/>
    <w:rsid w:val="00770543"/>
    <w:rsid w:val="007709DA"/>
    <w:rsid w:val="00770ABF"/>
    <w:rsid w:val="00770BAD"/>
    <w:rsid w:val="00772F22"/>
    <w:rsid w:val="00772F8D"/>
    <w:rsid w:val="00773132"/>
    <w:rsid w:val="0077349C"/>
    <w:rsid w:val="00773831"/>
    <w:rsid w:val="00773B22"/>
    <w:rsid w:val="00774512"/>
    <w:rsid w:val="00775C80"/>
    <w:rsid w:val="0078055F"/>
    <w:rsid w:val="00780CF2"/>
    <w:rsid w:val="007813CF"/>
    <w:rsid w:val="00784404"/>
    <w:rsid w:val="0078497E"/>
    <w:rsid w:val="00784B14"/>
    <w:rsid w:val="00784F2C"/>
    <w:rsid w:val="007850DF"/>
    <w:rsid w:val="00785674"/>
    <w:rsid w:val="00785690"/>
    <w:rsid w:val="0078692E"/>
    <w:rsid w:val="00790432"/>
    <w:rsid w:val="00790494"/>
    <w:rsid w:val="00790808"/>
    <w:rsid w:val="00790FA5"/>
    <w:rsid w:val="007913B6"/>
    <w:rsid w:val="007936DC"/>
    <w:rsid w:val="00794AFE"/>
    <w:rsid w:val="00794CA3"/>
    <w:rsid w:val="00794CEF"/>
    <w:rsid w:val="007974FA"/>
    <w:rsid w:val="0079757D"/>
    <w:rsid w:val="00797995"/>
    <w:rsid w:val="007A0212"/>
    <w:rsid w:val="007A034C"/>
    <w:rsid w:val="007A0AC9"/>
    <w:rsid w:val="007A10C2"/>
    <w:rsid w:val="007A1104"/>
    <w:rsid w:val="007A1A75"/>
    <w:rsid w:val="007A1D54"/>
    <w:rsid w:val="007A2E94"/>
    <w:rsid w:val="007A38B9"/>
    <w:rsid w:val="007A3CEB"/>
    <w:rsid w:val="007A413D"/>
    <w:rsid w:val="007A427A"/>
    <w:rsid w:val="007A4656"/>
    <w:rsid w:val="007A4D9D"/>
    <w:rsid w:val="007A59E3"/>
    <w:rsid w:val="007A6174"/>
    <w:rsid w:val="007A634A"/>
    <w:rsid w:val="007A63B5"/>
    <w:rsid w:val="007A6406"/>
    <w:rsid w:val="007A65E9"/>
    <w:rsid w:val="007A6A9E"/>
    <w:rsid w:val="007A6C84"/>
    <w:rsid w:val="007A7176"/>
    <w:rsid w:val="007A72CF"/>
    <w:rsid w:val="007A7638"/>
    <w:rsid w:val="007B0900"/>
    <w:rsid w:val="007B0B93"/>
    <w:rsid w:val="007B13C7"/>
    <w:rsid w:val="007B13EC"/>
    <w:rsid w:val="007B233C"/>
    <w:rsid w:val="007B2CBB"/>
    <w:rsid w:val="007B452D"/>
    <w:rsid w:val="007B462B"/>
    <w:rsid w:val="007B698D"/>
    <w:rsid w:val="007B7175"/>
    <w:rsid w:val="007C0011"/>
    <w:rsid w:val="007C0309"/>
    <w:rsid w:val="007C0C6B"/>
    <w:rsid w:val="007C154A"/>
    <w:rsid w:val="007C1842"/>
    <w:rsid w:val="007C24AA"/>
    <w:rsid w:val="007C2CD3"/>
    <w:rsid w:val="007C2E4D"/>
    <w:rsid w:val="007C3037"/>
    <w:rsid w:val="007C460F"/>
    <w:rsid w:val="007C65CD"/>
    <w:rsid w:val="007C71D9"/>
    <w:rsid w:val="007C77DE"/>
    <w:rsid w:val="007C7D63"/>
    <w:rsid w:val="007D0D07"/>
    <w:rsid w:val="007D0DFB"/>
    <w:rsid w:val="007D1746"/>
    <w:rsid w:val="007D1E14"/>
    <w:rsid w:val="007D2649"/>
    <w:rsid w:val="007D4838"/>
    <w:rsid w:val="007D516E"/>
    <w:rsid w:val="007D6896"/>
    <w:rsid w:val="007D6B1D"/>
    <w:rsid w:val="007D79B9"/>
    <w:rsid w:val="007D7FB5"/>
    <w:rsid w:val="007E0419"/>
    <w:rsid w:val="007E04C9"/>
    <w:rsid w:val="007E095D"/>
    <w:rsid w:val="007E15CA"/>
    <w:rsid w:val="007E2BC5"/>
    <w:rsid w:val="007E3271"/>
    <w:rsid w:val="007E3C04"/>
    <w:rsid w:val="007E4384"/>
    <w:rsid w:val="007E4E45"/>
    <w:rsid w:val="007E5646"/>
    <w:rsid w:val="007E61C8"/>
    <w:rsid w:val="007E62E8"/>
    <w:rsid w:val="007E63BF"/>
    <w:rsid w:val="007E66ED"/>
    <w:rsid w:val="007F017A"/>
    <w:rsid w:val="007F05B0"/>
    <w:rsid w:val="007F0ACA"/>
    <w:rsid w:val="007F21FB"/>
    <w:rsid w:val="007F2D2B"/>
    <w:rsid w:val="007F301F"/>
    <w:rsid w:val="007F5828"/>
    <w:rsid w:val="007F5DA7"/>
    <w:rsid w:val="007F60C9"/>
    <w:rsid w:val="007F7081"/>
    <w:rsid w:val="007F7256"/>
    <w:rsid w:val="00800178"/>
    <w:rsid w:val="00800743"/>
    <w:rsid w:val="008011CA"/>
    <w:rsid w:val="00802115"/>
    <w:rsid w:val="0080297F"/>
    <w:rsid w:val="00804653"/>
    <w:rsid w:val="008050D4"/>
    <w:rsid w:val="00805376"/>
    <w:rsid w:val="00805E6B"/>
    <w:rsid w:val="00806B48"/>
    <w:rsid w:val="00806B79"/>
    <w:rsid w:val="00807409"/>
    <w:rsid w:val="00807C05"/>
    <w:rsid w:val="00810142"/>
    <w:rsid w:val="00810D7D"/>
    <w:rsid w:val="00810E82"/>
    <w:rsid w:val="0081149E"/>
    <w:rsid w:val="0081255C"/>
    <w:rsid w:val="008139AE"/>
    <w:rsid w:val="00814123"/>
    <w:rsid w:val="008142DE"/>
    <w:rsid w:val="00814482"/>
    <w:rsid w:val="008144F4"/>
    <w:rsid w:val="00814509"/>
    <w:rsid w:val="00815814"/>
    <w:rsid w:val="0081713C"/>
    <w:rsid w:val="00817A3E"/>
    <w:rsid w:val="00817CE9"/>
    <w:rsid w:val="0082098C"/>
    <w:rsid w:val="00820C87"/>
    <w:rsid w:val="00822524"/>
    <w:rsid w:val="0082336A"/>
    <w:rsid w:val="008237D2"/>
    <w:rsid w:val="008248B1"/>
    <w:rsid w:val="00824A60"/>
    <w:rsid w:val="00824D94"/>
    <w:rsid w:val="00826543"/>
    <w:rsid w:val="00827420"/>
    <w:rsid w:val="00827500"/>
    <w:rsid w:val="00827D38"/>
    <w:rsid w:val="00830D77"/>
    <w:rsid w:val="00831610"/>
    <w:rsid w:val="0083401D"/>
    <w:rsid w:val="00834126"/>
    <w:rsid w:val="00834226"/>
    <w:rsid w:val="00834839"/>
    <w:rsid w:val="00835338"/>
    <w:rsid w:val="00835FAD"/>
    <w:rsid w:val="0083660F"/>
    <w:rsid w:val="00837CF8"/>
    <w:rsid w:val="00840530"/>
    <w:rsid w:val="00840EAF"/>
    <w:rsid w:val="0084102B"/>
    <w:rsid w:val="008411AD"/>
    <w:rsid w:val="008415D7"/>
    <w:rsid w:val="0084160B"/>
    <w:rsid w:val="00841666"/>
    <w:rsid w:val="00842134"/>
    <w:rsid w:val="00842394"/>
    <w:rsid w:val="00842B81"/>
    <w:rsid w:val="00843508"/>
    <w:rsid w:val="00844DE2"/>
    <w:rsid w:val="008452CB"/>
    <w:rsid w:val="0084548E"/>
    <w:rsid w:val="008477BC"/>
    <w:rsid w:val="00851032"/>
    <w:rsid w:val="0085148D"/>
    <w:rsid w:val="00851504"/>
    <w:rsid w:val="0085314A"/>
    <w:rsid w:val="00853ECF"/>
    <w:rsid w:val="0085439C"/>
    <w:rsid w:val="00854AD1"/>
    <w:rsid w:val="00855332"/>
    <w:rsid w:val="0085543E"/>
    <w:rsid w:val="0085578B"/>
    <w:rsid w:val="00855CB4"/>
    <w:rsid w:val="00856EEC"/>
    <w:rsid w:val="00857202"/>
    <w:rsid w:val="0085763D"/>
    <w:rsid w:val="008579B9"/>
    <w:rsid w:val="00857C72"/>
    <w:rsid w:val="00860637"/>
    <w:rsid w:val="00860E4D"/>
    <w:rsid w:val="00861337"/>
    <w:rsid w:val="00861906"/>
    <w:rsid w:val="008633F6"/>
    <w:rsid w:val="00863B59"/>
    <w:rsid w:val="00864415"/>
    <w:rsid w:val="008646F4"/>
    <w:rsid w:val="00864EE5"/>
    <w:rsid w:val="0086594A"/>
    <w:rsid w:val="00865A02"/>
    <w:rsid w:val="00865EE8"/>
    <w:rsid w:val="0086750F"/>
    <w:rsid w:val="008676F6"/>
    <w:rsid w:val="00870753"/>
    <w:rsid w:val="00870BED"/>
    <w:rsid w:val="00872B76"/>
    <w:rsid w:val="00873FFC"/>
    <w:rsid w:val="008742D4"/>
    <w:rsid w:val="00874F9C"/>
    <w:rsid w:val="00875B10"/>
    <w:rsid w:val="00875FB0"/>
    <w:rsid w:val="00880122"/>
    <w:rsid w:val="008803DB"/>
    <w:rsid w:val="0088059E"/>
    <w:rsid w:val="00880A20"/>
    <w:rsid w:val="00881014"/>
    <w:rsid w:val="0088132C"/>
    <w:rsid w:val="008814B9"/>
    <w:rsid w:val="00881613"/>
    <w:rsid w:val="008819D7"/>
    <w:rsid w:val="00881CE8"/>
    <w:rsid w:val="00882328"/>
    <w:rsid w:val="0088255E"/>
    <w:rsid w:val="00882B67"/>
    <w:rsid w:val="0088317C"/>
    <w:rsid w:val="00883B30"/>
    <w:rsid w:val="00884217"/>
    <w:rsid w:val="00884BA6"/>
    <w:rsid w:val="008855C7"/>
    <w:rsid w:val="0088645D"/>
    <w:rsid w:val="008868ED"/>
    <w:rsid w:val="00891286"/>
    <w:rsid w:val="00891B2E"/>
    <w:rsid w:val="00893590"/>
    <w:rsid w:val="00893596"/>
    <w:rsid w:val="00893C65"/>
    <w:rsid w:val="00894794"/>
    <w:rsid w:val="00894BAC"/>
    <w:rsid w:val="00894EEA"/>
    <w:rsid w:val="0089578A"/>
    <w:rsid w:val="00895CF2"/>
    <w:rsid w:val="00896B6C"/>
    <w:rsid w:val="008973DD"/>
    <w:rsid w:val="008978E4"/>
    <w:rsid w:val="008A084B"/>
    <w:rsid w:val="008A18DE"/>
    <w:rsid w:val="008A1976"/>
    <w:rsid w:val="008A1A55"/>
    <w:rsid w:val="008A2374"/>
    <w:rsid w:val="008A2709"/>
    <w:rsid w:val="008A3B0F"/>
    <w:rsid w:val="008A44CD"/>
    <w:rsid w:val="008A4910"/>
    <w:rsid w:val="008A53A8"/>
    <w:rsid w:val="008A60AD"/>
    <w:rsid w:val="008A60BD"/>
    <w:rsid w:val="008A6C6B"/>
    <w:rsid w:val="008A6CCF"/>
    <w:rsid w:val="008A76FD"/>
    <w:rsid w:val="008A7BCB"/>
    <w:rsid w:val="008B0347"/>
    <w:rsid w:val="008B03CD"/>
    <w:rsid w:val="008B0AB8"/>
    <w:rsid w:val="008B1368"/>
    <w:rsid w:val="008B2C6E"/>
    <w:rsid w:val="008B37D1"/>
    <w:rsid w:val="008B4713"/>
    <w:rsid w:val="008B4846"/>
    <w:rsid w:val="008B48F3"/>
    <w:rsid w:val="008B6593"/>
    <w:rsid w:val="008B6A09"/>
    <w:rsid w:val="008B7006"/>
    <w:rsid w:val="008C0B15"/>
    <w:rsid w:val="008C0FFE"/>
    <w:rsid w:val="008C2AB7"/>
    <w:rsid w:val="008C3219"/>
    <w:rsid w:val="008C4945"/>
    <w:rsid w:val="008C4ACB"/>
    <w:rsid w:val="008C59D3"/>
    <w:rsid w:val="008C7357"/>
    <w:rsid w:val="008D050A"/>
    <w:rsid w:val="008D08B1"/>
    <w:rsid w:val="008D1ADD"/>
    <w:rsid w:val="008D2AB4"/>
    <w:rsid w:val="008D31E0"/>
    <w:rsid w:val="008D4818"/>
    <w:rsid w:val="008D4E03"/>
    <w:rsid w:val="008D5327"/>
    <w:rsid w:val="008D6086"/>
    <w:rsid w:val="008D6A1C"/>
    <w:rsid w:val="008D6FA8"/>
    <w:rsid w:val="008D747C"/>
    <w:rsid w:val="008E0096"/>
    <w:rsid w:val="008E00B8"/>
    <w:rsid w:val="008E1259"/>
    <w:rsid w:val="008E1935"/>
    <w:rsid w:val="008E292F"/>
    <w:rsid w:val="008E29FF"/>
    <w:rsid w:val="008E31C0"/>
    <w:rsid w:val="008E329C"/>
    <w:rsid w:val="008E5051"/>
    <w:rsid w:val="008E5C69"/>
    <w:rsid w:val="008E65EC"/>
    <w:rsid w:val="008E6D1A"/>
    <w:rsid w:val="008E7021"/>
    <w:rsid w:val="008E79D3"/>
    <w:rsid w:val="008E7E7B"/>
    <w:rsid w:val="008F092E"/>
    <w:rsid w:val="008F0B62"/>
    <w:rsid w:val="008F133D"/>
    <w:rsid w:val="008F1365"/>
    <w:rsid w:val="008F1670"/>
    <w:rsid w:val="008F1B99"/>
    <w:rsid w:val="008F2132"/>
    <w:rsid w:val="008F2249"/>
    <w:rsid w:val="008F28AA"/>
    <w:rsid w:val="008F3D82"/>
    <w:rsid w:val="008F42C8"/>
    <w:rsid w:val="008F4DC2"/>
    <w:rsid w:val="008F572E"/>
    <w:rsid w:val="008F5A54"/>
    <w:rsid w:val="008F5D8C"/>
    <w:rsid w:val="008F63D2"/>
    <w:rsid w:val="008F64AE"/>
    <w:rsid w:val="008F6C65"/>
    <w:rsid w:val="00900033"/>
    <w:rsid w:val="009004DF"/>
    <w:rsid w:val="0090122B"/>
    <w:rsid w:val="009017F9"/>
    <w:rsid w:val="009019ED"/>
    <w:rsid w:val="00901D95"/>
    <w:rsid w:val="009027B1"/>
    <w:rsid w:val="00902D57"/>
    <w:rsid w:val="0090407C"/>
    <w:rsid w:val="00905504"/>
    <w:rsid w:val="00906B8F"/>
    <w:rsid w:val="00906BBF"/>
    <w:rsid w:val="00906CF9"/>
    <w:rsid w:val="009100A1"/>
    <w:rsid w:val="009102F3"/>
    <w:rsid w:val="00910587"/>
    <w:rsid w:val="00910D50"/>
    <w:rsid w:val="009114C1"/>
    <w:rsid w:val="009119E7"/>
    <w:rsid w:val="00913747"/>
    <w:rsid w:val="00913E62"/>
    <w:rsid w:val="009143FC"/>
    <w:rsid w:val="00915F1C"/>
    <w:rsid w:val="00916340"/>
    <w:rsid w:val="00917B17"/>
    <w:rsid w:val="009215B3"/>
    <w:rsid w:val="0092176E"/>
    <w:rsid w:val="00921771"/>
    <w:rsid w:val="00924006"/>
    <w:rsid w:val="009250E4"/>
    <w:rsid w:val="00925958"/>
    <w:rsid w:val="00925D5A"/>
    <w:rsid w:val="009263DA"/>
    <w:rsid w:val="0093028F"/>
    <w:rsid w:val="00930D6E"/>
    <w:rsid w:val="00931895"/>
    <w:rsid w:val="00933E6D"/>
    <w:rsid w:val="00934302"/>
    <w:rsid w:val="0093447D"/>
    <w:rsid w:val="00934ED4"/>
    <w:rsid w:val="00935C34"/>
    <w:rsid w:val="00936BB8"/>
    <w:rsid w:val="00937316"/>
    <w:rsid w:val="00937817"/>
    <w:rsid w:val="009407CC"/>
    <w:rsid w:val="00940969"/>
    <w:rsid w:val="00941460"/>
    <w:rsid w:val="009415E6"/>
    <w:rsid w:val="009416A8"/>
    <w:rsid w:val="00942307"/>
    <w:rsid w:val="009433D5"/>
    <w:rsid w:val="009436AD"/>
    <w:rsid w:val="00943C53"/>
    <w:rsid w:val="00944BB1"/>
    <w:rsid w:val="009453C4"/>
    <w:rsid w:val="0094785D"/>
    <w:rsid w:val="00947C94"/>
    <w:rsid w:val="00951727"/>
    <w:rsid w:val="00951846"/>
    <w:rsid w:val="00951F8F"/>
    <w:rsid w:val="009547A0"/>
    <w:rsid w:val="00955C3A"/>
    <w:rsid w:val="00955EFF"/>
    <w:rsid w:val="00956000"/>
    <w:rsid w:val="0095690D"/>
    <w:rsid w:val="00960CD9"/>
    <w:rsid w:val="00960E15"/>
    <w:rsid w:val="0096221C"/>
    <w:rsid w:val="009622B9"/>
    <w:rsid w:val="00962F51"/>
    <w:rsid w:val="0096360F"/>
    <w:rsid w:val="0096478B"/>
    <w:rsid w:val="009647EF"/>
    <w:rsid w:val="00966EBC"/>
    <w:rsid w:val="00967288"/>
    <w:rsid w:val="00967352"/>
    <w:rsid w:val="0096771D"/>
    <w:rsid w:val="00967CBD"/>
    <w:rsid w:val="0097026B"/>
    <w:rsid w:val="00971384"/>
    <w:rsid w:val="00972005"/>
    <w:rsid w:val="00972124"/>
    <w:rsid w:val="00973D76"/>
    <w:rsid w:val="0097450C"/>
    <w:rsid w:val="009746CD"/>
    <w:rsid w:val="00975419"/>
    <w:rsid w:val="00975672"/>
    <w:rsid w:val="00975891"/>
    <w:rsid w:val="0097591B"/>
    <w:rsid w:val="00975F53"/>
    <w:rsid w:val="009768E6"/>
    <w:rsid w:val="009809D4"/>
    <w:rsid w:val="00981545"/>
    <w:rsid w:val="009816D9"/>
    <w:rsid w:val="009818C1"/>
    <w:rsid w:val="00981D12"/>
    <w:rsid w:val="00982B4B"/>
    <w:rsid w:val="00983912"/>
    <w:rsid w:val="00983E29"/>
    <w:rsid w:val="00986183"/>
    <w:rsid w:val="00986691"/>
    <w:rsid w:val="00986F93"/>
    <w:rsid w:val="009870C7"/>
    <w:rsid w:val="009879AD"/>
    <w:rsid w:val="00990106"/>
    <w:rsid w:val="009901B3"/>
    <w:rsid w:val="009902FB"/>
    <w:rsid w:val="0099045A"/>
    <w:rsid w:val="0099063B"/>
    <w:rsid w:val="00990D70"/>
    <w:rsid w:val="00991417"/>
    <w:rsid w:val="00991731"/>
    <w:rsid w:val="00992311"/>
    <w:rsid w:val="00993604"/>
    <w:rsid w:val="00993814"/>
    <w:rsid w:val="009954B9"/>
    <w:rsid w:val="009964C4"/>
    <w:rsid w:val="00996C9B"/>
    <w:rsid w:val="009973BB"/>
    <w:rsid w:val="00997649"/>
    <w:rsid w:val="00997E5B"/>
    <w:rsid w:val="009A01DD"/>
    <w:rsid w:val="009A07F0"/>
    <w:rsid w:val="009A0E02"/>
    <w:rsid w:val="009A16EF"/>
    <w:rsid w:val="009A176E"/>
    <w:rsid w:val="009A1A84"/>
    <w:rsid w:val="009A2CCF"/>
    <w:rsid w:val="009A32AE"/>
    <w:rsid w:val="009A36FE"/>
    <w:rsid w:val="009A4AD1"/>
    <w:rsid w:val="009A5295"/>
    <w:rsid w:val="009A60BC"/>
    <w:rsid w:val="009A67B2"/>
    <w:rsid w:val="009B20FF"/>
    <w:rsid w:val="009B22BC"/>
    <w:rsid w:val="009B30FB"/>
    <w:rsid w:val="009B3593"/>
    <w:rsid w:val="009B41AF"/>
    <w:rsid w:val="009B491B"/>
    <w:rsid w:val="009B51E7"/>
    <w:rsid w:val="009B5A8B"/>
    <w:rsid w:val="009B6833"/>
    <w:rsid w:val="009B68BD"/>
    <w:rsid w:val="009B7953"/>
    <w:rsid w:val="009B7B21"/>
    <w:rsid w:val="009C11A8"/>
    <w:rsid w:val="009C23DD"/>
    <w:rsid w:val="009C242A"/>
    <w:rsid w:val="009C3469"/>
    <w:rsid w:val="009C3C24"/>
    <w:rsid w:val="009C424A"/>
    <w:rsid w:val="009C4DA6"/>
    <w:rsid w:val="009C50D9"/>
    <w:rsid w:val="009C514B"/>
    <w:rsid w:val="009C5DB1"/>
    <w:rsid w:val="009C5E4A"/>
    <w:rsid w:val="009C78F7"/>
    <w:rsid w:val="009C796C"/>
    <w:rsid w:val="009C7A44"/>
    <w:rsid w:val="009C7D7A"/>
    <w:rsid w:val="009D0398"/>
    <w:rsid w:val="009D0998"/>
    <w:rsid w:val="009D09C4"/>
    <w:rsid w:val="009D0F17"/>
    <w:rsid w:val="009D1679"/>
    <w:rsid w:val="009D176A"/>
    <w:rsid w:val="009D1D9B"/>
    <w:rsid w:val="009D1E2D"/>
    <w:rsid w:val="009D250D"/>
    <w:rsid w:val="009D39E9"/>
    <w:rsid w:val="009D3A7E"/>
    <w:rsid w:val="009D4A03"/>
    <w:rsid w:val="009D4BBA"/>
    <w:rsid w:val="009D5FBF"/>
    <w:rsid w:val="009D68F6"/>
    <w:rsid w:val="009D6930"/>
    <w:rsid w:val="009D7CB3"/>
    <w:rsid w:val="009E069C"/>
    <w:rsid w:val="009E1851"/>
    <w:rsid w:val="009E1E47"/>
    <w:rsid w:val="009E249C"/>
    <w:rsid w:val="009E2F96"/>
    <w:rsid w:val="009E40EF"/>
    <w:rsid w:val="009E4275"/>
    <w:rsid w:val="009E4A2A"/>
    <w:rsid w:val="009E4BCE"/>
    <w:rsid w:val="009E5B01"/>
    <w:rsid w:val="009E70DA"/>
    <w:rsid w:val="009E7DE5"/>
    <w:rsid w:val="009F18CE"/>
    <w:rsid w:val="009F2CF8"/>
    <w:rsid w:val="009F31B6"/>
    <w:rsid w:val="009F3EEF"/>
    <w:rsid w:val="009F4065"/>
    <w:rsid w:val="009F4552"/>
    <w:rsid w:val="009F4B67"/>
    <w:rsid w:val="009F4C1D"/>
    <w:rsid w:val="009F5503"/>
    <w:rsid w:val="009F5866"/>
    <w:rsid w:val="009F615F"/>
    <w:rsid w:val="009F6F81"/>
    <w:rsid w:val="009F71A9"/>
    <w:rsid w:val="00A01176"/>
    <w:rsid w:val="00A0257C"/>
    <w:rsid w:val="00A039E6"/>
    <w:rsid w:val="00A03F0D"/>
    <w:rsid w:val="00A0479D"/>
    <w:rsid w:val="00A05AF4"/>
    <w:rsid w:val="00A05CF3"/>
    <w:rsid w:val="00A0632E"/>
    <w:rsid w:val="00A0748F"/>
    <w:rsid w:val="00A0753F"/>
    <w:rsid w:val="00A07754"/>
    <w:rsid w:val="00A10319"/>
    <w:rsid w:val="00A10453"/>
    <w:rsid w:val="00A10C44"/>
    <w:rsid w:val="00A117A1"/>
    <w:rsid w:val="00A11FFF"/>
    <w:rsid w:val="00A120C7"/>
    <w:rsid w:val="00A1237F"/>
    <w:rsid w:val="00A12592"/>
    <w:rsid w:val="00A12B88"/>
    <w:rsid w:val="00A12B90"/>
    <w:rsid w:val="00A139C2"/>
    <w:rsid w:val="00A13A72"/>
    <w:rsid w:val="00A13CEC"/>
    <w:rsid w:val="00A15247"/>
    <w:rsid w:val="00A15567"/>
    <w:rsid w:val="00A15664"/>
    <w:rsid w:val="00A15A35"/>
    <w:rsid w:val="00A15D28"/>
    <w:rsid w:val="00A16C2D"/>
    <w:rsid w:val="00A16FAF"/>
    <w:rsid w:val="00A202D9"/>
    <w:rsid w:val="00A206EA"/>
    <w:rsid w:val="00A208DF"/>
    <w:rsid w:val="00A2097D"/>
    <w:rsid w:val="00A2121E"/>
    <w:rsid w:val="00A21BD9"/>
    <w:rsid w:val="00A22490"/>
    <w:rsid w:val="00A235C2"/>
    <w:rsid w:val="00A2437C"/>
    <w:rsid w:val="00A27CB5"/>
    <w:rsid w:val="00A27D6F"/>
    <w:rsid w:val="00A30CD0"/>
    <w:rsid w:val="00A3113C"/>
    <w:rsid w:val="00A3196C"/>
    <w:rsid w:val="00A34E38"/>
    <w:rsid w:val="00A35F68"/>
    <w:rsid w:val="00A36840"/>
    <w:rsid w:val="00A3735F"/>
    <w:rsid w:val="00A374CF"/>
    <w:rsid w:val="00A375FB"/>
    <w:rsid w:val="00A37CA6"/>
    <w:rsid w:val="00A37FDE"/>
    <w:rsid w:val="00A40174"/>
    <w:rsid w:val="00A40184"/>
    <w:rsid w:val="00A41747"/>
    <w:rsid w:val="00A41770"/>
    <w:rsid w:val="00A41B9C"/>
    <w:rsid w:val="00A422F9"/>
    <w:rsid w:val="00A42695"/>
    <w:rsid w:val="00A44AC4"/>
    <w:rsid w:val="00A450FD"/>
    <w:rsid w:val="00A45114"/>
    <w:rsid w:val="00A46894"/>
    <w:rsid w:val="00A46CBB"/>
    <w:rsid w:val="00A46E36"/>
    <w:rsid w:val="00A47A03"/>
    <w:rsid w:val="00A512F8"/>
    <w:rsid w:val="00A51E34"/>
    <w:rsid w:val="00A521ED"/>
    <w:rsid w:val="00A52588"/>
    <w:rsid w:val="00A534B2"/>
    <w:rsid w:val="00A54D04"/>
    <w:rsid w:val="00A54DE3"/>
    <w:rsid w:val="00A55626"/>
    <w:rsid w:val="00A55D1E"/>
    <w:rsid w:val="00A5673B"/>
    <w:rsid w:val="00A567D2"/>
    <w:rsid w:val="00A56E67"/>
    <w:rsid w:val="00A572A2"/>
    <w:rsid w:val="00A57D9B"/>
    <w:rsid w:val="00A60EE0"/>
    <w:rsid w:val="00A6193F"/>
    <w:rsid w:val="00A62702"/>
    <w:rsid w:val="00A62800"/>
    <w:rsid w:val="00A62A44"/>
    <w:rsid w:val="00A63099"/>
    <w:rsid w:val="00A63186"/>
    <w:rsid w:val="00A632D6"/>
    <w:rsid w:val="00A63AD6"/>
    <w:rsid w:val="00A64FBA"/>
    <w:rsid w:val="00A659F2"/>
    <w:rsid w:val="00A66887"/>
    <w:rsid w:val="00A6748D"/>
    <w:rsid w:val="00A67496"/>
    <w:rsid w:val="00A674A8"/>
    <w:rsid w:val="00A705DC"/>
    <w:rsid w:val="00A705F0"/>
    <w:rsid w:val="00A70FE2"/>
    <w:rsid w:val="00A719FC"/>
    <w:rsid w:val="00A71CD7"/>
    <w:rsid w:val="00A7331D"/>
    <w:rsid w:val="00A742C5"/>
    <w:rsid w:val="00A77171"/>
    <w:rsid w:val="00A77297"/>
    <w:rsid w:val="00A77377"/>
    <w:rsid w:val="00A7793E"/>
    <w:rsid w:val="00A77B5C"/>
    <w:rsid w:val="00A80323"/>
    <w:rsid w:val="00A80505"/>
    <w:rsid w:val="00A807C2"/>
    <w:rsid w:val="00A808E2"/>
    <w:rsid w:val="00A81616"/>
    <w:rsid w:val="00A818FF"/>
    <w:rsid w:val="00A81E2D"/>
    <w:rsid w:val="00A82819"/>
    <w:rsid w:val="00A8334B"/>
    <w:rsid w:val="00A8397B"/>
    <w:rsid w:val="00A8440D"/>
    <w:rsid w:val="00A84C32"/>
    <w:rsid w:val="00A85053"/>
    <w:rsid w:val="00A8521D"/>
    <w:rsid w:val="00A858B6"/>
    <w:rsid w:val="00A85BE2"/>
    <w:rsid w:val="00A876E2"/>
    <w:rsid w:val="00A90CBB"/>
    <w:rsid w:val="00A91064"/>
    <w:rsid w:val="00A922B6"/>
    <w:rsid w:val="00A92BDA"/>
    <w:rsid w:val="00A931B2"/>
    <w:rsid w:val="00A93D56"/>
    <w:rsid w:val="00A94E4F"/>
    <w:rsid w:val="00A96B4F"/>
    <w:rsid w:val="00AA0428"/>
    <w:rsid w:val="00AA0801"/>
    <w:rsid w:val="00AA0D56"/>
    <w:rsid w:val="00AA0DE8"/>
    <w:rsid w:val="00AA1D19"/>
    <w:rsid w:val="00AA2590"/>
    <w:rsid w:val="00AA273D"/>
    <w:rsid w:val="00AA2758"/>
    <w:rsid w:val="00AA3063"/>
    <w:rsid w:val="00AA3ADB"/>
    <w:rsid w:val="00AA4298"/>
    <w:rsid w:val="00AA47C8"/>
    <w:rsid w:val="00AA579E"/>
    <w:rsid w:val="00AA5A39"/>
    <w:rsid w:val="00AA6128"/>
    <w:rsid w:val="00AA7811"/>
    <w:rsid w:val="00AA7EAA"/>
    <w:rsid w:val="00AB004A"/>
    <w:rsid w:val="00AB04F4"/>
    <w:rsid w:val="00AB0536"/>
    <w:rsid w:val="00AB0757"/>
    <w:rsid w:val="00AB1AA8"/>
    <w:rsid w:val="00AB1E03"/>
    <w:rsid w:val="00AB1E5B"/>
    <w:rsid w:val="00AB200C"/>
    <w:rsid w:val="00AB227C"/>
    <w:rsid w:val="00AB244B"/>
    <w:rsid w:val="00AB3106"/>
    <w:rsid w:val="00AB3B84"/>
    <w:rsid w:val="00AB4A2B"/>
    <w:rsid w:val="00AB56CA"/>
    <w:rsid w:val="00AB5731"/>
    <w:rsid w:val="00AB5EA2"/>
    <w:rsid w:val="00AB6B57"/>
    <w:rsid w:val="00AB6F2C"/>
    <w:rsid w:val="00AC399B"/>
    <w:rsid w:val="00AC4381"/>
    <w:rsid w:val="00AC4AC9"/>
    <w:rsid w:val="00AC4BD5"/>
    <w:rsid w:val="00AC6506"/>
    <w:rsid w:val="00AC6F58"/>
    <w:rsid w:val="00AC7E02"/>
    <w:rsid w:val="00AD0CFD"/>
    <w:rsid w:val="00AD105A"/>
    <w:rsid w:val="00AD12F6"/>
    <w:rsid w:val="00AD15B0"/>
    <w:rsid w:val="00AD1D1A"/>
    <w:rsid w:val="00AD1E38"/>
    <w:rsid w:val="00AD221E"/>
    <w:rsid w:val="00AD2CA8"/>
    <w:rsid w:val="00AD307C"/>
    <w:rsid w:val="00AD30C8"/>
    <w:rsid w:val="00AD34D4"/>
    <w:rsid w:val="00AD3E2A"/>
    <w:rsid w:val="00AD41CC"/>
    <w:rsid w:val="00AD421D"/>
    <w:rsid w:val="00AD4DEC"/>
    <w:rsid w:val="00AD5CD6"/>
    <w:rsid w:val="00AD6CE1"/>
    <w:rsid w:val="00AE02EC"/>
    <w:rsid w:val="00AE1953"/>
    <w:rsid w:val="00AE1DFC"/>
    <w:rsid w:val="00AE2ADB"/>
    <w:rsid w:val="00AE2C01"/>
    <w:rsid w:val="00AE35E2"/>
    <w:rsid w:val="00AE4E58"/>
    <w:rsid w:val="00AE5259"/>
    <w:rsid w:val="00AE5C9B"/>
    <w:rsid w:val="00AE6772"/>
    <w:rsid w:val="00AE7646"/>
    <w:rsid w:val="00AE79E0"/>
    <w:rsid w:val="00AE7CEB"/>
    <w:rsid w:val="00AF0336"/>
    <w:rsid w:val="00AF0580"/>
    <w:rsid w:val="00AF080A"/>
    <w:rsid w:val="00AF208F"/>
    <w:rsid w:val="00AF2D16"/>
    <w:rsid w:val="00AF3186"/>
    <w:rsid w:val="00AF40BA"/>
    <w:rsid w:val="00AF4FD5"/>
    <w:rsid w:val="00AF58BD"/>
    <w:rsid w:val="00AF5CF3"/>
    <w:rsid w:val="00AF5E95"/>
    <w:rsid w:val="00AF5F90"/>
    <w:rsid w:val="00AF673A"/>
    <w:rsid w:val="00AF7284"/>
    <w:rsid w:val="00AF7926"/>
    <w:rsid w:val="00AF7F56"/>
    <w:rsid w:val="00B01A5E"/>
    <w:rsid w:val="00B01D40"/>
    <w:rsid w:val="00B021A2"/>
    <w:rsid w:val="00B02486"/>
    <w:rsid w:val="00B02C35"/>
    <w:rsid w:val="00B02FFE"/>
    <w:rsid w:val="00B04B6C"/>
    <w:rsid w:val="00B05154"/>
    <w:rsid w:val="00B05DCC"/>
    <w:rsid w:val="00B06CB4"/>
    <w:rsid w:val="00B072A3"/>
    <w:rsid w:val="00B07A86"/>
    <w:rsid w:val="00B1057A"/>
    <w:rsid w:val="00B12215"/>
    <w:rsid w:val="00B12B49"/>
    <w:rsid w:val="00B12BE1"/>
    <w:rsid w:val="00B12CC9"/>
    <w:rsid w:val="00B12E11"/>
    <w:rsid w:val="00B13263"/>
    <w:rsid w:val="00B13953"/>
    <w:rsid w:val="00B1663B"/>
    <w:rsid w:val="00B16A4F"/>
    <w:rsid w:val="00B16D49"/>
    <w:rsid w:val="00B17262"/>
    <w:rsid w:val="00B17DF6"/>
    <w:rsid w:val="00B2032E"/>
    <w:rsid w:val="00B208E7"/>
    <w:rsid w:val="00B20CAE"/>
    <w:rsid w:val="00B217E8"/>
    <w:rsid w:val="00B22EC9"/>
    <w:rsid w:val="00B232AF"/>
    <w:rsid w:val="00B25206"/>
    <w:rsid w:val="00B2573C"/>
    <w:rsid w:val="00B268BB"/>
    <w:rsid w:val="00B268F8"/>
    <w:rsid w:val="00B27682"/>
    <w:rsid w:val="00B277C1"/>
    <w:rsid w:val="00B27EE7"/>
    <w:rsid w:val="00B319D1"/>
    <w:rsid w:val="00B320BE"/>
    <w:rsid w:val="00B34323"/>
    <w:rsid w:val="00B358BA"/>
    <w:rsid w:val="00B366A1"/>
    <w:rsid w:val="00B36B52"/>
    <w:rsid w:val="00B3738C"/>
    <w:rsid w:val="00B37C19"/>
    <w:rsid w:val="00B400EF"/>
    <w:rsid w:val="00B406C6"/>
    <w:rsid w:val="00B40C1D"/>
    <w:rsid w:val="00B41572"/>
    <w:rsid w:val="00B42442"/>
    <w:rsid w:val="00B43EFE"/>
    <w:rsid w:val="00B44600"/>
    <w:rsid w:val="00B447D3"/>
    <w:rsid w:val="00B44F95"/>
    <w:rsid w:val="00B456EF"/>
    <w:rsid w:val="00B45C89"/>
    <w:rsid w:val="00B47884"/>
    <w:rsid w:val="00B5021E"/>
    <w:rsid w:val="00B508DA"/>
    <w:rsid w:val="00B5094E"/>
    <w:rsid w:val="00B50D86"/>
    <w:rsid w:val="00B50D8A"/>
    <w:rsid w:val="00B50FBC"/>
    <w:rsid w:val="00B50FF6"/>
    <w:rsid w:val="00B5125D"/>
    <w:rsid w:val="00B52414"/>
    <w:rsid w:val="00B5266A"/>
    <w:rsid w:val="00B535A1"/>
    <w:rsid w:val="00B535F4"/>
    <w:rsid w:val="00B53A6F"/>
    <w:rsid w:val="00B53CAD"/>
    <w:rsid w:val="00B54769"/>
    <w:rsid w:val="00B547A7"/>
    <w:rsid w:val="00B55363"/>
    <w:rsid w:val="00B55596"/>
    <w:rsid w:val="00B5599A"/>
    <w:rsid w:val="00B55AEE"/>
    <w:rsid w:val="00B55ECC"/>
    <w:rsid w:val="00B56EAE"/>
    <w:rsid w:val="00B57380"/>
    <w:rsid w:val="00B61080"/>
    <w:rsid w:val="00B61E45"/>
    <w:rsid w:val="00B62043"/>
    <w:rsid w:val="00B62A55"/>
    <w:rsid w:val="00B635D6"/>
    <w:rsid w:val="00B639F0"/>
    <w:rsid w:val="00B6438D"/>
    <w:rsid w:val="00B6469B"/>
    <w:rsid w:val="00B648D2"/>
    <w:rsid w:val="00B6518D"/>
    <w:rsid w:val="00B652EA"/>
    <w:rsid w:val="00B65A58"/>
    <w:rsid w:val="00B65DBB"/>
    <w:rsid w:val="00B67A3D"/>
    <w:rsid w:val="00B70670"/>
    <w:rsid w:val="00B7140F"/>
    <w:rsid w:val="00B71493"/>
    <w:rsid w:val="00B719E8"/>
    <w:rsid w:val="00B71EBF"/>
    <w:rsid w:val="00B72A0C"/>
    <w:rsid w:val="00B72DDC"/>
    <w:rsid w:val="00B7364C"/>
    <w:rsid w:val="00B73D5D"/>
    <w:rsid w:val="00B74007"/>
    <w:rsid w:val="00B74319"/>
    <w:rsid w:val="00B74320"/>
    <w:rsid w:val="00B743FE"/>
    <w:rsid w:val="00B753CD"/>
    <w:rsid w:val="00B7570C"/>
    <w:rsid w:val="00B75D60"/>
    <w:rsid w:val="00B7660D"/>
    <w:rsid w:val="00B7710E"/>
    <w:rsid w:val="00B775B8"/>
    <w:rsid w:val="00B77F0D"/>
    <w:rsid w:val="00B801AA"/>
    <w:rsid w:val="00B803B2"/>
    <w:rsid w:val="00B80855"/>
    <w:rsid w:val="00B82219"/>
    <w:rsid w:val="00B82761"/>
    <w:rsid w:val="00B827D7"/>
    <w:rsid w:val="00B82CDD"/>
    <w:rsid w:val="00B82EB1"/>
    <w:rsid w:val="00B83506"/>
    <w:rsid w:val="00B838CD"/>
    <w:rsid w:val="00B83C1A"/>
    <w:rsid w:val="00B86290"/>
    <w:rsid w:val="00B8656B"/>
    <w:rsid w:val="00B86A31"/>
    <w:rsid w:val="00B87913"/>
    <w:rsid w:val="00B87949"/>
    <w:rsid w:val="00B87B26"/>
    <w:rsid w:val="00B907DE"/>
    <w:rsid w:val="00B90B20"/>
    <w:rsid w:val="00B91F0D"/>
    <w:rsid w:val="00B92058"/>
    <w:rsid w:val="00B92BA4"/>
    <w:rsid w:val="00B9307D"/>
    <w:rsid w:val="00B93847"/>
    <w:rsid w:val="00B940D6"/>
    <w:rsid w:val="00B94110"/>
    <w:rsid w:val="00B95DB5"/>
    <w:rsid w:val="00B96D93"/>
    <w:rsid w:val="00B96E0A"/>
    <w:rsid w:val="00BA086D"/>
    <w:rsid w:val="00BA17C8"/>
    <w:rsid w:val="00BA1A83"/>
    <w:rsid w:val="00BA1AEE"/>
    <w:rsid w:val="00BA2F77"/>
    <w:rsid w:val="00BA38CF"/>
    <w:rsid w:val="00BA396A"/>
    <w:rsid w:val="00BA3B4D"/>
    <w:rsid w:val="00BA3BB9"/>
    <w:rsid w:val="00BA3E03"/>
    <w:rsid w:val="00BA440E"/>
    <w:rsid w:val="00BA5988"/>
    <w:rsid w:val="00BA5EA9"/>
    <w:rsid w:val="00BA6677"/>
    <w:rsid w:val="00BA6CF0"/>
    <w:rsid w:val="00BA7DB6"/>
    <w:rsid w:val="00BB07BE"/>
    <w:rsid w:val="00BB07CA"/>
    <w:rsid w:val="00BB107C"/>
    <w:rsid w:val="00BB2243"/>
    <w:rsid w:val="00BB26BD"/>
    <w:rsid w:val="00BB3259"/>
    <w:rsid w:val="00BB3BCA"/>
    <w:rsid w:val="00BB3FFB"/>
    <w:rsid w:val="00BB4A80"/>
    <w:rsid w:val="00BB5340"/>
    <w:rsid w:val="00BB5558"/>
    <w:rsid w:val="00BB6C1E"/>
    <w:rsid w:val="00BC0938"/>
    <w:rsid w:val="00BC0BD8"/>
    <w:rsid w:val="00BC2228"/>
    <w:rsid w:val="00BC2FB5"/>
    <w:rsid w:val="00BC5DFE"/>
    <w:rsid w:val="00BC6258"/>
    <w:rsid w:val="00BD14DA"/>
    <w:rsid w:val="00BD16A2"/>
    <w:rsid w:val="00BD16CA"/>
    <w:rsid w:val="00BD17B8"/>
    <w:rsid w:val="00BD17DC"/>
    <w:rsid w:val="00BD2385"/>
    <w:rsid w:val="00BD4AF8"/>
    <w:rsid w:val="00BD581A"/>
    <w:rsid w:val="00BD58F4"/>
    <w:rsid w:val="00BD6551"/>
    <w:rsid w:val="00BD6B29"/>
    <w:rsid w:val="00BD7267"/>
    <w:rsid w:val="00BD7941"/>
    <w:rsid w:val="00BD7959"/>
    <w:rsid w:val="00BD7AB8"/>
    <w:rsid w:val="00BE085B"/>
    <w:rsid w:val="00BE0887"/>
    <w:rsid w:val="00BE0D35"/>
    <w:rsid w:val="00BE266C"/>
    <w:rsid w:val="00BE2894"/>
    <w:rsid w:val="00BE2988"/>
    <w:rsid w:val="00BE43EF"/>
    <w:rsid w:val="00BE48A9"/>
    <w:rsid w:val="00BE4D39"/>
    <w:rsid w:val="00BE4DC8"/>
    <w:rsid w:val="00BE5175"/>
    <w:rsid w:val="00BE6E37"/>
    <w:rsid w:val="00BE6F4B"/>
    <w:rsid w:val="00BE7AE5"/>
    <w:rsid w:val="00BE7FDF"/>
    <w:rsid w:val="00BF05F5"/>
    <w:rsid w:val="00BF0B19"/>
    <w:rsid w:val="00BF0C21"/>
    <w:rsid w:val="00BF0C83"/>
    <w:rsid w:val="00BF0CD5"/>
    <w:rsid w:val="00BF10DC"/>
    <w:rsid w:val="00BF11EE"/>
    <w:rsid w:val="00BF1246"/>
    <w:rsid w:val="00BF30D4"/>
    <w:rsid w:val="00BF3216"/>
    <w:rsid w:val="00BF35F2"/>
    <w:rsid w:val="00BF454F"/>
    <w:rsid w:val="00BF480E"/>
    <w:rsid w:val="00BF4B19"/>
    <w:rsid w:val="00BF4BF4"/>
    <w:rsid w:val="00BF51F8"/>
    <w:rsid w:val="00BF60FB"/>
    <w:rsid w:val="00BF6BC2"/>
    <w:rsid w:val="00BF75DD"/>
    <w:rsid w:val="00BF7616"/>
    <w:rsid w:val="00BF7620"/>
    <w:rsid w:val="00C01054"/>
    <w:rsid w:val="00C012B3"/>
    <w:rsid w:val="00C012D5"/>
    <w:rsid w:val="00C0222E"/>
    <w:rsid w:val="00C02634"/>
    <w:rsid w:val="00C0398A"/>
    <w:rsid w:val="00C0420F"/>
    <w:rsid w:val="00C0470E"/>
    <w:rsid w:val="00C04D71"/>
    <w:rsid w:val="00C050DB"/>
    <w:rsid w:val="00C06666"/>
    <w:rsid w:val="00C06C13"/>
    <w:rsid w:val="00C074CA"/>
    <w:rsid w:val="00C07F30"/>
    <w:rsid w:val="00C10750"/>
    <w:rsid w:val="00C112F8"/>
    <w:rsid w:val="00C1189D"/>
    <w:rsid w:val="00C11ABA"/>
    <w:rsid w:val="00C12496"/>
    <w:rsid w:val="00C12C03"/>
    <w:rsid w:val="00C12EFC"/>
    <w:rsid w:val="00C130E8"/>
    <w:rsid w:val="00C1366B"/>
    <w:rsid w:val="00C1469A"/>
    <w:rsid w:val="00C14C24"/>
    <w:rsid w:val="00C155C9"/>
    <w:rsid w:val="00C16047"/>
    <w:rsid w:val="00C20872"/>
    <w:rsid w:val="00C20C2B"/>
    <w:rsid w:val="00C22F14"/>
    <w:rsid w:val="00C23BD9"/>
    <w:rsid w:val="00C23DE0"/>
    <w:rsid w:val="00C23E3F"/>
    <w:rsid w:val="00C248E4"/>
    <w:rsid w:val="00C24E48"/>
    <w:rsid w:val="00C30357"/>
    <w:rsid w:val="00C308AD"/>
    <w:rsid w:val="00C30E75"/>
    <w:rsid w:val="00C312C1"/>
    <w:rsid w:val="00C31EAC"/>
    <w:rsid w:val="00C31ED5"/>
    <w:rsid w:val="00C321BE"/>
    <w:rsid w:val="00C32A23"/>
    <w:rsid w:val="00C334CC"/>
    <w:rsid w:val="00C3468F"/>
    <w:rsid w:val="00C35560"/>
    <w:rsid w:val="00C35754"/>
    <w:rsid w:val="00C36452"/>
    <w:rsid w:val="00C37C37"/>
    <w:rsid w:val="00C40878"/>
    <w:rsid w:val="00C408BB"/>
    <w:rsid w:val="00C40A89"/>
    <w:rsid w:val="00C40B12"/>
    <w:rsid w:val="00C40BF0"/>
    <w:rsid w:val="00C40DA6"/>
    <w:rsid w:val="00C40EAB"/>
    <w:rsid w:val="00C411AB"/>
    <w:rsid w:val="00C425AA"/>
    <w:rsid w:val="00C433DF"/>
    <w:rsid w:val="00C44303"/>
    <w:rsid w:val="00C44393"/>
    <w:rsid w:val="00C448B7"/>
    <w:rsid w:val="00C45145"/>
    <w:rsid w:val="00C46202"/>
    <w:rsid w:val="00C46E5A"/>
    <w:rsid w:val="00C47624"/>
    <w:rsid w:val="00C47901"/>
    <w:rsid w:val="00C47F66"/>
    <w:rsid w:val="00C500FA"/>
    <w:rsid w:val="00C50869"/>
    <w:rsid w:val="00C51601"/>
    <w:rsid w:val="00C53602"/>
    <w:rsid w:val="00C54BBD"/>
    <w:rsid w:val="00C55023"/>
    <w:rsid w:val="00C55728"/>
    <w:rsid w:val="00C5585F"/>
    <w:rsid w:val="00C558D9"/>
    <w:rsid w:val="00C57223"/>
    <w:rsid w:val="00C6012A"/>
    <w:rsid w:val="00C612F0"/>
    <w:rsid w:val="00C61AEE"/>
    <w:rsid w:val="00C629F5"/>
    <w:rsid w:val="00C629FD"/>
    <w:rsid w:val="00C62B8A"/>
    <w:rsid w:val="00C63946"/>
    <w:rsid w:val="00C63D40"/>
    <w:rsid w:val="00C640D9"/>
    <w:rsid w:val="00C644A0"/>
    <w:rsid w:val="00C6488D"/>
    <w:rsid w:val="00C64CCF"/>
    <w:rsid w:val="00C66EE0"/>
    <w:rsid w:val="00C67A89"/>
    <w:rsid w:val="00C67E7E"/>
    <w:rsid w:val="00C700B2"/>
    <w:rsid w:val="00C700F9"/>
    <w:rsid w:val="00C704CE"/>
    <w:rsid w:val="00C70CCA"/>
    <w:rsid w:val="00C72794"/>
    <w:rsid w:val="00C72869"/>
    <w:rsid w:val="00C7318D"/>
    <w:rsid w:val="00C7389D"/>
    <w:rsid w:val="00C74011"/>
    <w:rsid w:val="00C74AD3"/>
    <w:rsid w:val="00C74FB7"/>
    <w:rsid w:val="00C7504C"/>
    <w:rsid w:val="00C75318"/>
    <w:rsid w:val="00C759C1"/>
    <w:rsid w:val="00C764DB"/>
    <w:rsid w:val="00C76BB7"/>
    <w:rsid w:val="00C77793"/>
    <w:rsid w:val="00C808CA"/>
    <w:rsid w:val="00C81E1A"/>
    <w:rsid w:val="00C83AA4"/>
    <w:rsid w:val="00C842C7"/>
    <w:rsid w:val="00C8532E"/>
    <w:rsid w:val="00C85DE4"/>
    <w:rsid w:val="00C866F6"/>
    <w:rsid w:val="00C86E3F"/>
    <w:rsid w:val="00C8793D"/>
    <w:rsid w:val="00C87B1E"/>
    <w:rsid w:val="00C90091"/>
    <w:rsid w:val="00C92600"/>
    <w:rsid w:val="00C93782"/>
    <w:rsid w:val="00C94032"/>
    <w:rsid w:val="00C9439C"/>
    <w:rsid w:val="00C94EA9"/>
    <w:rsid w:val="00C95011"/>
    <w:rsid w:val="00C95513"/>
    <w:rsid w:val="00C95C89"/>
    <w:rsid w:val="00C97834"/>
    <w:rsid w:val="00C97AEC"/>
    <w:rsid w:val="00C97CDD"/>
    <w:rsid w:val="00C97F5B"/>
    <w:rsid w:val="00CA03AB"/>
    <w:rsid w:val="00CA0B0A"/>
    <w:rsid w:val="00CA1540"/>
    <w:rsid w:val="00CA17EE"/>
    <w:rsid w:val="00CA2332"/>
    <w:rsid w:val="00CA3355"/>
    <w:rsid w:val="00CA4DA6"/>
    <w:rsid w:val="00CA7945"/>
    <w:rsid w:val="00CA7A4C"/>
    <w:rsid w:val="00CB109B"/>
    <w:rsid w:val="00CB1B6F"/>
    <w:rsid w:val="00CB1BC6"/>
    <w:rsid w:val="00CB2250"/>
    <w:rsid w:val="00CB289A"/>
    <w:rsid w:val="00CB328A"/>
    <w:rsid w:val="00CB3D0A"/>
    <w:rsid w:val="00CB4A4F"/>
    <w:rsid w:val="00CB5982"/>
    <w:rsid w:val="00CB59B4"/>
    <w:rsid w:val="00CB6058"/>
    <w:rsid w:val="00CB6081"/>
    <w:rsid w:val="00CB7142"/>
    <w:rsid w:val="00CB7ADB"/>
    <w:rsid w:val="00CC1AF7"/>
    <w:rsid w:val="00CC2A25"/>
    <w:rsid w:val="00CC2C3B"/>
    <w:rsid w:val="00CC608F"/>
    <w:rsid w:val="00CC60EA"/>
    <w:rsid w:val="00CC69CB"/>
    <w:rsid w:val="00CC78DD"/>
    <w:rsid w:val="00CC7A0B"/>
    <w:rsid w:val="00CC7AF9"/>
    <w:rsid w:val="00CD17D5"/>
    <w:rsid w:val="00CD185E"/>
    <w:rsid w:val="00CD1D2C"/>
    <w:rsid w:val="00CD216C"/>
    <w:rsid w:val="00CD34B3"/>
    <w:rsid w:val="00CD3933"/>
    <w:rsid w:val="00CD3E25"/>
    <w:rsid w:val="00CD44D3"/>
    <w:rsid w:val="00CD4F85"/>
    <w:rsid w:val="00CD5205"/>
    <w:rsid w:val="00CD54D9"/>
    <w:rsid w:val="00CD54DA"/>
    <w:rsid w:val="00CD6B8C"/>
    <w:rsid w:val="00CD73DC"/>
    <w:rsid w:val="00CE047F"/>
    <w:rsid w:val="00CE11FE"/>
    <w:rsid w:val="00CE279C"/>
    <w:rsid w:val="00CE2E5D"/>
    <w:rsid w:val="00CE3476"/>
    <w:rsid w:val="00CE3F73"/>
    <w:rsid w:val="00CE58BA"/>
    <w:rsid w:val="00CF0C11"/>
    <w:rsid w:val="00CF126E"/>
    <w:rsid w:val="00CF1B95"/>
    <w:rsid w:val="00CF2654"/>
    <w:rsid w:val="00CF2A17"/>
    <w:rsid w:val="00CF2C79"/>
    <w:rsid w:val="00CF2F34"/>
    <w:rsid w:val="00CF4433"/>
    <w:rsid w:val="00CF5640"/>
    <w:rsid w:val="00CF5872"/>
    <w:rsid w:val="00CF6C37"/>
    <w:rsid w:val="00CF7E51"/>
    <w:rsid w:val="00D001EF"/>
    <w:rsid w:val="00D00265"/>
    <w:rsid w:val="00D02657"/>
    <w:rsid w:val="00D0266E"/>
    <w:rsid w:val="00D041F1"/>
    <w:rsid w:val="00D04A21"/>
    <w:rsid w:val="00D04E0B"/>
    <w:rsid w:val="00D05A65"/>
    <w:rsid w:val="00D0635D"/>
    <w:rsid w:val="00D07D31"/>
    <w:rsid w:val="00D07F09"/>
    <w:rsid w:val="00D101D9"/>
    <w:rsid w:val="00D1126C"/>
    <w:rsid w:val="00D11A14"/>
    <w:rsid w:val="00D12228"/>
    <w:rsid w:val="00D12A1E"/>
    <w:rsid w:val="00D133F8"/>
    <w:rsid w:val="00D146FC"/>
    <w:rsid w:val="00D14B54"/>
    <w:rsid w:val="00D15336"/>
    <w:rsid w:val="00D16DF7"/>
    <w:rsid w:val="00D16F70"/>
    <w:rsid w:val="00D1768D"/>
    <w:rsid w:val="00D17B8B"/>
    <w:rsid w:val="00D17DCF"/>
    <w:rsid w:val="00D20F6E"/>
    <w:rsid w:val="00D21313"/>
    <w:rsid w:val="00D213C7"/>
    <w:rsid w:val="00D22168"/>
    <w:rsid w:val="00D22E0B"/>
    <w:rsid w:val="00D2318D"/>
    <w:rsid w:val="00D23463"/>
    <w:rsid w:val="00D23520"/>
    <w:rsid w:val="00D242C6"/>
    <w:rsid w:val="00D247B7"/>
    <w:rsid w:val="00D255C8"/>
    <w:rsid w:val="00D26BF4"/>
    <w:rsid w:val="00D2741E"/>
    <w:rsid w:val="00D27FC7"/>
    <w:rsid w:val="00D3001E"/>
    <w:rsid w:val="00D30AFC"/>
    <w:rsid w:val="00D30B3A"/>
    <w:rsid w:val="00D32873"/>
    <w:rsid w:val="00D32C4F"/>
    <w:rsid w:val="00D337A9"/>
    <w:rsid w:val="00D34183"/>
    <w:rsid w:val="00D349E6"/>
    <w:rsid w:val="00D353D9"/>
    <w:rsid w:val="00D36A63"/>
    <w:rsid w:val="00D36BE7"/>
    <w:rsid w:val="00D402A3"/>
    <w:rsid w:val="00D40AE2"/>
    <w:rsid w:val="00D41262"/>
    <w:rsid w:val="00D42E40"/>
    <w:rsid w:val="00D44487"/>
    <w:rsid w:val="00D44C3F"/>
    <w:rsid w:val="00D4559A"/>
    <w:rsid w:val="00D459B6"/>
    <w:rsid w:val="00D47242"/>
    <w:rsid w:val="00D479F2"/>
    <w:rsid w:val="00D50142"/>
    <w:rsid w:val="00D501B4"/>
    <w:rsid w:val="00D50C22"/>
    <w:rsid w:val="00D50CF9"/>
    <w:rsid w:val="00D523BE"/>
    <w:rsid w:val="00D52C26"/>
    <w:rsid w:val="00D52CB4"/>
    <w:rsid w:val="00D536BF"/>
    <w:rsid w:val="00D53932"/>
    <w:rsid w:val="00D54FBC"/>
    <w:rsid w:val="00D56ADB"/>
    <w:rsid w:val="00D60E9A"/>
    <w:rsid w:val="00D61141"/>
    <w:rsid w:val="00D61520"/>
    <w:rsid w:val="00D61CF0"/>
    <w:rsid w:val="00D6300D"/>
    <w:rsid w:val="00D63840"/>
    <w:rsid w:val="00D64361"/>
    <w:rsid w:val="00D64AAF"/>
    <w:rsid w:val="00D64ADE"/>
    <w:rsid w:val="00D659E4"/>
    <w:rsid w:val="00D65E99"/>
    <w:rsid w:val="00D661E3"/>
    <w:rsid w:val="00D6673E"/>
    <w:rsid w:val="00D67BCF"/>
    <w:rsid w:val="00D67EF9"/>
    <w:rsid w:val="00D709AD"/>
    <w:rsid w:val="00D7111B"/>
    <w:rsid w:val="00D71682"/>
    <w:rsid w:val="00D739A3"/>
    <w:rsid w:val="00D740A8"/>
    <w:rsid w:val="00D74585"/>
    <w:rsid w:val="00D745B3"/>
    <w:rsid w:val="00D74EA2"/>
    <w:rsid w:val="00D75129"/>
    <w:rsid w:val="00D75B60"/>
    <w:rsid w:val="00D77100"/>
    <w:rsid w:val="00D77997"/>
    <w:rsid w:val="00D801B6"/>
    <w:rsid w:val="00D80B9F"/>
    <w:rsid w:val="00D81BE3"/>
    <w:rsid w:val="00D829CD"/>
    <w:rsid w:val="00D82DE9"/>
    <w:rsid w:val="00D83412"/>
    <w:rsid w:val="00D835A7"/>
    <w:rsid w:val="00D83759"/>
    <w:rsid w:val="00D84ABE"/>
    <w:rsid w:val="00D85255"/>
    <w:rsid w:val="00D855E5"/>
    <w:rsid w:val="00D86D1E"/>
    <w:rsid w:val="00D87420"/>
    <w:rsid w:val="00D87B2E"/>
    <w:rsid w:val="00D91D13"/>
    <w:rsid w:val="00D91D38"/>
    <w:rsid w:val="00D927DD"/>
    <w:rsid w:val="00D92F8D"/>
    <w:rsid w:val="00D936AD"/>
    <w:rsid w:val="00D939EE"/>
    <w:rsid w:val="00D95501"/>
    <w:rsid w:val="00D95823"/>
    <w:rsid w:val="00D95E59"/>
    <w:rsid w:val="00D95EBC"/>
    <w:rsid w:val="00D96608"/>
    <w:rsid w:val="00D974CF"/>
    <w:rsid w:val="00D976F8"/>
    <w:rsid w:val="00D97F5F"/>
    <w:rsid w:val="00DA0F36"/>
    <w:rsid w:val="00DA181E"/>
    <w:rsid w:val="00DA1A1C"/>
    <w:rsid w:val="00DA21E6"/>
    <w:rsid w:val="00DA2F4B"/>
    <w:rsid w:val="00DA2F8B"/>
    <w:rsid w:val="00DA3253"/>
    <w:rsid w:val="00DA39B7"/>
    <w:rsid w:val="00DA3EA5"/>
    <w:rsid w:val="00DA496E"/>
    <w:rsid w:val="00DA5358"/>
    <w:rsid w:val="00DA5796"/>
    <w:rsid w:val="00DA5940"/>
    <w:rsid w:val="00DA5F8D"/>
    <w:rsid w:val="00DA618B"/>
    <w:rsid w:val="00DA6C8E"/>
    <w:rsid w:val="00DA7549"/>
    <w:rsid w:val="00DA7571"/>
    <w:rsid w:val="00DA7628"/>
    <w:rsid w:val="00DA78B6"/>
    <w:rsid w:val="00DA7CD3"/>
    <w:rsid w:val="00DB05E3"/>
    <w:rsid w:val="00DB1494"/>
    <w:rsid w:val="00DB1667"/>
    <w:rsid w:val="00DB22EC"/>
    <w:rsid w:val="00DB2842"/>
    <w:rsid w:val="00DB3A7F"/>
    <w:rsid w:val="00DB41CD"/>
    <w:rsid w:val="00DB6970"/>
    <w:rsid w:val="00DB6E92"/>
    <w:rsid w:val="00DC019B"/>
    <w:rsid w:val="00DC0695"/>
    <w:rsid w:val="00DC06CC"/>
    <w:rsid w:val="00DC0920"/>
    <w:rsid w:val="00DC2451"/>
    <w:rsid w:val="00DC2BB3"/>
    <w:rsid w:val="00DC4508"/>
    <w:rsid w:val="00DC4673"/>
    <w:rsid w:val="00DC4CE9"/>
    <w:rsid w:val="00DC4E38"/>
    <w:rsid w:val="00DC5325"/>
    <w:rsid w:val="00DC5349"/>
    <w:rsid w:val="00DC57B7"/>
    <w:rsid w:val="00DC5A5A"/>
    <w:rsid w:val="00DC5C08"/>
    <w:rsid w:val="00DC634F"/>
    <w:rsid w:val="00DC6DB7"/>
    <w:rsid w:val="00DC6F77"/>
    <w:rsid w:val="00DC759D"/>
    <w:rsid w:val="00DD05DB"/>
    <w:rsid w:val="00DD0974"/>
    <w:rsid w:val="00DD1447"/>
    <w:rsid w:val="00DD1BE8"/>
    <w:rsid w:val="00DD1EA0"/>
    <w:rsid w:val="00DD22C5"/>
    <w:rsid w:val="00DD32B7"/>
    <w:rsid w:val="00DD4059"/>
    <w:rsid w:val="00DD4C91"/>
    <w:rsid w:val="00DD50C5"/>
    <w:rsid w:val="00DD7F04"/>
    <w:rsid w:val="00DE041D"/>
    <w:rsid w:val="00DE0744"/>
    <w:rsid w:val="00DE0912"/>
    <w:rsid w:val="00DE10B9"/>
    <w:rsid w:val="00DE1962"/>
    <w:rsid w:val="00DE3EA2"/>
    <w:rsid w:val="00DE40EC"/>
    <w:rsid w:val="00DE42AF"/>
    <w:rsid w:val="00DE43B2"/>
    <w:rsid w:val="00DE4C68"/>
    <w:rsid w:val="00DE517F"/>
    <w:rsid w:val="00DE583F"/>
    <w:rsid w:val="00DE69D6"/>
    <w:rsid w:val="00DF0F6F"/>
    <w:rsid w:val="00DF2B2F"/>
    <w:rsid w:val="00DF383A"/>
    <w:rsid w:val="00DF419D"/>
    <w:rsid w:val="00DF5195"/>
    <w:rsid w:val="00DF601B"/>
    <w:rsid w:val="00E02DFF"/>
    <w:rsid w:val="00E03A48"/>
    <w:rsid w:val="00E03A69"/>
    <w:rsid w:val="00E0561C"/>
    <w:rsid w:val="00E0575B"/>
    <w:rsid w:val="00E10CA5"/>
    <w:rsid w:val="00E10F77"/>
    <w:rsid w:val="00E11102"/>
    <w:rsid w:val="00E111CE"/>
    <w:rsid w:val="00E12696"/>
    <w:rsid w:val="00E12CD0"/>
    <w:rsid w:val="00E12FC8"/>
    <w:rsid w:val="00E131BD"/>
    <w:rsid w:val="00E133DB"/>
    <w:rsid w:val="00E140FB"/>
    <w:rsid w:val="00E14D32"/>
    <w:rsid w:val="00E15D18"/>
    <w:rsid w:val="00E15DB7"/>
    <w:rsid w:val="00E163FB"/>
    <w:rsid w:val="00E16941"/>
    <w:rsid w:val="00E17235"/>
    <w:rsid w:val="00E17509"/>
    <w:rsid w:val="00E17DA9"/>
    <w:rsid w:val="00E20A78"/>
    <w:rsid w:val="00E21B81"/>
    <w:rsid w:val="00E22006"/>
    <w:rsid w:val="00E2240F"/>
    <w:rsid w:val="00E22A59"/>
    <w:rsid w:val="00E22E75"/>
    <w:rsid w:val="00E236A0"/>
    <w:rsid w:val="00E24853"/>
    <w:rsid w:val="00E24E2C"/>
    <w:rsid w:val="00E25E1A"/>
    <w:rsid w:val="00E25EBE"/>
    <w:rsid w:val="00E26367"/>
    <w:rsid w:val="00E27B5C"/>
    <w:rsid w:val="00E27B8C"/>
    <w:rsid w:val="00E3021E"/>
    <w:rsid w:val="00E30DB4"/>
    <w:rsid w:val="00E31715"/>
    <w:rsid w:val="00E31E1C"/>
    <w:rsid w:val="00E3247D"/>
    <w:rsid w:val="00E32DDC"/>
    <w:rsid w:val="00E33305"/>
    <w:rsid w:val="00E33611"/>
    <w:rsid w:val="00E33A5A"/>
    <w:rsid w:val="00E346CB"/>
    <w:rsid w:val="00E34BBE"/>
    <w:rsid w:val="00E37E76"/>
    <w:rsid w:val="00E410E7"/>
    <w:rsid w:val="00E41AAA"/>
    <w:rsid w:val="00E42C7B"/>
    <w:rsid w:val="00E43C15"/>
    <w:rsid w:val="00E453E2"/>
    <w:rsid w:val="00E4636B"/>
    <w:rsid w:val="00E46B21"/>
    <w:rsid w:val="00E47A9A"/>
    <w:rsid w:val="00E47D33"/>
    <w:rsid w:val="00E51D75"/>
    <w:rsid w:val="00E52B75"/>
    <w:rsid w:val="00E53911"/>
    <w:rsid w:val="00E53AD9"/>
    <w:rsid w:val="00E543FC"/>
    <w:rsid w:val="00E54C1A"/>
    <w:rsid w:val="00E556C8"/>
    <w:rsid w:val="00E5698B"/>
    <w:rsid w:val="00E57317"/>
    <w:rsid w:val="00E605CA"/>
    <w:rsid w:val="00E61DD8"/>
    <w:rsid w:val="00E623FA"/>
    <w:rsid w:val="00E62D0A"/>
    <w:rsid w:val="00E6333D"/>
    <w:rsid w:val="00E63409"/>
    <w:rsid w:val="00E63F28"/>
    <w:rsid w:val="00E64D67"/>
    <w:rsid w:val="00E65822"/>
    <w:rsid w:val="00E6628F"/>
    <w:rsid w:val="00E66B87"/>
    <w:rsid w:val="00E66CE3"/>
    <w:rsid w:val="00E67725"/>
    <w:rsid w:val="00E7007E"/>
    <w:rsid w:val="00E707CA"/>
    <w:rsid w:val="00E716F9"/>
    <w:rsid w:val="00E718E9"/>
    <w:rsid w:val="00E7190B"/>
    <w:rsid w:val="00E730C9"/>
    <w:rsid w:val="00E7398E"/>
    <w:rsid w:val="00E73B79"/>
    <w:rsid w:val="00E74078"/>
    <w:rsid w:val="00E74BEA"/>
    <w:rsid w:val="00E74E3A"/>
    <w:rsid w:val="00E75D2E"/>
    <w:rsid w:val="00E75D79"/>
    <w:rsid w:val="00E7605E"/>
    <w:rsid w:val="00E76186"/>
    <w:rsid w:val="00E77B2E"/>
    <w:rsid w:val="00E80386"/>
    <w:rsid w:val="00E80438"/>
    <w:rsid w:val="00E808C8"/>
    <w:rsid w:val="00E8111A"/>
    <w:rsid w:val="00E812F9"/>
    <w:rsid w:val="00E814C8"/>
    <w:rsid w:val="00E81554"/>
    <w:rsid w:val="00E81A0D"/>
    <w:rsid w:val="00E8220A"/>
    <w:rsid w:val="00E826AE"/>
    <w:rsid w:val="00E832F9"/>
    <w:rsid w:val="00E83309"/>
    <w:rsid w:val="00E84074"/>
    <w:rsid w:val="00E84BF8"/>
    <w:rsid w:val="00E84C7E"/>
    <w:rsid w:val="00E84D69"/>
    <w:rsid w:val="00E86E07"/>
    <w:rsid w:val="00E86E5E"/>
    <w:rsid w:val="00E87EE9"/>
    <w:rsid w:val="00E90F76"/>
    <w:rsid w:val="00E91D49"/>
    <w:rsid w:val="00E924F6"/>
    <w:rsid w:val="00E9292D"/>
    <w:rsid w:val="00E92ED0"/>
    <w:rsid w:val="00E93238"/>
    <w:rsid w:val="00E937E9"/>
    <w:rsid w:val="00E94268"/>
    <w:rsid w:val="00E9519D"/>
    <w:rsid w:val="00E9526A"/>
    <w:rsid w:val="00E95A9D"/>
    <w:rsid w:val="00E961FD"/>
    <w:rsid w:val="00E9705F"/>
    <w:rsid w:val="00E971B2"/>
    <w:rsid w:val="00E975CA"/>
    <w:rsid w:val="00E97FDF"/>
    <w:rsid w:val="00EA0274"/>
    <w:rsid w:val="00EA05C5"/>
    <w:rsid w:val="00EA1AE3"/>
    <w:rsid w:val="00EA1BB6"/>
    <w:rsid w:val="00EA1CC0"/>
    <w:rsid w:val="00EA20BE"/>
    <w:rsid w:val="00EA3D4C"/>
    <w:rsid w:val="00EA42C7"/>
    <w:rsid w:val="00EA42DA"/>
    <w:rsid w:val="00EA5675"/>
    <w:rsid w:val="00EA59E1"/>
    <w:rsid w:val="00EA5C70"/>
    <w:rsid w:val="00EA68BC"/>
    <w:rsid w:val="00EA6F04"/>
    <w:rsid w:val="00EB05F5"/>
    <w:rsid w:val="00EB1255"/>
    <w:rsid w:val="00EB2F2E"/>
    <w:rsid w:val="00EB4941"/>
    <w:rsid w:val="00EB4A95"/>
    <w:rsid w:val="00EB4B53"/>
    <w:rsid w:val="00EB4CC3"/>
    <w:rsid w:val="00EB533C"/>
    <w:rsid w:val="00EB5BB7"/>
    <w:rsid w:val="00EB641D"/>
    <w:rsid w:val="00EB6EC1"/>
    <w:rsid w:val="00EB7189"/>
    <w:rsid w:val="00EB7CAA"/>
    <w:rsid w:val="00EC0232"/>
    <w:rsid w:val="00EC0844"/>
    <w:rsid w:val="00EC0ABA"/>
    <w:rsid w:val="00EC2ED3"/>
    <w:rsid w:val="00EC333F"/>
    <w:rsid w:val="00EC354E"/>
    <w:rsid w:val="00EC375B"/>
    <w:rsid w:val="00EC4E1B"/>
    <w:rsid w:val="00EC5757"/>
    <w:rsid w:val="00EC59BE"/>
    <w:rsid w:val="00EC6190"/>
    <w:rsid w:val="00EC6F9C"/>
    <w:rsid w:val="00EC7131"/>
    <w:rsid w:val="00EC7566"/>
    <w:rsid w:val="00EC7676"/>
    <w:rsid w:val="00EC7F98"/>
    <w:rsid w:val="00ED199B"/>
    <w:rsid w:val="00ED1BE6"/>
    <w:rsid w:val="00ED1E66"/>
    <w:rsid w:val="00ED2248"/>
    <w:rsid w:val="00ED2E55"/>
    <w:rsid w:val="00ED4161"/>
    <w:rsid w:val="00ED5AB8"/>
    <w:rsid w:val="00ED6332"/>
    <w:rsid w:val="00ED7446"/>
    <w:rsid w:val="00ED7B42"/>
    <w:rsid w:val="00EE3592"/>
    <w:rsid w:val="00EE35C0"/>
    <w:rsid w:val="00EE371F"/>
    <w:rsid w:val="00EE3F6D"/>
    <w:rsid w:val="00EE4177"/>
    <w:rsid w:val="00EE45D0"/>
    <w:rsid w:val="00EE4733"/>
    <w:rsid w:val="00EE634B"/>
    <w:rsid w:val="00EE648B"/>
    <w:rsid w:val="00EE65A8"/>
    <w:rsid w:val="00EE7028"/>
    <w:rsid w:val="00EF03F1"/>
    <w:rsid w:val="00EF0BB8"/>
    <w:rsid w:val="00EF0E62"/>
    <w:rsid w:val="00EF1922"/>
    <w:rsid w:val="00EF235C"/>
    <w:rsid w:val="00EF23AE"/>
    <w:rsid w:val="00EF2713"/>
    <w:rsid w:val="00EF2817"/>
    <w:rsid w:val="00EF2956"/>
    <w:rsid w:val="00EF2C3A"/>
    <w:rsid w:val="00EF2E65"/>
    <w:rsid w:val="00EF35E0"/>
    <w:rsid w:val="00EF406E"/>
    <w:rsid w:val="00EF4457"/>
    <w:rsid w:val="00EF4F36"/>
    <w:rsid w:val="00EF5E0B"/>
    <w:rsid w:val="00EF5ED5"/>
    <w:rsid w:val="00EF63E9"/>
    <w:rsid w:val="00EF699F"/>
    <w:rsid w:val="00EF7015"/>
    <w:rsid w:val="00EF7271"/>
    <w:rsid w:val="00EF745B"/>
    <w:rsid w:val="00EF7A2C"/>
    <w:rsid w:val="00F001FE"/>
    <w:rsid w:val="00F00A68"/>
    <w:rsid w:val="00F00A84"/>
    <w:rsid w:val="00F00BA3"/>
    <w:rsid w:val="00F00D28"/>
    <w:rsid w:val="00F01554"/>
    <w:rsid w:val="00F02ACC"/>
    <w:rsid w:val="00F0317C"/>
    <w:rsid w:val="00F03E68"/>
    <w:rsid w:val="00F04A3D"/>
    <w:rsid w:val="00F0698C"/>
    <w:rsid w:val="00F069CD"/>
    <w:rsid w:val="00F070AC"/>
    <w:rsid w:val="00F07F19"/>
    <w:rsid w:val="00F1182D"/>
    <w:rsid w:val="00F11B1D"/>
    <w:rsid w:val="00F126FF"/>
    <w:rsid w:val="00F12CEB"/>
    <w:rsid w:val="00F12E45"/>
    <w:rsid w:val="00F14708"/>
    <w:rsid w:val="00F15255"/>
    <w:rsid w:val="00F152BC"/>
    <w:rsid w:val="00F15D2A"/>
    <w:rsid w:val="00F15E2F"/>
    <w:rsid w:val="00F1659B"/>
    <w:rsid w:val="00F17B6E"/>
    <w:rsid w:val="00F17CCB"/>
    <w:rsid w:val="00F202E8"/>
    <w:rsid w:val="00F2036F"/>
    <w:rsid w:val="00F21F66"/>
    <w:rsid w:val="00F229EA"/>
    <w:rsid w:val="00F233AA"/>
    <w:rsid w:val="00F23527"/>
    <w:rsid w:val="00F23E3B"/>
    <w:rsid w:val="00F23EE9"/>
    <w:rsid w:val="00F2636C"/>
    <w:rsid w:val="00F26AC3"/>
    <w:rsid w:val="00F26D51"/>
    <w:rsid w:val="00F270E6"/>
    <w:rsid w:val="00F274C3"/>
    <w:rsid w:val="00F30660"/>
    <w:rsid w:val="00F309AE"/>
    <w:rsid w:val="00F30E10"/>
    <w:rsid w:val="00F30E75"/>
    <w:rsid w:val="00F311DC"/>
    <w:rsid w:val="00F3180A"/>
    <w:rsid w:val="00F31C34"/>
    <w:rsid w:val="00F31F0A"/>
    <w:rsid w:val="00F31F33"/>
    <w:rsid w:val="00F31FC6"/>
    <w:rsid w:val="00F32175"/>
    <w:rsid w:val="00F3233D"/>
    <w:rsid w:val="00F323EA"/>
    <w:rsid w:val="00F325B2"/>
    <w:rsid w:val="00F3420D"/>
    <w:rsid w:val="00F346E5"/>
    <w:rsid w:val="00F34C32"/>
    <w:rsid w:val="00F361B0"/>
    <w:rsid w:val="00F36936"/>
    <w:rsid w:val="00F371C8"/>
    <w:rsid w:val="00F37B12"/>
    <w:rsid w:val="00F4004F"/>
    <w:rsid w:val="00F40A7D"/>
    <w:rsid w:val="00F40DF4"/>
    <w:rsid w:val="00F4130C"/>
    <w:rsid w:val="00F41788"/>
    <w:rsid w:val="00F41AA8"/>
    <w:rsid w:val="00F41C79"/>
    <w:rsid w:val="00F41F05"/>
    <w:rsid w:val="00F42085"/>
    <w:rsid w:val="00F420D8"/>
    <w:rsid w:val="00F43602"/>
    <w:rsid w:val="00F43736"/>
    <w:rsid w:val="00F44343"/>
    <w:rsid w:val="00F45082"/>
    <w:rsid w:val="00F45675"/>
    <w:rsid w:val="00F45A11"/>
    <w:rsid w:val="00F45B5A"/>
    <w:rsid w:val="00F46DA2"/>
    <w:rsid w:val="00F477B5"/>
    <w:rsid w:val="00F5006D"/>
    <w:rsid w:val="00F50AB0"/>
    <w:rsid w:val="00F51128"/>
    <w:rsid w:val="00F511D2"/>
    <w:rsid w:val="00F514C2"/>
    <w:rsid w:val="00F5173D"/>
    <w:rsid w:val="00F532D7"/>
    <w:rsid w:val="00F53C02"/>
    <w:rsid w:val="00F53DB7"/>
    <w:rsid w:val="00F554B1"/>
    <w:rsid w:val="00F558D1"/>
    <w:rsid w:val="00F55ADC"/>
    <w:rsid w:val="00F564DD"/>
    <w:rsid w:val="00F56628"/>
    <w:rsid w:val="00F5666C"/>
    <w:rsid w:val="00F566BA"/>
    <w:rsid w:val="00F56BE6"/>
    <w:rsid w:val="00F56CC8"/>
    <w:rsid w:val="00F578F1"/>
    <w:rsid w:val="00F57B80"/>
    <w:rsid w:val="00F57CA6"/>
    <w:rsid w:val="00F60472"/>
    <w:rsid w:val="00F604D1"/>
    <w:rsid w:val="00F609C7"/>
    <w:rsid w:val="00F60F9F"/>
    <w:rsid w:val="00F612F5"/>
    <w:rsid w:val="00F61384"/>
    <w:rsid w:val="00F61AF2"/>
    <w:rsid w:val="00F6209B"/>
    <w:rsid w:val="00F6252F"/>
    <w:rsid w:val="00F628AF"/>
    <w:rsid w:val="00F62F22"/>
    <w:rsid w:val="00F63A74"/>
    <w:rsid w:val="00F64354"/>
    <w:rsid w:val="00F64798"/>
    <w:rsid w:val="00F64A4B"/>
    <w:rsid w:val="00F64AC6"/>
    <w:rsid w:val="00F65288"/>
    <w:rsid w:val="00F6588E"/>
    <w:rsid w:val="00F66F40"/>
    <w:rsid w:val="00F676EB"/>
    <w:rsid w:val="00F67E0A"/>
    <w:rsid w:val="00F70005"/>
    <w:rsid w:val="00F71012"/>
    <w:rsid w:val="00F734A4"/>
    <w:rsid w:val="00F7394B"/>
    <w:rsid w:val="00F73C1B"/>
    <w:rsid w:val="00F73E84"/>
    <w:rsid w:val="00F74577"/>
    <w:rsid w:val="00F74A43"/>
    <w:rsid w:val="00F7676F"/>
    <w:rsid w:val="00F7717A"/>
    <w:rsid w:val="00F77233"/>
    <w:rsid w:val="00F778E0"/>
    <w:rsid w:val="00F80277"/>
    <w:rsid w:val="00F80AB8"/>
    <w:rsid w:val="00F811C9"/>
    <w:rsid w:val="00F81234"/>
    <w:rsid w:val="00F812D5"/>
    <w:rsid w:val="00F81AD1"/>
    <w:rsid w:val="00F82545"/>
    <w:rsid w:val="00F829A5"/>
    <w:rsid w:val="00F83C08"/>
    <w:rsid w:val="00F83CD2"/>
    <w:rsid w:val="00F8499E"/>
    <w:rsid w:val="00F86091"/>
    <w:rsid w:val="00F86B43"/>
    <w:rsid w:val="00F90560"/>
    <w:rsid w:val="00F90864"/>
    <w:rsid w:val="00F91AD4"/>
    <w:rsid w:val="00F9202C"/>
    <w:rsid w:val="00F92421"/>
    <w:rsid w:val="00F92531"/>
    <w:rsid w:val="00F92A28"/>
    <w:rsid w:val="00F93778"/>
    <w:rsid w:val="00F948A4"/>
    <w:rsid w:val="00F94C79"/>
    <w:rsid w:val="00F95067"/>
    <w:rsid w:val="00F95ED3"/>
    <w:rsid w:val="00F963DD"/>
    <w:rsid w:val="00F972CD"/>
    <w:rsid w:val="00F97950"/>
    <w:rsid w:val="00F97DF5"/>
    <w:rsid w:val="00FA0BB9"/>
    <w:rsid w:val="00FA0F12"/>
    <w:rsid w:val="00FA155D"/>
    <w:rsid w:val="00FA17B0"/>
    <w:rsid w:val="00FA3553"/>
    <w:rsid w:val="00FA365D"/>
    <w:rsid w:val="00FA3776"/>
    <w:rsid w:val="00FA37CC"/>
    <w:rsid w:val="00FA4416"/>
    <w:rsid w:val="00FA55AA"/>
    <w:rsid w:val="00FA6871"/>
    <w:rsid w:val="00FA7A2E"/>
    <w:rsid w:val="00FB18E9"/>
    <w:rsid w:val="00FB19FF"/>
    <w:rsid w:val="00FB1BBF"/>
    <w:rsid w:val="00FB1CC0"/>
    <w:rsid w:val="00FB234F"/>
    <w:rsid w:val="00FB2AB7"/>
    <w:rsid w:val="00FB4720"/>
    <w:rsid w:val="00FB472A"/>
    <w:rsid w:val="00FB491F"/>
    <w:rsid w:val="00FB4970"/>
    <w:rsid w:val="00FB49F4"/>
    <w:rsid w:val="00FB67B4"/>
    <w:rsid w:val="00FB68BB"/>
    <w:rsid w:val="00FB6ADF"/>
    <w:rsid w:val="00FB71F1"/>
    <w:rsid w:val="00FB731B"/>
    <w:rsid w:val="00FB7553"/>
    <w:rsid w:val="00FC052F"/>
    <w:rsid w:val="00FC13EA"/>
    <w:rsid w:val="00FC2C14"/>
    <w:rsid w:val="00FC2CF1"/>
    <w:rsid w:val="00FC30FA"/>
    <w:rsid w:val="00FC336B"/>
    <w:rsid w:val="00FC3E3B"/>
    <w:rsid w:val="00FC5154"/>
    <w:rsid w:val="00FC73AB"/>
    <w:rsid w:val="00FC7E36"/>
    <w:rsid w:val="00FC7E99"/>
    <w:rsid w:val="00FD0C5B"/>
    <w:rsid w:val="00FD10D1"/>
    <w:rsid w:val="00FD173C"/>
    <w:rsid w:val="00FD1FC1"/>
    <w:rsid w:val="00FD3324"/>
    <w:rsid w:val="00FD34D9"/>
    <w:rsid w:val="00FD4129"/>
    <w:rsid w:val="00FD487A"/>
    <w:rsid w:val="00FD4EBA"/>
    <w:rsid w:val="00FD6419"/>
    <w:rsid w:val="00FD6646"/>
    <w:rsid w:val="00FD7028"/>
    <w:rsid w:val="00FE11E1"/>
    <w:rsid w:val="00FE190E"/>
    <w:rsid w:val="00FE2424"/>
    <w:rsid w:val="00FE2703"/>
    <w:rsid w:val="00FE3D94"/>
    <w:rsid w:val="00FE41B8"/>
    <w:rsid w:val="00FE4B47"/>
    <w:rsid w:val="00FE5B80"/>
    <w:rsid w:val="00FE61D8"/>
    <w:rsid w:val="00FE6574"/>
    <w:rsid w:val="00FE67CB"/>
    <w:rsid w:val="00FE7E4B"/>
    <w:rsid w:val="00FE7FA3"/>
    <w:rsid w:val="00FF0273"/>
    <w:rsid w:val="00FF0C25"/>
    <w:rsid w:val="00FF151A"/>
    <w:rsid w:val="00FF158F"/>
    <w:rsid w:val="00FF2228"/>
    <w:rsid w:val="00FF2FEC"/>
    <w:rsid w:val="00FF3172"/>
    <w:rsid w:val="00FF39A0"/>
    <w:rsid w:val="00FF39B4"/>
    <w:rsid w:val="00FF3CCF"/>
    <w:rsid w:val="00FF3EBA"/>
    <w:rsid w:val="00FF4025"/>
    <w:rsid w:val="00FF41B1"/>
    <w:rsid w:val="00FF53A5"/>
    <w:rsid w:val="00FF5723"/>
    <w:rsid w:val="00FF72AB"/>
    <w:rsid w:val="01080A12"/>
    <w:rsid w:val="01111B7C"/>
    <w:rsid w:val="0156352C"/>
    <w:rsid w:val="0160078A"/>
    <w:rsid w:val="016025FC"/>
    <w:rsid w:val="016C2D4F"/>
    <w:rsid w:val="01727AD4"/>
    <w:rsid w:val="018C519F"/>
    <w:rsid w:val="01910A08"/>
    <w:rsid w:val="01A56261"/>
    <w:rsid w:val="01BD35AB"/>
    <w:rsid w:val="01CE57B8"/>
    <w:rsid w:val="01EA636A"/>
    <w:rsid w:val="01F30A1B"/>
    <w:rsid w:val="02136A35"/>
    <w:rsid w:val="02263E9A"/>
    <w:rsid w:val="02276CDB"/>
    <w:rsid w:val="02602E58"/>
    <w:rsid w:val="026A14A8"/>
    <w:rsid w:val="0284108D"/>
    <w:rsid w:val="02846ED2"/>
    <w:rsid w:val="029F0F02"/>
    <w:rsid w:val="02AB3F80"/>
    <w:rsid w:val="02E42DB9"/>
    <w:rsid w:val="02F576C6"/>
    <w:rsid w:val="02F92D08"/>
    <w:rsid w:val="02FF011F"/>
    <w:rsid w:val="0306625F"/>
    <w:rsid w:val="0314369E"/>
    <w:rsid w:val="032B6C3A"/>
    <w:rsid w:val="03433F84"/>
    <w:rsid w:val="034D4E02"/>
    <w:rsid w:val="03636F78"/>
    <w:rsid w:val="038F7198"/>
    <w:rsid w:val="03905CE5"/>
    <w:rsid w:val="03925EFB"/>
    <w:rsid w:val="03960557"/>
    <w:rsid w:val="03AC7D7B"/>
    <w:rsid w:val="03B41164"/>
    <w:rsid w:val="03B659B7"/>
    <w:rsid w:val="03BE2FFA"/>
    <w:rsid w:val="03C055D4"/>
    <w:rsid w:val="03D8291E"/>
    <w:rsid w:val="03E33071"/>
    <w:rsid w:val="03E56DE9"/>
    <w:rsid w:val="04215F12"/>
    <w:rsid w:val="04221DEB"/>
    <w:rsid w:val="043072F8"/>
    <w:rsid w:val="043F0BEF"/>
    <w:rsid w:val="0441254B"/>
    <w:rsid w:val="044874C7"/>
    <w:rsid w:val="044B0EDF"/>
    <w:rsid w:val="04650E5C"/>
    <w:rsid w:val="04673CA2"/>
    <w:rsid w:val="04775A3C"/>
    <w:rsid w:val="047A7CF9"/>
    <w:rsid w:val="04983E5B"/>
    <w:rsid w:val="04AD3DAA"/>
    <w:rsid w:val="04BD2AAB"/>
    <w:rsid w:val="04C00E1E"/>
    <w:rsid w:val="04C90D1F"/>
    <w:rsid w:val="04F03C97"/>
    <w:rsid w:val="050138D2"/>
    <w:rsid w:val="050339CA"/>
    <w:rsid w:val="05037796"/>
    <w:rsid w:val="05072DB3"/>
    <w:rsid w:val="05281683"/>
    <w:rsid w:val="05392E27"/>
    <w:rsid w:val="05713E65"/>
    <w:rsid w:val="05777F14"/>
    <w:rsid w:val="057F7413"/>
    <w:rsid w:val="059302F0"/>
    <w:rsid w:val="05B55DC4"/>
    <w:rsid w:val="05C56ED2"/>
    <w:rsid w:val="05EB7E30"/>
    <w:rsid w:val="0600615C"/>
    <w:rsid w:val="0619721E"/>
    <w:rsid w:val="061E65E2"/>
    <w:rsid w:val="062459A5"/>
    <w:rsid w:val="06304C93"/>
    <w:rsid w:val="064510DB"/>
    <w:rsid w:val="0650515A"/>
    <w:rsid w:val="06581AF4"/>
    <w:rsid w:val="06620B3A"/>
    <w:rsid w:val="066E7569"/>
    <w:rsid w:val="069717B9"/>
    <w:rsid w:val="06BA630B"/>
    <w:rsid w:val="06D0451E"/>
    <w:rsid w:val="06DA6FC6"/>
    <w:rsid w:val="06EB6E0C"/>
    <w:rsid w:val="06F34B4B"/>
    <w:rsid w:val="06FF299A"/>
    <w:rsid w:val="0708176C"/>
    <w:rsid w:val="070A729C"/>
    <w:rsid w:val="07342561"/>
    <w:rsid w:val="073C599D"/>
    <w:rsid w:val="073E5575"/>
    <w:rsid w:val="074128B0"/>
    <w:rsid w:val="074A10F8"/>
    <w:rsid w:val="0761194E"/>
    <w:rsid w:val="076432D3"/>
    <w:rsid w:val="0781151E"/>
    <w:rsid w:val="078D3A1F"/>
    <w:rsid w:val="0790350F"/>
    <w:rsid w:val="07B54D24"/>
    <w:rsid w:val="07B63215"/>
    <w:rsid w:val="07B77A9C"/>
    <w:rsid w:val="07BC624E"/>
    <w:rsid w:val="07C1191B"/>
    <w:rsid w:val="07DC7A53"/>
    <w:rsid w:val="08000695"/>
    <w:rsid w:val="08081FA5"/>
    <w:rsid w:val="080B7557"/>
    <w:rsid w:val="08181E21"/>
    <w:rsid w:val="08184EC7"/>
    <w:rsid w:val="081C0B89"/>
    <w:rsid w:val="082B48A9"/>
    <w:rsid w:val="082D6348"/>
    <w:rsid w:val="084F5179"/>
    <w:rsid w:val="085264A2"/>
    <w:rsid w:val="085D7896"/>
    <w:rsid w:val="08684A24"/>
    <w:rsid w:val="0878647D"/>
    <w:rsid w:val="08924472"/>
    <w:rsid w:val="08A454C4"/>
    <w:rsid w:val="08A62997"/>
    <w:rsid w:val="08A969C4"/>
    <w:rsid w:val="08AF6108"/>
    <w:rsid w:val="08B001C4"/>
    <w:rsid w:val="08B1198F"/>
    <w:rsid w:val="08C6543B"/>
    <w:rsid w:val="08D00FFA"/>
    <w:rsid w:val="08D35DAA"/>
    <w:rsid w:val="08EF5F46"/>
    <w:rsid w:val="08F71A98"/>
    <w:rsid w:val="09086D86"/>
    <w:rsid w:val="090F12E9"/>
    <w:rsid w:val="092B34F0"/>
    <w:rsid w:val="09367BAA"/>
    <w:rsid w:val="09381D73"/>
    <w:rsid w:val="09473B2C"/>
    <w:rsid w:val="096A3477"/>
    <w:rsid w:val="097C361B"/>
    <w:rsid w:val="09AB5942"/>
    <w:rsid w:val="09B064D1"/>
    <w:rsid w:val="09BF2ED7"/>
    <w:rsid w:val="09BF7674"/>
    <w:rsid w:val="09EC1268"/>
    <w:rsid w:val="09F45FD8"/>
    <w:rsid w:val="09F806A3"/>
    <w:rsid w:val="0A0B50CF"/>
    <w:rsid w:val="0A0D1190"/>
    <w:rsid w:val="0A20501F"/>
    <w:rsid w:val="0A2456C5"/>
    <w:rsid w:val="0A2543E3"/>
    <w:rsid w:val="0A474057"/>
    <w:rsid w:val="0A641E3D"/>
    <w:rsid w:val="0AA34B1B"/>
    <w:rsid w:val="0AAD7CD9"/>
    <w:rsid w:val="0AB6328D"/>
    <w:rsid w:val="0ABD15CE"/>
    <w:rsid w:val="0ABF263A"/>
    <w:rsid w:val="0AD12B8F"/>
    <w:rsid w:val="0AD61B81"/>
    <w:rsid w:val="0ADD081A"/>
    <w:rsid w:val="0AF618DB"/>
    <w:rsid w:val="0B0A6314"/>
    <w:rsid w:val="0B1C3A38"/>
    <w:rsid w:val="0B335CF7"/>
    <w:rsid w:val="0B5C5BE2"/>
    <w:rsid w:val="0B6B051B"/>
    <w:rsid w:val="0B6E6353"/>
    <w:rsid w:val="0B7B2E88"/>
    <w:rsid w:val="0B8415DD"/>
    <w:rsid w:val="0B842ECF"/>
    <w:rsid w:val="0BA53A0C"/>
    <w:rsid w:val="0BA8462C"/>
    <w:rsid w:val="0BD10EF4"/>
    <w:rsid w:val="0BEC0639"/>
    <w:rsid w:val="0BED19DF"/>
    <w:rsid w:val="0C130BB2"/>
    <w:rsid w:val="0C193B8E"/>
    <w:rsid w:val="0C1C4E30"/>
    <w:rsid w:val="0C2653A0"/>
    <w:rsid w:val="0C392862"/>
    <w:rsid w:val="0C403BDE"/>
    <w:rsid w:val="0C447B66"/>
    <w:rsid w:val="0C4B726D"/>
    <w:rsid w:val="0C563442"/>
    <w:rsid w:val="0C56723C"/>
    <w:rsid w:val="0C6172A8"/>
    <w:rsid w:val="0C782EF0"/>
    <w:rsid w:val="0C7B0EF4"/>
    <w:rsid w:val="0C8E44C1"/>
    <w:rsid w:val="0C9C7EE1"/>
    <w:rsid w:val="0CA20839"/>
    <w:rsid w:val="0CA21D1B"/>
    <w:rsid w:val="0CAC4948"/>
    <w:rsid w:val="0CB14648"/>
    <w:rsid w:val="0CB21A52"/>
    <w:rsid w:val="0CD72DE2"/>
    <w:rsid w:val="0CDD592A"/>
    <w:rsid w:val="0CED2FC7"/>
    <w:rsid w:val="0CF1374F"/>
    <w:rsid w:val="0D0429D6"/>
    <w:rsid w:val="0D0B3D64"/>
    <w:rsid w:val="0D126D3D"/>
    <w:rsid w:val="0D194DAA"/>
    <w:rsid w:val="0D26294C"/>
    <w:rsid w:val="0D3D634E"/>
    <w:rsid w:val="0D4472E3"/>
    <w:rsid w:val="0D5124F3"/>
    <w:rsid w:val="0D5374B9"/>
    <w:rsid w:val="0D56790F"/>
    <w:rsid w:val="0D622EB4"/>
    <w:rsid w:val="0D63594E"/>
    <w:rsid w:val="0D83708C"/>
    <w:rsid w:val="0D854328"/>
    <w:rsid w:val="0DDB1F25"/>
    <w:rsid w:val="0DE34346"/>
    <w:rsid w:val="0DF465A6"/>
    <w:rsid w:val="0DFC545B"/>
    <w:rsid w:val="0E004116"/>
    <w:rsid w:val="0E077E36"/>
    <w:rsid w:val="0E0E22E1"/>
    <w:rsid w:val="0E554C8F"/>
    <w:rsid w:val="0E5A2C39"/>
    <w:rsid w:val="0E736B11"/>
    <w:rsid w:val="0E7F3562"/>
    <w:rsid w:val="0E8E126E"/>
    <w:rsid w:val="0EBD2885"/>
    <w:rsid w:val="0EC34B2B"/>
    <w:rsid w:val="0ECA6B2D"/>
    <w:rsid w:val="0ECB5D10"/>
    <w:rsid w:val="0ECC1E18"/>
    <w:rsid w:val="0EE11257"/>
    <w:rsid w:val="0EE35EF2"/>
    <w:rsid w:val="0EEE7499"/>
    <w:rsid w:val="0EFA5849"/>
    <w:rsid w:val="0EFB1251"/>
    <w:rsid w:val="0EFF740A"/>
    <w:rsid w:val="0F16254C"/>
    <w:rsid w:val="0F1D38DB"/>
    <w:rsid w:val="0F1E6594"/>
    <w:rsid w:val="0F295746"/>
    <w:rsid w:val="0F2B6888"/>
    <w:rsid w:val="0F4F5F19"/>
    <w:rsid w:val="0F547B71"/>
    <w:rsid w:val="0F590199"/>
    <w:rsid w:val="0F7936CC"/>
    <w:rsid w:val="0F882744"/>
    <w:rsid w:val="0F8F3081"/>
    <w:rsid w:val="0FA5195F"/>
    <w:rsid w:val="0FAD4701"/>
    <w:rsid w:val="0FE825FD"/>
    <w:rsid w:val="0FF61E2B"/>
    <w:rsid w:val="10134CDE"/>
    <w:rsid w:val="10280789"/>
    <w:rsid w:val="104D01F0"/>
    <w:rsid w:val="104D6442"/>
    <w:rsid w:val="106F4618"/>
    <w:rsid w:val="10735462"/>
    <w:rsid w:val="10760938"/>
    <w:rsid w:val="10771710"/>
    <w:rsid w:val="10934AB9"/>
    <w:rsid w:val="109E4EEF"/>
    <w:rsid w:val="10B64B12"/>
    <w:rsid w:val="10B7072A"/>
    <w:rsid w:val="10B93AD7"/>
    <w:rsid w:val="10C04E65"/>
    <w:rsid w:val="10C36704"/>
    <w:rsid w:val="10D57578"/>
    <w:rsid w:val="10E83584"/>
    <w:rsid w:val="10F245C8"/>
    <w:rsid w:val="10FD18AA"/>
    <w:rsid w:val="11136BE5"/>
    <w:rsid w:val="112244C7"/>
    <w:rsid w:val="112F5B47"/>
    <w:rsid w:val="113E38BD"/>
    <w:rsid w:val="113E5D8A"/>
    <w:rsid w:val="11457119"/>
    <w:rsid w:val="11531836"/>
    <w:rsid w:val="11633A20"/>
    <w:rsid w:val="11700B96"/>
    <w:rsid w:val="11717F0E"/>
    <w:rsid w:val="117A7D9D"/>
    <w:rsid w:val="117B6FDE"/>
    <w:rsid w:val="117D1895"/>
    <w:rsid w:val="1189681F"/>
    <w:rsid w:val="118D065E"/>
    <w:rsid w:val="119111DD"/>
    <w:rsid w:val="119836EC"/>
    <w:rsid w:val="119D0D92"/>
    <w:rsid w:val="11B01C7F"/>
    <w:rsid w:val="11C72224"/>
    <w:rsid w:val="11D16BFE"/>
    <w:rsid w:val="11E20E0C"/>
    <w:rsid w:val="11EB5F12"/>
    <w:rsid w:val="11EE77B0"/>
    <w:rsid w:val="11F63B39"/>
    <w:rsid w:val="11F811A4"/>
    <w:rsid w:val="121534BC"/>
    <w:rsid w:val="12321755"/>
    <w:rsid w:val="12324FEA"/>
    <w:rsid w:val="12392DC6"/>
    <w:rsid w:val="123A0C48"/>
    <w:rsid w:val="125735A8"/>
    <w:rsid w:val="125E4649"/>
    <w:rsid w:val="12653E6A"/>
    <w:rsid w:val="127658D7"/>
    <w:rsid w:val="12864FA7"/>
    <w:rsid w:val="12957C2C"/>
    <w:rsid w:val="12CC7D65"/>
    <w:rsid w:val="12F466E5"/>
    <w:rsid w:val="130D010A"/>
    <w:rsid w:val="130E5DFE"/>
    <w:rsid w:val="130F5C30"/>
    <w:rsid w:val="1318492B"/>
    <w:rsid w:val="13195D86"/>
    <w:rsid w:val="133415D2"/>
    <w:rsid w:val="13390EFF"/>
    <w:rsid w:val="134659BB"/>
    <w:rsid w:val="135A334F"/>
    <w:rsid w:val="1362355A"/>
    <w:rsid w:val="136B46BF"/>
    <w:rsid w:val="13860D94"/>
    <w:rsid w:val="138A779A"/>
    <w:rsid w:val="138D2BCA"/>
    <w:rsid w:val="139879D4"/>
    <w:rsid w:val="13A12FBB"/>
    <w:rsid w:val="13BE1E5C"/>
    <w:rsid w:val="13C44C6D"/>
    <w:rsid w:val="13F53078"/>
    <w:rsid w:val="13FD017F"/>
    <w:rsid w:val="1400703C"/>
    <w:rsid w:val="14024E31"/>
    <w:rsid w:val="141A663B"/>
    <w:rsid w:val="142F0857"/>
    <w:rsid w:val="1444680B"/>
    <w:rsid w:val="14473B09"/>
    <w:rsid w:val="14526E7B"/>
    <w:rsid w:val="145853B5"/>
    <w:rsid w:val="147246C9"/>
    <w:rsid w:val="14834C84"/>
    <w:rsid w:val="14840D97"/>
    <w:rsid w:val="14861F22"/>
    <w:rsid w:val="148D4AEF"/>
    <w:rsid w:val="148F7029"/>
    <w:rsid w:val="14A32AD4"/>
    <w:rsid w:val="14CA62B3"/>
    <w:rsid w:val="14CF3D47"/>
    <w:rsid w:val="14D94AE9"/>
    <w:rsid w:val="14EB2AE0"/>
    <w:rsid w:val="14EE05A3"/>
    <w:rsid w:val="14F50E56"/>
    <w:rsid w:val="14F7288F"/>
    <w:rsid w:val="14FC59FF"/>
    <w:rsid w:val="15063688"/>
    <w:rsid w:val="15336151"/>
    <w:rsid w:val="156275CE"/>
    <w:rsid w:val="157952EA"/>
    <w:rsid w:val="157B75AD"/>
    <w:rsid w:val="15876E40"/>
    <w:rsid w:val="158A5A42"/>
    <w:rsid w:val="158C2DC7"/>
    <w:rsid w:val="158F3058"/>
    <w:rsid w:val="15A718D7"/>
    <w:rsid w:val="15BF64B6"/>
    <w:rsid w:val="15CC1BB7"/>
    <w:rsid w:val="15D975F0"/>
    <w:rsid w:val="15EC6D9F"/>
    <w:rsid w:val="15F64207"/>
    <w:rsid w:val="15FB6C69"/>
    <w:rsid w:val="160B3752"/>
    <w:rsid w:val="161B13E4"/>
    <w:rsid w:val="1626576B"/>
    <w:rsid w:val="163F2811"/>
    <w:rsid w:val="16442095"/>
    <w:rsid w:val="164E7686"/>
    <w:rsid w:val="165322D8"/>
    <w:rsid w:val="16535142"/>
    <w:rsid w:val="165665A6"/>
    <w:rsid w:val="165C2B80"/>
    <w:rsid w:val="16630A92"/>
    <w:rsid w:val="16640041"/>
    <w:rsid w:val="16677B31"/>
    <w:rsid w:val="16704820"/>
    <w:rsid w:val="16850E26"/>
    <w:rsid w:val="16893F4C"/>
    <w:rsid w:val="1699418F"/>
    <w:rsid w:val="169C3C7F"/>
    <w:rsid w:val="16A22419"/>
    <w:rsid w:val="16BB08D6"/>
    <w:rsid w:val="16C33CD0"/>
    <w:rsid w:val="16C86EEE"/>
    <w:rsid w:val="16CF74AC"/>
    <w:rsid w:val="16D12AC9"/>
    <w:rsid w:val="16D62899"/>
    <w:rsid w:val="16D86AD9"/>
    <w:rsid w:val="16E24DAF"/>
    <w:rsid w:val="16E478E9"/>
    <w:rsid w:val="16F21AF1"/>
    <w:rsid w:val="16F45869"/>
    <w:rsid w:val="16FD5ABC"/>
    <w:rsid w:val="17025136"/>
    <w:rsid w:val="17080CB3"/>
    <w:rsid w:val="17104E33"/>
    <w:rsid w:val="172779EC"/>
    <w:rsid w:val="172C5003"/>
    <w:rsid w:val="17435B9A"/>
    <w:rsid w:val="17530278"/>
    <w:rsid w:val="1770488D"/>
    <w:rsid w:val="177251DB"/>
    <w:rsid w:val="179F403B"/>
    <w:rsid w:val="17AB4A68"/>
    <w:rsid w:val="17B46DA6"/>
    <w:rsid w:val="17BF5E77"/>
    <w:rsid w:val="17C27715"/>
    <w:rsid w:val="17C92852"/>
    <w:rsid w:val="17E07B23"/>
    <w:rsid w:val="17F04282"/>
    <w:rsid w:val="181D21AB"/>
    <w:rsid w:val="18241EFA"/>
    <w:rsid w:val="182551D2"/>
    <w:rsid w:val="18302625"/>
    <w:rsid w:val="18316C72"/>
    <w:rsid w:val="183C5221"/>
    <w:rsid w:val="184B770B"/>
    <w:rsid w:val="188056B2"/>
    <w:rsid w:val="1887731B"/>
    <w:rsid w:val="188B5D59"/>
    <w:rsid w:val="18A312F5"/>
    <w:rsid w:val="18A71570"/>
    <w:rsid w:val="18AF5EEB"/>
    <w:rsid w:val="18B06992"/>
    <w:rsid w:val="18BF29A5"/>
    <w:rsid w:val="18C43019"/>
    <w:rsid w:val="18D95C4B"/>
    <w:rsid w:val="18E33521"/>
    <w:rsid w:val="18EB67F8"/>
    <w:rsid w:val="18FA4C8D"/>
    <w:rsid w:val="18FF7748"/>
    <w:rsid w:val="19133920"/>
    <w:rsid w:val="19296091"/>
    <w:rsid w:val="194562A6"/>
    <w:rsid w:val="19526877"/>
    <w:rsid w:val="195E521C"/>
    <w:rsid w:val="196C36C2"/>
    <w:rsid w:val="19733208"/>
    <w:rsid w:val="1978271D"/>
    <w:rsid w:val="197E7B00"/>
    <w:rsid w:val="19933B34"/>
    <w:rsid w:val="199944A6"/>
    <w:rsid w:val="19A76BC3"/>
    <w:rsid w:val="19C96DDB"/>
    <w:rsid w:val="19CF01B9"/>
    <w:rsid w:val="19DC46F7"/>
    <w:rsid w:val="19DE34A8"/>
    <w:rsid w:val="19E52623"/>
    <w:rsid w:val="19FA6457"/>
    <w:rsid w:val="1A0B2274"/>
    <w:rsid w:val="1A187AC0"/>
    <w:rsid w:val="1A393B90"/>
    <w:rsid w:val="1A535B25"/>
    <w:rsid w:val="1A5B5BFF"/>
    <w:rsid w:val="1A7208D9"/>
    <w:rsid w:val="1A764FB0"/>
    <w:rsid w:val="1A767F97"/>
    <w:rsid w:val="1A8C60A2"/>
    <w:rsid w:val="1A932C82"/>
    <w:rsid w:val="1AA37850"/>
    <w:rsid w:val="1AA650CC"/>
    <w:rsid w:val="1AA864FA"/>
    <w:rsid w:val="1AAE21D3"/>
    <w:rsid w:val="1AB97B24"/>
    <w:rsid w:val="1AC75042"/>
    <w:rsid w:val="1AC90DBB"/>
    <w:rsid w:val="1AD930B1"/>
    <w:rsid w:val="1AF20311"/>
    <w:rsid w:val="1AFA71C6"/>
    <w:rsid w:val="1B267FBB"/>
    <w:rsid w:val="1B3C77DE"/>
    <w:rsid w:val="1B3E1360"/>
    <w:rsid w:val="1B453F87"/>
    <w:rsid w:val="1B4A02FA"/>
    <w:rsid w:val="1B6D0A69"/>
    <w:rsid w:val="1B7D2468"/>
    <w:rsid w:val="1B886580"/>
    <w:rsid w:val="1BAB30F2"/>
    <w:rsid w:val="1BB64807"/>
    <w:rsid w:val="1BC45815"/>
    <w:rsid w:val="1BCA6B98"/>
    <w:rsid w:val="1BEC2FB3"/>
    <w:rsid w:val="1BEE345E"/>
    <w:rsid w:val="1BF209FD"/>
    <w:rsid w:val="1BF530EC"/>
    <w:rsid w:val="1C044843"/>
    <w:rsid w:val="1C165429"/>
    <w:rsid w:val="1C4C7B54"/>
    <w:rsid w:val="1C557CD0"/>
    <w:rsid w:val="1C6D30D8"/>
    <w:rsid w:val="1C7911F1"/>
    <w:rsid w:val="1C7B60E4"/>
    <w:rsid w:val="1C8C3DCA"/>
    <w:rsid w:val="1CCB47C0"/>
    <w:rsid w:val="1CE27F12"/>
    <w:rsid w:val="1CF3330B"/>
    <w:rsid w:val="1D0C2883"/>
    <w:rsid w:val="1D3B1144"/>
    <w:rsid w:val="1D44297A"/>
    <w:rsid w:val="1D4E4561"/>
    <w:rsid w:val="1D5C4168"/>
    <w:rsid w:val="1D703128"/>
    <w:rsid w:val="1D7C5FBA"/>
    <w:rsid w:val="1D81336E"/>
    <w:rsid w:val="1D9F19C4"/>
    <w:rsid w:val="1DA575B0"/>
    <w:rsid w:val="1DAF24EA"/>
    <w:rsid w:val="1DB375C5"/>
    <w:rsid w:val="1DB46449"/>
    <w:rsid w:val="1DBC69B5"/>
    <w:rsid w:val="1DC332DD"/>
    <w:rsid w:val="1DD737EE"/>
    <w:rsid w:val="1DDB0E18"/>
    <w:rsid w:val="1DE80C95"/>
    <w:rsid w:val="1DF34884"/>
    <w:rsid w:val="1E061E25"/>
    <w:rsid w:val="1E226345"/>
    <w:rsid w:val="1E34479D"/>
    <w:rsid w:val="1E37428D"/>
    <w:rsid w:val="1E3A6C06"/>
    <w:rsid w:val="1E424E8A"/>
    <w:rsid w:val="1E736290"/>
    <w:rsid w:val="1E8C6387"/>
    <w:rsid w:val="1E9A6CF6"/>
    <w:rsid w:val="1EB06519"/>
    <w:rsid w:val="1EB458DE"/>
    <w:rsid w:val="1EC00497"/>
    <w:rsid w:val="1EDA5344"/>
    <w:rsid w:val="1EE613D0"/>
    <w:rsid w:val="1EF1268E"/>
    <w:rsid w:val="1EF21855"/>
    <w:rsid w:val="1EF501D6"/>
    <w:rsid w:val="1F1830CB"/>
    <w:rsid w:val="1F1C3BAF"/>
    <w:rsid w:val="1F1D4CEA"/>
    <w:rsid w:val="1F3431EF"/>
    <w:rsid w:val="1F412ACD"/>
    <w:rsid w:val="1F896D6A"/>
    <w:rsid w:val="1FA51C58"/>
    <w:rsid w:val="1FA7649E"/>
    <w:rsid w:val="1FBE7B22"/>
    <w:rsid w:val="1FEE7C0E"/>
    <w:rsid w:val="20061562"/>
    <w:rsid w:val="200A7EAB"/>
    <w:rsid w:val="2017317A"/>
    <w:rsid w:val="201D0468"/>
    <w:rsid w:val="202857A9"/>
    <w:rsid w:val="202D76F6"/>
    <w:rsid w:val="203D7B26"/>
    <w:rsid w:val="20531852"/>
    <w:rsid w:val="20B10327"/>
    <w:rsid w:val="20B15A28"/>
    <w:rsid w:val="20C655D1"/>
    <w:rsid w:val="20C77B4A"/>
    <w:rsid w:val="20C92795"/>
    <w:rsid w:val="20D34741"/>
    <w:rsid w:val="20D61B3B"/>
    <w:rsid w:val="20D65FDF"/>
    <w:rsid w:val="20DB0CE4"/>
    <w:rsid w:val="20E961FA"/>
    <w:rsid w:val="20F10A60"/>
    <w:rsid w:val="211A14D6"/>
    <w:rsid w:val="211F34E2"/>
    <w:rsid w:val="214C62A1"/>
    <w:rsid w:val="21564CC5"/>
    <w:rsid w:val="21725E20"/>
    <w:rsid w:val="217F21D3"/>
    <w:rsid w:val="21894835"/>
    <w:rsid w:val="219F6403"/>
    <w:rsid w:val="21A148C9"/>
    <w:rsid w:val="21A84B20"/>
    <w:rsid w:val="21D06ED2"/>
    <w:rsid w:val="21D547D9"/>
    <w:rsid w:val="21E36C06"/>
    <w:rsid w:val="21F841CB"/>
    <w:rsid w:val="22094970"/>
    <w:rsid w:val="2224426F"/>
    <w:rsid w:val="224C10D0"/>
    <w:rsid w:val="225222AD"/>
    <w:rsid w:val="22541289"/>
    <w:rsid w:val="22560474"/>
    <w:rsid w:val="225B2C40"/>
    <w:rsid w:val="225C24EF"/>
    <w:rsid w:val="226433E0"/>
    <w:rsid w:val="22685BE4"/>
    <w:rsid w:val="22786DC6"/>
    <w:rsid w:val="22951269"/>
    <w:rsid w:val="22952C4B"/>
    <w:rsid w:val="22A07A2E"/>
    <w:rsid w:val="22AE1FD7"/>
    <w:rsid w:val="22B00DA9"/>
    <w:rsid w:val="22B1460E"/>
    <w:rsid w:val="22BA5BB9"/>
    <w:rsid w:val="22EB3FC4"/>
    <w:rsid w:val="22F10EAE"/>
    <w:rsid w:val="230D3F37"/>
    <w:rsid w:val="231128EB"/>
    <w:rsid w:val="23307C29"/>
    <w:rsid w:val="233415C5"/>
    <w:rsid w:val="234C07DB"/>
    <w:rsid w:val="23566F63"/>
    <w:rsid w:val="2362143C"/>
    <w:rsid w:val="23645B24"/>
    <w:rsid w:val="23887A65"/>
    <w:rsid w:val="238E2BA1"/>
    <w:rsid w:val="239A6033"/>
    <w:rsid w:val="23A418A2"/>
    <w:rsid w:val="23AE1EA3"/>
    <w:rsid w:val="23D11B74"/>
    <w:rsid w:val="23D5432C"/>
    <w:rsid w:val="23EE71CC"/>
    <w:rsid w:val="2404346B"/>
    <w:rsid w:val="24172B97"/>
    <w:rsid w:val="24292475"/>
    <w:rsid w:val="242977C5"/>
    <w:rsid w:val="242D23BA"/>
    <w:rsid w:val="24351601"/>
    <w:rsid w:val="24375486"/>
    <w:rsid w:val="24390A60"/>
    <w:rsid w:val="243E33BC"/>
    <w:rsid w:val="246F7026"/>
    <w:rsid w:val="248745FF"/>
    <w:rsid w:val="249266C1"/>
    <w:rsid w:val="2495534F"/>
    <w:rsid w:val="24A773D3"/>
    <w:rsid w:val="24B65FDB"/>
    <w:rsid w:val="24DB6D9D"/>
    <w:rsid w:val="24E0742D"/>
    <w:rsid w:val="24E16D01"/>
    <w:rsid w:val="24F904EE"/>
    <w:rsid w:val="25237319"/>
    <w:rsid w:val="25276E09"/>
    <w:rsid w:val="253311F6"/>
    <w:rsid w:val="253B3193"/>
    <w:rsid w:val="25552E9E"/>
    <w:rsid w:val="255866F6"/>
    <w:rsid w:val="25654FC9"/>
    <w:rsid w:val="25851E17"/>
    <w:rsid w:val="2586379D"/>
    <w:rsid w:val="25DF1492"/>
    <w:rsid w:val="25EB1207"/>
    <w:rsid w:val="25F723E2"/>
    <w:rsid w:val="261A4BC0"/>
    <w:rsid w:val="261C26E6"/>
    <w:rsid w:val="26377520"/>
    <w:rsid w:val="263C274B"/>
    <w:rsid w:val="264B7744"/>
    <w:rsid w:val="2651082C"/>
    <w:rsid w:val="267E7EE2"/>
    <w:rsid w:val="26A76454"/>
    <w:rsid w:val="26A804CA"/>
    <w:rsid w:val="26C66AA9"/>
    <w:rsid w:val="26DD1E76"/>
    <w:rsid w:val="26F64CE5"/>
    <w:rsid w:val="26F87EF2"/>
    <w:rsid w:val="271703C5"/>
    <w:rsid w:val="27351CB2"/>
    <w:rsid w:val="27361586"/>
    <w:rsid w:val="277D1B2D"/>
    <w:rsid w:val="27835FFC"/>
    <w:rsid w:val="2794279E"/>
    <w:rsid w:val="279E7050"/>
    <w:rsid w:val="27A466B8"/>
    <w:rsid w:val="27A764DB"/>
    <w:rsid w:val="27AF6D80"/>
    <w:rsid w:val="27B0198F"/>
    <w:rsid w:val="27B92AB7"/>
    <w:rsid w:val="27D43FB1"/>
    <w:rsid w:val="27DE552A"/>
    <w:rsid w:val="27E022D4"/>
    <w:rsid w:val="27F84A8D"/>
    <w:rsid w:val="27FC3AE4"/>
    <w:rsid w:val="28065AFB"/>
    <w:rsid w:val="280C4E96"/>
    <w:rsid w:val="281B7D88"/>
    <w:rsid w:val="282E4FCE"/>
    <w:rsid w:val="28342B35"/>
    <w:rsid w:val="2834568E"/>
    <w:rsid w:val="28373807"/>
    <w:rsid w:val="283F0442"/>
    <w:rsid w:val="284E32AF"/>
    <w:rsid w:val="286D1F27"/>
    <w:rsid w:val="28924EE2"/>
    <w:rsid w:val="28956780"/>
    <w:rsid w:val="28975940"/>
    <w:rsid w:val="28A2738B"/>
    <w:rsid w:val="28A70580"/>
    <w:rsid w:val="28A86838"/>
    <w:rsid w:val="28C4031B"/>
    <w:rsid w:val="28CB6760"/>
    <w:rsid w:val="28DA7C9C"/>
    <w:rsid w:val="28E62B38"/>
    <w:rsid w:val="28EC71CA"/>
    <w:rsid w:val="28FB7A80"/>
    <w:rsid w:val="290B259E"/>
    <w:rsid w:val="291D0C4F"/>
    <w:rsid w:val="2924258A"/>
    <w:rsid w:val="29274E04"/>
    <w:rsid w:val="293F46A3"/>
    <w:rsid w:val="296714B7"/>
    <w:rsid w:val="296D1EE4"/>
    <w:rsid w:val="297939AC"/>
    <w:rsid w:val="29944EB8"/>
    <w:rsid w:val="299C4433"/>
    <w:rsid w:val="29DB4666"/>
    <w:rsid w:val="29E4351B"/>
    <w:rsid w:val="29E736D3"/>
    <w:rsid w:val="29EC0622"/>
    <w:rsid w:val="29FB1FE8"/>
    <w:rsid w:val="29FE68AE"/>
    <w:rsid w:val="2A031B89"/>
    <w:rsid w:val="2A070C32"/>
    <w:rsid w:val="2A0B0AA8"/>
    <w:rsid w:val="2A32072A"/>
    <w:rsid w:val="2A3C5105"/>
    <w:rsid w:val="2A491993"/>
    <w:rsid w:val="2A567D20"/>
    <w:rsid w:val="2A602177"/>
    <w:rsid w:val="2A6F4131"/>
    <w:rsid w:val="2A821832"/>
    <w:rsid w:val="2AA77572"/>
    <w:rsid w:val="2ABC3312"/>
    <w:rsid w:val="2AC50660"/>
    <w:rsid w:val="2ACE42A1"/>
    <w:rsid w:val="2AD156A5"/>
    <w:rsid w:val="2AD73080"/>
    <w:rsid w:val="2AE01F34"/>
    <w:rsid w:val="2AE44BDB"/>
    <w:rsid w:val="2AFA0B1C"/>
    <w:rsid w:val="2B037727"/>
    <w:rsid w:val="2B0379D1"/>
    <w:rsid w:val="2B1334DC"/>
    <w:rsid w:val="2B1505A0"/>
    <w:rsid w:val="2B165951"/>
    <w:rsid w:val="2B165956"/>
    <w:rsid w:val="2B214434"/>
    <w:rsid w:val="2B3559A3"/>
    <w:rsid w:val="2B3B716B"/>
    <w:rsid w:val="2B471B7C"/>
    <w:rsid w:val="2B4E474F"/>
    <w:rsid w:val="2B604E23"/>
    <w:rsid w:val="2B674404"/>
    <w:rsid w:val="2B6E1B3C"/>
    <w:rsid w:val="2B801021"/>
    <w:rsid w:val="2B91392E"/>
    <w:rsid w:val="2B9C153F"/>
    <w:rsid w:val="2BA56CDA"/>
    <w:rsid w:val="2BA9570A"/>
    <w:rsid w:val="2BB255CF"/>
    <w:rsid w:val="2BBE3714"/>
    <w:rsid w:val="2BC76C50"/>
    <w:rsid w:val="2BD24D2D"/>
    <w:rsid w:val="2BDE71AB"/>
    <w:rsid w:val="2BEE51CA"/>
    <w:rsid w:val="2BF8505C"/>
    <w:rsid w:val="2C3B319A"/>
    <w:rsid w:val="2C3C1A6A"/>
    <w:rsid w:val="2C540D91"/>
    <w:rsid w:val="2C6537E2"/>
    <w:rsid w:val="2C6C7279"/>
    <w:rsid w:val="2C857976"/>
    <w:rsid w:val="2C8965FC"/>
    <w:rsid w:val="2C903C46"/>
    <w:rsid w:val="2CA14AE9"/>
    <w:rsid w:val="2CAB6572"/>
    <w:rsid w:val="2CAC2D20"/>
    <w:rsid w:val="2CC10625"/>
    <w:rsid w:val="2CC47634"/>
    <w:rsid w:val="2CC55886"/>
    <w:rsid w:val="2CD326FB"/>
    <w:rsid w:val="2CD33D72"/>
    <w:rsid w:val="2CDD2170"/>
    <w:rsid w:val="2CE15DF9"/>
    <w:rsid w:val="2CEA7FC6"/>
    <w:rsid w:val="2CF220D0"/>
    <w:rsid w:val="2CFF066C"/>
    <w:rsid w:val="2D032370"/>
    <w:rsid w:val="2D056154"/>
    <w:rsid w:val="2D065688"/>
    <w:rsid w:val="2D094BEA"/>
    <w:rsid w:val="2D19172E"/>
    <w:rsid w:val="2D283624"/>
    <w:rsid w:val="2D2A52C6"/>
    <w:rsid w:val="2D4D7629"/>
    <w:rsid w:val="2D7050C6"/>
    <w:rsid w:val="2D742E08"/>
    <w:rsid w:val="2D8F1DD6"/>
    <w:rsid w:val="2D915A33"/>
    <w:rsid w:val="2D954534"/>
    <w:rsid w:val="2D9800A5"/>
    <w:rsid w:val="2DB15E0A"/>
    <w:rsid w:val="2DC3712A"/>
    <w:rsid w:val="2DE171DF"/>
    <w:rsid w:val="2DE376C1"/>
    <w:rsid w:val="2DEF1551"/>
    <w:rsid w:val="2E0200C9"/>
    <w:rsid w:val="2E3C6ABB"/>
    <w:rsid w:val="2E4345B4"/>
    <w:rsid w:val="2E532A1D"/>
    <w:rsid w:val="2E5A3DAC"/>
    <w:rsid w:val="2E5D53FD"/>
    <w:rsid w:val="2E61599C"/>
    <w:rsid w:val="2E6332CF"/>
    <w:rsid w:val="2EA63495"/>
    <w:rsid w:val="2EBA0298"/>
    <w:rsid w:val="2EBF09B3"/>
    <w:rsid w:val="2ED22F7C"/>
    <w:rsid w:val="2ED62DF9"/>
    <w:rsid w:val="2ED73784"/>
    <w:rsid w:val="2EDF3673"/>
    <w:rsid w:val="2EE213C2"/>
    <w:rsid w:val="2EFA558F"/>
    <w:rsid w:val="2EFC30B5"/>
    <w:rsid w:val="2F486989"/>
    <w:rsid w:val="2F653004"/>
    <w:rsid w:val="2F684953"/>
    <w:rsid w:val="2F8135BA"/>
    <w:rsid w:val="2F8D622E"/>
    <w:rsid w:val="2F9037FD"/>
    <w:rsid w:val="2F917CA1"/>
    <w:rsid w:val="2F982E42"/>
    <w:rsid w:val="2F9B0B20"/>
    <w:rsid w:val="2FC31E25"/>
    <w:rsid w:val="2FCB7EDC"/>
    <w:rsid w:val="2FD951A4"/>
    <w:rsid w:val="2FE60F0B"/>
    <w:rsid w:val="2FFE3400"/>
    <w:rsid w:val="30173341"/>
    <w:rsid w:val="301B0290"/>
    <w:rsid w:val="303C4D07"/>
    <w:rsid w:val="304459EB"/>
    <w:rsid w:val="30450A8C"/>
    <w:rsid w:val="304B5055"/>
    <w:rsid w:val="30647164"/>
    <w:rsid w:val="306C3ED5"/>
    <w:rsid w:val="306C6C6A"/>
    <w:rsid w:val="306D3F93"/>
    <w:rsid w:val="30711C4D"/>
    <w:rsid w:val="308A649E"/>
    <w:rsid w:val="308E5A68"/>
    <w:rsid w:val="30A2226B"/>
    <w:rsid w:val="30A532D8"/>
    <w:rsid w:val="30AC5ED6"/>
    <w:rsid w:val="30BB2AFC"/>
    <w:rsid w:val="30C22649"/>
    <w:rsid w:val="30CB71E3"/>
    <w:rsid w:val="30DC08E6"/>
    <w:rsid w:val="30E97669"/>
    <w:rsid w:val="312E022B"/>
    <w:rsid w:val="314221E6"/>
    <w:rsid w:val="314A45AB"/>
    <w:rsid w:val="314D7BF8"/>
    <w:rsid w:val="31534D0D"/>
    <w:rsid w:val="31701B38"/>
    <w:rsid w:val="317118EE"/>
    <w:rsid w:val="318555E4"/>
    <w:rsid w:val="318A3760"/>
    <w:rsid w:val="31C84C92"/>
    <w:rsid w:val="31D163B5"/>
    <w:rsid w:val="31D976DD"/>
    <w:rsid w:val="31DE4220"/>
    <w:rsid w:val="3201528F"/>
    <w:rsid w:val="322F3FB8"/>
    <w:rsid w:val="32391589"/>
    <w:rsid w:val="324C06E6"/>
    <w:rsid w:val="324C4353"/>
    <w:rsid w:val="32537654"/>
    <w:rsid w:val="327775A4"/>
    <w:rsid w:val="32794A1C"/>
    <w:rsid w:val="327B7589"/>
    <w:rsid w:val="32931F82"/>
    <w:rsid w:val="32B36180"/>
    <w:rsid w:val="32BB5035"/>
    <w:rsid w:val="32C203CA"/>
    <w:rsid w:val="32C43EEA"/>
    <w:rsid w:val="32CD6692"/>
    <w:rsid w:val="32D71710"/>
    <w:rsid w:val="32D94B0D"/>
    <w:rsid w:val="32E70612"/>
    <w:rsid w:val="32ED5A24"/>
    <w:rsid w:val="32F966F8"/>
    <w:rsid w:val="33010C9A"/>
    <w:rsid w:val="33171483"/>
    <w:rsid w:val="332C4891"/>
    <w:rsid w:val="332E38A7"/>
    <w:rsid w:val="332F3D9F"/>
    <w:rsid w:val="33380434"/>
    <w:rsid w:val="334703EE"/>
    <w:rsid w:val="335E1849"/>
    <w:rsid w:val="335F4F26"/>
    <w:rsid w:val="33613E2E"/>
    <w:rsid w:val="33625BED"/>
    <w:rsid w:val="337F6063"/>
    <w:rsid w:val="3380392C"/>
    <w:rsid w:val="3381627F"/>
    <w:rsid w:val="33900270"/>
    <w:rsid w:val="33A37FA3"/>
    <w:rsid w:val="33B73A4E"/>
    <w:rsid w:val="33B946F2"/>
    <w:rsid w:val="33B95A18"/>
    <w:rsid w:val="33D4718D"/>
    <w:rsid w:val="33E54418"/>
    <w:rsid w:val="33F07509"/>
    <w:rsid w:val="33F627C9"/>
    <w:rsid w:val="340C76DD"/>
    <w:rsid w:val="341A5E10"/>
    <w:rsid w:val="34272982"/>
    <w:rsid w:val="342804A8"/>
    <w:rsid w:val="343C7EFD"/>
    <w:rsid w:val="34472085"/>
    <w:rsid w:val="34572B3B"/>
    <w:rsid w:val="3474193F"/>
    <w:rsid w:val="347A4AA6"/>
    <w:rsid w:val="34806536"/>
    <w:rsid w:val="348F22D5"/>
    <w:rsid w:val="34AC732B"/>
    <w:rsid w:val="34BA5036"/>
    <w:rsid w:val="34BC5AFA"/>
    <w:rsid w:val="34D337DA"/>
    <w:rsid w:val="34D6600F"/>
    <w:rsid w:val="34EE34A0"/>
    <w:rsid w:val="34FA7F15"/>
    <w:rsid w:val="34FB24F0"/>
    <w:rsid w:val="3509652C"/>
    <w:rsid w:val="350D2D6B"/>
    <w:rsid w:val="352930DB"/>
    <w:rsid w:val="353B59DD"/>
    <w:rsid w:val="35534E88"/>
    <w:rsid w:val="355D3D83"/>
    <w:rsid w:val="35633752"/>
    <w:rsid w:val="3569521C"/>
    <w:rsid w:val="35823489"/>
    <w:rsid w:val="35897E8C"/>
    <w:rsid w:val="35926521"/>
    <w:rsid w:val="35953A4C"/>
    <w:rsid w:val="35A66D4C"/>
    <w:rsid w:val="35B5404A"/>
    <w:rsid w:val="35CA6E6E"/>
    <w:rsid w:val="35F950CF"/>
    <w:rsid w:val="35FA1CB2"/>
    <w:rsid w:val="36050AA1"/>
    <w:rsid w:val="361E1B63"/>
    <w:rsid w:val="361E6D32"/>
    <w:rsid w:val="362F5B1E"/>
    <w:rsid w:val="36301896"/>
    <w:rsid w:val="36320657"/>
    <w:rsid w:val="36321AB2"/>
    <w:rsid w:val="36673AC2"/>
    <w:rsid w:val="3683401A"/>
    <w:rsid w:val="369D7707"/>
    <w:rsid w:val="36AB2FBA"/>
    <w:rsid w:val="36C3270A"/>
    <w:rsid w:val="371448CE"/>
    <w:rsid w:val="371D2877"/>
    <w:rsid w:val="372A0A3B"/>
    <w:rsid w:val="372A4537"/>
    <w:rsid w:val="373C4996"/>
    <w:rsid w:val="374A1E98"/>
    <w:rsid w:val="37533C0B"/>
    <w:rsid w:val="375F68D7"/>
    <w:rsid w:val="37794D4F"/>
    <w:rsid w:val="37A02925"/>
    <w:rsid w:val="37A60062"/>
    <w:rsid w:val="37B3277F"/>
    <w:rsid w:val="37B34CA4"/>
    <w:rsid w:val="37BD7469"/>
    <w:rsid w:val="37D9327F"/>
    <w:rsid w:val="37E93A81"/>
    <w:rsid w:val="37F75EE1"/>
    <w:rsid w:val="38172D0E"/>
    <w:rsid w:val="38317A04"/>
    <w:rsid w:val="383438BF"/>
    <w:rsid w:val="38430BE0"/>
    <w:rsid w:val="384B5B0E"/>
    <w:rsid w:val="38591578"/>
    <w:rsid w:val="385B0E4C"/>
    <w:rsid w:val="385C66C2"/>
    <w:rsid w:val="38645F08"/>
    <w:rsid w:val="38697E97"/>
    <w:rsid w:val="386C12AB"/>
    <w:rsid w:val="386F66A6"/>
    <w:rsid w:val="387168C2"/>
    <w:rsid w:val="3888121E"/>
    <w:rsid w:val="389B1BDF"/>
    <w:rsid w:val="38A1659F"/>
    <w:rsid w:val="38AF2F46"/>
    <w:rsid w:val="38C95821"/>
    <w:rsid w:val="38D155B2"/>
    <w:rsid w:val="38F02478"/>
    <w:rsid w:val="390239BE"/>
    <w:rsid w:val="39180C1C"/>
    <w:rsid w:val="3929719C"/>
    <w:rsid w:val="392A1B36"/>
    <w:rsid w:val="392A34F7"/>
    <w:rsid w:val="392A4E38"/>
    <w:rsid w:val="393A6E69"/>
    <w:rsid w:val="393C6ED0"/>
    <w:rsid w:val="39675500"/>
    <w:rsid w:val="396B1563"/>
    <w:rsid w:val="39754190"/>
    <w:rsid w:val="39BF57BB"/>
    <w:rsid w:val="39CD2DB0"/>
    <w:rsid w:val="39D92970"/>
    <w:rsid w:val="39FE7012"/>
    <w:rsid w:val="3A0D5454"/>
    <w:rsid w:val="3A1172F4"/>
    <w:rsid w:val="3A23599A"/>
    <w:rsid w:val="3A255086"/>
    <w:rsid w:val="3A2E4C8D"/>
    <w:rsid w:val="3A35147E"/>
    <w:rsid w:val="3A446EBF"/>
    <w:rsid w:val="3A4B4EF0"/>
    <w:rsid w:val="3A514258"/>
    <w:rsid w:val="3A6802CC"/>
    <w:rsid w:val="3A684F47"/>
    <w:rsid w:val="3A6A4A9F"/>
    <w:rsid w:val="3A6F6E31"/>
    <w:rsid w:val="3A7D77A0"/>
    <w:rsid w:val="3A810023"/>
    <w:rsid w:val="3A860F49"/>
    <w:rsid w:val="3AA1177A"/>
    <w:rsid w:val="3AA16C0F"/>
    <w:rsid w:val="3ABC194A"/>
    <w:rsid w:val="3AF37A62"/>
    <w:rsid w:val="3AF61300"/>
    <w:rsid w:val="3AFB6916"/>
    <w:rsid w:val="3AFD73E8"/>
    <w:rsid w:val="3B2A0FAA"/>
    <w:rsid w:val="3B381919"/>
    <w:rsid w:val="3B5B1163"/>
    <w:rsid w:val="3B615DAA"/>
    <w:rsid w:val="3B944458"/>
    <w:rsid w:val="3B954675"/>
    <w:rsid w:val="3B9823B7"/>
    <w:rsid w:val="3BAF7463"/>
    <w:rsid w:val="3BB271C7"/>
    <w:rsid w:val="3BB557AB"/>
    <w:rsid w:val="3BBF5B96"/>
    <w:rsid w:val="3BC744EA"/>
    <w:rsid w:val="3BD60968"/>
    <w:rsid w:val="3BE625B7"/>
    <w:rsid w:val="3C4414D2"/>
    <w:rsid w:val="3C595B04"/>
    <w:rsid w:val="3C5C17D2"/>
    <w:rsid w:val="3C5F42F8"/>
    <w:rsid w:val="3C6C0F9B"/>
    <w:rsid w:val="3C7301F1"/>
    <w:rsid w:val="3C7356FA"/>
    <w:rsid w:val="3C83219C"/>
    <w:rsid w:val="3CA1704A"/>
    <w:rsid w:val="3CD4741F"/>
    <w:rsid w:val="3CD967E3"/>
    <w:rsid w:val="3CFB3A43"/>
    <w:rsid w:val="3CFB661F"/>
    <w:rsid w:val="3D0B626C"/>
    <w:rsid w:val="3D0F4D1C"/>
    <w:rsid w:val="3D487A50"/>
    <w:rsid w:val="3D4C5207"/>
    <w:rsid w:val="3D5139EC"/>
    <w:rsid w:val="3D7A6218"/>
    <w:rsid w:val="3D8552FA"/>
    <w:rsid w:val="3D8C367A"/>
    <w:rsid w:val="3DB039E8"/>
    <w:rsid w:val="3DBD7EB3"/>
    <w:rsid w:val="3DC254CA"/>
    <w:rsid w:val="3DCF2188"/>
    <w:rsid w:val="3DD1570D"/>
    <w:rsid w:val="3DDE7492"/>
    <w:rsid w:val="3DF2026B"/>
    <w:rsid w:val="3DF244A5"/>
    <w:rsid w:val="3DF80EEB"/>
    <w:rsid w:val="3DFA1107"/>
    <w:rsid w:val="3DFF04CC"/>
    <w:rsid w:val="3E1F291C"/>
    <w:rsid w:val="3E24689A"/>
    <w:rsid w:val="3E2E2B5F"/>
    <w:rsid w:val="3E326FCB"/>
    <w:rsid w:val="3E4B3711"/>
    <w:rsid w:val="3E557A55"/>
    <w:rsid w:val="3E59305F"/>
    <w:rsid w:val="3E5D2794"/>
    <w:rsid w:val="3E774506"/>
    <w:rsid w:val="3E8134BC"/>
    <w:rsid w:val="3E864749"/>
    <w:rsid w:val="3E8D1F7B"/>
    <w:rsid w:val="3E9073D3"/>
    <w:rsid w:val="3E9F6F58"/>
    <w:rsid w:val="3EAC582F"/>
    <w:rsid w:val="3EC80F65"/>
    <w:rsid w:val="3ECD4126"/>
    <w:rsid w:val="3ED35D96"/>
    <w:rsid w:val="3EE0310F"/>
    <w:rsid w:val="3F21764F"/>
    <w:rsid w:val="3F270382"/>
    <w:rsid w:val="3F4D34B9"/>
    <w:rsid w:val="3F5C61BC"/>
    <w:rsid w:val="3F821E5A"/>
    <w:rsid w:val="3F826617"/>
    <w:rsid w:val="3F882148"/>
    <w:rsid w:val="3F8E15BB"/>
    <w:rsid w:val="3FAD5B09"/>
    <w:rsid w:val="3FAF5707"/>
    <w:rsid w:val="3FD61700"/>
    <w:rsid w:val="3FD85683"/>
    <w:rsid w:val="3FFF6096"/>
    <w:rsid w:val="40044B90"/>
    <w:rsid w:val="40153FD6"/>
    <w:rsid w:val="402042D4"/>
    <w:rsid w:val="40273D0A"/>
    <w:rsid w:val="40300E10"/>
    <w:rsid w:val="40310071"/>
    <w:rsid w:val="4045485F"/>
    <w:rsid w:val="40984615"/>
    <w:rsid w:val="40A01D3A"/>
    <w:rsid w:val="40C652D1"/>
    <w:rsid w:val="40C92CD2"/>
    <w:rsid w:val="40EE1315"/>
    <w:rsid w:val="410B7187"/>
    <w:rsid w:val="411249BA"/>
    <w:rsid w:val="414172BF"/>
    <w:rsid w:val="414C7ECC"/>
    <w:rsid w:val="416A190F"/>
    <w:rsid w:val="416E7E42"/>
    <w:rsid w:val="418770B8"/>
    <w:rsid w:val="41B6712E"/>
    <w:rsid w:val="41BA6A45"/>
    <w:rsid w:val="41C85859"/>
    <w:rsid w:val="41CA339C"/>
    <w:rsid w:val="41D103D1"/>
    <w:rsid w:val="41D758D6"/>
    <w:rsid w:val="41DD28D2"/>
    <w:rsid w:val="41DF2F7B"/>
    <w:rsid w:val="41EC6AFF"/>
    <w:rsid w:val="41F63994"/>
    <w:rsid w:val="42277327"/>
    <w:rsid w:val="422F448D"/>
    <w:rsid w:val="42312C1E"/>
    <w:rsid w:val="42334BE8"/>
    <w:rsid w:val="42366258"/>
    <w:rsid w:val="42415557"/>
    <w:rsid w:val="424514EC"/>
    <w:rsid w:val="424C228D"/>
    <w:rsid w:val="424E40FE"/>
    <w:rsid w:val="42576B28"/>
    <w:rsid w:val="427E4A81"/>
    <w:rsid w:val="428652D7"/>
    <w:rsid w:val="428C524B"/>
    <w:rsid w:val="42927D62"/>
    <w:rsid w:val="429B3874"/>
    <w:rsid w:val="429F5DD9"/>
    <w:rsid w:val="42AD499A"/>
    <w:rsid w:val="42B61086"/>
    <w:rsid w:val="42BC2E2F"/>
    <w:rsid w:val="42C26869"/>
    <w:rsid w:val="42DD6902"/>
    <w:rsid w:val="42ED02B3"/>
    <w:rsid w:val="42F97BDF"/>
    <w:rsid w:val="42FE6FA4"/>
    <w:rsid w:val="43040332"/>
    <w:rsid w:val="430F518E"/>
    <w:rsid w:val="43144A19"/>
    <w:rsid w:val="43152860"/>
    <w:rsid w:val="431762B8"/>
    <w:rsid w:val="431A4176"/>
    <w:rsid w:val="431B17D2"/>
    <w:rsid w:val="434A043B"/>
    <w:rsid w:val="43560B8E"/>
    <w:rsid w:val="43607C5E"/>
    <w:rsid w:val="43772A58"/>
    <w:rsid w:val="438761B4"/>
    <w:rsid w:val="4389474A"/>
    <w:rsid w:val="43923B90"/>
    <w:rsid w:val="43A4707C"/>
    <w:rsid w:val="43D67B4D"/>
    <w:rsid w:val="43DF0926"/>
    <w:rsid w:val="43F15324"/>
    <w:rsid w:val="440B706C"/>
    <w:rsid w:val="440D6621"/>
    <w:rsid w:val="44110F59"/>
    <w:rsid w:val="441A605F"/>
    <w:rsid w:val="441D70DF"/>
    <w:rsid w:val="441E176A"/>
    <w:rsid w:val="44292D63"/>
    <w:rsid w:val="443B0E5E"/>
    <w:rsid w:val="4445330B"/>
    <w:rsid w:val="44484B78"/>
    <w:rsid w:val="445826E4"/>
    <w:rsid w:val="445C06B9"/>
    <w:rsid w:val="445F3A72"/>
    <w:rsid w:val="446077EA"/>
    <w:rsid w:val="44665E49"/>
    <w:rsid w:val="446C618F"/>
    <w:rsid w:val="448F024A"/>
    <w:rsid w:val="44960700"/>
    <w:rsid w:val="449D27EC"/>
    <w:rsid w:val="44B26298"/>
    <w:rsid w:val="44BE2E8F"/>
    <w:rsid w:val="44C86593"/>
    <w:rsid w:val="44D02189"/>
    <w:rsid w:val="44D73F50"/>
    <w:rsid w:val="44FC1D24"/>
    <w:rsid w:val="44FE1514"/>
    <w:rsid w:val="451008C2"/>
    <w:rsid w:val="451277B0"/>
    <w:rsid w:val="451505D5"/>
    <w:rsid w:val="45246F22"/>
    <w:rsid w:val="452470E5"/>
    <w:rsid w:val="45280308"/>
    <w:rsid w:val="45435142"/>
    <w:rsid w:val="45464C32"/>
    <w:rsid w:val="45492AC0"/>
    <w:rsid w:val="45513D03"/>
    <w:rsid w:val="45675331"/>
    <w:rsid w:val="458021A9"/>
    <w:rsid w:val="45834749"/>
    <w:rsid w:val="458D7ACD"/>
    <w:rsid w:val="45AB63C3"/>
    <w:rsid w:val="45D73ADC"/>
    <w:rsid w:val="45D93CF8"/>
    <w:rsid w:val="45F20395"/>
    <w:rsid w:val="45FE72BB"/>
    <w:rsid w:val="45FE7CC8"/>
    <w:rsid w:val="46053A9B"/>
    <w:rsid w:val="46121C64"/>
    <w:rsid w:val="46162856"/>
    <w:rsid w:val="46226EB0"/>
    <w:rsid w:val="464F3CA4"/>
    <w:rsid w:val="4658671E"/>
    <w:rsid w:val="465901DB"/>
    <w:rsid w:val="465C2A22"/>
    <w:rsid w:val="466E205D"/>
    <w:rsid w:val="467911B3"/>
    <w:rsid w:val="46812B8D"/>
    <w:rsid w:val="46832413"/>
    <w:rsid w:val="46885E2A"/>
    <w:rsid w:val="468B0932"/>
    <w:rsid w:val="469F2601"/>
    <w:rsid w:val="46A82FBF"/>
    <w:rsid w:val="46AB40C3"/>
    <w:rsid w:val="46BA58D8"/>
    <w:rsid w:val="46C439A8"/>
    <w:rsid w:val="46CC73B9"/>
    <w:rsid w:val="46CE7995"/>
    <w:rsid w:val="46D7323F"/>
    <w:rsid w:val="46E0501A"/>
    <w:rsid w:val="46FC1214"/>
    <w:rsid w:val="47021DBA"/>
    <w:rsid w:val="471F2FD5"/>
    <w:rsid w:val="475D3DAD"/>
    <w:rsid w:val="477535AD"/>
    <w:rsid w:val="479C5383"/>
    <w:rsid w:val="479F646B"/>
    <w:rsid w:val="47A56FB4"/>
    <w:rsid w:val="47AD7CF1"/>
    <w:rsid w:val="47D12ED9"/>
    <w:rsid w:val="47D67F88"/>
    <w:rsid w:val="4803505C"/>
    <w:rsid w:val="480831B5"/>
    <w:rsid w:val="480D66CD"/>
    <w:rsid w:val="480F105A"/>
    <w:rsid w:val="48194880"/>
    <w:rsid w:val="482849BA"/>
    <w:rsid w:val="483D056E"/>
    <w:rsid w:val="483F2BC9"/>
    <w:rsid w:val="485A1120"/>
    <w:rsid w:val="48761B9A"/>
    <w:rsid w:val="488C47BA"/>
    <w:rsid w:val="48A04659"/>
    <w:rsid w:val="48A7549C"/>
    <w:rsid w:val="48B545A9"/>
    <w:rsid w:val="48BA15B1"/>
    <w:rsid w:val="48BC5937"/>
    <w:rsid w:val="48D273AC"/>
    <w:rsid w:val="48D76D49"/>
    <w:rsid w:val="48E97759"/>
    <w:rsid w:val="48EC5AF0"/>
    <w:rsid w:val="491F1E48"/>
    <w:rsid w:val="49337978"/>
    <w:rsid w:val="494B0A69"/>
    <w:rsid w:val="495D26EB"/>
    <w:rsid w:val="49600707"/>
    <w:rsid w:val="49656EDC"/>
    <w:rsid w:val="49793828"/>
    <w:rsid w:val="4987138C"/>
    <w:rsid w:val="49883A6B"/>
    <w:rsid w:val="49B91793"/>
    <w:rsid w:val="49C37596"/>
    <w:rsid w:val="49CF169A"/>
    <w:rsid w:val="49D348F2"/>
    <w:rsid w:val="49E204D8"/>
    <w:rsid w:val="49FA66B9"/>
    <w:rsid w:val="4A0D3F70"/>
    <w:rsid w:val="4A103FF4"/>
    <w:rsid w:val="4A1277D9"/>
    <w:rsid w:val="4A541B9F"/>
    <w:rsid w:val="4A595408"/>
    <w:rsid w:val="4A5D0A54"/>
    <w:rsid w:val="4A666565"/>
    <w:rsid w:val="4A7B66E4"/>
    <w:rsid w:val="4A7D5113"/>
    <w:rsid w:val="4A7F4FCB"/>
    <w:rsid w:val="4A812A30"/>
    <w:rsid w:val="4A89523C"/>
    <w:rsid w:val="4A954692"/>
    <w:rsid w:val="4AB019AF"/>
    <w:rsid w:val="4AC54E91"/>
    <w:rsid w:val="4AD5154D"/>
    <w:rsid w:val="4AEA3364"/>
    <w:rsid w:val="4AF73617"/>
    <w:rsid w:val="4B101F6A"/>
    <w:rsid w:val="4B593BC4"/>
    <w:rsid w:val="4B6A463C"/>
    <w:rsid w:val="4B902FB1"/>
    <w:rsid w:val="4B9E0E3F"/>
    <w:rsid w:val="4BB63B5B"/>
    <w:rsid w:val="4BB9615E"/>
    <w:rsid w:val="4BCC283D"/>
    <w:rsid w:val="4BD35E6D"/>
    <w:rsid w:val="4BDC1E4C"/>
    <w:rsid w:val="4BE1231B"/>
    <w:rsid w:val="4BFF5353"/>
    <w:rsid w:val="4C130973"/>
    <w:rsid w:val="4C1F6EFC"/>
    <w:rsid w:val="4C2F265F"/>
    <w:rsid w:val="4C5B5DF1"/>
    <w:rsid w:val="4C6D6DCE"/>
    <w:rsid w:val="4C752052"/>
    <w:rsid w:val="4C7D3694"/>
    <w:rsid w:val="4C9E7102"/>
    <w:rsid w:val="4C9F27AB"/>
    <w:rsid w:val="4CBD4A44"/>
    <w:rsid w:val="4CD40D75"/>
    <w:rsid w:val="4CD96FF5"/>
    <w:rsid w:val="4CDE3815"/>
    <w:rsid w:val="4D0D2958"/>
    <w:rsid w:val="4D145493"/>
    <w:rsid w:val="4D2D4855"/>
    <w:rsid w:val="4D393332"/>
    <w:rsid w:val="4D3B01A7"/>
    <w:rsid w:val="4D4746C5"/>
    <w:rsid w:val="4D4D1254"/>
    <w:rsid w:val="4D502AF2"/>
    <w:rsid w:val="4D5A74CD"/>
    <w:rsid w:val="4D64659D"/>
    <w:rsid w:val="4D6759FB"/>
    <w:rsid w:val="4D6E3517"/>
    <w:rsid w:val="4DB639B0"/>
    <w:rsid w:val="4DB7491F"/>
    <w:rsid w:val="4DE70682"/>
    <w:rsid w:val="4DF53699"/>
    <w:rsid w:val="4DFD50C1"/>
    <w:rsid w:val="4E2B70BB"/>
    <w:rsid w:val="4E3F1F38"/>
    <w:rsid w:val="4E4645AE"/>
    <w:rsid w:val="4E496865"/>
    <w:rsid w:val="4E58321E"/>
    <w:rsid w:val="4E6B2193"/>
    <w:rsid w:val="4E824F2D"/>
    <w:rsid w:val="4E9B1B4B"/>
    <w:rsid w:val="4EB66985"/>
    <w:rsid w:val="4EB91CD7"/>
    <w:rsid w:val="4EDE7C89"/>
    <w:rsid w:val="4EE72FE2"/>
    <w:rsid w:val="4EFF135C"/>
    <w:rsid w:val="4F0E00E7"/>
    <w:rsid w:val="4F1E16AF"/>
    <w:rsid w:val="4F22412F"/>
    <w:rsid w:val="4F285863"/>
    <w:rsid w:val="4F2A1121"/>
    <w:rsid w:val="4F6264CF"/>
    <w:rsid w:val="4F6E6D3E"/>
    <w:rsid w:val="4F7F68E8"/>
    <w:rsid w:val="4F864B42"/>
    <w:rsid w:val="4F926200"/>
    <w:rsid w:val="4F9A0295"/>
    <w:rsid w:val="4FA1745C"/>
    <w:rsid w:val="4FBA4253"/>
    <w:rsid w:val="4FC55461"/>
    <w:rsid w:val="4FCE7CFE"/>
    <w:rsid w:val="4FDC12AC"/>
    <w:rsid w:val="4FE20FB2"/>
    <w:rsid w:val="501C4F0D"/>
    <w:rsid w:val="502B7CA9"/>
    <w:rsid w:val="5038679F"/>
    <w:rsid w:val="50463D38"/>
    <w:rsid w:val="5047222E"/>
    <w:rsid w:val="5057300E"/>
    <w:rsid w:val="5060129E"/>
    <w:rsid w:val="50670571"/>
    <w:rsid w:val="5099655E"/>
    <w:rsid w:val="50B45146"/>
    <w:rsid w:val="50B95E75"/>
    <w:rsid w:val="50C54952"/>
    <w:rsid w:val="50CA6916"/>
    <w:rsid w:val="50CD6207"/>
    <w:rsid w:val="51015649"/>
    <w:rsid w:val="51034416"/>
    <w:rsid w:val="512151F2"/>
    <w:rsid w:val="512656C9"/>
    <w:rsid w:val="5139389D"/>
    <w:rsid w:val="5139564B"/>
    <w:rsid w:val="5156444F"/>
    <w:rsid w:val="516B70CD"/>
    <w:rsid w:val="516C74EC"/>
    <w:rsid w:val="516E5337"/>
    <w:rsid w:val="51775721"/>
    <w:rsid w:val="517B5A9D"/>
    <w:rsid w:val="51801D58"/>
    <w:rsid w:val="51917235"/>
    <w:rsid w:val="519B4E54"/>
    <w:rsid w:val="51AC22C1"/>
    <w:rsid w:val="51B51175"/>
    <w:rsid w:val="51BF1FF4"/>
    <w:rsid w:val="51C740E1"/>
    <w:rsid w:val="51CD69E1"/>
    <w:rsid w:val="51E77F87"/>
    <w:rsid w:val="51EA372D"/>
    <w:rsid w:val="51EE696A"/>
    <w:rsid w:val="51F15F26"/>
    <w:rsid w:val="51F37EF0"/>
    <w:rsid w:val="51F87B88"/>
    <w:rsid w:val="51FF6894"/>
    <w:rsid w:val="520D0FB1"/>
    <w:rsid w:val="521142C4"/>
    <w:rsid w:val="5224097B"/>
    <w:rsid w:val="522508B8"/>
    <w:rsid w:val="52291B63"/>
    <w:rsid w:val="523E1BC7"/>
    <w:rsid w:val="523F6E00"/>
    <w:rsid w:val="524B22B7"/>
    <w:rsid w:val="52692D61"/>
    <w:rsid w:val="527728CF"/>
    <w:rsid w:val="528172AA"/>
    <w:rsid w:val="52B8492E"/>
    <w:rsid w:val="52CD201A"/>
    <w:rsid w:val="52DB316A"/>
    <w:rsid w:val="52DF5523"/>
    <w:rsid w:val="530C01BA"/>
    <w:rsid w:val="530F02BC"/>
    <w:rsid w:val="53130F14"/>
    <w:rsid w:val="531C6A38"/>
    <w:rsid w:val="53373E0C"/>
    <w:rsid w:val="534327B1"/>
    <w:rsid w:val="534972AB"/>
    <w:rsid w:val="536966BB"/>
    <w:rsid w:val="5373169B"/>
    <w:rsid w:val="53747D16"/>
    <w:rsid w:val="5378497F"/>
    <w:rsid w:val="53B536AF"/>
    <w:rsid w:val="53C6061F"/>
    <w:rsid w:val="53E544DB"/>
    <w:rsid w:val="53F046E7"/>
    <w:rsid w:val="53F1045F"/>
    <w:rsid w:val="53F341D7"/>
    <w:rsid w:val="53F561A1"/>
    <w:rsid w:val="53F82EC8"/>
    <w:rsid w:val="540B1521"/>
    <w:rsid w:val="5415227F"/>
    <w:rsid w:val="542258CB"/>
    <w:rsid w:val="542D741B"/>
    <w:rsid w:val="543211F5"/>
    <w:rsid w:val="543640C4"/>
    <w:rsid w:val="544B4013"/>
    <w:rsid w:val="5456472A"/>
    <w:rsid w:val="54667951"/>
    <w:rsid w:val="546D5D37"/>
    <w:rsid w:val="548C1FAB"/>
    <w:rsid w:val="549E4143"/>
    <w:rsid w:val="54B5148C"/>
    <w:rsid w:val="54B7109A"/>
    <w:rsid w:val="54E63064"/>
    <w:rsid w:val="54EC75A4"/>
    <w:rsid w:val="54F41028"/>
    <w:rsid w:val="54F75F49"/>
    <w:rsid w:val="54FE72D7"/>
    <w:rsid w:val="550F5D8E"/>
    <w:rsid w:val="552F326D"/>
    <w:rsid w:val="553D5D3A"/>
    <w:rsid w:val="554D7917"/>
    <w:rsid w:val="55654C60"/>
    <w:rsid w:val="55663533"/>
    <w:rsid w:val="556F6CD4"/>
    <w:rsid w:val="558B0806"/>
    <w:rsid w:val="55944949"/>
    <w:rsid w:val="559C154A"/>
    <w:rsid w:val="55A21094"/>
    <w:rsid w:val="55B24181"/>
    <w:rsid w:val="55B96238"/>
    <w:rsid w:val="560501F2"/>
    <w:rsid w:val="56202E38"/>
    <w:rsid w:val="564447FE"/>
    <w:rsid w:val="56466840"/>
    <w:rsid w:val="565467A5"/>
    <w:rsid w:val="56644224"/>
    <w:rsid w:val="5666680E"/>
    <w:rsid w:val="5669634B"/>
    <w:rsid w:val="56735DD8"/>
    <w:rsid w:val="567A473C"/>
    <w:rsid w:val="567F7FA4"/>
    <w:rsid w:val="5685797A"/>
    <w:rsid w:val="568C1A21"/>
    <w:rsid w:val="569F4D37"/>
    <w:rsid w:val="56AB2F3F"/>
    <w:rsid w:val="56B04601"/>
    <w:rsid w:val="56C42FEC"/>
    <w:rsid w:val="56EA73AE"/>
    <w:rsid w:val="56F0657B"/>
    <w:rsid w:val="56F20621"/>
    <w:rsid w:val="56F20776"/>
    <w:rsid w:val="56F37AB8"/>
    <w:rsid w:val="56FC15F5"/>
    <w:rsid w:val="57122BC6"/>
    <w:rsid w:val="572D6623"/>
    <w:rsid w:val="57364C46"/>
    <w:rsid w:val="57435475"/>
    <w:rsid w:val="575A47E7"/>
    <w:rsid w:val="575C02E5"/>
    <w:rsid w:val="577473DD"/>
    <w:rsid w:val="57911484"/>
    <w:rsid w:val="579D2DD8"/>
    <w:rsid w:val="57BE00CF"/>
    <w:rsid w:val="57C33EC0"/>
    <w:rsid w:val="57CF104F"/>
    <w:rsid w:val="57CF47C9"/>
    <w:rsid w:val="57D939CD"/>
    <w:rsid w:val="57FF0946"/>
    <w:rsid w:val="58075B26"/>
    <w:rsid w:val="580A355F"/>
    <w:rsid w:val="58127ED2"/>
    <w:rsid w:val="58172F6B"/>
    <w:rsid w:val="58281E5B"/>
    <w:rsid w:val="582C247D"/>
    <w:rsid w:val="583D29A8"/>
    <w:rsid w:val="58406187"/>
    <w:rsid w:val="58537A63"/>
    <w:rsid w:val="58643CC2"/>
    <w:rsid w:val="588075E9"/>
    <w:rsid w:val="588C2AEC"/>
    <w:rsid w:val="588F6791"/>
    <w:rsid w:val="58AB32D2"/>
    <w:rsid w:val="58CA7BFC"/>
    <w:rsid w:val="58D740C7"/>
    <w:rsid w:val="58E80082"/>
    <w:rsid w:val="58E83887"/>
    <w:rsid w:val="58F90DE0"/>
    <w:rsid w:val="59106321"/>
    <w:rsid w:val="59140C82"/>
    <w:rsid w:val="59202A8D"/>
    <w:rsid w:val="59372DB8"/>
    <w:rsid w:val="593B01E1"/>
    <w:rsid w:val="59493F76"/>
    <w:rsid w:val="59550FA6"/>
    <w:rsid w:val="595650B7"/>
    <w:rsid w:val="59576FB6"/>
    <w:rsid w:val="596005C1"/>
    <w:rsid w:val="59622FBF"/>
    <w:rsid w:val="59651728"/>
    <w:rsid w:val="5978642A"/>
    <w:rsid w:val="597F1341"/>
    <w:rsid w:val="599057E7"/>
    <w:rsid w:val="599F4CD5"/>
    <w:rsid w:val="59A27420"/>
    <w:rsid w:val="59AD1F85"/>
    <w:rsid w:val="59D654A8"/>
    <w:rsid w:val="59D80CBB"/>
    <w:rsid w:val="5A011459"/>
    <w:rsid w:val="5A013CE4"/>
    <w:rsid w:val="5A0141A4"/>
    <w:rsid w:val="5A053904"/>
    <w:rsid w:val="5A196B54"/>
    <w:rsid w:val="5A1E47AC"/>
    <w:rsid w:val="5A3D7F5A"/>
    <w:rsid w:val="5A447687"/>
    <w:rsid w:val="5A4C2893"/>
    <w:rsid w:val="5A603305"/>
    <w:rsid w:val="5A701838"/>
    <w:rsid w:val="5A8156DE"/>
    <w:rsid w:val="5ADF3707"/>
    <w:rsid w:val="5AE3249E"/>
    <w:rsid w:val="5AE56545"/>
    <w:rsid w:val="5AE76118"/>
    <w:rsid w:val="5AE92129"/>
    <w:rsid w:val="5AF102AB"/>
    <w:rsid w:val="5B093A9E"/>
    <w:rsid w:val="5B163201"/>
    <w:rsid w:val="5B1A473F"/>
    <w:rsid w:val="5B2E3D47"/>
    <w:rsid w:val="5B345801"/>
    <w:rsid w:val="5B37709F"/>
    <w:rsid w:val="5B4D4C9E"/>
    <w:rsid w:val="5B6149A2"/>
    <w:rsid w:val="5B636D7E"/>
    <w:rsid w:val="5B7A6DEA"/>
    <w:rsid w:val="5B7E6A7C"/>
    <w:rsid w:val="5BA20303"/>
    <w:rsid w:val="5BB26726"/>
    <w:rsid w:val="5BB926FC"/>
    <w:rsid w:val="5BF54320"/>
    <w:rsid w:val="5C1633F6"/>
    <w:rsid w:val="5C246971"/>
    <w:rsid w:val="5C4867F4"/>
    <w:rsid w:val="5C6737F1"/>
    <w:rsid w:val="5C6D163B"/>
    <w:rsid w:val="5C9C18B0"/>
    <w:rsid w:val="5C9E7970"/>
    <w:rsid w:val="5CBD1826"/>
    <w:rsid w:val="5CC37F37"/>
    <w:rsid w:val="5CE943C9"/>
    <w:rsid w:val="5CF96FBB"/>
    <w:rsid w:val="5CFD1C22"/>
    <w:rsid w:val="5D044DFB"/>
    <w:rsid w:val="5D2A3C5C"/>
    <w:rsid w:val="5D2E4206"/>
    <w:rsid w:val="5D447851"/>
    <w:rsid w:val="5D486FBE"/>
    <w:rsid w:val="5D5D40F9"/>
    <w:rsid w:val="5D8B5480"/>
    <w:rsid w:val="5DA21809"/>
    <w:rsid w:val="5DAB5B22"/>
    <w:rsid w:val="5DD0374A"/>
    <w:rsid w:val="5DD064FA"/>
    <w:rsid w:val="5DDA30BD"/>
    <w:rsid w:val="5DE33611"/>
    <w:rsid w:val="5DEA03F9"/>
    <w:rsid w:val="5DEB5F1F"/>
    <w:rsid w:val="5DEB608F"/>
    <w:rsid w:val="5E033269"/>
    <w:rsid w:val="5E1653BF"/>
    <w:rsid w:val="5E211941"/>
    <w:rsid w:val="5E2719AF"/>
    <w:rsid w:val="5E2C7B5F"/>
    <w:rsid w:val="5E324AF8"/>
    <w:rsid w:val="5E37388C"/>
    <w:rsid w:val="5E49652D"/>
    <w:rsid w:val="5E55621E"/>
    <w:rsid w:val="5E556A51"/>
    <w:rsid w:val="5E6C7060"/>
    <w:rsid w:val="5E983083"/>
    <w:rsid w:val="5EA7453C"/>
    <w:rsid w:val="5EAE0F71"/>
    <w:rsid w:val="5ED27BE1"/>
    <w:rsid w:val="5ED35BB4"/>
    <w:rsid w:val="5ED75612"/>
    <w:rsid w:val="5F1F1B33"/>
    <w:rsid w:val="5F1F40D2"/>
    <w:rsid w:val="5F2136D8"/>
    <w:rsid w:val="5F2D0AE0"/>
    <w:rsid w:val="5F432EF8"/>
    <w:rsid w:val="5F47659C"/>
    <w:rsid w:val="5F4C72CA"/>
    <w:rsid w:val="5F526256"/>
    <w:rsid w:val="5F555D46"/>
    <w:rsid w:val="5F610B8F"/>
    <w:rsid w:val="5F7E529D"/>
    <w:rsid w:val="5F887EC9"/>
    <w:rsid w:val="5FB40CBE"/>
    <w:rsid w:val="5FC2239B"/>
    <w:rsid w:val="5FCA04E2"/>
    <w:rsid w:val="5FCD244A"/>
    <w:rsid w:val="5FDF1F8A"/>
    <w:rsid w:val="5FE07D05"/>
    <w:rsid w:val="5FE356A8"/>
    <w:rsid w:val="5FF40024"/>
    <w:rsid w:val="602676E1"/>
    <w:rsid w:val="602E4F74"/>
    <w:rsid w:val="602F47E9"/>
    <w:rsid w:val="603418A5"/>
    <w:rsid w:val="60366D51"/>
    <w:rsid w:val="604D4C6F"/>
    <w:rsid w:val="606C131B"/>
    <w:rsid w:val="60936B26"/>
    <w:rsid w:val="60A457EB"/>
    <w:rsid w:val="60A74497"/>
    <w:rsid w:val="60A96349"/>
    <w:rsid w:val="60B61030"/>
    <w:rsid w:val="60BE1C9B"/>
    <w:rsid w:val="60C356C4"/>
    <w:rsid w:val="60E92BEA"/>
    <w:rsid w:val="60FF41BB"/>
    <w:rsid w:val="61020C7F"/>
    <w:rsid w:val="6110461A"/>
    <w:rsid w:val="612B3202"/>
    <w:rsid w:val="612C0D28"/>
    <w:rsid w:val="61406582"/>
    <w:rsid w:val="61483DB4"/>
    <w:rsid w:val="61543299"/>
    <w:rsid w:val="61592960"/>
    <w:rsid w:val="615A5A4D"/>
    <w:rsid w:val="61706E67"/>
    <w:rsid w:val="61AC41D6"/>
    <w:rsid w:val="61B50223"/>
    <w:rsid w:val="61D70DF9"/>
    <w:rsid w:val="61D77A00"/>
    <w:rsid w:val="61EE148D"/>
    <w:rsid w:val="621B3277"/>
    <w:rsid w:val="6228211F"/>
    <w:rsid w:val="6229771A"/>
    <w:rsid w:val="622C555D"/>
    <w:rsid w:val="623563AE"/>
    <w:rsid w:val="623B7475"/>
    <w:rsid w:val="62487DE4"/>
    <w:rsid w:val="626478C2"/>
    <w:rsid w:val="626529F4"/>
    <w:rsid w:val="626C4988"/>
    <w:rsid w:val="62854B94"/>
    <w:rsid w:val="629C7E91"/>
    <w:rsid w:val="62DA4EE0"/>
    <w:rsid w:val="62E224E8"/>
    <w:rsid w:val="62FE497B"/>
    <w:rsid w:val="62FF03D9"/>
    <w:rsid w:val="62FF64C2"/>
    <w:rsid w:val="630E4B89"/>
    <w:rsid w:val="6313016A"/>
    <w:rsid w:val="631A52DC"/>
    <w:rsid w:val="63352116"/>
    <w:rsid w:val="63377DE5"/>
    <w:rsid w:val="633C769A"/>
    <w:rsid w:val="63452A53"/>
    <w:rsid w:val="635B58F5"/>
    <w:rsid w:val="637531A0"/>
    <w:rsid w:val="63966FB4"/>
    <w:rsid w:val="63973036"/>
    <w:rsid w:val="639B6291"/>
    <w:rsid w:val="639C2D33"/>
    <w:rsid w:val="63A105E6"/>
    <w:rsid w:val="63AD6150"/>
    <w:rsid w:val="63C82F8A"/>
    <w:rsid w:val="63C96D02"/>
    <w:rsid w:val="63D36046"/>
    <w:rsid w:val="63D6255C"/>
    <w:rsid w:val="63D86F45"/>
    <w:rsid w:val="63E61F5F"/>
    <w:rsid w:val="63F00811"/>
    <w:rsid w:val="63F657AA"/>
    <w:rsid w:val="64124205"/>
    <w:rsid w:val="64144421"/>
    <w:rsid w:val="643A7DF2"/>
    <w:rsid w:val="644D7933"/>
    <w:rsid w:val="645152C2"/>
    <w:rsid w:val="64607667"/>
    <w:rsid w:val="64800394"/>
    <w:rsid w:val="648814BB"/>
    <w:rsid w:val="648F3AA8"/>
    <w:rsid w:val="64975171"/>
    <w:rsid w:val="64990483"/>
    <w:rsid w:val="64A15589"/>
    <w:rsid w:val="64AA0614"/>
    <w:rsid w:val="64AB4ABB"/>
    <w:rsid w:val="64BE5FF1"/>
    <w:rsid w:val="64C549E2"/>
    <w:rsid w:val="64D4770D"/>
    <w:rsid w:val="64E831B8"/>
    <w:rsid w:val="64EA2425"/>
    <w:rsid w:val="64F1206D"/>
    <w:rsid w:val="64F25DE5"/>
    <w:rsid w:val="65031DA0"/>
    <w:rsid w:val="65220A06"/>
    <w:rsid w:val="65384140"/>
    <w:rsid w:val="653A1C66"/>
    <w:rsid w:val="65426D6C"/>
    <w:rsid w:val="654B0EF9"/>
    <w:rsid w:val="65540C76"/>
    <w:rsid w:val="6558033E"/>
    <w:rsid w:val="655D3BA6"/>
    <w:rsid w:val="656E7B61"/>
    <w:rsid w:val="65707FBA"/>
    <w:rsid w:val="657753A5"/>
    <w:rsid w:val="657A5833"/>
    <w:rsid w:val="65812DF0"/>
    <w:rsid w:val="65842EE1"/>
    <w:rsid w:val="659B022A"/>
    <w:rsid w:val="65A767B0"/>
    <w:rsid w:val="65AE3104"/>
    <w:rsid w:val="65B838A4"/>
    <w:rsid w:val="65C94D98"/>
    <w:rsid w:val="65D025CA"/>
    <w:rsid w:val="66014531"/>
    <w:rsid w:val="6602534E"/>
    <w:rsid w:val="66065FEC"/>
    <w:rsid w:val="660A5F17"/>
    <w:rsid w:val="66332DC3"/>
    <w:rsid w:val="6639006E"/>
    <w:rsid w:val="663C7C5F"/>
    <w:rsid w:val="663F7785"/>
    <w:rsid w:val="664804B3"/>
    <w:rsid w:val="665E7BD6"/>
    <w:rsid w:val="66632EA0"/>
    <w:rsid w:val="66633E9A"/>
    <w:rsid w:val="66656C51"/>
    <w:rsid w:val="66664CDC"/>
    <w:rsid w:val="66682803"/>
    <w:rsid w:val="666B5E4F"/>
    <w:rsid w:val="668D3AA7"/>
    <w:rsid w:val="668D6304"/>
    <w:rsid w:val="669C6028"/>
    <w:rsid w:val="669F0689"/>
    <w:rsid w:val="66A87A0F"/>
    <w:rsid w:val="66B20509"/>
    <w:rsid w:val="66C50541"/>
    <w:rsid w:val="66C509D5"/>
    <w:rsid w:val="66DA2CB3"/>
    <w:rsid w:val="66DF3B52"/>
    <w:rsid w:val="66F40793"/>
    <w:rsid w:val="670E33AA"/>
    <w:rsid w:val="6717038D"/>
    <w:rsid w:val="671706D3"/>
    <w:rsid w:val="672F48CC"/>
    <w:rsid w:val="6730396A"/>
    <w:rsid w:val="67346B89"/>
    <w:rsid w:val="6751773B"/>
    <w:rsid w:val="677B5B6F"/>
    <w:rsid w:val="67801EB9"/>
    <w:rsid w:val="67A71109"/>
    <w:rsid w:val="67BD4548"/>
    <w:rsid w:val="67C76B2D"/>
    <w:rsid w:val="67CE0D8B"/>
    <w:rsid w:val="67E933F9"/>
    <w:rsid w:val="67EE2A60"/>
    <w:rsid w:val="68036CFD"/>
    <w:rsid w:val="681A38D9"/>
    <w:rsid w:val="68324E76"/>
    <w:rsid w:val="6839795B"/>
    <w:rsid w:val="683E5252"/>
    <w:rsid w:val="68456C28"/>
    <w:rsid w:val="684C67E9"/>
    <w:rsid w:val="685118DE"/>
    <w:rsid w:val="685E101E"/>
    <w:rsid w:val="688233FF"/>
    <w:rsid w:val="68883E6D"/>
    <w:rsid w:val="68AD6BF3"/>
    <w:rsid w:val="68D56A00"/>
    <w:rsid w:val="68DA1F54"/>
    <w:rsid w:val="68EB078F"/>
    <w:rsid w:val="69280C5E"/>
    <w:rsid w:val="693A3226"/>
    <w:rsid w:val="693B7D5A"/>
    <w:rsid w:val="693E4935"/>
    <w:rsid w:val="694D54E1"/>
    <w:rsid w:val="699944EC"/>
    <w:rsid w:val="69995724"/>
    <w:rsid w:val="69B47EE5"/>
    <w:rsid w:val="69C4686C"/>
    <w:rsid w:val="69DD3507"/>
    <w:rsid w:val="6A176F2F"/>
    <w:rsid w:val="6A23687A"/>
    <w:rsid w:val="6A240036"/>
    <w:rsid w:val="6A2E6FE7"/>
    <w:rsid w:val="6A372756"/>
    <w:rsid w:val="6A3B19C7"/>
    <w:rsid w:val="6A4B5F33"/>
    <w:rsid w:val="6A577BBA"/>
    <w:rsid w:val="6A590439"/>
    <w:rsid w:val="6A597D4C"/>
    <w:rsid w:val="6A680FC7"/>
    <w:rsid w:val="6A880A74"/>
    <w:rsid w:val="6A942216"/>
    <w:rsid w:val="6A9B0075"/>
    <w:rsid w:val="6AC51D73"/>
    <w:rsid w:val="6AC82C33"/>
    <w:rsid w:val="6AD67F71"/>
    <w:rsid w:val="6AE213F9"/>
    <w:rsid w:val="6AE85CC0"/>
    <w:rsid w:val="6AF7771D"/>
    <w:rsid w:val="6B036F9E"/>
    <w:rsid w:val="6B311795"/>
    <w:rsid w:val="6B4D0219"/>
    <w:rsid w:val="6BA17867"/>
    <w:rsid w:val="6BA8544F"/>
    <w:rsid w:val="6BB141CE"/>
    <w:rsid w:val="6BBA58AE"/>
    <w:rsid w:val="6BBE4C73"/>
    <w:rsid w:val="6BD45513"/>
    <w:rsid w:val="6BEF0C80"/>
    <w:rsid w:val="6BF41DBA"/>
    <w:rsid w:val="6C102618"/>
    <w:rsid w:val="6C1D408F"/>
    <w:rsid w:val="6C1F3963"/>
    <w:rsid w:val="6C1F5711"/>
    <w:rsid w:val="6C2A0D97"/>
    <w:rsid w:val="6C3664AD"/>
    <w:rsid w:val="6C3D203B"/>
    <w:rsid w:val="6C477211"/>
    <w:rsid w:val="6C62746F"/>
    <w:rsid w:val="6C7B0D4F"/>
    <w:rsid w:val="6C7C7008"/>
    <w:rsid w:val="6C7F575C"/>
    <w:rsid w:val="6CA36342"/>
    <w:rsid w:val="6CAB3449"/>
    <w:rsid w:val="6CAD0F6F"/>
    <w:rsid w:val="6CAE2F39"/>
    <w:rsid w:val="6CAF118B"/>
    <w:rsid w:val="6CB22A29"/>
    <w:rsid w:val="6CBA18DE"/>
    <w:rsid w:val="6CBD0545"/>
    <w:rsid w:val="6CC008AF"/>
    <w:rsid w:val="6CC30793"/>
    <w:rsid w:val="6CC37BAF"/>
    <w:rsid w:val="6CC73DF6"/>
    <w:rsid w:val="6CE13277"/>
    <w:rsid w:val="6CEA6058"/>
    <w:rsid w:val="6CF92FDB"/>
    <w:rsid w:val="6D0F2115"/>
    <w:rsid w:val="6D237483"/>
    <w:rsid w:val="6D3173EA"/>
    <w:rsid w:val="6D385E21"/>
    <w:rsid w:val="6D651B39"/>
    <w:rsid w:val="6D737889"/>
    <w:rsid w:val="6D787B59"/>
    <w:rsid w:val="6D7F4662"/>
    <w:rsid w:val="6D832E39"/>
    <w:rsid w:val="6D8A7542"/>
    <w:rsid w:val="6D916E4E"/>
    <w:rsid w:val="6DB3108B"/>
    <w:rsid w:val="6DBD5004"/>
    <w:rsid w:val="6DC63E68"/>
    <w:rsid w:val="6DCF4F15"/>
    <w:rsid w:val="6DD447A6"/>
    <w:rsid w:val="6DE9247B"/>
    <w:rsid w:val="6DEF4626"/>
    <w:rsid w:val="6E066FBB"/>
    <w:rsid w:val="6E0C7F17"/>
    <w:rsid w:val="6E1152C9"/>
    <w:rsid w:val="6E4A52DC"/>
    <w:rsid w:val="6E531FEA"/>
    <w:rsid w:val="6E5C6B75"/>
    <w:rsid w:val="6E6B3B26"/>
    <w:rsid w:val="6E6D037E"/>
    <w:rsid w:val="6E95214E"/>
    <w:rsid w:val="6E9B7282"/>
    <w:rsid w:val="6EA3225C"/>
    <w:rsid w:val="6EA84CF4"/>
    <w:rsid w:val="6EAC10F7"/>
    <w:rsid w:val="6EB135A6"/>
    <w:rsid w:val="6EE747F2"/>
    <w:rsid w:val="6F003A11"/>
    <w:rsid w:val="6F094457"/>
    <w:rsid w:val="6F0A08FB"/>
    <w:rsid w:val="6F153111"/>
    <w:rsid w:val="6F3B3D99"/>
    <w:rsid w:val="6F415A91"/>
    <w:rsid w:val="6F5479EB"/>
    <w:rsid w:val="6F5558BD"/>
    <w:rsid w:val="6F5C177F"/>
    <w:rsid w:val="6F5E47A3"/>
    <w:rsid w:val="6F6373A3"/>
    <w:rsid w:val="6F6B6EC0"/>
    <w:rsid w:val="6F866FBD"/>
    <w:rsid w:val="6F870169"/>
    <w:rsid w:val="6F8B1310"/>
    <w:rsid w:val="6F914B78"/>
    <w:rsid w:val="6F927913"/>
    <w:rsid w:val="6F9D176F"/>
    <w:rsid w:val="6F9E1043"/>
    <w:rsid w:val="6FA13625"/>
    <w:rsid w:val="6FA77FDB"/>
    <w:rsid w:val="6FBB1BF5"/>
    <w:rsid w:val="6FBB5193"/>
    <w:rsid w:val="6FDE7692"/>
    <w:rsid w:val="6FE3114C"/>
    <w:rsid w:val="6FE77690"/>
    <w:rsid w:val="6FE949B4"/>
    <w:rsid w:val="6FF6159B"/>
    <w:rsid w:val="6FF8081F"/>
    <w:rsid w:val="70032313"/>
    <w:rsid w:val="70057314"/>
    <w:rsid w:val="700A492A"/>
    <w:rsid w:val="701049D0"/>
    <w:rsid w:val="701653C9"/>
    <w:rsid w:val="70195AED"/>
    <w:rsid w:val="702F13E2"/>
    <w:rsid w:val="70335C2F"/>
    <w:rsid w:val="70384FF4"/>
    <w:rsid w:val="704C1556"/>
    <w:rsid w:val="705D5373"/>
    <w:rsid w:val="707D50FC"/>
    <w:rsid w:val="707E0FD5"/>
    <w:rsid w:val="70867402"/>
    <w:rsid w:val="70A408DB"/>
    <w:rsid w:val="70A95654"/>
    <w:rsid w:val="70C04599"/>
    <w:rsid w:val="70C312D3"/>
    <w:rsid w:val="70D43718"/>
    <w:rsid w:val="70F73101"/>
    <w:rsid w:val="7116172E"/>
    <w:rsid w:val="71241D10"/>
    <w:rsid w:val="712437CA"/>
    <w:rsid w:val="712D0854"/>
    <w:rsid w:val="713B389B"/>
    <w:rsid w:val="7142463B"/>
    <w:rsid w:val="71601B2E"/>
    <w:rsid w:val="71910D2E"/>
    <w:rsid w:val="71AC2056"/>
    <w:rsid w:val="71C1345D"/>
    <w:rsid w:val="71CB2462"/>
    <w:rsid w:val="71D445CE"/>
    <w:rsid w:val="71DA38CD"/>
    <w:rsid w:val="71E25B41"/>
    <w:rsid w:val="71F650B9"/>
    <w:rsid w:val="720F6001"/>
    <w:rsid w:val="72473CB6"/>
    <w:rsid w:val="72686E3D"/>
    <w:rsid w:val="727A26CE"/>
    <w:rsid w:val="72983176"/>
    <w:rsid w:val="72AB51FE"/>
    <w:rsid w:val="72BE2D27"/>
    <w:rsid w:val="72D92A8F"/>
    <w:rsid w:val="72DA2EC0"/>
    <w:rsid w:val="72E70F53"/>
    <w:rsid w:val="72F739A7"/>
    <w:rsid w:val="73016068"/>
    <w:rsid w:val="73320420"/>
    <w:rsid w:val="73504D4A"/>
    <w:rsid w:val="7363682B"/>
    <w:rsid w:val="73816CB2"/>
    <w:rsid w:val="73893830"/>
    <w:rsid w:val="738C238F"/>
    <w:rsid w:val="73A125FD"/>
    <w:rsid w:val="73A3604A"/>
    <w:rsid w:val="73C03C7E"/>
    <w:rsid w:val="73C81640"/>
    <w:rsid w:val="73CD6A9A"/>
    <w:rsid w:val="73DD6D17"/>
    <w:rsid w:val="73DF015D"/>
    <w:rsid w:val="73E2776E"/>
    <w:rsid w:val="73F52103"/>
    <w:rsid w:val="73FE0302"/>
    <w:rsid w:val="74022067"/>
    <w:rsid w:val="74097116"/>
    <w:rsid w:val="740A4EF9"/>
    <w:rsid w:val="740A7DB8"/>
    <w:rsid w:val="740E54D1"/>
    <w:rsid w:val="741B5358"/>
    <w:rsid w:val="742170E9"/>
    <w:rsid w:val="745B4F58"/>
    <w:rsid w:val="74681C20"/>
    <w:rsid w:val="74784559"/>
    <w:rsid w:val="747B5DF7"/>
    <w:rsid w:val="748527D2"/>
    <w:rsid w:val="74921493"/>
    <w:rsid w:val="749E5641"/>
    <w:rsid w:val="74A509B1"/>
    <w:rsid w:val="74B01B4A"/>
    <w:rsid w:val="74CA3328"/>
    <w:rsid w:val="74DF4B7F"/>
    <w:rsid w:val="74DF4EF4"/>
    <w:rsid w:val="74EC2851"/>
    <w:rsid w:val="74F62CED"/>
    <w:rsid w:val="74F83595"/>
    <w:rsid w:val="7510653F"/>
    <w:rsid w:val="75120509"/>
    <w:rsid w:val="75133BF1"/>
    <w:rsid w:val="7518727D"/>
    <w:rsid w:val="752173ED"/>
    <w:rsid w:val="752217A7"/>
    <w:rsid w:val="75355FA6"/>
    <w:rsid w:val="75370EA5"/>
    <w:rsid w:val="7538094B"/>
    <w:rsid w:val="754730F9"/>
    <w:rsid w:val="754937FF"/>
    <w:rsid w:val="75502B1F"/>
    <w:rsid w:val="75544BB9"/>
    <w:rsid w:val="75752A67"/>
    <w:rsid w:val="758962F1"/>
    <w:rsid w:val="75D35377"/>
    <w:rsid w:val="75F93477"/>
    <w:rsid w:val="76063D02"/>
    <w:rsid w:val="762D1373"/>
    <w:rsid w:val="7631116A"/>
    <w:rsid w:val="76312C11"/>
    <w:rsid w:val="76345B3A"/>
    <w:rsid w:val="764346F2"/>
    <w:rsid w:val="76454D95"/>
    <w:rsid w:val="76544B51"/>
    <w:rsid w:val="76606F29"/>
    <w:rsid w:val="76657AAF"/>
    <w:rsid w:val="767317AC"/>
    <w:rsid w:val="7686064F"/>
    <w:rsid w:val="769474D0"/>
    <w:rsid w:val="769E4F43"/>
    <w:rsid w:val="76B858B5"/>
    <w:rsid w:val="76BF021D"/>
    <w:rsid w:val="76DF0673"/>
    <w:rsid w:val="77176354"/>
    <w:rsid w:val="773310E1"/>
    <w:rsid w:val="773D3F97"/>
    <w:rsid w:val="774910E8"/>
    <w:rsid w:val="774950AA"/>
    <w:rsid w:val="774A0F8C"/>
    <w:rsid w:val="774A385E"/>
    <w:rsid w:val="77535F52"/>
    <w:rsid w:val="77951A25"/>
    <w:rsid w:val="77960CE5"/>
    <w:rsid w:val="77C95C94"/>
    <w:rsid w:val="77CB650B"/>
    <w:rsid w:val="77CC2A1C"/>
    <w:rsid w:val="77CE4490"/>
    <w:rsid w:val="77D82698"/>
    <w:rsid w:val="77DA1086"/>
    <w:rsid w:val="77E67A2B"/>
    <w:rsid w:val="78042DEB"/>
    <w:rsid w:val="78175E36"/>
    <w:rsid w:val="78261305"/>
    <w:rsid w:val="784974F5"/>
    <w:rsid w:val="784B19A6"/>
    <w:rsid w:val="78540E39"/>
    <w:rsid w:val="78681083"/>
    <w:rsid w:val="788B24B1"/>
    <w:rsid w:val="789079E5"/>
    <w:rsid w:val="7891016B"/>
    <w:rsid w:val="78A04C44"/>
    <w:rsid w:val="78C338C8"/>
    <w:rsid w:val="78E72828"/>
    <w:rsid w:val="78EA7B9F"/>
    <w:rsid w:val="78F30652"/>
    <w:rsid w:val="790E0E19"/>
    <w:rsid w:val="79224F56"/>
    <w:rsid w:val="79336CA0"/>
    <w:rsid w:val="793A7966"/>
    <w:rsid w:val="793B1C09"/>
    <w:rsid w:val="7947274B"/>
    <w:rsid w:val="79BA79F3"/>
    <w:rsid w:val="79BB215E"/>
    <w:rsid w:val="79D87646"/>
    <w:rsid w:val="79E82BC7"/>
    <w:rsid w:val="79F3642F"/>
    <w:rsid w:val="7A1067EC"/>
    <w:rsid w:val="7A192CE7"/>
    <w:rsid w:val="7A2E2EA3"/>
    <w:rsid w:val="7A3007C8"/>
    <w:rsid w:val="7A3231AD"/>
    <w:rsid w:val="7A3727C0"/>
    <w:rsid w:val="7A460C55"/>
    <w:rsid w:val="7A4A77F3"/>
    <w:rsid w:val="7A5A72EE"/>
    <w:rsid w:val="7A805F15"/>
    <w:rsid w:val="7A844288"/>
    <w:rsid w:val="7AA82540"/>
    <w:rsid w:val="7AB931D5"/>
    <w:rsid w:val="7AD63D87"/>
    <w:rsid w:val="7ADC02AF"/>
    <w:rsid w:val="7AE56AF0"/>
    <w:rsid w:val="7B0012E6"/>
    <w:rsid w:val="7B002DC3"/>
    <w:rsid w:val="7B080E99"/>
    <w:rsid w:val="7B0C23FF"/>
    <w:rsid w:val="7B110428"/>
    <w:rsid w:val="7B113011"/>
    <w:rsid w:val="7B205002"/>
    <w:rsid w:val="7B220D7A"/>
    <w:rsid w:val="7B2F5349"/>
    <w:rsid w:val="7B5666FB"/>
    <w:rsid w:val="7B5C232E"/>
    <w:rsid w:val="7B5E12BB"/>
    <w:rsid w:val="7B605171"/>
    <w:rsid w:val="7B637C47"/>
    <w:rsid w:val="7BA14395"/>
    <w:rsid w:val="7BA43E85"/>
    <w:rsid w:val="7BBF4208"/>
    <w:rsid w:val="7BC0312E"/>
    <w:rsid w:val="7BC62E25"/>
    <w:rsid w:val="7BD02203"/>
    <w:rsid w:val="7BD22006"/>
    <w:rsid w:val="7BE349AD"/>
    <w:rsid w:val="7BFC0690"/>
    <w:rsid w:val="7BFE17E7"/>
    <w:rsid w:val="7BFF4F7F"/>
    <w:rsid w:val="7C013085"/>
    <w:rsid w:val="7C0E2B1C"/>
    <w:rsid w:val="7C0E57A2"/>
    <w:rsid w:val="7C151079"/>
    <w:rsid w:val="7C2253BC"/>
    <w:rsid w:val="7C2E374F"/>
    <w:rsid w:val="7C4756C9"/>
    <w:rsid w:val="7C582C3F"/>
    <w:rsid w:val="7C593EE8"/>
    <w:rsid w:val="7C753C13"/>
    <w:rsid w:val="7C7A6994"/>
    <w:rsid w:val="7C855A65"/>
    <w:rsid w:val="7C9932BE"/>
    <w:rsid w:val="7C9B286D"/>
    <w:rsid w:val="7C9B7FF0"/>
    <w:rsid w:val="7CB53251"/>
    <w:rsid w:val="7CB62D19"/>
    <w:rsid w:val="7CD25682"/>
    <w:rsid w:val="7CD80937"/>
    <w:rsid w:val="7CD93821"/>
    <w:rsid w:val="7CD95805"/>
    <w:rsid w:val="7D13314E"/>
    <w:rsid w:val="7D230DDA"/>
    <w:rsid w:val="7D365DD8"/>
    <w:rsid w:val="7D3A23FC"/>
    <w:rsid w:val="7D625FC7"/>
    <w:rsid w:val="7D650CA3"/>
    <w:rsid w:val="7D6A0419"/>
    <w:rsid w:val="7D6B6B06"/>
    <w:rsid w:val="7D6B7727"/>
    <w:rsid w:val="7D7A5D33"/>
    <w:rsid w:val="7DB12889"/>
    <w:rsid w:val="7DB52379"/>
    <w:rsid w:val="7DBC3708"/>
    <w:rsid w:val="7DD018F6"/>
    <w:rsid w:val="7DD4016C"/>
    <w:rsid w:val="7DEC566F"/>
    <w:rsid w:val="7DEE5D3D"/>
    <w:rsid w:val="7E107758"/>
    <w:rsid w:val="7E167D92"/>
    <w:rsid w:val="7E1A50EB"/>
    <w:rsid w:val="7E1D2CB4"/>
    <w:rsid w:val="7E222BD7"/>
    <w:rsid w:val="7E24305B"/>
    <w:rsid w:val="7E290672"/>
    <w:rsid w:val="7E4266E2"/>
    <w:rsid w:val="7E576F8D"/>
    <w:rsid w:val="7E6C2A49"/>
    <w:rsid w:val="7E6D4A02"/>
    <w:rsid w:val="7E722A66"/>
    <w:rsid w:val="7E794FBB"/>
    <w:rsid w:val="7E806AA4"/>
    <w:rsid w:val="7E8F4979"/>
    <w:rsid w:val="7E9C305C"/>
    <w:rsid w:val="7EA06B86"/>
    <w:rsid w:val="7EA26042"/>
    <w:rsid w:val="7EAF6879"/>
    <w:rsid w:val="7EB45D48"/>
    <w:rsid w:val="7EC17031"/>
    <w:rsid w:val="7EEA7E01"/>
    <w:rsid w:val="7F0417A2"/>
    <w:rsid w:val="7F192494"/>
    <w:rsid w:val="7F360FA8"/>
    <w:rsid w:val="7F3D43D5"/>
    <w:rsid w:val="7F427C3D"/>
    <w:rsid w:val="7F517E80"/>
    <w:rsid w:val="7F673755"/>
    <w:rsid w:val="7F7211CD"/>
    <w:rsid w:val="7F8B3961"/>
    <w:rsid w:val="7F8F3102"/>
    <w:rsid w:val="7F9C0E05"/>
    <w:rsid w:val="7F9F140C"/>
    <w:rsid w:val="7FA53D28"/>
    <w:rsid w:val="7FA76140"/>
    <w:rsid w:val="7FC17096"/>
    <w:rsid w:val="7FE505C8"/>
    <w:rsid w:val="7FE82E11"/>
    <w:rsid w:val="7FF970F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1"/>
    <w:next w:val="1"/>
    <w:link w:val="54"/>
    <w:autoRedefine/>
    <w:qFormat/>
    <w:uiPriority w:val="0"/>
    <w:pPr>
      <w:keepNext/>
      <w:keepLines/>
      <w:spacing w:before="340" w:after="330" w:line="578" w:lineRule="auto"/>
      <w:outlineLvl w:val="0"/>
    </w:pPr>
    <w:rPr>
      <w:b/>
      <w:bCs/>
      <w:kern w:val="44"/>
      <w:sz w:val="44"/>
      <w:szCs w:val="44"/>
    </w:rPr>
  </w:style>
  <w:style w:type="paragraph" w:styleId="7">
    <w:name w:val="heading 2"/>
    <w:basedOn w:val="1"/>
    <w:next w:val="1"/>
    <w:autoRedefine/>
    <w:qFormat/>
    <w:uiPriority w:val="0"/>
    <w:pPr>
      <w:keepNext/>
      <w:keepLines/>
      <w:numPr>
        <w:ilvl w:val="1"/>
        <w:numId w:val="1"/>
      </w:numPr>
      <w:adjustRightInd w:val="0"/>
      <w:spacing w:line="360" w:lineRule="atLeast"/>
      <w:textAlignment w:val="baseline"/>
      <w:outlineLvl w:val="1"/>
    </w:pPr>
    <w:rPr>
      <w:kern w:val="0"/>
      <w:sz w:val="24"/>
      <w:szCs w:val="20"/>
    </w:rPr>
  </w:style>
  <w:style w:type="paragraph" w:styleId="8">
    <w:name w:val="heading 3"/>
    <w:basedOn w:val="1"/>
    <w:next w:val="1"/>
    <w:autoRedefine/>
    <w:qFormat/>
    <w:uiPriority w:val="0"/>
    <w:pPr>
      <w:keepNext/>
      <w:keepLines/>
      <w:spacing w:before="260" w:after="260" w:line="416" w:lineRule="atLeast"/>
      <w:jc w:val="both"/>
      <w:textAlignment w:val="baseline"/>
      <w:outlineLvl w:val="2"/>
    </w:pPr>
    <w:rPr>
      <w:b/>
      <w:bCs/>
      <w:color w:val="000000"/>
      <w:sz w:val="32"/>
      <w:szCs w:val="32"/>
      <w:u w:val="none" w:color="000000"/>
      <w:lang w:val="en-US" w:eastAsia="zh-CN" w:bidi="ar-SA"/>
    </w:rPr>
  </w:style>
  <w:style w:type="paragraph" w:styleId="9">
    <w:name w:val="heading 4"/>
    <w:basedOn w:val="1"/>
    <w:next w:val="1"/>
    <w:link w:val="55"/>
    <w:autoRedefine/>
    <w:qFormat/>
    <w:uiPriority w:val="0"/>
    <w:pPr>
      <w:keepNext/>
      <w:keepLines/>
      <w:widowControl/>
      <w:spacing w:before="280" w:after="290" w:line="376" w:lineRule="atLeast"/>
      <w:textAlignment w:val="baseline"/>
      <w:outlineLvl w:val="3"/>
    </w:pPr>
    <w:rPr>
      <w:rFonts w:ascii="Arial" w:hAnsi="Arial" w:eastAsia="黑体"/>
      <w:b/>
      <w:bCs/>
      <w:color w:val="000000"/>
      <w:kern w:val="0"/>
      <w:sz w:val="28"/>
      <w:szCs w:val="28"/>
      <w:u w:val="none" w:color="000000"/>
    </w:rPr>
  </w:style>
  <w:style w:type="paragraph" w:styleId="10">
    <w:name w:val="heading 5"/>
    <w:basedOn w:val="1"/>
    <w:next w:val="1"/>
    <w:link w:val="56"/>
    <w:autoRedefine/>
    <w:qFormat/>
    <w:uiPriority w:val="0"/>
    <w:pPr>
      <w:keepNext/>
      <w:keepLines/>
      <w:spacing w:before="280" w:after="290" w:line="376" w:lineRule="auto"/>
      <w:outlineLvl w:val="4"/>
    </w:pPr>
    <w:rPr>
      <w:b/>
      <w:bCs/>
      <w:sz w:val="28"/>
      <w:szCs w:val="28"/>
    </w:rPr>
  </w:style>
  <w:style w:type="paragraph" w:styleId="11">
    <w:name w:val="heading 6"/>
    <w:basedOn w:val="1"/>
    <w:next w:val="1"/>
    <w:link w:val="57"/>
    <w:autoRedefine/>
    <w:qFormat/>
    <w:uiPriority w:val="0"/>
    <w:pPr>
      <w:keepNext/>
      <w:keepLines/>
      <w:spacing w:before="240" w:after="64" w:line="320" w:lineRule="auto"/>
      <w:outlineLvl w:val="5"/>
    </w:pPr>
    <w:rPr>
      <w:rFonts w:ascii="Cambria" w:hAnsi="Cambria"/>
      <w:b/>
      <w:bCs/>
      <w:sz w:val="24"/>
    </w:rPr>
  </w:style>
  <w:style w:type="paragraph" w:styleId="12">
    <w:name w:val="heading 7"/>
    <w:basedOn w:val="1"/>
    <w:next w:val="1"/>
    <w:link w:val="58"/>
    <w:autoRedefine/>
    <w:qFormat/>
    <w:uiPriority w:val="0"/>
    <w:pPr>
      <w:keepNext/>
      <w:keepLines/>
      <w:spacing w:before="240" w:after="64" w:line="320" w:lineRule="auto"/>
      <w:outlineLvl w:val="6"/>
    </w:pPr>
    <w:rPr>
      <w:b/>
      <w:bCs/>
      <w:sz w:val="24"/>
    </w:rPr>
  </w:style>
  <w:style w:type="character" w:default="1" w:styleId="37">
    <w:name w:val="Default Paragraph Font"/>
    <w:autoRedefine/>
    <w:semiHidden/>
    <w:qFormat/>
    <w:uiPriority w:val="0"/>
  </w:style>
  <w:style w:type="table" w:default="1" w:styleId="35">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next w:val="1"/>
    <w:link w:val="53"/>
    <w:autoRedefine/>
    <w:qFormat/>
    <w:uiPriority w:val="0"/>
    <w:pPr>
      <w:ind w:left="420" w:firstLine="420" w:firstLineChars="200"/>
    </w:pPr>
  </w:style>
  <w:style w:type="paragraph" w:styleId="3">
    <w:name w:val="Body Text Indent"/>
    <w:basedOn w:val="1"/>
    <w:next w:val="4"/>
    <w:link w:val="52"/>
    <w:autoRedefine/>
    <w:qFormat/>
    <w:uiPriority w:val="0"/>
    <w:pPr>
      <w:spacing w:after="120"/>
      <w:ind w:left="200" w:leftChars="200"/>
    </w:pPr>
  </w:style>
  <w:style w:type="paragraph" w:styleId="4">
    <w:name w:val="envelope return"/>
    <w:basedOn w:val="1"/>
    <w:next w:val="5"/>
    <w:autoRedefine/>
    <w:qFormat/>
    <w:uiPriority w:val="0"/>
    <w:pPr>
      <w:snapToGrid w:val="0"/>
    </w:pPr>
    <w:rPr>
      <w:rFonts w:ascii="Arial" w:hAnsi="Arial"/>
    </w:rPr>
  </w:style>
  <w:style w:type="paragraph" w:styleId="5">
    <w:name w:val="Title"/>
    <w:basedOn w:val="1"/>
    <w:next w:val="1"/>
    <w:autoRedefine/>
    <w:qFormat/>
    <w:uiPriority w:val="0"/>
    <w:pPr>
      <w:numPr>
        <w:ilvl w:val="0"/>
        <w:numId w:val="2"/>
      </w:numPr>
      <w:spacing w:line="360" w:lineRule="auto"/>
      <w:jc w:val="left"/>
      <w:outlineLvl w:val="0"/>
    </w:pPr>
    <w:rPr>
      <w:rFonts w:ascii="Cambria" w:hAnsi="Cambria" w:cs="Times New Roman"/>
      <w:b/>
      <w:bCs/>
      <w:sz w:val="28"/>
      <w:szCs w:val="32"/>
    </w:rPr>
  </w:style>
  <w:style w:type="paragraph" w:styleId="13">
    <w:name w:val="toc 7"/>
    <w:basedOn w:val="1"/>
    <w:next w:val="1"/>
    <w:autoRedefine/>
    <w:qFormat/>
    <w:uiPriority w:val="39"/>
    <w:pPr>
      <w:ind w:left="1260"/>
      <w:jc w:val="left"/>
    </w:pPr>
    <w:rPr>
      <w:sz w:val="18"/>
      <w:szCs w:val="18"/>
    </w:rPr>
  </w:style>
  <w:style w:type="paragraph" w:styleId="14">
    <w:name w:val="List Number 2"/>
    <w:basedOn w:val="1"/>
    <w:autoRedefine/>
    <w:qFormat/>
    <w:uiPriority w:val="0"/>
    <w:pPr>
      <w:numPr>
        <w:ilvl w:val="0"/>
        <w:numId w:val="3"/>
      </w:numPr>
      <w:tabs>
        <w:tab w:val="left" w:pos="567"/>
      </w:tabs>
      <w:adjustRightInd w:val="0"/>
      <w:spacing w:line="300" w:lineRule="auto"/>
      <w:textAlignment w:val="baseline"/>
    </w:pPr>
    <w:rPr>
      <w:kern w:val="0"/>
      <w:sz w:val="28"/>
      <w:szCs w:val="20"/>
    </w:rPr>
  </w:style>
  <w:style w:type="paragraph" w:styleId="15">
    <w:name w:val="Normal Indent"/>
    <w:basedOn w:val="1"/>
    <w:autoRedefine/>
    <w:qFormat/>
    <w:uiPriority w:val="0"/>
    <w:pPr>
      <w:adjustRightInd w:val="0"/>
      <w:spacing w:line="360" w:lineRule="atLeast"/>
      <w:ind w:firstLine="482"/>
      <w:textAlignment w:val="baseline"/>
    </w:pPr>
    <w:rPr>
      <w:kern w:val="0"/>
      <w:sz w:val="24"/>
      <w:szCs w:val="20"/>
    </w:rPr>
  </w:style>
  <w:style w:type="paragraph" w:styleId="16">
    <w:name w:val="annotation text"/>
    <w:basedOn w:val="1"/>
    <w:link w:val="59"/>
    <w:autoRedefine/>
    <w:qFormat/>
    <w:uiPriority w:val="0"/>
    <w:pPr>
      <w:jc w:val="left"/>
    </w:pPr>
  </w:style>
  <w:style w:type="paragraph" w:styleId="17">
    <w:name w:val="Body Text"/>
    <w:basedOn w:val="1"/>
    <w:autoRedefine/>
    <w:semiHidden/>
    <w:qFormat/>
    <w:uiPriority w:val="0"/>
    <w:pPr>
      <w:spacing w:after="120"/>
    </w:pPr>
  </w:style>
  <w:style w:type="paragraph" w:styleId="18">
    <w:name w:val="toc 3"/>
    <w:basedOn w:val="1"/>
    <w:next w:val="1"/>
    <w:autoRedefine/>
    <w:qFormat/>
    <w:uiPriority w:val="39"/>
    <w:pPr>
      <w:tabs>
        <w:tab w:val="right" w:leader="dot" w:pos="9288"/>
      </w:tabs>
      <w:ind w:left="400" w:leftChars="400"/>
    </w:pPr>
    <w:rPr>
      <w:rFonts w:ascii="宋体"/>
    </w:rPr>
  </w:style>
  <w:style w:type="paragraph" w:styleId="19">
    <w:name w:val="Plain Text"/>
    <w:basedOn w:val="1"/>
    <w:next w:val="1"/>
    <w:link w:val="60"/>
    <w:autoRedefine/>
    <w:qFormat/>
    <w:uiPriority w:val="99"/>
    <w:rPr>
      <w:rFonts w:ascii="宋体"/>
      <w:color w:val="000000"/>
      <w:szCs w:val="20"/>
      <w:u w:val="none" w:color="000000"/>
    </w:rPr>
  </w:style>
  <w:style w:type="paragraph" w:styleId="20">
    <w:name w:val="Date"/>
    <w:basedOn w:val="1"/>
    <w:next w:val="1"/>
    <w:link w:val="61"/>
    <w:autoRedefine/>
    <w:qFormat/>
    <w:uiPriority w:val="0"/>
    <w:rPr>
      <w:rFonts w:ascii="Arial" w:hAnsi="Arial" w:eastAsia="仿宋_GB2312"/>
      <w:color w:val="000000"/>
      <w:sz w:val="32"/>
      <w:szCs w:val="20"/>
      <w:u w:val="none" w:color="000000"/>
    </w:rPr>
  </w:style>
  <w:style w:type="paragraph" w:styleId="21">
    <w:name w:val="Body Text Indent 2"/>
    <w:basedOn w:val="1"/>
    <w:link w:val="62"/>
    <w:autoRedefine/>
    <w:qFormat/>
    <w:uiPriority w:val="0"/>
    <w:pPr>
      <w:spacing w:after="120" w:line="480" w:lineRule="auto"/>
      <w:ind w:left="420" w:leftChars="200"/>
    </w:pPr>
  </w:style>
  <w:style w:type="paragraph" w:styleId="22">
    <w:name w:val="endnote text"/>
    <w:basedOn w:val="1"/>
    <w:autoRedefine/>
    <w:qFormat/>
    <w:uiPriority w:val="99"/>
    <w:pPr>
      <w:snapToGrid w:val="0"/>
    </w:pPr>
    <w:rPr>
      <w:rFonts w:ascii="仿宋" w:hAnsi="仿宋"/>
    </w:rPr>
  </w:style>
  <w:style w:type="paragraph" w:styleId="23">
    <w:name w:val="Balloon Text"/>
    <w:basedOn w:val="1"/>
    <w:link w:val="63"/>
    <w:autoRedefine/>
    <w:qFormat/>
    <w:uiPriority w:val="0"/>
    <w:rPr>
      <w:sz w:val="18"/>
      <w:szCs w:val="18"/>
    </w:rPr>
  </w:style>
  <w:style w:type="paragraph" w:styleId="24">
    <w:name w:val="footer"/>
    <w:basedOn w:val="1"/>
    <w:link w:val="64"/>
    <w:autoRedefine/>
    <w:qFormat/>
    <w:uiPriority w:val="0"/>
    <w:pPr>
      <w:tabs>
        <w:tab w:val="center" w:pos="4153"/>
        <w:tab w:val="right" w:pos="8306"/>
      </w:tabs>
      <w:snapToGrid w:val="0"/>
      <w:jc w:val="left"/>
    </w:pPr>
    <w:rPr>
      <w:sz w:val="18"/>
      <w:szCs w:val="18"/>
    </w:rPr>
  </w:style>
  <w:style w:type="paragraph" w:styleId="25">
    <w:name w:val="header"/>
    <w:basedOn w:val="1"/>
    <w:link w:val="65"/>
    <w:autoRedefine/>
    <w:qFormat/>
    <w:uiPriority w:val="0"/>
    <w:pPr>
      <w:pBdr>
        <w:bottom w:val="single" w:color="auto" w:sz="6" w:space="1"/>
      </w:pBdr>
      <w:tabs>
        <w:tab w:val="center" w:pos="4153"/>
        <w:tab w:val="right" w:pos="8306"/>
      </w:tabs>
      <w:snapToGrid w:val="0"/>
      <w:jc w:val="center"/>
    </w:pPr>
    <w:rPr>
      <w:sz w:val="18"/>
      <w:szCs w:val="18"/>
    </w:rPr>
  </w:style>
  <w:style w:type="paragraph" w:styleId="26">
    <w:name w:val="toc 1"/>
    <w:basedOn w:val="1"/>
    <w:next w:val="1"/>
    <w:autoRedefine/>
    <w:qFormat/>
    <w:uiPriority w:val="39"/>
  </w:style>
  <w:style w:type="paragraph" w:styleId="27">
    <w:name w:val="Subtitle"/>
    <w:basedOn w:val="1"/>
    <w:next w:val="1"/>
    <w:autoRedefine/>
    <w:qFormat/>
    <w:uiPriority w:val="0"/>
    <w:pPr>
      <w:numPr>
        <w:ilvl w:val="0"/>
        <w:numId w:val="4"/>
      </w:numPr>
      <w:spacing w:line="360" w:lineRule="auto"/>
      <w:jc w:val="left"/>
      <w:outlineLvl w:val="1"/>
    </w:pPr>
    <w:rPr>
      <w:rFonts w:ascii="Calibri Light" w:hAnsi="Calibri Light" w:cs="Times New Roman"/>
      <w:bCs/>
      <w:kern w:val="28"/>
      <w:szCs w:val="32"/>
    </w:rPr>
  </w:style>
  <w:style w:type="paragraph" w:styleId="28">
    <w:name w:val="List"/>
    <w:basedOn w:val="1"/>
    <w:autoRedefine/>
    <w:qFormat/>
    <w:uiPriority w:val="0"/>
    <w:pPr>
      <w:widowControl w:val="0"/>
      <w:spacing w:line="240" w:lineRule="auto"/>
      <w:ind w:left="420" w:hanging="420"/>
      <w:textAlignment w:val="auto"/>
    </w:pPr>
    <w:rPr>
      <w:rFonts w:ascii="Arial" w:hAnsi="Arial" w:eastAsia="楷体_GB2312"/>
      <w:color w:val="auto"/>
      <w:kern w:val="2"/>
      <w:sz w:val="28"/>
      <w:u w:val="none" w:color="auto"/>
    </w:rPr>
  </w:style>
  <w:style w:type="paragraph" w:styleId="29">
    <w:name w:val="toc 2"/>
    <w:basedOn w:val="1"/>
    <w:next w:val="1"/>
    <w:autoRedefine/>
    <w:qFormat/>
    <w:uiPriority w:val="39"/>
    <w:pPr>
      <w:ind w:left="200" w:leftChars="200"/>
    </w:pPr>
  </w:style>
  <w:style w:type="paragraph" w:styleId="30">
    <w:name w:val="Body Text 2"/>
    <w:basedOn w:val="1"/>
    <w:qFormat/>
    <w:uiPriority w:val="0"/>
    <w:pPr>
      <w:spacing w:after="120" w:line="480" w:lineRule="auto"/>
    </w:pPr>
  </w:style>
  <w:style w:type="paragraph" w:styleId="31">
    <w:name w:val="Normal (Web)"/>
    <w:basedOn w:val="1"/>
    <w:next w:val="32"/>
    <w:autoRedefine/>
    <w:qFormat/>
    <w:uiPriority w:val="0"/>
    <w:pPr>
      <w:widowControl/>
      <w:spacing w:before="100" w:beforeAutospacing="1" w:after="100" w:afterAutospacing="1"/>
      <w:jc w:val="left"/>
    </w:pPr>
    <w:rPr>
      <w:rFonts w:ascii="宋体" w:hAnsi="宋体" w:cs="宋体"/>
      <w:kern w:val="0"/>
      <w:sz w:val="24"/>
    </w:rPr>
  </w:style>
  <w:style w:type="paragraph" w:customStyle="1" w:styleId="32">
    <w:name w:val="正文文字 8"/>
    <w:basedOn w:val="1"/>
    <w:next w:val="1"/>
    <w:autoRedefine/>
    <w:qFormat/>
    <w:uiPriority w:val="0"/>
    <w:pPr>
      <w:ind w:left="240"/>
    </w:pPr>
    <w:rPr>
      <w:sz w:val="16"/>
    </w:rPr>
  </w:style>
  <w:style w:type="paragraph" w:styleId="33">
    <w:name w:val="index 1"/>
    <w:basedOn w:val="1"/>
    <w:next w:val="1"/>
    <w:autoRedefine/>
    <w:qFormat/>
    <w:uiPriority w:val="0"/>
    <w:pPr>
      <w:jc w:val="center"/>
    </w:pPr>
    <w:rPr>
      <w:rFonts w:ascii="Arial" w:hAnsi="Arial" w:eastAsia="Arial" w:cs="Arial"/>
      <w:b/>
      <w:bCs/>
      <w:sz w:val="28"/>
    </w:rPr>
  </w:style>
  <w:style w:type="paragraph" w:styleId="34">
    <w:name w:val="annotation subject"/>
    <w:basedOn w:val="16"/>
    <w:next w:val="16"/>
    <w:link w:val="66"/>
    <w:autoRedefine/>
    <w:qFormat/>
    <w:uiPriority w:val="0"/>
    <w:rPr>
      <w:b/>
      <w:bCs/>
    </w:rPr>
  </w:style>
  <w:style w:type="table" w:styleId="36">
    <w:name w:val="Table Grid"/>
    <w:basedOn w:val="3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autoRedefine/>
    <w:qFormat/>
    <w:uiPriority w:val="0"/>
    <w:rPr>
      <w:b/>
    </w:rPr>
  </w:style>
  <w:style w:type="character" w:styleId="39">
    <w:name w:val="page number"/>
    <w:autoRedefine/>
    <w:qFormat/>
    <w:uiPriority w:val="0"/>
  </w:style>
  <w:style w:type="character" w:styleId="40">
    <w:name w:val="FollowedHyperlink"/>
    <w:autoRedefine/>
    <w:qFormat/>
    <w:uiPriority w:val="0"/>
    <w:rPr>
      <w:color w:val="333333"/>
      <w:u w:val="none"/>
    </w:rPr>
  </w:style>
  <w:style w:type="character" w:styleId="41">
    <w:name w:val="Emphasis"/>
    <w:autoRedefine/>
    <w:qFormat/>
    <w:uiPriority w:val="20"/>
    <w:rPr>
      <w:i/>
      <w:iCs/>
    </w:rPr>
  </w:style>
  <w:style w:type="character" w:styleId="42">
    <w:name w:val="HTML Definition"/>
    <w:autoRedefine/>
    <w:qFormat/>
    <w:uiPriority w:val="0"/>
  </w:style>
  <w:style w:type="character" w:styleId="43">
    <w:name w:val="HTML Typewriter"/>
    <w:autoRedefine/>
    <w:qFormat/>
    <w:uiPriority w:val="0"/>
    <w:rPr>
      <w:rFonts w:ascii="monospace" w:hAnsi="monospace" w:eastAsia="monospace" w:cs="monospace"/>
      <w:sz w:val="20"/>
    </w:rPr>
  </w:style>
  <w:style w:type="character" w:styleId="44">
    <w:name w:val="HTML Acronym"/>
    <w:basedOn w:val="37"/>
    <w:autoRedefine/>
    <w:qFormat/>
    <w:uiPriority w:val="0"/>
  </w:style>
  <w:style w:type="character" w:styleId="45">
    <w:name w:val="HTML Variable"/>
    <w:autoRedefine/>
    <w:qFormat/>
    <w:uiPriority w:val="0"/>
  </w:style>
  <w:style w:type="character" w:styleId="46">
    <w:name w:val="Hyperlink"/>
    <w:basedOn w:val="37"/>
    <w:autoRedefine/>
    <w:qFormat/>
    <w:uiPriority w:val="99"/>
    <w:rPr>
      <w:color w:val="333333"/>
      <w:u w:val="none"/>
    </w:rPr>
  </w:style>
  <w:style w:type="character" w:styleId="47">
    <w:name w:val="HTML Code"/>
    <w:autoRedefine/>
    <w:qFormat/>
    <w:uiPriority w:val="0"/>
    <w:rPr>
      <w:rFonts w:hint="default" w:ascii="monospace" w:hAnsi="monospace" w:eastAsia="monospace" w:cs="monospace"/>
      <w:sz w:val="20"/>
    </w:rPr>
  </w:style>
  <w:style w:type="character" w:styleId="48">
    <w:name w:val="annotation reference"/>
    <w:autoRedefine/>
    <w:qFormat/>
    <w:uiPriority w:val="0"/>
    <w:rPr>
      <w:sz w:val="21"/>
      <w:szCs w:val="21"/>
    </w:rPr>
  </w:style>
  <w:style w:type="character" w:styleId="49">
    <w:name w:val="HTML Cite"/>
    <w:autoRedefine/>
    <w:qFormat/>
    <w:uiPriority w:val="0"/>
  </w:style>
  <w:style w:type="character" w:styleId="50">
    <w:name w:val="HTML Keyboard"/>
    <w:autoRedefine/>
    <w:qFormat/>
    <w:uiPriority w:val="0"/>
    <w:rPr>
      <w:rFonts w:hint="default" w:ascii="monospace" w:hAnsi="monospace" w:eastAsia="monospace" w:cs="monospace"/>
      <w:sz w:val="20"/>
    </w:rPr>
  </w:style>
  <w:style w:type="character" w:styleId="51">
    <w:name w:val="HTML Sample"/>
    <w:autoRedefine/>
    <w:qFormat/>
    <w:uiPriority w:val="0"/>
    <w:rPr>
      <w:rFonts w:hint="default" w:ascii="monospace" w:hAnsi="monospace" w:eastAsia="monospace" w:cs="monospace"/>
    </w:rPr>
  </w:style>
  <w:style w:type="character" w:customStyle="1" w:styleId="52">
    <w:name w:val="正文文本缩进 字符"/>
    <w:link w:val="3"/>
    <w:autoRedefine/>
    <w:qFormat/>
    <w:uiPriority w:val="0"/>
    <w:rPr>
      <w:kern w:val="2"/>
      <w:sz w:val="21"/>
      <w:szCs w:val="24"/>
    </w:rPr>
  </w:style>
  <w:style w:type="character" w:customStyle="1" w:styleId="53">
    <w:name w:val="正文文本首行缩进 2 字符"/>
    <w:link w:val="2"/>
    <w:autoRedefine/>
    <w:qFormat/>
    <w:uiPriority w:val="0"/>
  </w:style>
  <w:style w:type="character" w:customStyle="1" w:styleId="54">
    <w:name w:val="标题 1 字符"/>
    <w:link w:val="6"/>
    <w:autoRedefine/>
    <w:qFormat/>
    <w:uiPriority w:val="0"/>
    <w:rPr>
      <w:b/>
      <w:bCs/>
      <w:kern w:val="44"/>
      <w:sz w:val="44"/>
      <w:szCs w:val="44"/>
    </w:rPr>
  </w:style>
  <w:style w:type="character" w:customStyle="1" w:styleId="55">
    <w:name w:val="标题 4 字符"/>
    <w:link w:val="9"/>
    <w:autoRedefine/>
    <w:qFormat/>
    <w:locked/>
    <w:uiPriority w:val="0"/>
    <w:rPr>
      <w:rFonts w:ascii="Arial" w:hAnsi="Arial" w:eastAsia="黑体"/>
      <w:b/>
      <w:bCs/>
      <w:color w:val="000000"/>
      <w:sz w:val="28"/>
      <w:szCs w:val="28"/>
      <w:u w:val="none" w:color="000000"/>
      <w:lang w:val="en-US" w:eastAsia="zh-CN" w:bidi="ar-SA"/>
    </w:rPr>
  </w:style>
  <w:style w:type="character" w:customStyle="1" w:styleId="56">
    <w:name w:val="标题 5 字符"/>
    <w:link w:val="10"/>
    <w:autoRedefine/>
    <w:semiHidden/>
    <w:qFormat/>
    <w:uiPriority w:val="0"/>
    <w:rPr>
      <w:b/>
      <w:bCs/>
      <w:kern w:val="2"/>
      <w:sz w:val="28"/>
      <w:szCs w:val="28"/>
    </w:rPr>
  </w:style>
  <w:style w:type="character" w:customStyle="1" w:styleId="57">
    <w:name w:val="标题 6 字符"/>
    <w:link w:val="11"/>
    <w:autoRedefine/>
    <w:semiHidden/>
    <w:qFormat/>
    <w:uiPriority w:val="0"/>
    <w:rPr>
      <w:rFonts w:ascii="Cambria" w:hAnsi="Cambria" w:eastAsia="宋体" w:cs="Times New Roman"/>
      <w:b/>
      <w:bCs/>
      <w:kern w:val="2"/>
      <w:sz w:val="24"/>
      <w:szCs w:val="24"/>
    </w:rPr>
  </w:style>
  <w:style w:type="character" w:customStyle="1" w:styleId="58">
    <w:name w:val="标题 7 字符"/>
    <w:link w:val="12"/>
    <w:autoRedefine/>
    <w:semiHidden/>
    <w:qFormat/>
    <w:uiPriority w:val="0"/>
    <w:rPr>
      <w:b/>
      <w:bCs/>
      <w:kern w:val="2"/>
      <w:sz w:val="24"/>
      <w:szCs w:val="24"/>
    </w:rPr>
  </w:style>
  <w:style w:type="character" w:customStyle="1" w:styleId="59">
    <w:name w:val="批注文字 字符"/>
    <w:link w:val="16"/>
    <w:autoRedefine/>
    <w:qFormat/>
    <w:uiPriority w:val="0"/>
    <w:rPr>
      <w:kern w:val="2"/>
      <w:sz w:val="21"/>
      <w:szCs w:val="24"/>
    </w:rPr>
  </w:style>
  <w:style w:type="character" w:customStyle="1" w:styleId="60">
    <w:name w:val="纯文本 字符"/>
    <w:link w:val="19"/>
    <w:autoRedefine/>
    <w:qFormat/>
    <w:uiPriority w:val="99"/>
    <w:rPr>
      <w:rFonts w:ascii="宋体" w:eastAsia="宋体"/>
      <w:color w:val="000000"/>
      <w:kern w:val="2"/>
      <w:sz w:val="21"/>
      <w:u w:val="none" w:color="000000"/>
      <w:lang w:val="en-US" w:eastAsia="zh-CN" w:bidi="ar-SA"/>
    </w:rPr>
  </w:style>
  <w:style w:type="character" w:customStyle="1" w:styleId="61">
    <w:name w:val="日期 字符"/>
    <w:link w:val="20"/>
    <w:autoRedefine/>
    <w:qFormat/>
    <w:uiPriority w:val="0"/>
    <w:rPr>
      <w:rFonts w:ascii="Arial" w:hAnsi="Arial" w:eastAsia="仿宋_GB2312"/>
      <w:color w:val="000000"/>
      <w:kern w:val="2"/>
      <w:sz w:val="32"/>
      <w:u w:val="none" w:color="000000"/>
    </w:rPr>
  </w:style>
  <w:style w:type="character" w:customStyle="1" w:styleId="62">
    <w:name w:val="正文文本缩进 2 字符"/>
    <w:link w:val="21"/>
    <w:autoRedefine/>
    <w:qFormat/>
    <w:uiPriority w:val="0"/>
    <w:rPr>
      <w:kern w:val="2"/>
      <w:sz w:val="21"/>
      <w:szCs w:val="24"/>
    </w:rPr>
  </w:style>
  <w:style w:type="character" w:customStyle="1" w:styleId="63">
    <w:name w:val="批注框文本 字符"/>
    <w:link w:val="23"/>
    <w:autoRedefine/>
    <w:qFormat/>
    <w:uiPriority w:val="0"/>
    <w:rPr>
      <w:kern w:val="2"/>
      <w:sz w:val="18"/>
      <w:szCs w:val="18"/>
    </w:rPr>
  </w:style>
  <w:style w:type="character" w:customStyle="1" w:styleId="64">
    <w:name w:val="页脚 字符"/>
    <w:link w:val="24"/>
    <w:autoRedefine/>
    <w:qFormat/>
    <w:locked/>
    <w:uiPriority w:val="0"/>
    <w:rPr>
      <w:kern w:val="2"/>
      <w:sz w:val="18"/>
      <w:szCs w:val="18"/>
    </w:rPr>
  </w:style>
  <w:style w:type="character" w:customStyle="1" w:styleId="65">
    <w:name w:val="页眉 字符"/>
    <w:link w:val="25"/>
    <w:autoRedefine/>
    <w:qFormat/>
    <w:locked/>
    <w:uiPriority w:val="0"/>
    <w:rPr>
      <w:kern w:val="2"/>
      <w:sz w:val="18"/>
      <w:szCs w:val="18"/>
    </w:rPr>
  </w:style>
  <w:style w:type="character" w:customStyle="1" w:styleId="66">
    <w:name w:val="批注主题 字符"/>
    <w:link w:val="34"/>
    <w:autoRedefine/>
    <w:qFormat/>
    <w:uiPriority w:val="0"/>
    <w:rPr>
      <w:b/>
      <w:bCs/>
      <w:kern w:val="2"/>
      <w:sz w:val="21"/>
      <w:szCs w:val="24"/>
    </w:rPr>
  </w:style>
  <w:style w:type="character" w:customStyle="1" w:styleId="67">
    <w:name w:val="font121"/>
    <w:autoRedefine/>
    <w:qFormat/>
    <w:uiPriority w:val="0"/>
    <w:rPr>
      <w:rFonts w:hint="eastAsia" w:ascii="宋体" w:hAnsi="宋体" w:eastAsia="宋体" w:cs="宋体"/>
      <w:color w:val="000000"/>
      <w:sz w:val="24"/>
      <w:szCs w:val="24"/>
      <w:u w:val="none"/>
    </w:rPr>
  </w:style>
  <w:style w:type="character" w:customStyle="1" w:styleId="68">
    <w:name w:val="font141"/>
    <w:autoRedefine/>
    <w:qFormat/>
    <w:uiPriority w:val="0"/>
    <w:rPr>
      <w:rFonts w:ascii="Arial" w:hAnsi="Arial" w:cs="Arial"/>
      <w:color w:val="000000"/>
      <w:sz w:val="24"/>
      <w:szCs w:val="24"/>
      <w:u w:val="none"/>
    </w:rPr>
  </w:style>
  <w:style w:type="character" w:customStyle="1" w:styleId="69">
    <w:name w:val="_37aak"/>
    <w:autoRedefine/>
    <w:qFormat/>
    <w:uiPriority w:val="0"/>
  </w:style>
  <w:style w:type="character" w:customStyle="1" w:styleId="70">
    <w:name w:val="图表 Char"/>
    <w:link w:val="71"/>
    <w:autoRedefine/>
    <w:qFormat/>
    <w:uiPriority w:val="0"/>
    <w:rPr>
      <w:kern w:val="2"/>
      <w:sz w:val="21"/>
      <w:szCs w:val="21"/>
    </w:rPr>
  </w:style>
  <w:style w:type="paragraph" w:customStyle="1" w:styleId="71">
    <w:name w:val="图表"/>
    <w:basedOn w:val="1"/>
    <w:next w:val="1"/>
    <w:link w:val="70"/>
    <w:autoRedefine/>
    <w:qFormat/>
    <w:uiPriority w:val="0"/>
    <w:pPr>
      <w:jc w:val="center"/>
    </w:pPr>
    <w:rPr>
      <w:szCs w:val="21"/>
    </w:rPr>
  </w:style>
  <w:style w:type="character" w:customStyle="1" w:styleId="72">
    <w:name w:val="font01"/>
    <w:autoRedefine/>
    <w:qFormat/>
    <w:uiPriority w:val="0"/>
    <w:rPr>
      <w:rFonts w:hint="eastAsia" w:ascii="宋体" w:hAnsi="宋体" w:eastAsia="宋体" w:cs="宋体"/>
      <w:color w:val="000000"/>
      <w:sz w:val="22"/>
      <w:szCs w:val="22"/>
      <w:u w:val="none"/>
    </w:rPr>
  </w:style>
  <w:style w:type="character" w:customStyle="1" w:styleId="73">
    <w:name w:val="hover4"/>
    <w:autoRedefine/>
    <w:qFormat/>
    <w:uiPriority w:val="0"/>
    <w:rPr>
      <w:color w:val="2590EB"/>
      <w:shd w:val="clear" w:color="auto" w:fill="E9F4FD"/>
    </w:rPr>
  </w:style>
  <w:style w:type="character" w:customStyle="1" w:styleId="74">
    <w:name w:val="font101"/>
    <w:autoRedefine/>
    <w:qFormat/>
    <w:uiPriority w:val="0"/>
    <w:rPr>
      <w:rFonts w:hint="eastAsia" w:ascii="宋体" w:hAnsi="宋体" w:eastAsia="宋体" w:cs="宋体"/>
      <w:color w:val="000000"/>
      <w:sz w:val="18"/>
      <w:szCs w:val="18"/>
      <w:u w:val="none"/>
    </w:rPr>
  </w:style>
  <w:style w:type="character" w:customStyle="1" w:styleId="75">
    <w:name w:val="font161"/>
    <w:autoRedefine/>
    <w:qFormat/>
    <w:uiPriority w:val="0"/>
    <w:rPr>
      <w:rFonts w:hint="eastAsia" w:ascii="宋体" w:hAnsi="宋体" w:eastAsia="宋体" w:cs="宋体"/>
      <w:b/>
      <w:bCs/>
      <w:color w:val="333333"/>
      <w:sz w:val="27"/>
      <w:szCs w:val="27"/>
      <w:u w:val="none"/>
    </w:rPr>
  </w:style>
  <w:style w:type="character" w:customStyle="1" w:styleId="76">
    <w:name w:val="first-child"/>
    <w:autoRedefine/>
    <w:qFormat/>
    <w:uiPriority w:val="0"/>
  </w:style>
  <w:style w:type="character" w:customStyle="1" w:styleId="77">
    <w:name w:val="【正文】 Char"/>
    <w:link w:val="78"/>
    <w:autoRedefine/>
    <w:qFormat/>
    <w:uiPriority w:val="0"/>
    <w:rPr>
      <w:rFonts w:cs="DokChampa"/>
      <w:kern w:val="2"/>
      <w:sz w:val="24"/>
      <w:szCs w:val="22"/>
    </w:rPr>
  </w:style>
  <w:style w:type="paragraph" w:customStyle="1" w:styleId="78">
    <w:name w:val="【正文】"/>
    <w:basedOn w:val="1"/>
    <w:link w:val="77"/>
    <w:autoRedefine/>
    <w:qFormat/>
    <w:uiPriority w:val="0"/>
    <w:pPr>
      <w:spacing w:line="360" w:lineRule="auto"/>
      <w:ind w:firstLine="480" w:firstLineChars="200"/>
    </w:pPr>
    <w:rPr>
      <w:sz w:val="24"/>
      <w:szCs w:val="22"/>
    </w:rPr>
  </w:style>
  <w:style w:type="character" w:customStyle="1" w:styleId="79">
    <w:name w:val="font131"/>
    <w:autoRedefine/>
    <w:qFormat/>
    <w:uiPriority w:val="0"/>
    <w:rPr>
      <w:rFonts w:ascii="仿宋" w:hAnsi="仿宋" w:eastAsia="仿宋" w:cs="仿宋"/>
      <w:color w:val="000000"/>
      <w:sz w:val="24"/>
      <w:szCs w:val="24"/>
      <w:u w:val="none"/>
    </w:rPr>
  </w:style>
  <w:style w:type="character" w:customStyle="1" w:styleId="80">
    <w:name w:val="font181"/>
    <w:autoRedefine/>
    <w:qFormat/>
    <w:uiPriority w:val="0"/>
    <w:rPr>
      <w:rFonts w:hint="eastAsia" w:ascii="宋体" w:hAnsi="宋体" w:eastAsia="宋体" w:cs="宋体"/>
      <w:color w:val="1A66B3"/>
      <w:sz w:val="18"/>
      <w:szCs w:val="18"/>
      <w:u w:val="none"/>
    </w:rPr>
  </w:style>
  <w:style w:type="character" w:customStyle="1" w:styleId="81">
    <w:name w:val="hover3"/>
    <w:autoRedefine/>
    <w:qFormat/>
    <w:uiPriority w:val="0"/>
  </w:style>
  <w:style w:type="character" w:customStyle="1" w:styleId="82">
    <w:name w:val="font112"/>
    <w:autoRedefine/>
    <w:qFormat/>
    <w:uiPriority w:val="0"/>
    <w:rPr>
      <w:rFonts w:ascii="Verdana" w:hAnsi="Verdana" w:cs="Verdana"/>
      <w:color w:val="000000"/>
      <w:sz w:val="18"/>
      <w:szCs w:val="18"/>
      <w:u w:val="none"/>
    </w:rPr>
  </w:style>
  <w:style w:type="character" w:customStyle="1" w:styleId="83">
    <w:name w:val="font81"/>
    <w:autoRedefine/>
    <w:qFormat/>
    <w:uiPriority w:val="0"/>
    <w:rPr>
      <w:rFonts w:hint="default" w:ascii="Verdana" w:hAnsi="Verdana" w:cs="Verdana"/>
      <w:color w:val="000000"/>
      <w:sz w:val="18"/>
      <w:szCs w:val="18"/>
      <w:u w:val="none"/>
    </w:rPr>
  </w:style>
  <w:style w:type="character" w:customStyle="1" w:styleId="84">
    <w:name w:val="hover"/>
    <w:autoRedefine/>
    <w:qFormat/>
    <w:uiPriority w:val="0"/>
    <w:rPr>
      <w:color w:val="2590EB"/>
      <w:shd w:val="clear" w:color="auto" w:fill="E9F4FD"/>
    </w:rPr>
  </w:style>
  <w:style w:type="character" w:customStyle="1" w:styleId="85">
    <w:name w:val="font41"/>
    <w:autoRedefine/>
    <w:qFormat/>
    <w:uiPriority w:val="0"/>
    <w:rPr>
      <w:rFonts w:hint="eastAsia" w:ascii="宋体" w:hAnsi="宋体" w:eastAsia="宋体" w:cs="宋体"/>
      <w:color w:val="000000"/>
      <w:sz w:val="22"/>
      <w:szCs w:val="22"/>
      <w:u w:val="none"/>
    </w:rPr>
  </w:style>
  <w:style w:type="character" w:customStyle="1" w:styleId="86">
    <w:name w:val="hover2"/>
    <w:autoRedefine/>
    <w:qFormat/>
    <w:uiPriority w:val="0"/>
    <w:rPr>
      <w:color w:val="2590EB"/>
    </w:rPr>
  </w:style>
  <w:style w:type="character" w:customStyle="1" w:styleId="87">
    <w:name w:val="hover1"/>
    <w:autoRedefine/>
    <w:qFormat/>
    <w:uiPriority w:val="0"/>
    <w:rPr>
      <w:color w:val="2590EB"/>
    </w:rPr>
  </w:style>
  <w:style w:type="character" w:customStyle="1" w:styleId="88">
    <w:name w:val="first-child1"/>
    <w:autoRedefine/>
    <w:qFormat/>
    <w:uiPriority w:val="0"/>
  </w:style>
  <w:style w:type="character" w:customStyle="1" w:styleId="89">
    <w:name w:val="selected"/>
    <w:autoRedefine/>
    <w:qFormat/>
    <w:uiPriority w:val="0"/>
    <w:rPr>
      <w:shd w:val="clear" w:color="auto" w:fill="B00006"/>
    </w:rPr>
  </w:style>
  <w:style w:type="character" w:customStyle="1" w:styleId="90">
    <w:name w:val="gpa"/>
    <w:autoRedefine/>
    <w:qFormat/>
    <w:uiPriority w:val="0"/>
    <w:rPr>
      <w:rFonts w:ascii="Arial" w:hAnsi="Arial" w:cs="Arial"/>
      <w:sz w:val="15"/>
      <w:szCs w:val="15"/>
    </w:rPr>
  </w:style>
  <w:style w:type="character" w:customStyle="1" w:styleId="91">
    <w:name w:val="apple-converted-space"/>
    <w:autoRedefine/>
    <w:qFormat/>
    <w:uiPriority w:val="0"/>
  </w:style>
  <w:style w:type="character" w:customStyle="1" w:styleId="92">
    <w:name w:val="列出段落 Char"/>
    <w:link w:val="93"/>
    <w:autoRedefine/>
    <w:qFormat/>
    <w:locked/>
    <w:uiPriority w:val="0"/>
    <w:rPr>
      <w:rFonts w:ascii="Calibri" w:hAnsi="Calibri" w:eastAsia="宋体"/>
      <w:kern w:val="2"/>
      <w:sz w:val="21"/>
      <w:szCs w:val="22"/>
      <w:lang w:val="en-US" w:eastAsia="zh-CN" w:bidi="ar-SA"/>
    </w:rPr>
  </w:style>
  <w:style w:type="paragraph" w:customStyle="1" w:styleId="93">
    <w:name w:val="List Paragraph1"/>
    <w:basedOn w:val="1"/>
    <w:link w:val="92"/>
    <w:autoRedefine/>
    <w:qFormat/>
    <w:uiPriority w:val="0"/>
    <w:pPr>
      <w:spacing w:line="312" w:lineRule="auto"/>
      <w:ind w:firstLine="420" w:firstLineChars="200"/>
    </w:pPr>
    <w:rPr>
      <w:rFonts w:ascii="Calibri" w:hAnsi="Calibri"/>
      <w:szCs w:val="22"/>
    </w:rPr>
  </w:style>
  <w:style w:type="character" w:customStyle="1" w:styleId="94">
    <w:name w:val="displayarti"/>
    <w:autoRedefine/>
    <w:qFormat/>
    <w:uiPriority w:val="0"/>
    <w:rPr>
      <w:color w:val="FFFFFF"/>
      <w:shd w:val="clear" w:color="auto" w:fill="A00000"/>
    </w:rPr>
  </w:style>
  <w:style w:type="character" w:customStyle="1" w:styleId="95">
    <w:name w:val="正文首行缩进 2 Char1"/>
    <w:autoRedefine/>
    <w:qFormat/>
    <w:uiPriority w:val="0"/>
  </w:style>
  <w:style w:type="character" w:customStyle="1" w:styleId="96">
    <w:name w:val="layui-this"/>
    <w:autoRedefine/>
    <w:qFormat/>
    <w:uiPriority w:val="0"/>
    <w:rPr>
      <w:bdr w:val="single" w:color="EEEEEE" w:sz="6" w:space="0"/>
      <w:shd w:val="clear" w:color="auto" w:fill="FFFFFF"/>
    </w:rPr>
  </w:style>
  <w:style w:type="character" w:customStyle="1" w:styleId="97">
    <w:name w:val="font151"/>
    <w:autoRedefine/>
    <w:qFormat/>
    <w:uiPriority w:val="0"/>
    <w:rPr>
      <w:rFonts w:hint="default" w:ascii="Verdana" w:hAnsi="Verdana" w:cs="Verdana"/>
      <w:b/>
      <w:bCs/>
      <w:color w:val="333333"/>
      <w:sz w:val="27"/>
      <w:szCs w:val="27"/>
      <w:u w:val="none"/>
    </w:rPr>
  </w:style>
  <w:style w:type="character" w:customStyle="1" w:styleId="98">
    <w:name w:val="font171"/>
    <w:autoRedefine/>
    <w:qFormat/>
    <w:uiPriority w:val="0"/>
    <w:rPr>
      <w:rFonts w:hint="eastAsia" w:ascii="宋体" w:hAnsi="宋体" w:eastAsia="宋体" w:cs="宋体"/>
      <w:color w:val="646464"/>
      <w:sz w:val="18"/>
      <w:szCs w:val="18"/>
      <w:u w:val="none"/>
    </w:rPr>
  </w:style>
  <w:style w:type="character" w:customStyle="1" w:styleId="99">
    <w:name w:val="hover7"/>
    <w:autoRedefine/>
    <w:qFormat/>
    <w:uiPriority w:val="0"/>
    <w:rPr>
      <w:color w:val="315EFB"/>
    </w:rPr>
  </w:style>
  <w:style w:type="paragraph" w:customStyle="1" w:styleId="100">
    <w:name w:val="列表2"/>
    <w:basedOn w:val="1"/>
    <w:next w:val="1"/>
    <w:autoRedefine/>
    <w:qFormat/>
    <w:uiPriority w:val="0"/>
    <w:pPr>
      <w:numPr>
        <w:ilvl w:val="0"/>
        <w:numId w:val="5"/>
      </w:numPr>
      <w:spacing w:line="200" w:lineRule="atLeast"/>
    </w:pPr>
    <w:rPr>
      <w:rFonts w:eastAsia="仿宋"/>
      <w:sz w:val="28"/>
    </w:rPr>
  </w:style>
  <w:style w:type="paragraph" w:customStyle="1" w:styleId="101">
    <w:name w:val="text-tag1"/>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customStyle="1" w:styleId="102">
    <w:name w:val="标题4"/>
    <w:basedOn w:val="1"/>
    <w:autoRedefine/>
    <w:qFormat/>
    <w:uiPriority w:val="0"/>
    <w:pPr>
      <w:numPr>
        <w:ilvl w:val="0"/>
        <w:numId w:val="6"/>
      </w:numPr>
      <w:spacing w:line="360" w:lineRule="auto"/>
      <w:ind w:left="720" w:leftChars="300"/>
      <w:jc w:val="left"/>
    </w:pPr>
    <w:rPr>
      <w:rFonts w:ascii="宋体" w:hAnsi="宋体" w:cs="Times New Roman"/>
      <w:sz w:val="18"/>
      <w:szCs w:val="18"/>
    </w:rPr>
  </w:style>
  <w:style w:type="paragraph" w:customStyle="1" w:styleId="103">
    <w:name w:val="Char"/>
    <w:basedOn w:val="1"/>
    <w:next w:val="1"/>
    <w:autoRedefine/>
    <w:qFormat/>
    <w:uiPriority w:val="0"/>
    <w:pPr>
      <w:widowControl/>
      <w:spacing w:line="360" w:lineRule="auto"/>
      <w:jc w:val="left"/>
    </w:pPr>
    <w:rPr>
      <w:kern w:val="0"/>
      <w:szCs w:val="20"/>
      <w:lang w:eastAsia="en-US"/>
    </w:rPr>
  </w:style>
  <w:style w:type="paragraph" w:customStyle="1" w:styleId="104">
    <w:name w:val="样式1"/>
    <w:basedOn w:val="1"/>
    <w:autoRedefine/>
    <w:qFormat/>
    <w:uiPriority w:val="0"/>
    <w:pPr>
      <w:spacing w:line="360" w:lineRule="auto"/>
      <w:jc w:val="center"/>
    </w:pPr>
    <w:rPr>
      <w:rFonts w:ascii="Times New Roman" w:hAnsi="Times New Roman" w:cs="Times New Roman"/>
      <w:b/>
      <w:sz w:val="30"/>
      <w:szCs w:val="30"/>
    </w:rPr>
  </w:style>
  <w:style w:type="paragraph" w:customStyle="1" w:styleId="105">
    <w:name w:val=" Char Char Char Char"/>
    <w:basedOn w:val="1"/>
    <w:autoRedefine/>
    <w:qFormat/>
    <w:uiPriority w:val="0"/>
    <w:rPr>
      <w:rFonts w:ascii="Tahoma" w:hAnsi="Tahoma"/>
      <w:sz w:val="24"/>
      <w:szCs w:val="20"/>
    </w:rPr>
  </w:style>
  <w:style w:type="paragraph" w:customStyle="1" w:styleId="106">
    <w:name w:val="_Style 4"/>
    <w:basedOn w:val="1"/>
    <w:autoRedefine/>
    <w:qFormat/>
    <w:uiPriority w:val="34"/>
    <w:pPr>
      <w:adjustRightInd w:val="0"/>
      <w:ind w:firstLine="420" w:firstLineChars="200"/>
      <w:jc w:val="left"/>
      <w:textAlignment w:val="baseline"/>
    </w:pPr>
    <w:rPr>
      <w:kern w:val="0"/>
      <w:szCs w:val="20"/>
    </w:rPr>
  </w:style>
  <w:style w:type="paragraph" w:customStyle="1" w:styleId="107">
    <w:name w:val="列出段落2"/>
    <w:basedOn w:val="1"/>
    <w:autoRedefine/>
    <w:qFormat/>
    <w:uiPriority w:val="0"/>
    <w:pPr>
      <w:ind w:firstLine="420" w:firstLineChars="200"/>
    </w:pPr>
    <w:rPr>
      <w:rFonts w:ascii="Calibri" w:hAnsi="Calibri"/>
      <w:szCs w:val="22"/>
    </w:rPr>
  </w:style>
  <w:style w:type="paragraph" w:customStyle="1" w:styleId="108">
    <w:name w:val="列出段落11"/>
    <w:basedOn w:val="1"/>
    <w:autoRedefine/>
    <w:qFormat/>
    <w:uiPriority w:val="0"/>
    <w:pPr>
      <w:spacing w:after="120" w:line="360" w:lineRule="auto"/>
      <w:ind w:firstLine="420" w:firstLineChars="200"/>
    </w:pPr>
    <w:rPr>
      <w:rFonts w:ascii="Calibri" w:hAnsi="Calibri"/>
      <w:szCs w:val="22"/>
    </w:rPr>
  </w:style>
  <w:style w:type="paragraph" w:customStyle="1" w:styleId="109">
    <w:name w:val="xl25"/>
    <w:basedOn w:val="1"/>
    <w:autoRedefine/>
    <w:qFormat/>
    <w:uiPriority w:val="0"/>
    <w:pPr>
      <w:widowControl/>
      <w:spacing w:before="100" w:beforeAutospacing="1" w:after="100" w:afterAutospacing="1"/>
      <w:jc w:val="right"/>
    </w:pPr>
    <w:rPr>
      <w:rFonts w:ascii="Arial Unicode MS" w:hAnsi="Arial Unicode MS" w:eastAsia="宋体" w:cs="Arial Unicode MS"/>
      <w:color w:val="000000"/>
      <w:kern w:val="0"/>
      <w:sz w:val="18"/>
      <w:szCs w:val="18"/>
    </w:rPr>
  </w:style>
  <w:style w:type="paragraph" w:customStyle="1" w:styleId="110">
    <w:name w:val="_Style 108"/>
    <w:autoRedefine/>
    <w:unhideWhenUsed/>
    <w:qFormat/>
    <w:uiPriority w:val="99"/>
    <w:rPr>
      <w:rFonts w:ascii="Times New Roman" w:hAnsi="Times New Roman" w:eastAsia="宋体" w:cs="Times New Roman"/>
      <w:kern w:val="2"/>
      <w:sz w:val="21"/>
      <w:szCs w:val="24"/>
      <w:lang w:val="en-US" w:eastAsia="zh-CN" w:bidi="ar-SA"/>
    </w:rPr>
  </w:style>
  <w:style w:type="paragraph" w:customStyle="1" w:styleId="111">
    <w:name w:val="Table Paragraph"/>
    <w:basedOn w:val="1"/>
    <w:autoRedefine/>
    <w:qFormat/>
    <w:uiPriority w:val="1"/>
    <w:rPr>
      <w:rFonts w:ascii="宋体" w:hAnsi="宋体" w:eastAsia="宋体" w:cs="宋体"/>
      <w:lang w:val="zh-CN" w:eastAsia="zh-CN" w:bidi="zh-CN"/>
    </w:rPr>
  </w:style>
  <w:style w:type="paragraph" w:customStyle="1" w:styleId="112">
    <w:name w:val="D&amp;L"/>
    <w:basedOn w:val="25"/>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113">
    <w:name w:val="列出段落1"/>
    <w:basedOn w:val="1"/>
    <w:autoRedefine/>
    <w:qFormat/>
    <w:uiPriority w:val="34"/>
    <w:pPr>
      <w:ind w:firstLine="420" w:firstLineChars="200"/>
    </w:pPr>
  </w:style>
  <w:style w:type="paragraph" w:customStyle="1" w:styleId="114">
    <w:name w:val="Char Char Char Char Char Char Char1 Char"/>
    <w:basedOn w:val="1"/>
    <w:autoRedefine/>
    <w:qFormat/>
    <w:uiPriority w:val="0"/>
    <w:rPr>
      <w:rFonts w:ascii="Tahoma" w:hAnsi="Tahoma"/>
      <w:sz w:val="24"/>
      <w:szCs w:val="20"/>
    </w:rPr>
  </w:style>
  <w:style w:type="paragraph" w:styleId="115">
    <w:name w:val="List Paragraph"/>
    <w:basedOn w:val="1"/>
    <w:autoRedefine/>
    <w:qFormat/>
    <w:uiPriority w:val="0"/>
    <w:pPr>
      <w:spacing w:line="360" w:lineRule="auto"/>
      <w:ind w:firstLine="420" w:firstLineChars="200"/>
    </w:pPr>
    <w:rPr>
      <w:rFonts w:ascii="宋体" w:hAnsi="宋体" w:cs="宋体"/>
      <w:sz w:val="24"/>
    </w:rPr>
  </w:style>
  <w:style w:type="paragraph" w:customStyle="1" w:styleId="116">
    <w:name w:val="List Paragraph2"/>
    <w:basedOn w:val="1"/>
    <w:autoRedefine/>
    <w:qFormat/>
    <w:uiPriority w:val="0"/>
    <w:pPr>
      <w:spacing w:line="360" w:lineRule="auto"/>
      <w:ind w:firstLine="420"/>
    </w:pPr>
    <w:rPr>
      <w:color w:val="000000"/>
      <w:sz w:val="24"/>
      <w:szCs w:val="21"/>
    </w:rPr>
  </w:style>
  <w:style w:type="paragraph" w:customStyle="1" w:styleId="117">
    <w:name w:val="（无样式）"/>
    <w:basedOn w:val="1"/>
    <w:autoRedefine/>
    <w:qFormat/>
    <w:uiPriority w:val="0"/>
    <w:pPr>
      <w:widowControl/>
      <w:numPr>
        <w:ilvl w:val="0"/>
        <w:numId w:val="7"/>
      </w:numPr>
      <w:spacing w:line="360" w:lineRule="auto"/>
      <w:ind w:firstLine="0"/>
    </w:pPr>
    <w:rPr>
      <w:sz w:val="24"/>
      <w:szCs w:val="20"/>
    </w:rPr>
  </w:style>
  <w:style w:type="paragraph" w:customStyle="1" w:styleId="118">
    <w:name w:val="正文 New"/>
    <w:autoRedefine/>
    <w:qFormat/>
    <w:uiPriority w:val="0"/>
    <w:pPr>
      <w:widowControl w:val="0"/>
      <w:spacing w:line="440" w:lineRule="exact"/>
      <w:ind w:left="357" w:hanging="357"/>
      <w:jc w:val="both"/>
    </w:pPr>
    <w:rPr>
      <w:rFonts w:ascii="Calibri" w:hAnsi="Calibri" w:eastAsia="宋体" w:cs="Times New Roman"/>
      <w:kern w:val="2"/>
      <w:sz w:val="21"/>
      <w:szCs w:val="22"/>
      <w:lang w:val="en-US" w:eastAsia="zh-CN" w:bidi="ar-SA"/>
    </w:rPr>
  </w:style>
  <w:style w:type="paragraph" w:customStyle="1" w:styleId="119">
    <w:name w:val="标题3-副本"/>
    <w:basedOn w:val="27"/>
    <w:autoRedefine/>
    <w:qFormat/>
    <w:uiPriority w:val="0"/>
    <w:pPr>
      <w:numPr>
        <w:ilvl w:val="0"/>
        <w:numId w:val="0"/>
      </w:numPr>
      <w:ind w:left="840"/>
    </w:pPr>
  </w:style>
  <w:style w:type="paragraph" w:customStyle="1" w:styleId="120">
    <w:name w:val="节标题"/>
    <w:basedOn w:val="1"/>
    <w:next w:val="1"/>
    <w:autoRedefine/>
    <w:qFormat/>
    <w:uiPriority w:val="0"/>
    <w:pPr>
      <w:widowControl/>
      <w:spacing w:line="289" w:lineRule="atLeast"/>
      <w:jc w:val="center"/>
      <w:textAlignment w:val="baseline"/>
    </w:pPr>
    <w:rPr>
      <w:color w:val="000000"/>
      <w:kern w:val="0"/>
      <w:sz w:val="28"/>
      <w:szCs w:val="20"/>
      <w:u w:val="none" w:color="000000"/>
    </w:rPr>
  </w:style>
  <w:style w:type="paragraph" w:customStyle="1" w:styleId="121">
    <w:name w:val="_Style 2"/>
    <w:basedOn w:val="1"/>
    <w:autoRedefine/>
    <w:qFormat/>
    <w:uiPriority w:val="0"/>
  </w:style>
  <w:style w:type="paragraph" w:customStyle="1" w:styleId="122">
    <w:name w:val="p0"/>
    <w:basedOn w:val="1"/>
    <w:autoRedefine/>
    <w:qFormat/>
    <w:uiPriority w:val="0"/>
    <w:pPr>
      <w:widowControl/>
      <w:spacing w:line="365" w:lineRule="atLeast"/>
      <w:ind w:left="1"/>
      <w:textAlignment w:val="bottom"/>
    </w:pPr>
    <w:rPr>
      <w:rFonts w:ascii="Calibri" w:hAnsi="Calibri"/>
      <w:kern w:val="0"/>
      <w:sz w:val="20"/>
      <w:szCs w:val="22"/>
    </w:rPr>
  </w:style>
  <w:style w:type="paragraph" w:customStyle="1" w:styleId="123">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124">
    <w:name w:val=" Char"/>
    <w:basedOn w:val="1"/>
    <w:autoRedefine/>
    <w:qFormat/>
    <w:uiPriority w:val="0"/>
  </w:style>
  <w:style w:type="paragraph" w:customStyle="1" w:styleId="125">
    <w:name w:val="l正文"/>
    <w:autoRedefine/>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table" w:customStyle="1" w:styleId="126">
    <w:name w:val="Table Normal"/>
    <w:autoRedefine/>
    <w:unhideWhenUsed/>
    <w:qFormat/>
    <w:uiPriority w:val="0"/>
    <w:rPr>
      <w:lang w:val="en-US" w:eastAsia="zh-CN" w:bidi="ar-SA"/>
    </w:rPr>
    <w:tblPr>
      <w:tblCellMar>
        <w:top w:w="0" w:type="dxa"/>
        <w:left w:w="0" w:type="dxa"/>
        <w:bottom w:w="0" w:type="dxa"/>
        <w:right w:w="0" w:type="dxa"/>
      </w:tblCellMar>
    </w:tblPr>
  </w:style>
  <w:style w:type="paragraph" w:customStyle="1" w:styleId="127">
    <w:name w:val="_Style 117"/>
    <w:basedOn w:val="1"/>
    <w:next w:val="1"/>
    <w:autoRedefine/>
    <w:qFormat/>
    <w:uiPriority w:val="0"/>
    <w:pPr>
      <w:pBdr>
        <w:bottom w:val="single" w:color="auto" w:sz="6" w:space="1"/>
      </w:pBdr>
      <w:jc w:val="center"/>
    </w:pPr>
    <w:rPr>
      <w:rFonts w:ascii="Arial" w:eastAsia="宋体"/>
      <w:vanish/>
      <w:sz w:val="16"/>
    </w:rPr>
  </w:style>
  <w:style w:type="paragraph" w:customStyle="1" w:styleId="128">
    <w:name w:val="_Style 118"/>
    <w:basedOn w:val="1"/>
    <w:next w:val="1"/>
    <w:autoRedefine/>
    <w:qFormat/>
    <w:uiPriority w:val="0"/>
    <w:pPr>
      <w:pBdr>
        <w:top w:val="single" w:color="auto" w:sz="6" w:space="1"/>
      </w:pBdr>
      <w:jc w:val="center"/>
    </w:pPr>
    <w:rPr>
      <w:rFonts w:ascii="Arial" w:eastAsia="宋体"/>
      <w:vanish/>
      <w:sz w:val="16"/>
    </w:rPr>
  </w:style>
  <w:style w:type="character" w:customStyle="1" w:styleId="129">
    <w:name w:val="num"/>
    <w:basedOn w:val="37"/>
    <w:autoRedefine/>
    <w:qFormat/>
    <w:uiPriority w:val="0"/>
    <w:rPr>
      <w:b/>
      <w:bCs/>
      <w:color w:val="FF7800"/>
    </w:rPr>
  </w:style>
  <w:style w:type="character" w:customStyle="1" w:styleId="130">
    <w:name w:val="a-desc"/>
    <w:basedOn w:val="37"/>
    <w:autoRedefine/>
    <w:qFormat/>
    <w:uiPriority w:val="0"/>
    <w:rPr>
      <w:color w:val="315EFB"/>
    </w:rPr>
  </w:style>
  <w:style w:type="character" w:customStyle="1" w:styleId="131">
    <w:name w:val="bg"/>
    <w:basedOn w:val="37"/>
    <w:autoRedefine/>
    <w:qFormat/>
    <w:uiPriority w:val="0"/>
    <w:rPr>
      <w:shd w:val="clear" w:color="auto" w:fill="000000"/>
    </w:rPr>
  </w:style>
  <w:style w:type="character" w:customStyle="1" w:styleId="132">
    <w:name w:val="bg1"/>
    <w:basedOn w:val="37"/>
    <w:autoRedefine/>
    <w:qFormat/>
    <w:uiPriority w:val="0"/>
    <w:rPr>
      <w:shd w:val="clear" w:color="auto" w:fill="000000"/>
    </w:rPr>
  </w:style>
  <w:style w:type="character" w:customStyle="1" w:styleId="133">
    <w:name w:val="bg2"/>
    <w:basedOn w:val="37"/>
    <w:autoRedefine/>
    <w:qFormat/>
    <w:uiPriority w:val="0"/>
    <w:rPr>
      <w:shd w:val="clear" w:color="auto" w:fill="000000"/>
    </w:rPr>
  </w:style>
  <w:style w:type="character" w:customStyle="1" w:styleId="134">
    <w:name w:val="iknow-qb-ad-sou-icon"/>
    <w:basedOn w:val="37"/>
    <w:autoRedefine/>
    <w:qFormat/>
    <w:uiPriority w:val="0"/>
  </w:style>
  <w:style w:type="character" w:customStyle="1" w:styleId="135">
    <w:name w:val="del-btn"/>
    <w:basedOn w:val="37"/>
    <w:autoRedefine/>
    <w:qFormat/>
    <w:uiPriority w:val="0"/>
  </w:style>
  <w:style w:type="character" w:customStyle="1" w:styleId="136">
    <w:name w:val="del-btn1"/>
    <w:basedOn w:val="37"/>
    <w:autoRedefine/>
    <w:qFormat/>
    <w:uiPriority w:val="0"/>
  </w:style>
  <w:style w:type="character" w:customStyle="1" w:styleId="137">
    <w:name w:val="del-btn2"/>
    <w:basedOn w:val="37"/>
    <w:autoRedefine/>
    <w:qFormat/>
    <w:uiPriority w:val="0"/>
  </w:style>
  <w:style w:type="character" w:customStyle="1" w:styleId="138">
    <w:name w:val="answer-title"/>
    <w:basedOn w:val="37"/>
    <w:autoRedefine/>
    <w:qFormat/>
    <w:uiPriority w:val="0"/>
  </w:style>
  <w:style w:type="character" w:customStyle="1" w:styleId="139">
    <w:name w:val="new-icon2"/>
    <w:basedOn w:val="37"/>
    <w:autoRedefine/>
    <w:qFormat/>
    <w:uiPriority w:val="0"/>
  </w:style>
  <w:style w:type="character" w:customStyle="1" w:styleId="140">
    <w:name w:val="new-icon3"/>
    <w:basedOn w:val="37"/>
    <w:autoRedefine/>
    <w:qFormat/>
    <w:uiPriority w:val="0"/>
  </w:style>
  <w:style w:type="character" w:customStyle="1" w:styleId="141">
    <w:name w:val="green"/>
    <w:basedOn w:val="37"/>
    <w:autoRedefine/>
    <w:qFormat/>
    <w:uiPriority w:val="0"/>
    <w:rPr>
      <w:color w:val="3B6FFF"/>
    </w:rPr>
  </w:style>
  <w:style w:type="character" w:customStyle="1" w:styleId="142">
    <w:name w:val="green1"/>
    <w:basedOn w:val="37"/>
    <w:autoRedefine/>
    <w:qFormat/>
    <w:uiPriority w:val="0"/>
    <w:rPr>
      <w:color w:val="3B6FFF"/>
    </w:rPr>
  </w:style>
  <w:style w:type="character" w:customStyle="1" w:styleId="143">
    <w:name w:val="green2"/>
    <w:basedOn w:val="37"/>
    <w:autoRedefine/>
    <w:qFormat/>
    <w:uiPriority w:val="0"/>
    <w:rPr>
      <w:color w:val="4DC86F"/>
    </w:rPr>
  </w:style>
  <w:style w:type="character" w:customStyle="1" w:styleId="144">
    <w:name w:val="green3"/>
    <w:basedOn w:val="37"/>
    <w:autoRedefine/>
    <w:qFormat/>
    <w:uiPriority w:val="0"/>
    <w:rPr>
      <w:color w:val="4DC86F"/>
    </w:rPr>
  </w:style>
  <w:style w:type="character" w:customStyle="1" w:styleId="145">
    <w:name w:val="answer-title2"/>
    <w:basedOn w:val="37"/>
    <w:autoRedefine/>
    <w:qFormat/>
    <w:uiPriority w:val="0"/>
  </w:style>
  <w:style w:type="character" w:customStyle="1" w:styleId="146">
    <w:name w:val="new-icon"/>
    <w:basedOn w:val="37"/>
    <w:autoRedefine/>
    <w:qFormat/>
    <w:uiPriority w:val="0"/>
  </w:style>
  <w:style w:type="character" w:customStyle="1" w:styleId="147">
    <w:name w:val="new-icon1"/>
    <w:basedOn w:val="37"/>
    <w:autoRedefine/>
    <w:qFormat/>
    <w:uiPriority w:val="0"/>
  </w:style>
  <w:style w:type="paragraph" w:customStyle="1" w:styleId="14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49">
    <w:name w:val="张世华的正文"/>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f3f3f23c-0d84-41d3-9980-ea237690af5e</errorID>
      <errorWord>日至2026年</errorWord>
      <group>L1_Word</group>
      <groupName>字词问题</groupName>
      <ability>L2_Typo</ability>
      <abilityName>字词错误</abilityName>
      <candidateList>
        <item>日起至2026年</item>
      </candidateList>
      <explain/>
      <paraID>16B4ED61</paraID>
      <start>12</start>
      <end>19</end>
      <status>unmodified</status>
      <modifiedWord/>
      <trackRevisions>false</trackRevisions>
    </reviewItem>
    <reviewItem>
      <errorID>59a76ce1-6aba-48e5-8cbf-528ecc122736</errorID>
      <errorWord>）</errorWord>
      <group>L1_Format</group>
      <groupName>格式问题</groupName>
      <ability>L2_HalfPunc_CN</ability>
      <abilityName>全半角问题</abilityName>
      <candidateList>
        <item>)</item>
      </candidateList>
      <explain>文本全半角错误。</explain>
      <paraID> B118AA8</paraID>
      <start>76</start>
      <end>77</end>
      <status>modified</status>
      <modifiedWord>)</modifiedWord>
      <trackRevisions>false</trackRevisions>
    </reviewItem>
    <reviewItem>
      <errorID>6d01ea72-a1b5-40b9-b80e-dc60f21378eb</errorID>
      <errorWord>滁州市徽州</errorWord>
      <group>L1_Knowledge</group>
      <groupName>知识性问题</groupName>
      <ability>L2_Location</ability>
      <abilityName>地名检查</abilityName>
      <candidateList>
        <item>黄山徽州</item>
      </candidateList>
      <explain>地名表述错误。</explain>
      <paraID>5E8B4DC7</paraID>
      <start>3</start>
      <end>8</end>
      <status>unmodified</status>
      <modifiedWord/>
      <trackRevisions>false</trackRevisions>
    </reviewItem>
    <reviewItem>
      <errorID>0d1213f5-5720-4819-82f8-ea1c927e35a1</errorID>
      <errorWord>,</errorWord>
      <group>L1_Format</group>
      <groupName>格式问题</groupName>
      <ability>L2_HalfPunc_CN</ability>
      <abilityName>全半角问题</abilityName>
      <candidateList>
        <item>，</item>
      </candidateList>
      <explain>文本全半角错误。</explain>
      <paraID>669D1C2A</paraID>
      <start>126</start>
      <end>127</end>
      <status>modified</status>
      <modifiedWord>，</modifiedWord>
      <trackRevisions>false</trackRevisions>
    </reviewItem>
    <reviewItem>
      <errorID>3fdeb56b-bc73-497f-b33c-c91cff41af65</errorID>
      <errorWord>一步</errorWord>
      <group>L1_Knowledge</group>
      <groupName>知识性问题</groupName>
      <ability>L2_Knowledge</ability>
      <abilityName>其他知识</abilityName>
      <candidateList>
        <item>一道</item>
      </candidateList>
      <explain/>
      <paraID>12B8E4D7</paraID>
      <start>18</start>
      <end>20</end>
      <status>unmodified</status>
      <modifiedWord/>
      <trackRevisions>false</trackRevisions>
    </reviewItem>
    <reviewItem>
      <errorID>7a02c388-3866-4a1c-b42f-d70277ccea52</errorID>
      <errorWord>件</errorWord>
      <group>L1_Word</group>
      <groupName>字词问题</groupName>
      <ability>L2_Typo</ability>
      <abilityName>字词错误</abilityName>
      <candidateList>
        <item>件和</item>
      </candidateList>
      <explain/>
      <paraID>74E67D8B</paraID>
      <start>97</start>
      <end>98</end>
      <status>unmodified</status>
      <modifiedWord/>
      <trackRevisions>false</trackRevisions>
    </reviewItem>
    <reviewItem>
      <errorID>57b0fcba-e76e-4a74-b4fd-cca84bc56d48</errorID>
      <errorWord>,</errorWord>
      <group>L1_Format</group>
      <groupName>格式问题</groupName>
      <ability>L2_HalfPunc_CN</ability>
      <abilityName>全半角问题</abilityName>
      <candidateList>
        <item>，</item>
      </candidateList>
      <explain>文本全半角错误。</explain>
      <paraID>7AA2A426</paraID>
      <start>123</start>
      <end>124</end>
      <status>modified</status>
      <modifiedWord>，</modifiedWord>
      <trackRevisions>false</trackRevisions>
    </reviewItem>
    <reviewItem>
      <errorID>5fbed8b0-2f1d-4706-b981-e80e2e0952a4</errorID>
      <errorWord>,</errorWord>
      <group>L1_Format</group>
      <groupName>格式问题</groupName>
      <ability>L2_HalfPunc_CN</ability>
      <abilityName>全半角问题</abilityName>
      <candidateList>
        <item>，</item>
      </candidateList>
      <explain>文本全半角错误。</explain>
      <paraID>3B6BC3CF</paraID>
      <start>123</start>
      <end>124</end>
      <status>modified</status>
      <modifiedWord>，</modifiedWord>
      <trackRevisions>false</trackRevisions>
    </reviewItem>
    <reviewItem>
      <errorID>a1d9ac58-e47e-4e89-8c86-6930ffb77f9c</errorID>
      <errorWord>..</errorWord>
      <group>L1_Punc</group>
      <groupName>标点问题</groupName>
      <ability>L2_Punc_CN</ability>
      <abilityName>标点符号问题</abilityName>
      <candidateList>
        <item>.</item>
      </candidateList>
      <explain/>
      <paraID>71D99F57</paraID>
      <start>1</start>
      <end>2</end>
      <status>modified</status>
      <modifiedWord>.</modifiedWord>
      <trackRevisions>false</trackRevisions>
    </reviewItem>
    <reviewItem>
      <errorID>9878f754-3171-446b-8a3c-0eaa996dcbb5</errorID>
      <errorWord>服务质量达</errorWord>
      <group>L1_Word</group>
      <groupName>字词问题</groupName>
      <ability>L2_Typo</ability>
      <abilityName>字词错误</abilityName>
      <candidateList>
        <item>服务质量达到</item>
      </candidateList>
      <explain/>
      <paraID>4C8D3E74</paraID>
      <start>7</start>
      <end>12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4da363-66d0-45ab-a4cf-48c8df0e5d0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40</Pages>
  <Words>15946</Words>
  <Characters>17541</Characters>
  <Lines>358</Lines>
  <Paragraphs>100</Paragraphs>
  <TotalTime>3</TotalTime>
  <ScaleCrop>false</ScaleCrop>
  <LinksUpToDate>false</LinksUpToDate>
  <CharactersWithSpaces>18487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2023-07-11T11:05:00Z</dcterms:created>
  <dc:creator>pzf</dc:creator>
  <cp:lastModifiedBy>韦韦</cp:lastModifiedBy>
  <cp:lastPrinted>2023-12-28T05:27:00Z</cp:lastPrinted>
  <dcterms:modified xsi:type="dcterms:W3CDTF">2026-09-17T03:59:19Z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4DA166129BB54C7497D8E99F12544634_13</vt:lpwstr>
  </property>
  <property fmtid="{D5CDD505-2E9C-101B-9397-08002B2CF9AE}" pid="4" name="KSOTemplateDocerSaveRecord">
    <vt:lpwstr>eyJoZGlkIjoiZmQ5MGI3YTdkMjVkZTZjM2ZjZTQ5YjMxYTJjZjRlOWEiLCJ1c2VySWQiOiIzNjE4MjQ5In0=</vt:lpwstr>
  </property>
</Properties>
</file>