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3F825">
      <w:pPr>
        <w:tabs>
          <w:tab w:val="left" w:pos="315"/>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p>
    <w:p w14:paraId="1FD96486">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p>
    <w:p w14:paraId="76B661CF">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p>
    <w:p w14:paraId="58BFB94D">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bookmarkStart w:id="0" w:name="_Hlk9544796"/>
      <w:r>
        <w:rPr>
          <w:rFonts w:hint="eastAsia" w:ascii="宋体" w:hAnsi="宋体" w:eastAsia="宋体" w:cs="宋体"/>
          <w:b/>
          <w:bCs/>
          <w:color w:val="auto"/>
          <w:sz w:val="52"/>
          <w:szCs w:val="52"/>
          <w:highlight w:val="none"/>
        </w:rPr>
        <w:t>安徽省政府采购项目</w:t>
      </w:r>
    </w:p>
    <w:p w14:paraId="13C0B84F">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公开招标文件示范文本</w:t>
      </w:r>
      <w:bookmarkEnd w:id="0"/>
      <w:r>
        <w:rPr>
          <w:rFonts w:hint="eastAsia" w:ascii="宋体" w:hAnsi="宋体" w:eastAsia="宋体" w:cs="宋体"/>
          <w:b/>
          <w:bCs/>
          <w:color w:val="auto"/>
          <w:sz w:val="52"/>
          <w:szCs w:val="52"/>
          <w:highlight w:val="none"/>
        </w:rPr>
        <w:t>（服务类）</w:t>
      </w:r>
    </w:p>
    <w:p w14:paraId="31C3B8B0">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（202</w:t>
      </w:r>
      <w:r>
        <w:rPr>
          <w:rFonts w:hint="eastAsia" w:ascii="宋体" w:hAnsi="宋体" w:eastAsia="宋体" w:cs="宋体"/>
          <w:b/>
          <w:bCs/>
          <w:color w:val="auto"/>
          <w:sz w:val="52"/>
          <w:szCs w:val="52"/>
          <w:highlight w:val="none"/>
          <w:lang w:val="en-US" w:eastAsia="zh-CN"/>
        </w:rPr>
        <w:t>6</w:t>
      </w:r>
      <w:r>
        <w:rPr>
          <w:rFonts w:hint="eastAsia" w:ascii="宋体" w:hAnsi="宋体" w:eastAsia="宋体" w:cs="宋体"/>
          <w:b/>
          <w:bCs/>
          <w:color w:val="auto"/>
          <w:sz w:val="52"/>
          <w:szCs w:val="52"/>
          <w:highlight w:val="none"/>
        </w:rPr>
        <w:t>年版）</w:t>
      </w:r>
    </w:p>
    <w:p w14:paraId="25039F3C">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235C5689">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46999584">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5D5D94C0">
      <w:pPr>
        <w:rPr>
          <w:rFonts w:ascii="宋体" w:hAnsi="宋体" w:eastAsia="宋体" w:cs="宋体"/>
          <w:color w:val="auto"/>
          <w:highlight w:val="none"/>
        </w:rPr>
      </w:pPr>
    </w:p>
    <w:p w14:paraId="64F12452">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2319B585">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eastAsia="zh-CN"/>
        </w:rPr>
      </w:pPr>
      <w:r>
        <w:rPr>
          <w:rFonts w:hint="eastAsia" w:ascii="宋体" w:hAnsi="宋体" w:eastAsia="宋体" w:cs="宋体"/>
          <w:b/>
          <w:color w:val="auto"/>
          <w:spacing w:val="20"/>
          <w:kern w:val="0"/>
          <w:sz w:val="32"/>
          <w:szCs w:val="32"/>
          <w:highlight w:val="none"/>
        </w:rPr>
        <w:t>项目名称：</w:t>
      </w:r>
      <w:r>
        <w:rPr>
          <w:rFonts w:hint="eastAsia" w:ascii="宋体" w:hAnsi="宋体" w:eastAsia="宋体" w:cs="宋体"/>
          <w:b/>
          <w:color w:val="auto"/>
          <w:spacing w:val="20"/>
          <w:kern w:val="0"/>
          <w:sz w:val="32"/>
          <w:szCs w:val="32"/>
          <w:highlight w:val="none"/>
          <w:u w:val="single"/>
          <w:lang w:val="en-US" w:eastAsia="zh-CN"/>
        </w:rPr>
        <w:t>2027年度企业科技研发项目基础资料质量提升服务</w:t>
      </w:r>
    </w:p>
    <w:p w14:paraId="784A2E75">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val="en-US" w:eastAsia="zh-CN"/>
        </w:rPr>
      </w:pPr>
      <w:r>
        <w:rPr>
          <w:rFonts w:hint="eastAsia" w:ascii="宋体" w:hAnsi="宋体" w:eastAsia="宋体" w:cs="宋体"/>
          <w:b/>
          <w:color w:val="auto"/>
          <w:spacing w:val="20"/>
          <w:kern w:val="0"/>
          <w:sz w:val="32"/>
          <w:szCs w:val="32"/>
          <w:highlight w:val="none"/>
          <w:u w:val="none"/>
          <w:lang w:eastAsia="zh-CN"/>
        </w:rPr>
        <w:t>项目编号：</w:t>
      </w:r>
      <w:r>
        <w:rPr>
          <w:rFonts w:hint="eastAsia" w:ascii="宋体" w:hAnsi="宋体" w:eastAsia="宋体" w:cs="宋体"/>
          <w:b/>
          <w:color w:val="auto"/>
          <w:spacing w:val="20"/>
          <w:kern w:val="0"/>
          <w:sz w:val="32"/>
          <w:szCs w:val="32"/>
          <w:highlight w:val="none"/>
          <w:u w:val="single"/>
          <w:lang w:val="en-US" w:eastAsia="zh-CN"/>
        </w:rPr>
        <w:t>HXJY1110001065357001</w:t>
      </w:r>
    </w:p>
    <w:p w14:paraId="468AA447">
      <w:pPr>
        <w:tabs>
          <w:tab w:val="left" w:pos="2410"/>
        </w:tabs>
        <w:autoSpaceDE w:val="0"/>
        <w:autoSpaceDN w:val="0"/>
        <w:adjustRightInd w:val="0"/>
        <w:snapToGrid w:val="0"/>
        <w:spacing w:line="360" w:lineRule="auto"/>
        <w:ind w:firstLine="723" w:firstLineChars="200"/>
        <w:rPr>
          <w:rFonts w:ascii="宋体" w:hAnsi="宋体" w:eastAsia="宋体" w:cs="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rPr>
        <w:t>采 购 人：</w:t>
      </w:r>
      <w:r>
        <w:rPr>
          <w:rFonts w:hint="eastAsia" w:ascii="宋体" w:hAnsi="宋体" w:eastAsia="宋体" w:cs="宋体"/>
          <w:b/>
          <w:color w:val="auto"/>
          <w:spacing w:val="20"/>
          <w:kern w:val="0"/>
          <w:sz w:val="32"/>
          <w:szCs w:val="32"/>
          <w:highlight w:val="none"/>
          <w:u w:val="single"/>
          <w:lang w:eastAsia="zh-CN"/>
        </w:rPr>
        <w:t>中新苏滁高新技术产业开发区管理委员会</w:t>
      </w:r>
    </w:p>
    <w:p w14:paraId="63BCA648">
      <w:pPr>
        <w:tabs>
          <w:tab w:val="left" w:pos="2410"/>
        </w:tabs>
        <w:autoSpaceDE w:val="0"/>
        <w:autoSpaceDN w:val="0"/>
        <w:adjustRightInd w:val="0"/>
        <w:snapToGrid w:val="0"/>
        <w:spacing w:line="360" w:lineRule="auto"/>
        <w:ind w:firstLine="723" w:firstLineChars="200"/>
        <w:rPr>
          <w:rFonts w:ascii="宋体" w:hAnsi="宋体" w:eastAsia="宋体" w:cs="宋体"/>
          <w:b/>
          <w:color w:val="auto"/>
          <w:spacing w:val="20"/>
          <w:kern w:val="0"/>
          <w:sz w:val="32"/>
          <w:szCs w:val="32"/>
          <w:highlight w:val="none"/>
          <w:u w:val="single"/>
        </w:rPr>
      </w:pPr>
      <w:r>
        <w:rPr>
          <w:rFonts w:hint="eastAsia" w:ascii="宋体" w:hAnsi="宋体" w:eastAsia="宋体" w:cs="宋体"/>
          <w:b/>
          <w:color w:val="auto"/>
          <w:spacing w:val="20"/>
          <w:kern w:val="0"/>
          <w:sz w:val="32"/>
          <w:szCs w:val="32"/>
          <w:highlight w:val="none"/>
        </w:rPr>
        <w:t>采购代理机构：</w:t>
      </w:r>
      <w:r>
        <w:rPr>
          <w:rFonts w:hint="eastAsia" w:ascii="宋体" w:hAnsi="宋体" w:eastAsia="宋体"/>
          <w:b/>
          <w:color w:val="auto"/>
          <w:spacing w:val="0"/>
          <w:kern w:val="0"/>
          <w:sz w:val="32"/>
          <w:szCs w:val="32"/>
          <w:highlight w:val="none"/>
          <w:u w:val="single"/>
          <w:lang w:val="en-US" w:eastAsia="zh-CN"/>
        </w:rPr>
        <w:t>滁州市城投工程咨询管理有限公司</w:t>
      </w:r>
    </w:p>
    <w:p w14:paraId="77B8421D">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5A847776">
      <w:pPr>
        <w:pStyle w:val="10"/>
        <w:rPr>
          <w:rFonts w:ascii="宋体" w:hAnsi="宋体" w:eastAsia="宋体" w:cs="宋体"/>
          <w:color w:val="auto"/>
          <w:highlight w:val="none"/>
        </w:rPr>
      </w:pPr>
    </w:p>
    <w:p w14:paraId="6F3DDC42">
      <w:pPr>
        <w:jc w:val="center"/>
        <w:rPr>
          <w:rFonts w:hint="eastAsia" w:ascii="宋体" w:hAnsi="宋体" w:eastAsia="宋体" w:cs="宋体"/>
          <w:b/>
          <w:color w:val="auto"/>
          <w:sz w:val="36"/>
          <w:highlight w:val="none"/>
        </w:rPr>
        <w:sectPr>
          <w:headerReference r:id="rId3" w:type="default"/>
          <w:footerReference r:id="rId4" w:type="default"/>
          <w:pgSz w:w="11905" w:h="16838"/>
          <w:pgMar w:top="1417" w:right="1417" w:bottom="1417" w:left="1417" w:header="850" w:footer="992" w:gutter="0"/>
          <w:pgNumType w:fmt="decimal"/>
          <w:cols w:space="0" w:num="1"/>
          <w:rtlGutter w:val="0"/>
          <w:docGrid w:type="lines" w:linePitch="318" w:charSpace="0"/>
        </w:sectPr>
      </w:pPr>
      <w:r>
        <w:rPr>
          <w:rFonts w:hint="eastAsia" w:ascii="宋体" w:hAnsi="宋体" w:eastAsia="宋体" w:cs="宋体"/>
          <w:b/>
          <w:color w:val="auto"/>
          <w:sz w:val="36"/>
          <w:highlight w:val="none"/>
          <w:u w:val="single"/>
        </w:rPr>
        <w:t>202</w:t>
      </w:r>
      <w:r>
        <w:rPr>
          <w:rFonts w:hint="eastAsia" w:ascii="宋体" w:hAnsi="宋体" w:eastAsia="宋体" w:cs="宋体"/>
          <w:b/>
          <w:color w:val="auto"/>
          <w:sz w:val="36"/>
          <w:highlight w:val="none"/>
          <w:u w:val="single"/>
          <w:lang w:val="en-US" w:eastAsia="zh-CN"/>
        </w:rPr>
        <w:t>6</w:t>
      </w:r>
      <w:r>
        <w:rPr>
          <w:rFonts w:hint="eastAsia" w:ascii="宋体" w:hAnsi="宋体" w:eastAsia="宋体" w:cs="宋体"/>
          <w:b/>
          <w:color w:val="auto"/>
          <w:sz w:val="36"/>
          <w:highlight w:val="none"/>
        </w:rPr>
        <w:t>年</w:t>
      </w:r>
      <w:r>
        <w:rPr>
          <w:rFonts w:hint="eastAsia" w:ascii="宋体" w:hAnsi="宋体" w:eastAsia="宋体" w:cs="宋体"/>
          <w:b/>
          <w:color w:val="auto"/>
          <w:sz w:val="36"/>
          <w:highlight w:val="none"/>
          <w:u w:val="single"/>
          <w:lang w:val="en-US" w:eastAsia="zh-CN"/>
        </w:rPr>
        <w:t>11</w:t>
      </w:r>
      <w:r>
        <w:rPr>
          <w:rFonts w:hint="eastAsia" w:ascii="宋体" w:hAnsi="宋体" w:eastAsia="宋体" w:cs="宋体"/>
          <w:b/>
          <w:color w:val="auto"/>
          <w:sz w:val="36"/>
          <w:highlight w:val="none"/>
        </w:rPr>
        <w:t>月</w:t>
      </w:r>
    </w:p>
    <w:p w14:paraId="2D19884D">
      <w:pPr>
        <w:rPr>
          <w:rFonts w:hint="eastAsia" w:ascii="宋体" w:hAnsi="宋体" w:eastAsia="宋体" w:cs="宋体"/>
          <w:b/>
          <w:color w:val="auto"/>
          <w:sz w:val="36"/>
          <w:highlight w:val="none"/>
        </w:rPr>
      </w:pPr>
    </w:p>
    <w:p w14:paraId="0B91BF76">
      <w:pPr>
        <w:tabs>
          <w:tab w:val="left" w:pos="2410"/>
        </w:tabs>
        <w:autoSpaceDE w:val="0"/>
        <w:autoSpaceDN w:val="0"/>
        <w:adjustRightInd w:val="0"/>
        <w:snapToGrid w:val="0"/>
        <w:spacing w:line="600" w:lineRule="exact"/>
        <w:jc w:val="center"/>
        <w:rPr>
          <w:rFonts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5BB34F17">
      <w:pPr>
        <w:pStyle w:val="20"/>
        <w:tabs>
          <w:tab w:val="right" w:leader="dot" w:pos="9071"/>
        </w:tabs>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_Toc23796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第一章  投标邀请</w:t>
      </w:r>
      <w:r>
        <w:tab/>
      </w:r>
      <w:r>
        <w:fldChar w:fldCharType="begin"/>
      </w:r>
      <w:r>
        <w:instrText xml:space="preserve"> PAGEREF _Toc23796 \h </w:instrText>
      </w:r>
      <w:r>
        <w:fldChar w:fldCharType="separate"/>
      </w:r>
      <w:r>
        <w:t>1</w:t>
      </w:r>
      <w:r>
        <w:fldChar w:fldCharType="end"/>
      </w:r>
      <w:r>
        <w:rPr>
          <w:rFonts w:hint="eastAsia" w:ascii="宋体" w:hAnsi="宋体" w:eastAsia="宋体" w:cs="宋体"/>
          <w:color w:val="auto"/>
          <w:szCs w:val="24"/>
          <w:highlight w:val="none"/>
        </w:rPr>
        <w:fldChar w:fldCharType="end"/>
      </w:r>
    </w:p>
    <w:p w14:paraId="33CA22F7">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_Toc31180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第二章  投标人须知</w:t>
      </w:r>
      <w:r>
        <w:tab/>
      </w:r>
      <w:r>
        <w:fldChar w:fldCharType="begin"/>
      </w:r>
      <w:r>
        <w:instrText xml:space="preserve"> PAGEREF _Toc31180 \h </w:instrText>
      </w:r>
      <w:r>
        <w:fldChar w:fldCharType="separate"/>
      </w:r>
      <w:r>
        <w:t>4</w:t>
      </w:r>
      <w:r>
        <w:fldChar w:fldCharType="end"/>
      </w:r>
      <w:r>
        <w:rPr>
          <w:rFonts w:hint="eastAsia" w:ascii="宋体" w:hAnsi="宋体" w:eastAsia="宋体" w:cs="宋体"/>
          <w:color w:val="auto"/>
          <w:szCs w:val="24"/>
          <w:highlight w:val="none"/>
        </w:rPr>
        <w:fldChar w:fldCharType="end"/>
      </w:r>
    </w:p>
    <w:p w14:paraId="12C0357C">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_Toc8123 </w:instrText>
      </w:r>
      <w:r>
        <w:rPr>
          <w:rFonts w:hint="eastAsia" w:ascii="宋体" w:hAnsi="宋体" w:eastAsia="宋体" w:cs="宋体"/>
          <w:szCs w:val="24"/>
          <w:highlight w:val="none"/>
        </w:rPr>
        <w:fldChar w:fldCharType="separate"/>
      </w:r>
      <w:r>
        <w:rPr>
          <w:rFonts w:hint="eastAsia" w:ascii="宋体" w:hAnsi="宋体" w:eastAsia="宋体" w:cs="宋体"/>
        </w:rPr>
        <w:t xml:space="preserve">第三章 </w:t>
      </w:r>
      <w:r>
        <w:rPr>
          <w:rFonts w:hint="eastAsia" w:ascii="宋体" w:hAnsi="宋体" w:eastAsia="宋体" w:cs="宋体"/>
          <w:lang w:val="en-US" w:eastAsia="zh-CN"/>
        </w:rPr>
        <w:t xml:space="preserve"> </w:t>
      </w:r>
      <w:r>
        <w:rPr>
          <w:rFonts w:hint="eastAsia" w:ascii="宋体" w:hAnsi="宋体" w:eastAsia="宋体" w:cs="宋体"/>
          <w:highlight w:val="none"/>
        </w:rPr>
        <w:t>采购需求</w:t>
      </w:r>
      <w:r>
        <w:tab/>
      </w:r>
      <w:r>
        <w:fldChar w:fldCharType="begin"/>
      </w:r>
      <w:r>
        <w:instrText xml:space="preserve"> PAGEREF _Toc8123 \h </w:instrText>
      </w:r>
      <w:r>
        <w:fldChar w:fldCharType="separate"/>
      </w:r>
      <w:r>
        <w:t>20</w:t>
      </w:r>
      <w:r>
        <w:fldChar w:fldCharType="end"/>
      </w:r>
      <w:r>
        <w:rPr>
          <w:rFonts w:hint="eastAsia" w:ascii="宋体" w:hAnsi="宋体" w:eastAsia="宋体" w:cs="宋体"/>
          <w:color w:val="auto"/>
          <w:szCs w:val="24"/>
          <w:highlight w:val="none"/>
        </w:rPr>
        <w:fldChar w:fldCharType="end"/>
      </w:r>
    </w:p>
    <w:p w14:paraId="51F76672">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_Toc27607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第四章  评标方法和标准（综合评分法）</w:t>
      </w:r>
      <w:r>
        <w:tab/>
      </w:r>
      <w:r>
        <w:fldChar w:fldCharType="begin"/>
      </w:r>
      <w:r>
        <w:instrText xml:space="preserve"> PAGEREF _Toc27607 \h </w:instrText>
      </w:r>
      <w:r>
        <w:fldChar w:fldCharType="separate"/>
      </w:r>
      <w:r>
        <w:t>22</w:t>
      </w:r>
      <w:r>
        <w:fldChar w:fldCharType="end"/>
      </w:r>
      <w:r>
        <w:rPr>
          <w:rFonts w:hint="eastAsia" w:ascii="宋体" w:hAnsi="宋体" w:eastAsia="宋体" w:cs="宋体"/>
          <w:color w:val="auto"/>
          <w:szCs w:val="24"/>
          <w:highlight w:val="none"/>
        </w:rPr>
        <w:fldChar w:fldCharType="end"/>
      </w:r>
    </w:p>
    <w:p w14:paraId="48EF8EC4">
      <w:pPr>
        <w:pStyle w:val="22"/>
        <w:tabs>
          <w:tab w:val="right" w:leader="dot" w:pos="9071"/>
        </w:tabs>
        <w:ind w:left="0" w:leftChars="0" w:firstLine="0" w:firstLineChars="0"/>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_Toc8178 </w:instrText>
      </w:r>
      <w:r>
        <w:rPr>
          <w:rFonts w:hint="eastAsia" w:ascii="宋体" w:hAnsi="宋体" w:eastAsia="宋体" w:cs="宋体"/>
          <w:szCs w:val="24"/>
          <w:highlight w:val="none"/>
        </w:rPr>
        <w:fldChar w:fldCharType="separate"/>
      </w:r>
      <w:r>
        <w:rPr>
          <w:rFonts w:hint="eastAsia" w:ascii="宋体" w:hAnsi="宋体" w:eastAsia="宋体" w:cs="宋体"/>
          <w:highlight w:val="none"/>
        </w:rPr>
        <w:t xml:space="preserve">第五章 </w:t>
      </w:r>
      <w:r>
        <w:rPr>
          <w:rFonts w:hint="eastAsia" w:ascii="宋体" w:hAnsi="宋体" w:eastAsia="宋体" w:cs="宋体"/>
          <w:highlight w:val="none"/>
          <w:lang w:val="en-US" w:eastAsia="zh-CN"/>
        </w:rPr>
        <w:t xml:space="preserve"> 政府采购合同</w:t>
      </w:r>
      <w:r>
        <w:tab/>
      </w:r>
      <w:r>
        <w:fldChar w:fldCharType="begin"/>
      </w:r>
      <w:r>
        <w:instrText xml:space="preserve"> PAGEREF _Toc8178 \h </w:instrText>
      </w:r>
      <w:r>
        <w:fldChar w:fldCharType="separate"/>
      </w:r>
      <w:r>
        <w:t>31</w:t>
      </w:r>
      <w:r>
        <w:fldChar w:fldCharType="end"/>
      </w:r>
      <w:r>
        <w:rPr>
          <w:rFonts w:hint="eastAsia" w:ascii="宋体" w:hAnsi="宋体" w:eastAsia="宋体" w:cs="宋体"/>
          <w:color w:val="auto"/>
          <w:szCs w:val="24"/>
          <w:highlight w:val="none"/>
        </w:rPr>
        <w:fldChar w:fldCharType="end"/>
      </w:r>
    </w:p>
    <w:p w14:paraId="56FB1F6E">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_Toc16334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第六章  投标文件格式</w:t>
      </w:r>
      <w:r>
        <w:tab/>
      </w:r>
      <w:r>
        <w:fldChar w:fldCharType="begin"/>
      </w:r>
      <w:r>
        <w:instrText xml:space="preserve"> PAGEREF _Toc16334 \h </w:instrText>
      </w:r>
      <w:r>
        <w:fldChar w:fldCharType="separate"/>
      </w:r>
      <w:r>
        <w:t>40</w:t>
      </w:r>
      <w:r>
        <w:fldChar w:fldCharType="end"/>
      </w:r>
      <w:r>
        <w:rPr>
          <w:rFonts w:hint="eastAsia" w:ascii="宋体" w:hAnsi="宋体" w:eastAsia="宋体" w:cs="宋体"/>
          <w:color w:val="auto"/>
          <w:szCs w:val="24"/>
          <w:highlight w:val="none"/>
        </w:rPr>
        <w:fldChar w:fldCharType="end"/>
      </w:r>
    </w:p>
    <w:p w14:paraId="369819D1">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_Toc3552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第七章</w:t>
      </w:r>
      <w:r>
        <w:rPr>
          <w:rFonts w:hint="eastAsia" w:ascii="宋体" w:hAnsi="宋体" w:eastAsia="宋体" w:cs="宋体"/>
          <w:bCs/>
          <w:highlight w:val="none"/>
        </w:rPr>
        <w:t xml:space="preserve">  政府采购</w:t>
      </w:r>
      <w:r>
        <w:rPr>
          <w:rFonts w:hint="eastAsia" w:ascii="宋体" w:hAnsi="宋体" w:eastAsia="宋体" w:cs="宋体"/>
          <w:highlight w:val="none"/>
        </w:rPr>
        <w:t>供应</w:t>
      </w:r>
      <w:r>
        <w:rPr>
          <w:rFonts w:hint="eastAsia" w:ascii="宋体" w:hAnsi="宋体" w:eastAsia="宋体" w:cs="宋体"/>
          <w:bCs/>
          <w:highlight w:val="none"/>
        </w:rPr>
        <w:t>商询问函和质疑函范本</w:t>
      </w:r>
      <w:r>
        <w:tab/>
      </w:r>
      <w:r>
        <w:fldChar w:fldCharType="begin"/>
      </w:r>
      <w:r>
        <w:instrText xml:space="preserve"> PAGEREF _Toc3552 \h </w:instrText>
      </w:r>
      <w:r>
        <w:fldChar w:fldCharType="separate"/>
      </w:r>
      <w:r>
        <w:t>55</w:t>
      </w:r>
      <w:r>
        <w:fldChar w:fldCharType="end"/>
      </w:r>
      <w:r>
        <w:rPr>
          <w:rFonts w:hint="eastAsia" w:ascii="宋体" w:hAnsi="宋体" w:eastAsia="宋体" w:cs="宋体"/>
          <w:color w:val="auto"/>
          <w:szCs w:val="24"/>
          <w:highlight w:val="none"/>
        </w:rPr>
        <w:fldChar w:fldCharType="end"/>
      </w:r>
    </w:p>
    <w:p w14:paraId="0AC2FE68">
      <w:pPr>
        <w:spacing w:line="600" w:lineRule="exact"/>
        <w:jc w:val="center"/>
        <w:rPr>
          <w:rFonts w:ascii="宋体" w:hAnsi="宋体" w:eastAsia="宋体" w:cs="宋体"/>
          <w:b/>
          <w:color w:val="auto"/>
          <w:sz w:val="32"/>
          <w:highlight w:val="none"/>
        </w:rPr>
      </w:pPr>
      <w:r>
        <w:rPr>
          <w:rFonts w:hint="eastAsia" w:ascii="宋体" w:hAnsi="宋体" w:eastAsia="宋体" w:cs="宋体"/>
          <w:color w:val="auto"/>
          <w:szCs w:val="24"/>
          <w:highlight w:val="none"/>
        </w:rPr>
        <w:fldChar w:fldCharType="end"/>
      </w:r>
    </w:p>
    <w:p w14:paraId="6192FD38">
      <w:pPr>
        <w:spacing w:line="360" w:lineRule="auto"/>
        <w:rPr>
          <w:rFonts w:ascii="宋体" w:hAnsi="宋体" w:eastAsia="宋体" w:cs="宋体"/>
          <w:b/>
          <w:color w:val="auto"/>
          <w:sz w:val="32"/>
          <w:highlight w:val="none"/>
        </w:rPr>
      </w:pPr>
    </w:p>
    <w:p w14:paraId="5B206375">
      <w:pPr>
        <w:spacing w:line="360" w:lineRule="auto"/>
        <w:jc w:val="center"/>
        <w:outlineLvl w:val="1"/>
        <w:rPr>
          <w:rFonts w:ascii="宋体" w:hAnsi="宋体" w:eastAsia="宋体" w:cs="宋体"/>
          <w:b/>
          <w:color w:val="auto"/>
          <w:sz w:val="28"/>
          <w:highlight w:val="none"/>
        </w:rPr>
        <w:sectPr>
          <w:footerReference r:id="rId5" w:type="default"/>
          <w:pgSz w:w="11905" w:h="16838"/>
          <w:pgMar w:top="1417" w:right="1417" w:bottom="1417" w:left="1417" w:header="850" w:footer="992" w:gutter="0"/>
          <w:pgNumType w:fmt="numberInDash" w:start="1"/>
          <w:cols w:space="0" w:num="1"/>
          <w:rtlGutter w:val="0"/>
          <w:docGrid w:type="lines" w:linePitch="318" w:charSpace="0"/>
        </w:sectPr>
      </w:pPr>
    </w:p>
    <w:p w14:paraId="1AB95467">
      <w:pPr>
        <w:spacing w:line="420" w:lineRule="exact"/>
        <w:jc w:val="center"/>
        <w:outlineLvl w:val="0"/>
        <w:rPr>
          <w:rFonts w:ascii="宋体" w:hAnsi="宋体" w:eastAsia="宋体" w:cs="宋体"/>
          <w:b/>
          <w:color w:val="auto"/>
          <w:sz w:val="28"/>
          <w:highlight w:val="none"/>
        </w:rPr>
      </w:pPr>
      <w:bookmarkStart w:id="1" w:name="_Toc23796"/>
      <w:r>
        <w:rPr>
          <w:rFonts w:hint="eastAsia" w:ascii="宋体" w:hAnsi="宋体" w:eastAsia="宋体" w:cs="宋体"/>
          <w:b/>
          <w:color w:val="auto"/>
          <w:sz w:val="28"/>
          <w:highlight w:val="none"/>
        </w:rPr>
        <w:t>第一章  投标邀请</w:t>
      </w:r>
      <w:bookmarkEnd w:id="1"/>
    </w:p>
    <w:p w14:paraId="2728CFE7">
      <w:pPr>
        <w:spacing w:line="420" w:lineRule="exact"/>
        <w:ind w:firstLine="435"/>
        <w:rPr>
          <w:rFonts w:ascii="宋体" w:hAnsi="宋体" w:eastAsia="宋体" w:cs="宋体"/>
          <w:color w:val="auto"/>
          <w:sz w:val="24"/>
          <w:highlight w:val="none"/>
        </w:rPr>
      </w:pPr>
      <w:bookmarkStart w:id="252" w:name="_GoBack"/>
      <w:bookmarkStart w:id="2" w:name="_Toc1381"/>
      <w:bookmarkStart w:id="3" w:name="_Toc31518"/>
      <w:r>
        <w:rPr>
          <w:rFonts w:hint="eastAsia" w:ascii="宋体" w:hAnsi="宋体" w:eastAsia="宋体" w:cs="宋体"/>
          <w:color w:val="auto"/>
          <w:sz w:val="24"/>
          <w:highlight w:val="none"/>
        </w:rPr>
        <w:t>项目概况</w:t>
      </w:r>
    </w:p>
    <w:p w14:paraId="4D5D6CF5">
      <w:pPr>
        <w:keepNext w:val="0"/>
        <w:keepLines w:val="0"/>
        <w:pageBreakBefore w:val="0"/>
        <w:widowControl w:val="0"/>
        <w:kinsoku/>
        <w:wordWrap w:val="0"/>
        <w:overflowPunct/>
        <w:topLinePunct w:val="0"/>
        <w:autoSpaceDE/>
        <w:autoSpaceDN/>
        <w:bidi w:val="0"/>
        <w:adjustRightInd/>
        <w:snapToGrid/>
        <w:spacing w:line="42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u w:val="single"/>
          <w:lang w:val="en-US" w:eastAsia="zh-CN"/>
        </w:rPr>
        <w:t>2027年度企业科技研发项目基础资料质量提升服务</w:t>
      </w:r>
      <w:r>
        <w:rPr>
          <w:rFonts w:hint="eastAsia" w:ascii="宋体" w:hAnsi="宋体" w:eastAsia="宋体" w:cs="宋体"/>
          <w:color w:val="auto"/>
          <w:sz w:val="24"/>
          <w:highlight w:val="none"/>
        </w:rPr>
        <w:t>的潜在投标人应在</w:t>
      </w:r>
      <w:r>
        <w:rPr>
          <w:rFonts w:hint="eastAsia" w:ascii="宋体" w:hAnsi="宋体" w:eastAsia="宋体" w:cs="宋体"/>
          <w:color w:val="auto"/>
          <w:sz w:val="24"/>
          <w:highlight w:val="none"/>
          <w:lang w:eastAsia="zh-CN"/>
        </w:rPr>
        <w:t>中新苏滁高新技术产业开发区网站（https://scp.chuzhou.gov.cn/）、滁州市城投工程咨询管理有限公司网站（https://www.czctgczx.com/）获取招标文件，并于2026年11月10日</w:t>
      </w:r>
      <w:r>
        <w:rPr>
          <w:rFonts w:hint="eastAsia" w:ascii="宋体" w:hAnsi="宋体" w:eastAsia="宋体" w:cs="宋体"/>
          <w:color w:val="auto"/>
          <w:sz w:val="24"/>
          <w:highlight w:val="none"/>
          <w:lang w:val="en-US" w:eastAsia="zh-CN"/>
        </w:rPr>
        <w:t>8点30分</w:t>
      </w:r>
      <w:r>
        <w:rPr>
          <w:rFonts w:hint="eastAsia" w:ascii="宋体" w:hAnsi="宋体" w:eastAsia="宋体" w:cs="宋体"/>
          <w:color w:val="auto"/>
          <w:sz w:val="24"/>
          <w:highlight w:val="none"/>
          <w:lang w:eastAsia="zh-CN"/>
        </w:rPr>
        <w:t>（北京时间）前递交投标文件。</w:t>
      </w:r>
    </w:p>
    <w:p w14:paraId="58498A2E">
      <w:pPr>
        <w:spacing w:line="420" w:lineRule="exact"/>
        <w:ind w:firstLine="437"/>
        <w:outlineLvl w:val="1"/>
        <w:rPr>
          <w:rFonts w:ascii="宋体" w:hAnsi="宋体" w:eastAsia="宋体" w:cs="宋体"/>
          <w:b/>
          <w:bCs/>
          <w:color w:val="auto"/>
          <w:sz w:val="24"/>
          <w:szCs w:val="18"/>
          <w:highlight w:val="none"/>
        </w:rPr>
      </w:pPr>
      <w:bookmarkStart w:id="4" w:name="_Toc6113"/>
      <w:r>
        <w:rPr>
          <w:rFonts w:hint="eastAsia" w:ascii="宋体" w:hAnsi="宋体" w:eastAsia="宋体" w:cs="宋体"/>
          <w:b/>
          <w:bCs/>
          <w:color w:val="auto"/>
          <w:sz w:val="24"/>
          <w:szCs w:val="18"/>
          <w:highlight w:val="none"/>
        </w:rPr>
        <w:t>一、</w:t>
      </w:r>
      <w:bookmarkEnd w:id="2"/>
      <w:r>
        <w:rPr>
          <w:rFonts w:hint="eastAsia" w:ascii="宋体" w:hAnsi="宋体" w:eastAsia="宋体" w:cs="宋体"/>
          <w:b/>
          <w:bCs/>
          <w:color w:val="auto"/>
          <w:sz w:val="24"/>
          <w:szCs w:val="18"/>
          <w:highlight w:val="none"/>
        </w:rPr>
        <w:t>项目基本情况</w:t>
      </w:r>
      <w:bookmarkEnd w:id="3"/>
      <w:bookmarkEnd w:id="4"/>
    </w:p>
    <w:p w14:paraId="51CDA970">
      <w:pPr>
        <w:spacing w:line="420" w:lineRule="exact"/>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项目编</w:t>
      </w:r>
      <w:r>
        <w:rPr>
          <w:rFonts w:hint="eastAsia" w:ascii="宋体" w:hAnsi="宋体" w:eastAsia="宋体" w:cs="宋体"/>
          <w:color w:val="auto"/>
          <w:sz w:val="24"/>
          <w:highlight w:val="none"/>
          <w:lang w:eastAsia="zh-CN"/>
        </w:rPr>
        <w:t>号</w:t>
      </w:r>
      <w:r>
        <w:rPr>
          <w:rFonts w:hint="eastAsia" w:ascii="宋体" w:hAnsi="宋体" w:eastAsia="宋体" w:cs="宋体"/>
          <w:color w:val="auto"/>
          <w:sz w:val="24"/>
          <w:highlight w:val="none"/>
          <w:lang w:val="en-US" w:eastAsia="zh-CN"/>
        </w:rPr>
        <w:t xml:space="preserve">：HXJY1110001065357001 </w:t>
      </w:r>
    </w:p>
    <w:p w14:paraId="79BBBEF3">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val="en-US" w:eastAsia="zh-CN"/>
        </w:rPr>
        <w:t>2027年度企业科技研发项目基础资料质量提升服务</w:t>
      </w:r>
    </w:p>
    <w:p w14:paraId="47605979">
      <w:pPr>
        <w:spacing w:line="420" w:lineRule="exact"/>
        <w:ind w:firstLine="435"/>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预算金额：200000.00元。</w:t>
      </w:r>
    </w:p>
    <w:p w14:paraId="19FC3535">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最高限价：本项目投标报价最高限价为200000.00元。投标报价不得高于最高限价，否则按无效标处理。</w:t>
      </w:r>
    </w:p>
    <w:p w14:paraId="1D4FC42D">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采购需求：对园区规上企业进行政策宣传、入户走访、政策解读、问题收集和企业回访等，</w:t>
      </w:r>
      <w:r>
        <w:rPr>
          <w:rFonts w:hint="default" w:ascii="宋体" w:hAnsi="宋体" w:eastAsia="宋体" w:cs="宋体"/>
          <w:color w:val="auto"/>
          <w:sz w:val="24"/>
          <w:highlight w:val="none"/>
          <w:lang w:val="en-US" w:eastAsia="zh-CN"/>
        </w:rPr>
        <w:t>协助我区有科技研发项目投入的企业完善项目基础资料</w:t>
      </w:r>
    </w:p>
    <w:p w14:paraId="3646486D">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合同履行期限：2027年1月1日-2027年12月31日。</w:t>
      </w:r>
    </w:p>
    <w:p w14:paraId="1D9A7814">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本项目不接受联合体投标。</w:t>
      </w:r>
    </w:p>
    <w:p w14:paraId="19E2CA48">
      <w:pPr>
        <w:spacing w:line="420" w:lineRule="exact"/>
        <w:ind w:firstLine="437"/>
        <w:outlineLvl w:val="1"/>
        <w:rPr>
          <w:rFonts w:ascii="宋体" w:hAnsi="宋体" w:eastAsia="宋体" w:cs="宋体"/>
          <w:b/>
          <w:bCs/>
          <w:color w:val="auto"/>
          <w:sz w:val="24"/>
          <w:szCs w:val="18"/>
          <w:highlight w:val="none"/>
        </w:rPr>
      </w:pPr>
      <w:bookmarkStart w:id="5" w:name="_Toc13530"/>
      <w:bookmarkStart w:id="6" w:name="_Toc14426"/>
      <w:bookmarkStart w:id="7" w:name="_Toc9204"/>
      <w:r>
        <w:rPr>
          <w:rFonts w:hint="eastAsia" w:ascii="宋体" w:hAnsi="宋体" w:eastAsia="宋体" w:cs="宋体"/>
          <w:b/>
          <w:bCs/>
          <w:color w:val="auto"/>
          <w:sz w:val="24"/>
          <w:szCs w:val="18"/>
          <w:highlight w:val="none"/>
        </w:rPr>
        <w:t>二、</w:t>
      </w:r>
      <w:bookmarkEnd w:id="5"/>
      <w:r>
        <w:rPr>
          <w:rFonts w:hint="eastAsia" w:ascii="宋体" w:hAnsi="宋体" w:eastAsia="宋体" w:cs="宋体"/>
          <w:b/>
          <w:bCs/>
          <w:color w:val="auto"/>
          <w:sz w:val="24"/>
          <w:szCs w:val="18"/>
          <w:highlight w:val="none"/>
        </w:rPr>
        <w:t>申请人的资格要求</w:t>
      </w:r>
      <w:bookmarkEnd w:id="6"/>
      <w:bookmarkEnd w:id="7"/>
    </w:p>
    <w:p w14:paraId="32DEF3C9">
      <w:pPr>
        <w:spacing w:line="420" w:lineRule="exact"/>
        <w:ind w:firstLine="435"/>
        <w:rPr>
          <w:rFonts w:hint="eastAsia" w:ascii="宋体" w:hAnsi="宋体" w:eastAsia="宋体" w:cs="宋体"/>
          <w:color w:val="auto"/>
          <w:sz w:val="24"/>
          <w:highlight w:val="none"/>
        </w:rPr>
      </w:pPr>
      <w:bookmarkStart w:id="8" w:name="_Toc30110"/>
      <w:r>
        <w:rPr>
          <w:rFonts w:hint="eastAsia" w:ascii="宋体" w:hAnsi="宋体" w:eastAsia="宋体" w:cs="宋体"/>
          <w:color w:val="auto"/>
          <w:sz w:val="24"/>
          <w:highlight w:val="none"/>
        </w:rPr>
        <w:t>1.满足《中华人民共和国政府采购法》第二十二条规定；</w:t>
      </w:r>
    </w:p>
    <w:p w14:paraId="185AB9E7">
      <w:pPr>
        <w:spacing w:line="42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2.落实政府采购政策需满足的资格要求：</w:t>
      </w:r>
      <w:r>
        <w:rPr>
          <w:rFonts w:hint="eastAsia" w:ascii="宋体" w:hAnsi="宋体" w:eastAsia="宋体" w:cs="宋体"/>
          <w:color w:val="auto"/>
          <w:sz w:val="24"/>
          <w:highlight w:val="none"/>
          <w:lang w:val="en-US" w:eastAsia="zh-CN"/>
        </w:rPr>
        <w:t>按照财政部、工业和信息化部制定的《政府采购促进中小企业发展管理办法》，本项目为专门面向中小企业采购项目。企业划型标准按照《关于印发中小企业划型标准规定的通知》（工信部联企业〔2011〕300号）规定执行。</w:t>
      </w:r>
    </w:p>
    <w:p w14:paraId="55203D6F">
      <w:pPr>
        <w:spacing w:line="42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3.本项目的特定资格要求：</w:t>
      </w:r>
      <w:r>
        <w:rPr>
          <w:rFonts w:hint="eastAsia" w:ascii="宋体" w:hAnsi="宋体" w:eastAsia="宋体" w:cs="宋体"/>
          <w:color w:val="auto"/>
          <w:sz w:val="24"/>
          <w:highlight w:val="none"/>
          <w:lang w:val="en-US" w:eastAsia="zh-CN"/>
        </w:rPr>
        <w:t>无</w:t>
      </w:r>
      <w:r>
        <w:rPr>
          <w:rFonts w:hint="eastAsia" w:ascii="宋体" w:hAnsi="宋体" w:eastAsia="宋体" w:cs="宋体"/>
          <w:color w:val="auto"/>
          <w:sz w:val="24"/>
          <w:highlight w:val="none"/>
        </w:rPr>
        <w:t>；</w:t>
      </w:r>
    </w:p>
    <w:p w14:paraId="7828BDC3">
      <w:pPr>
        <w:spacing w:line="420" w:lineRule="exact"/>
        <w:ind w:firstLine="437"/>
        <w:outlineLvl w:val="1"/>
        <w:rPr>
          <w:rFonts w:ascii="宋体" w:hAnsi="宋体" w:eastAsia="宋体" w:cs="宋体"/>
          <w:b/>
          <w:bCs/>
          <w:color w:val="auto"/>
          <w:sz w:val="24"/>
          <w:szCs w:val="18"/>
          <w:highlight w:val="none"/>
        </w:rPr>
      </w:pPr>
      <w:bookmarkStart w:id="9" w:name="_Toc21681"/>
      <w:bookmarkStart w:id="10" w:name="_Toc22692"/>
      <w:r>
        <w:rPr>
          <w:rFonts w:hint="eastAsia" w:ascii="宋体" w:hAnsi="宋体" w:eastAsia="宋体" w:cs="宋体"/>
          <w:b/>
          <w:bCs/>
          <w:color w:val="auto"/>
          <w:sz w:val="24"/>
          <w:szCs w:val="18"/>
          <w:highlight w:val="none"/>
        </w:rPr>
        <w:t>三、</w:t>
      </w:r>
      <w:bookmarkEnd w:id="8"/>
      <w:r>
        <w:rPr>
          <w:rFonts w:hint="eastAsia" w:ascii="宋体" w:hAnsi="宋体" w:eastAsia="宋体" w:cs="宋体"/>
          <w:b/>
          <w:bCs/>
          <w:color w:val="auto"/>
          <w:sz w:val="24"/>
          <w:szCs w:val="18"/>
          <w:highlight w:val="none"/>
        </w:rPr>
        <w:t>获取招标文件</w:t>
      </w:r>
      <w:bookmarkEnd w:id="9"/>
      <w:bookmarkEnd w:id="10"/>
    </w:p>
    <w:p w14:paraId="614B2AFE">
      <w:pPr>
        <w:spacing w:line="420" w:lineRule="exact"/>
        <w:ind w:firstLine="480" w:firstLineChars="200"/>
        <w:rPr>
          <w:rFonts w:ascii="宋体" w:hAnsi="宋体" w:eastAsia="宋体" w:cs="宋体"/>
          <w:i/>
          <w:iCs/>
          <w:color w:val="auto"/>
          <w:sz w:val="24"/>
          <w:szCs w:val="24"/>
          <w:highlight w:val="none"/>
        </w:rPr>
      </w:pPr>
      <w:bookmarkStart w:id="11" w:name="_Toc7957"/>
      <w:r>
        <w:rPr>
          <w:rFonts w:hint="eastAsia" w:ascii="宋体" w:hAnsi="宋体" w:eastAsia="宋体" w:cs="宋体"/>
          <w:color w:val="auto"/>
          <w:sz w:val="24"/>
          <w:szCs w:val="24"/>
          <w:highlight w:val="none"/>
        </w:rPr>
        <w:t>时间：</w:t>
      </w:r>
      <w:r>
        <w:rPr>
          <w:rFonts w:hint="eastAsia" w:ascii="宋体" w:hAnsi="宋体" w:eastAsia="宋体" w:cs="宋体"/>
          <w:color w:val="auto"/>
          <w:sz w:val="24"/>
          <w:highlight w:val="none"/>
          <w:u w:val="single"/>
          <w:lang w:eastAsia="zh-CN"/>
        </w:rPr>
        <w:t>2026年11月3日至2026年11月10日</w:t>
      </w:r>
    </w:p>
    <w:p w14:paraId="4105D1D3">
      <w:pPr>
        <w:spacing w:line="420" w:lineRule="exact"/>
        <w:ind w:firstLine="480" w:firstLineChars="200"/>
        <w:rPr>
          <w:rFonts w:ascii="宋体" w:hAnsi="宋体" w:eastAsia="宋体" w:cs="宋体"/>
          <w:color w:val="auto"/>
          <w:sz w:val="24"/>
          <w:szCs w:val="18"/>
          <w:highlight w:val="none"/>
          <w:u w:val="singl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highlight w:val="none"/>
          <w:u w:val="single"/>
          <w:lang w:eastAsia="zh-CN"/>
        </w:rPr>
        <w:t>中新苏滁高新技术产业开发区网站（https://scp.chuzhou.gov.cn/）、滁州市城投工程咨询管理有限公司网站（https://www.czctgczx.com/）</w:t>
      </w:r>
    </w:p>
    <w:p w14:paraId="40B26CF6">
      <w:pPr>
        <w:spacing w:line="420" w:lineRule="exact"/>
        <w:ind w:firstLine="480" w:firstLineChars="200"/>
        <w:rPr>
          <w:rFonts w:ascii="宋体" w:hAnsi="宋体" w:eastAsia="宋体" w:cs="宋体"/>
          <w:color w:val="auto"/>
          <w:sz w:val="24"/>
          <w:szCs w:val="18"/>
          <w:highlight w:val="none"/>
          <w:u w:val="single"/>
        </w:rPr>
      </w:pPr>
      <w:r>
        <w:rPr>
          <w:rFonts w:hint="eastAsia" w:ascii="宋体" w:hAnsi="宋体" w:eastAsia="宋体" w:cs="宋体"/>
          <w:color w:val="auto"/>
          <w:sz w:val="24"/>
          <w:szCs w:val="24"/>
          <w:highlight w:val="none"/>
        </w:rPr>
        <w:t>方式：</w:t>
      </w:r>
      <w:r>
        <w:rPr>
          <w:rFonts w:hint="eastAsia" w:ascii="宋体" w:hAnsi="宋体" w:eastAsia="宋体" w:cs="宋体"/>
          <w:color w:val="auto"/>
          <w:sz w:val="24"/>
          <w:szCs w:val="18"/>
          <w:highlight w:val="none"/>
          <w:u w:val="single"/>
        </w:rPr>
        <w:t>网上下载</w:t>
      </w:r>
    </w:p>
    <w:p w14:paraId="585AD823">
      <w:pPr>
        <w:spacing w:line="420" w:lineRule="exact"/>
        <w:ind w:firstLine="480" w:firstLineChars="200"/>
        <w:rPr>
          <w:rFonts w:ascii="宋体" w:hAnsi="宋体" w:eastAsia="宋体" w:cs="宋体"/>
          <w:color w:val="auto"/>
          <w:sz w:val="24"/>
          <w:szCs w:val="24"/>
          <w:highlight w:val="none"/>
          <w:u w:val="single"/>
        </w:rPr>
      </w:pPr>
      <w:r>
        <w:rPr>
          <w:rFonts w:hint="eastAsia" w:ascii="宋体" w:hAnsi="宋体" w:eastAsia="宋体" w:cs="宋体"/>
          <w:color w:val="auto"/>
          <w:sz w:val="24"/>
          <w:szCs w:val="18"/>
          <w:highlight w:val="none"/>
        </w:rPr>
        <w:t>售价：</w:t>
      </w:r>
      <w:r>
        <w:rPr>
          <w:rFonts w:hint="eastAsia" w:ascii="宋体" w:hAnsi="宋体" w:eastAsia="宋体" w:cs="宋体"/>
          <w:color w:val="auto"/>
          <w:sz w:val="24"/>
          <w:szCs w:val="18"/>
          <w:highlight w:val="none"/>
          <w:u w:val="single"/>
        </w:rPr>
        <w:t>0元</w:t>
      </w:r>
    </w:p>
    <w:p w14:paraId="35509C5C">
      <w:pPr>
        <w:spacing w:line="420" w:lineRule="exact"/>
        <w:ind w:firstLine="437"/>
        <w:outlineLvl w:val="1"/>
        <w:rPr>
          <w:rFonts w:ascii="宋体" w:hAnsi="宋体" w:eastAsia="宋体" w:cs="宋体"/>
          <w:b/>
          <w:bCs/>
          <w:color w:val="auto"/>
          <w:sz w:val="24"/>
          <w:szCs w:val="18"/>
          <w:highlight w:val="none"/>
        </w:rPr>
      </w:pPr>
      <w:bookmarkStart w:id="12" w:name="_Toc25902"/>
      <w:bookmarkStart w:id="13" w:name="_Toc21081"/>
      <w:r>
        <w:rPr>
          <w:rFonts w:hint="eastAsia" w:ascii="宋体" w:hAnsi="宋体" w:eastAsia="宋体" w:cs="宋体"/>
          <w:b/>
          <w:bCs/>
          <w:color w:val="auto"/>
          <w:sz w:val="24"/>
          <w:szCs w:val="18"/>
          <w:highlight w:val="none"/>
        </w:rPr>
        <w:t>四、</w:t>
      </w:r>
      <w:bookmarkEnd w:id="11"/>
      <w:r>
        <w:rPr>
          <w:rFonts w:hint="eastAsia" w:ascii="宋体" w:hAnsi="宋体" w:eastAsia="宋体" w:cs="宋体"/>
          <w:b/>
          <w:bCs/>
          <w:color w:val="auto"/>
          <w:sz w:val="24"/>
          <w:szCs w:val="18"/>
          <w:highlight w:val="none"/>
        </w:rPr>
        <w:t>提交投标文件截止时间、开标时间和地点</w:t>
      </w:r>
      <w:bookmarkEnd w:id="12"/>
      <w:bookmarkEnd w:id="13"/>
    </w:p>
    <w:p w14:paraId="374DE6C2">
      <w:pPr>
        <w:spacing w:line="420" w:lineRule="exact"/>
        <w:ind w:firstLine="480" w:firstLineChars="200"/>
        <w:rPr>
          <w:rFonts w:hint="eastAsia" w:ascii="宋体" w:hAnsi="宋体" w:eastAsia="宋体" w:cs="宋体"/>
          <w:bCs/>
          <w:i/>
          <w:iCs/>
          <w:color w:val="auto"/>
          <w:sz w:val="24"/>
          <w:szCs w:val="24"/>
          <w:highlight w:val="none"/>
        </w:rPr>
      </w:pPr>
      <w:bookmarkStart w:id="14" w:name="_Toc5082"/>
      <w:r>
        <w:rPr>
          <w:rFonts w:hint="eastAsia" w:ascii="宋体" w:hAnsi="宋体" w:eastAsia="宋体" w:cs="宋体"/>
          <w:color w:val="auto"/>
          <w:sz w:val="24"/>
          <w:highlight w:val="none"/>
          <w:u w:val="single"/>
          <w:lang w:eastAsia="zh-CN"/>
        </w:rPr>
        <w:t>2026年11月10日</w:t>
      </w:r>
      <w:r>
        <w:rPr>
          <w:rFonts w:hint="eastAsia" w:ascii="宋体" w:hAnsi="宋体" w:eastAsia="宋体" w:cs="宋体"/>
          <w:color w:val="auto"/>
          <w:sz w:val="24"/>
          <w:highlight w:val="none"/>
          <w:u w:val="single"/>
          <w:lang w:val="en-US" w:eastAsia="zh-CN"/>
        </w:rPr>
        <w:t>8点30分</w:t>
      </w:r>
    </w:p>
    <w:p w14:paraId="48B42FB9">
      <w:pPr>
        <w:keepNext w:val="0"/>
        <w:keepLines w:val="0"/>
        <w:pageBreakBefore w:val="0"/>
        <w:widowControl w:val="0"/>
        <w:kinsoku/>
        <w:wordWrap w:val="0"/>
        <w:overflowPunct/>
        <w:topLinePunct w:val="0"/>
        <w:autoSpaceDE/>
        <w:autoSpaceDN/>
        <w:bidi w:val="0"/>
        <w:adjustRightInd/>
        <w:snapToGrid/>
        <w:spacing w:line="42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18"/>
          <w:highlight w:val="none"/>
          <w:u w:val="single"/>
          <w:lang w:val="en-US" w:eastAsia="zh-CN"/>
        </w:rPr>
        <w:t>网上开标；本项目仅接受加密电子投标文件投标人在投标截止时间前通过新点电子交易平台后在【滁州专区】（https://www.etrading.cn/BREpointSSO/login/oauth2login?regioncode=DQ_ChuZhou）交易系统递交电子投标文件</w:t>
      </w:r>
    </w:p>
    <w:p w14:paraId="5E92A953">
      <w:pPr>
        <w:spacing w:line="420" w:lineRule="exact"/>
        <w:ind w:firstLine="437"/>
        <w:outlineLvl w:val="1"/>
        <w:rPr>
          <w:rFonts w:ascii="宋体" w:hAnsi="宋体" w:eastAsia="宋体" w:cs="宋体"/>
          <w:b/>
          <w:bCs/>
          <w:color w:val="auto"/>
          <w:sz w:val="24"/>
          <w:szCs w:val="18"/>
          <w:highlight w:val="none"/>
        </w:rPr>
      </w:pPr>
      <w:bookmarkStart w:id="15" w:name="_Toc30320"/>
      <w:bookmarkStart w:id="16" w:name="_Toc7753"/>
      <w:r>
        <w:rPr>
          <w:rFonts w:hint="eastAsia" w:ascii="宋体" w:hAnsi="宋体" w:eastAsia="宋体" w:cs="宋体"/>
          <w:b/>
          <w:bCs/>
          <w:color w:val="auto"/>
          <w:sz w:val="24"/>
          <w:szCs w:val="18"/>
          <w:highlight w:val="none"/>
        </w:rPr>
        <w:t>五、</w:t>
      </w:r>
      <w:bookmarkEnd w:id="14"/>
      <w:r>
        <w:rPr>
          <w:rFonts w:hint="eastAsia" w:ascii="宋体" w:hAnsi="宋体" w:eastAsia="宋体" w:cs="宋体"/>
          <w:b/>
          <w:bCs/>
          <w:color w:val="auto"/>
          <w:sz w:val="24"/>
          <w:szCs w:val="18"/>
          <w:highlight w:val="none"/>
        </w:rPr>
        <w:t>公告期限</w:t>
      </w:r>
      <w:bookmarkEnd w:id="15"/>
      <w:bookmarkEnd w:id="16"/>
    </w:p>
    <w:p w14:paraId="5616D132">
      <w:pPr>
        <w:spacing w:line="420" w:lineRule="exact"/>
        <w:ind w:firstLine="437"/>
        <w:rPr>
          <w:rFonts w:ascii="宋体" w:hAnsi="宋体" w:eastAsia="宋体" w:cs="宋体"/>
          <w:color w:val="auto"/>
          <w:sz w:val="24"/>
          <w:szCs w:val="18"/>
          <w:highlight w:val="none"/>
        </w:rPr>
      </w:pPr>
      <w:bookmarkStart w:id="17" w:name="_Toc1215"/>
      <w:r>
        <w:rPr>
          <w:rFonts w:hint="eastAsia" w:ascii="宋体" w:hAnsi="宋体" w:eastAsia="宋体" w:cs="宋体"/>
          <w:color w:val="auto"/>
          <w:sz w:val="24"/>
          <w:szCs w:val="18"/>
          <w:highlight w:val="none"/>
        </w:rPr>
        <w:t>自本公告发布之日起</w:t>
      </w:r>
      <w:r>
        <w:rPr>
          <w:rFonts w:hint="eastAsia" w:ascii="宋体" w:hAnsi="宋体" w:eastAsia="宋体" w:cs="宋体"/>
          <w:color w:val="auto"/>
          <w:sz w:val="24"/>
          <w:szCs w:val="18"/>
          <w:highlight w:val="none"/>
          <w:lang w:val="en-US" w:eastAsia="zh-CN"/>
        </w:rPr>
        <w:t>至投标截止日</w:t>
      </w:r>
      <w:r>
        <w:rPr>
          <w:rFonts w:hint="eastAsia" w:ascii="宋体" w:hAnsi="宋体" w:eastAsia="宋体" w:cs="宋体"/>
          <w:color w:val="auto"/>
          <w:sz w:val="24"/>
          <w:szCs w:val="18"/>
          <w:highlight w:val="none"/>
        </w:rPr>
        <w:t>。</w:t>
      </w:r>
    </w:p>
    <w:p w14:paraId="5BF85430">
      <w:pPr>
        <w:spacing w:line="420" w:lineRule="exact"/>
        <w:ind w:firstLine="437"/>
        <w:outlineLvl w:val="1"/>
        <w:rPr>
          <w:rFonts w:ascii="宋体" w:hAnsi="宋体" w:eastAsia="宋体" w:cs="宋体"/>
          <w:b/>
          <w:bCs/>
          <w:color w:val="auto"/>
          <w:sz w:val="24"/>
          <w:szCs w:val="18"/>
          <w:highlight w:val="none"/>
        </w:rPr>
      </w:pPr>
      <w:bookmarkStart w:id="18" w:name="_Toc35393795"/>
      <w:bookmarkStart w:id="19" w:name="_Toc31539"/>
      <w:bookmarkStart w:id="20" w:name="_Toc35393626"/>
      <w:bookmarkStart w:id="21" w:name="_Toc13242"/>
      <w:r>
        <w:rPr>
          <w:rFonts w:hint="eastAsia" w:ascii="宋体" w:hAnsi="宋体" w:eastAsia="宋体" w:cs="宋体"/>
          <w:b/>
          <w:bCs/>
          <w:color w:val="auto"/>
          <w:sz w:val="24"/>
          <w:szCs w:val="18"/>
          <w:highlight w:val="none"/>
        </w:rPr>
        <w:t>六、</w:t>
      </w:r>
      <w:bookmarkEnd w:id="18"/>
      <w:bookmarkEnd w:id="19"/>
      <w:bookmarkEnd w:id="20"/>
      <w:r>
        <w:rPr>
          <w:rFonts w:hint="eastAsia" w:ascii="宋体" w:hAnsi="宋体" w:eastAsia="宋体" w:cs="宋体"/>
          <w:b/>
          <w:bCs/>
          <w:color w:val="auto"/>
          <w:sz w:val="24"/>
          <w:szCs w:val="18"/>
          <w:highlight w:val="none"/>
        </w:rPr>
        <w:t>投标保证金金额及缴纳账户</w:t>
      </w:r>
      <w:bookmarkEnd w:id="21"/>
    </w:p>
    <w:p w14:paraId="7BE96EFD">
      <w:pPr>
        <w:spacing w:line="420" w:lineRule="exact"/>
        <w:ind w:firstLine="437"/>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是否要求投标人提交投标保证金：不要求。</w:t>
      </w:r>
    </w:p>
    <w:p w14:paraId="6A3A3353">
      <w:pPr>
        <w:spacing w:line="420" w:lineRule="exact"/>
        <w:ind w:firstLine="437"/>
        <w:outlineLvl w:val="1"/>
        <w:rPr>
          <w:rFonts w:ascii="宋体" w:hAnsi="宋体" w:eastAsia="宋体" w:cs="宋体"/>
          <w:b/>
          <w:bCs/>
          <w:color w:val="auto"/>
          <w:sz w:val="24"/>
          <w:szCs w:val="18"/>
          <w:highlight w:val="none"/>
        </w:rPr>
      </w:pPr>
      <w:bookmarkStart w:id="22" w:name="_Toc10141"/>
      <w:r>
        <w:rPr>
          <w:rFonts w:hint="eastAsia" w:ascii="宋体" w:hAnsi="宋体" w:eastAsia="宋体" w:cs="宋体"/>
          <w:b/>
          <w:bCs/>
          <w:color w:val="auto"/>
          <w:sz w:val="24"/>
          <w:szCs w:val="18"/>
          <w:highlight w:val="none"/>
        </w:rPr>
        <w:t>七、其他补充事宜</w:t>
      </w:r>
      <w:bookmarkEnd w:id="22"/>
    </w:p>
    <w:p w14:paraId="1DDA09FC">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投标人从</w:t>
      </w:r>
      <w:r>
        <w:rPr>
          <w:rFonts w:hint="eastAsia" w:ascii="宋体" w:hAnsi="宋体" w:eastAsia="宋体" w:cs="宋体"/>
          <w:color w:val="auto"/>
          <w:sz w:val="24"/>
          <w:szCs w:val="18"/>
          <w:highlight w:val="none"/>
          <w:lang w:eastAsia="zh-CN"/>
        </w:rPr>
        <w:t>中新苏滁高新技术产业开发区网站（https://scp.chuzhou.gov.cn/）、滁州市城投工程咨询管理有限公司网站（https://www.czctgczx.com/）</w:t>
      </w:r>
      <w:r>
        <w:rPr>
          <w:rFonts w:hint="eastAsia" w:ascii="宋体" w:hAnsi="宋体" w:eastAsia="宋体" w:cs="宋体"/>
          <w:color w:val="auto"/>
          <w:sz w:val="24"/>
          <w:szCs w:val="18"/>
          <w:highlight w:val="none"/>
          <w:lang w:val="en-US" w:eastAsia="zh-CN"/>
        </w:rPr>
        <w:t>下载。投标人自行承担因未按要求获取招标文件导致无法上传电子投标文件的风险。</w:t>
      </w:r>
    </w:p>
    <w:p w14:paraId="48F5B7DD">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4B7816C5">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p w14:paraId="326F487E">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2、招标文件及相关资料售价：人民币0元/套</w:t>
      </w:r>
    </w:p>
    <w:p w14:paraId="67194982">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455F409B">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4、本项目采用不见面开标，投标人登录滁州市城投工程咨询有限公司不见面开标系统参与网上开标（网址：http://js.etrading.cn/EpointBidOpening/bidopeninghallaction/hall/login）。</w:t>
      </w:r>
    </w:p>
    <w:p w14:paraId="519B8D7C">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投标人应在投标截止时间之前，登录新点电子交易平台【滁州专区】上传投标文件。</w:t>
      </w:r>
    </w:p>
    <w:p w14:paraId="785DCFDB">
      <w:pPr>
        <w:keepNext w:val="0"/>
        <w:keepLines w:val="0"/>
        <w:pageBreakBefore w:val="0"/>
        <w:widowControl w:val="0"/>
        <w:kinsoku/>
        <w:wordWrap w:val="0"/>
        <w:overflowPunct/>
        <w:topLinePunct w:val="0"/>
        <w:autoSpaceDE/>
        <w:autoSpaceDN/>
        <w:bidi w:val="0"/>
        <w:adjustRightInd/>
        <w:snapToGrid/>
        <w:spacing w:line="420" w:lineRule="exact"/>
        <w:ind w:firstLine="437"/>
        <w:textAlignment w:val="auto"/>
        <w:rPr>
          <w:rFonts w:ascii="宋体" w:hAnsi="宋体" w:eastAsia="宋体" w:cs="宋体"/>
          <w:color w:val="auto"/>
          <w:sz w:val="24"/>
          <w:szCs w:val="18"/>
          <w:highlight w:val="none"/>
        </w:rPr>
      </w:pPr>
      <w:r>
        <w:rPr>
          <w:rFonts w:hint="eastAsia" w:ascii="宋体" w:hAnsi="宋体" w:eastAsia="宋体" w:cs="宋体"/>
          <w:color w:val="auto"/>
          <w:sz w:val="24"/>
          <w:szCs w:val="18"/>
          <w:highlight w:val="none"/>
          <w:lang w:val="en-US" w:eastAsia="zh-CN"/>
        </w:rPr>
        <w:t>5、本项目仅接受加密电子投标文件投标人在投标截止时间前通过新点电子交易平台后在【滁州专区】（https://www.etrading.cn/BREpointSSO/login/oauth2login?regioncode=DQ_ChuZhou）交易系统递交电子投标文件</w:t>
      </w:r>
    </w:p>
    <w:bookmarkEnd w:id="17"/>
    <w:p w14:paraId="70C50A34">
      <w:pPr>
        <w:spacing w:line="420" w:lineRule="exact"/>
        <w:ind w:firstLine="437"/>
        <w:outlineLvl w:val="1"/>
        <w:rPr>
          <w:rFonts w:ascii="宋体" w:hAnsi="宋体" w:eastAsia="宋体" w:cs="宋体"/>
          <w:b/>
          <w:bCs/>
          <w:color w:val="auto"/>
          <w:sz w:val="24"/>
          <w:szCs w:val="18"/>
          <w:highlight w:val="none"/>
        </w:rPr>
      </w:pPr>
      <w:bookmarkStart w:id="23" w:name="_Toc7265"/>
      <w:bookmarkStart w:id="24" w:name="_Toc3934"/>
      <w:bookmarkStart w:id="25" w:name="_Toc13296"/>
      <w:r>
        <w:rPr>
          <w:rFonts w:hint="eastAsia" w:ascii="宋体" w:hAnsi="宋体" w:eastAsia="宋体" w:cs="宋体"/>
          <w:b/>
          <w:bCs/>
          <w:color w:val="auto"/>
          <w:sz w:val="24"/>
          <w:szCs w:val="18"/>
          <w:highlight w:val="none"/>
          <w:lang w:val="en-US" w:eastAsia="zh-CN"/>
        </w:rPr>
        <w:t>八</w:t>
      </w:r>
      <w:r>
        <w:rPr>
          <w:rFonts w:hint="eastAsia" w:ascii="宋体" w:hAnsi="宋体" w:eastAsia="宋体" w:cs="宋体"/>
          <w:b/>
          <w:bCs/>
          <w:color w:val="auto"/>
          <w:sz w:val="24"/>
          <w:szCs w:val="18"/>
          <w:highlight w:val="none"/>
        </w:rPr>
        <w:t>、</w:t>
      </w:r>
      <w:bookmarkEnd w:id="23"/>
      <w:r>
        <w:rPr>
          <w:rFonts w:hint="eastAsia" w:ascii="宋体" w:hAnsi="宋体" w:eastAsia="宋体" w:cs="宋体"/>
          <w:b/>
          <w:bCs/>
          <w:color w:val="auto"/>
          <w:sz w:val="24"/>
          <w:szCs w:val="18"/>
          <w:highlight w:val="none"/>
        </w:rPr>
        <w:t>对本次招标提出询问，请按以下方式联系</w:t>
      </w:r>
      <w:bookmarkEnd w:id="24"/>
      <w:bookmarkEnd w:id="25"/>
    </w:p>
    <w:p w14:paraId="44E976DB">
      <w:pPr>
        <w:spacing w:line="420" w:lineRule="exact"/>
        <w:ind w:firstLine="437"/>
        <w:outlineLvl w:val="2"/>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1.采购人信息</w:t>
      </w:r>
    </w:p>
    <w:p w14:paraId="55EA2100">
      <w:pPr>
        <w:spacing w:line="420" w:lineRule="exact"/>
        <w:ind w:firstLine="435"/>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lang w:eastAsia="zh-CN"/>
        </w:rPr>
        <w:t>中新苏滁高新技术产业开发区管理委员会</w:t>
      </w:r>
    </w:p>
    <w:p w14:paraId="6D0BB220">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rPr>
        <w:t>地  址</w:t>
      </w:r>
      <w:r>
        <w:rPr>
          <w:rFonts w:hint="eastAsia" w:ascii="宋体" w:hAnsi="宋体" w:eastAsia="宋体" w:cs="宋体"/>
          <w:color w:val="auto"/>
          <w:sz w:val="24"/>
          <w:szCs w:val="18"/>
          <w:highlight w:val="none"/>
          <w:lang w:val="en-US" w:eastAsia="zh-CN"/>
        </w:rPr>
        <w:t xml:space="preserve">：滁州市徽州南路1999号 </w:t>
      </w:r>
    </w:p>
    <w:p w14:paraId="7E4128FC">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lang w:eastAsia="zh-CN"/>
        </w:rPr>
        <w:t>联系人：</w:t>
      </w:r>
      <w:r>
        <w:rPr>
          <w:rFonts w:hint="eastAsia" w:ascii="宋体" w:hAnsi="宋体" w:eastAsia="宋体" w:cs="宋体"/>
          <w:color w:val="auto"/>
          <w:sz w:val="24"/>
          <w:szCs w:val="18"/>
          <w:highlight w:val="none"/>
          <w:lang w:val="en-US" w:eastAsia="zh-CN"/>
        </w:rPr>
        <w:t>蒋洁</w:t>
      </w:r>
      <w:r>
        <w:rPr>
          <w:rFonts w:hint="eastAsia" w:ascii="宋体" w:hAnsi="宋体" w:eastAsia="宋体" w:cs="宋体"/>
          <w:color w:val="auto"/>
          <w:sz w:val="24"/>
          <w:szCs w:val="18"/>
          <w:highlight w:val="none"/>
          <w:lang w:eastAsia="zh-CN"/>
        </w:rPr>
        <w:t xml:space="preserve"> </w:t>
      </w:r>
    </w:p>
    <w:p w14:paraId="12CA7F79">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lang w:eastAsia="zh-CN"/>
        </w:rPr>
        <w:t>联系方式：</w:t>
      </w:r>
      <w:r>
        <w:rPr>
          <w:rFonts w:hint="eastAsia" w:ascii="宋体" w:hAnsi="宋体" w:eastAsia="宋体" w:cs="宋体"/>
          <w:color w:val="auto"/>
          <w:sz w:val="24"/>
          <w:szCs w:val="18"/>
          <w:highlight w:val="none"/>
          <w:lang w:val="en-US" w:eastAsia="zh-CN"/>
        </w:rPr>
        <w:t>0550-3769072</w:t>
      </w:r>
    </w:p>
    <w:p w14:paraId="21169F33">
      <w:pPr>
        <w:spacing w:line="420" w:lineRule="exact"/>
        <w:ind w:firstLine="437"/>
        <w:outlineLvl w:val="2"/>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2.采购代理机构信息</w:t>
      </w:r>
    </w:p>
    <w:p w14:paraId="0989014C">
      <w:pPr>
        <w:spacing w:line="420" w:lineRule="exact"/>
        <w:ind w:firstLine="435"/>
        <w:rPr>
          <w:rFonts w:ascii="宋体" w:hAnsi="宋体" w:eastAsia="宋体" w:cs="宋体"/>
          <w:color w:val="auto"/>
          <w:sz w:val="24"/>
          <w:szCs w:val="18"/>
          <w:highlight w:val="none"/>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lang w:val="en-US" w:eastAsia="zh-CN"/>
        </w:rPr>
        <w:t>滁州市城投工程咨询管理有限公司</w:t>
      </w:r>
    </w:p>
    <w:p w14:paraId="55988204">
      <w:pPr>
        <w:spacing w:line="420" w:lineRule="exact"/>
        <w:ind w:firstLine="435"/>
        <w:rPr>
          <w:rFonts w:ascii="宋体" w:hAnsi="宋体" w:eastAsia="宋体" w:cs="宋体"/>
          <w:color w:val="auto"/>
          <w:sz w:val="24"/>
          <w:szCs w:val="18"/>
          <w:highlight w:val="none"/>
          <w:u w:val="single"/>
        </w:rPr>
      </w:pPr>
      <w:r>
        <w:rPr>
          <w:rFonts w:hint="eastAsia" w:ascii="宋体" w:hAnsi="宋体" w:eastAsia="宋体" w:cs="宋体"/>
          <w:color w:val="auto"/>
          <w:sz w:val="24"/>
          <w:szCs w:val="18"/>
          <w:highlight w:val="none"/>
        </w:rPr>
        <w:t>地  址：</w:t>
      </w:r>
      <w:r>
        <w:rPr>
          <w:rFonts w:hint="eastAsia" w:ascii="宋体" w:hAnsi="宋体" w:eastAsia="宋体" w:cs="宋体"/>
          <w:color w:val="auto"/>
          <w:sz w:val="24"/>
          <w:szCs w:val="18"/>
          <w:highlight w:val="none"/>
          <w:lang w:val="en-US" w:eastAsia="zh-CN"/>
        </w:rPr>
        <w:t>滁州市龙蟠大道109号房产商务大厦6楼</w:t>
      </w:r>
    </w:p>
    <w:p w14:paraId="324557E0">
      <w:pPr>
        <w:spacing w:line="420" w:lineRule="exact"/>
        <w:ind w:firstLine="435"/>
        <w:rPr>
          <w:rFonts w:hint="eastAsia" w:ascii="宋体" w:hAnsi="宋体" w:eastAsia="宋体" w:cs="宋体"/>
          <w:color w:val="auto"/>
          <w:highlight w:val="none"/>
          <w:lang w:eastAsia="zh-CN"/>
        </w:rPr>
      </w:pPr>
      <w:r>
        <w:rPr>
          <w:rFonts w:hint="eastAsia" w:ascii="宋体" w:hAnsi="宋体" w:eastAsia="宋体" w:cs="宋体"/>
          <w:color w:val="auto"/>
          <w:sz w:val="24"/>
          <w:szCs w:val="18"/>
          <w:highlight w:val="none"/>
        </w:rPr>
        <w:t>联系人：</w:t>
      </w:r>
      <w:r>
        <w:rPr>
          <w:rFonts w:hint="eastAsia" w:ascii="宋体" w:hAnsi="宋体" w:eastAsia="宋体" w:cs="宋体"/>
          <w:color w:val="auto"/>
          <w:sz w:val="24"/>
          <w:szCs w:val="18"/>
          <w:highlight w:val="none"/>
          <w:u w:val="none"/>
          <w:lang w:eastAsia="zh-CN"/>
        </w:rPr>
        <w:t>张夏骄</w:t>
      </w:r>
    </w:p>
    <w:p w14:paraId="6930232A">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rPr>
        <w:t>联系方式：</w:t>
      </w:r>
      <w:r>
        <w:rPr>
          <w:rFonts w:hint="eastAsia" w:ascii="宋体" w:hAnsi="宋体" w:eastAsia="宋体" w:cs="宋体"/>
          <w:color w:val="auto"/>
          <w:sz w:val="24"/>
          <w:szCs w:val="18"/>
          <w:highlight w:val="none"/>
          <w:u w:val="none"/>
          <w:lang w:eastAsia="zh-CN"/>
        </w:rPr>
        <w:t>0550-3519512、19955012432</w:t>
      </w:r>
    </w:p>
    <w:bookmarkEnd w:id="252"/>
    <w:p w14:paraId="287511B7">
      <w:pPr>
        <w:widowControl/>
        <w:jc w:val="left"/>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br w:type="page"/>
      </w:r>
    </w:p>
    <w:p w14:paraId="4787465B">
      <w:pPr>
        <w:spacing w:line="360" w:lineRule="auto"/>
        <w:jc w:val="center"/>
        <w:outlineLvl w:val="0"/>
        <w:rPr>
          <w:rFonts w:ascii="宋体" w:hAnsi="宋体" w:eastAsia="宋体" w:cs="宋体"/>
          <w:b/>
          <w:color w:val="auto"/>
          <w:sz w:val="28"/>
          <w:highlight w:val="none"/>
        </w:rPr>
      </w:pPr>
      <w:bookmarkStart w:id="26" w:name="_Toc31180"/>
      <w:r>
        <w:rPr>
          <w:rFonts w:hint="eastAsia" w:ascii="宋体" w:hAnsi="宋体" w:eastAsia="宋体" w:cs="宋体"/>
          <w:b/>
          <w:color w:val="auto"/>
          <w:sz w:val="28"/>
          <w:highlight w:val="none"/>
        </w:rPr>
        <w:t>第二章  投标人须知</w:t>
      </w:r>
      <w:bookmarkEnd w:id="26"/>
    </w:p>
    <w:p w14:paraId="2FC9C095">
      <w:pPr>
        <w:spacing w:line="360" w:lineRule="auto"/>
        <w:jc w:val="center"/>
        <w:outlineLvl w:val="1"/>
        <w:rPr>
          <w:rFonts w:ascii="宋体" w:hAnsi="宋体" w:eastAsia="宋体" w:cs="宋体"/>
          <w:b/>
          <w:color w:val="auto"/>
          <w:sz w:val="24"/>
          <w:highlight w:val="none"/>
        </w:rPr>
      </w:pPr>
      <w:bookmarkStart w:id="27" w:name="_Toc20895"/>
      <w:bookmarkStart w:id="28" w:name="_Toc13589"/>
      <w:bookmarkStart w:id="29" w:name="_Toc7178"/>
      <w:r>
        <w:rPr>
          <w:rFonts w:hint="eastAsia" w:ascii="宋体" w:hAnsi="宋体" w:eastAsia="宋体" w:cs="宋体"/>
          <w:b/>
          <w:color w:val="auto"/>
          <w:sz w:val="24"/>
          <w:highlight w:val="none"/>
        </w:rPr>
        <w:t>一、投标人须知前附表</w:t>
      </w:r>
      <w:bookmarkEnd w:id="27"/>
      <w:bookmarkEnd w:id="28"/>
      <w:bookmarkEnd w:id="29"/>
    </w:p>
    <w:p w14:paraId="6737C3E3">
      <w:pPr>
        <w:spacing w:line="360" w:lineRule="auto"/>
        <w:ind w:firstLine="435"/>
        <w:rPr>
          <w:rFonts w:ascii="宋体" w:hAnsi="宋体" w:eastAsia="宋体" w:cs="宋体"/>
          <w:color w:val="auto"/>
          <w:sz w:val="24"/>
          <w:szCs w:val="18"/>
          <w:highlight w:val="none"/>
        </w:rPr>
      </w:pPr>
      <w:r>
        <w:rPr>
          <w:rFonts w:hint="eastAsia" w:ascii="宋体" w:hAnsi="宋体" w:eastAsia="宋体" w:cs="宋体"/>
          <w:b/>
          <w:bCs/>
          <w:color w:val="auto"/>
          <w:sz w:val="24"/>
          <w:szCs w:val="18"/>
          <w:highlight w:val="none"/>
        </w:rPr>
        <w:t>注：</w:t>
      </w:r>
      <w:r>
        <w:rPr>
          <w:rFonts w:hint="eastAsia" w:ascii="宋体" w:hAnsi="宋体" w:eastAsia="宋体" w:cs="宋体"/>
          <w:color w:val="auto"/>
          <w:sz w:val="24"/>
          <w:szCs w:val="18"/>
          <w:highlight w:val="none"/>
        </w:rPr>
        <w:t>本表是本项目的具体要求，是对投标人须知的具体补充和修改，如有不一致，以本表为准。</w:t>
      </w:r>
    </w:p>
    <w:tbl>
      <w:tblPr>
        <w:tblStyle w:val="30"/>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1679"/>
        <w:gridCol w:w="6654"/>
      </w:tblGrid>
      <w:tr w14:paraId="1C14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856D313">
            <w:pPr>
              <w:pStyle w:val="48"/>
              <w:widowControl w:val="0"/>
              <w:spacing w:before="0" w:beforeAutospacing="0" w:after="0" w:afterAutospacing="0" w:line="440" w:lineRule="exact"/>
              <w:rPr>
                <w:rFonts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条款号</w:t>
            </w:r>
          </w:p>
        </w:tc>
        <w:tc>
          <w:tcPr>
            <w:tcW w:w="1679" w:type="dxa"/>
            <w:vAlign w:val="center"/>
          </w:tcPr>
          <w:p w14:paraId="064B449D">
            <w:pPr>
              <w:pStyle w:val="48"/>
              <w:widowControl w:val="0"/>
              <w:spacing w:before="0" w:beforeAutospacing="0" w:after="0" w:afterAutospacing="0" w:line="440" w:lineRule="exact"/>
              <w:rPr>
                <w:rFonts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条款名称</w:t>
            </w:r>
          </w:p>
        </w:tc>
        <w:tc>
          <w:tcPr>
            <w:tcW w:w="6654" w:type="dxa"/>
            <w:vAlign w:val="center"/>
          </w:tcPr>
          <w:p w14:paraId="3DF92857">
            <w:pPr>
              <w:pStyle w:val="48"/>
              <w:widowControl w:val="0"/>
              <w:spacing w:before="0" w:beforeAutospacing="0" w:after="0" w:afterAutospacing="0" w:line="440" w:lineRule="exact"/>
              <w:rPr>
                <w:rFonts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内容、说明与要求</w:t>
            </w:r>
          </w:p>
        </w:tc>
      </w:tr>
      <w:tr w14:paraId="5C24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E70677B">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5.2</w:t>
            </w:r>
          </w:p>
        </w:tc>
        <w:tc>
          <w:tcPr>
            <w:tcW w:w="1679" w:type="dxa"/>
            <w:vAlign w:val="center"/>
          </w:tcPr>
          <w:p w14:paraId="5C6AF686">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kern w:val="2"/>
                <w:sz w:val="24"/>
                <w:szCs w:val="22"/>
                <w:highlight w:val="none"/>
              </w:rPr>
              <w:t>现场考察或标前答疑会</w:t>
            </w:r>
          </w:p>
        </w:tc>
        <w:tc>
          <w:tcPr>
            <w:tcW w:w="6654" w:type="dxa"/>
            <w:vAlign w:val="center"/>
          </w:tcPr>
          <w:p w14:paraId="2A8E56FE">
            <w:pPr>
              <w:spacing w:line="440" w:lineRule="exact"/>
              <w:rPr>
                <w:rFonts w:ascii="宋体" w:hAnsi="宋体" w:eastAsia="宋体" w:cs="宋体"/>
                <w:bCs/>
                <w:color w:val="auto"/>
                <w:sz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highlight w:val="none"/>
              </w:rPr>
              <w:t>不组织或不召开</w:t>
            </w:r>
          </w:p>
          <w:p w14:paraId="0AF067CD">
            <w:pPr>
              <w:spacing w:line="440" w:lineRule="exact"/>
              <w:rPr>
                <w:rFonts w:ascii="宋体" w:hAnsi="宋体" w:eastAsia="宋体" w:cs="宋体"/>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统一组织或统一召开</w:t>
            </w:r>
          </w:p>
          <w:p w14:paraId="68C63235">
            <w:pPr>
              <w:spacing w:line="440" w:lineRule="exact"/>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分</w:t>
            </w:r>
          </w:p>
          <w:p w14:paraId="0354C811">
            <w:pPr>
              <w:spacing w:line="440" w:lineRule="exact"/>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w:t>
            </w:r>
          </w:p>
          <w:p w14:paraId="17861680">
            <w:pPr>
              <w:spacing w:line="440" w:lineRule="exact"/>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w:t>
            </w:r>
          </w:p>
          <w:p w14:paraId="6AA83E51">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1FB9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22A44D83">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6.1</w:t>
            </w:r>
          </w:p>
        </w:tc>
        <w:tc>
          <w:tcPr>
            <w:tcW w:w="1679" w:type="dxa"/>
            <w:vAlign w:val="center"/>
          </w:tcPr>
          <w:p w14:paraId="307B0021">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sz w:val="24"/>
                <w:highlight w:val="none"/>
              </w:rPr>
              <w:t>网上询问截止时间</w:t>
            </w:r>
          </w:p>
        </w:tc>
        <w:tc>
          <w:tcPr>
            <w:tcW w:w="6654" w:type="dxa"/>
            <w:vAlign w:val="center"/>
          </w:tcPr>
          <w:p w14:paraId="5E685221">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u w:val="single"/>
              </w:rPr>
              <w:t>202</w:t>
            </w:r>
            <w:r>
              <w:rPr>
                <w:rFonts w:hint="eastAsia" w:ascii="宋体" w:hAnsi="宋体" w:eastAsia="宋体" w:cs="宋体"/>
                <w:b w:val="0"/>
                <w:color w:val="auto"/>
                <w:sz w:val="24"/>
                <w:highlight w:val="none"/>
                <w:u w:val="single"/>
                <w:lang w:val="en-US" w:eastAsia="zh-CN"/>
              </w:rPr>
              <w:t>6</w:t>
            </w:r>
            <w:r>
              <w:rPr>
                <w:rFonts w:hint="eastAsia" w:ascii="宋体" w:hAnsi="宋体" w:eastAsia="宋体" w:cs="宋体"/>
                <w:b w:val="0"/>
                <w:color w:val="auto"/>
                <w:sz w:val="24"/>
                <w:highlight w:val="none"/>
              </w:rPr>
              <w:t>年</w:t>
            </w:r>
            <w:r>
              <w:rPr>
                <w:rFonts w:hint="eastAsia" w:ascii="宋体" w:hAnsi="宋体" w:eastAsia="宋体" w:cs="宋体"/>
                <w:b w:val="0"/>
                <w:color w:val="auto"/>
                <w:sz w:val="24"/>
                <w:highlight w:val="none"/>
                <w:u w:val="single"/>
                <w:lang w:val="en-US" w:eastAsia="zh-CN"/>
              </w:rPr>
              <w:t>11</w:t>
            </w:r>
            <w:r>
              <w:rPr>
                <w:rFonts w:hint="eastAsia" w:ascii="宋体" w:hAnsi="宋体" w:eastAsia="宋体" w:cs="宋体"/>
                <w:b w:val="0"/>
                <w:color w:val="auto"/>
                <w:sz w:val="24"/>
                <w:highlight w:val="none"/>
              </w:rPr>
              <w:t>月</w:t>
            </w:r>
            <w:r>
              <w:rPr>
                <w:rFonts w:hint="eastAsia" w:ascii="宋体" w:hAnsi="宋体" w:eastAsia="宋体" w:cs="宋体"/>
                <w:b w:val="0"/>
                <w:color w:val="auto"/>
                <w:sz w:val="24"/>
                <w:highlight w:val="none"/>
                <w:u w:val="single"/>
                <w:lang w:val="en-US" w:eastAsia="zh-CN"/>
              </w:rPr>
              <w:t>5</w:t>
            </w:r>
            <w:r>
              <w:rPr>
                <w:rFonts w:hint="eastAsia" w:ascii="宋体" w:hAnsi="宋体" w:eastAsia="宋体" w:cs="宋体"/>
                <w:b w:val="0"/>
                <w:color w:val="auto"/>
                <w:sz w:val="24"/>
                <w:highlight w:val="none"/>
              </w:rPr>
              <w:t>日</w:t>
            </w:r>
            <w:r>
              <w:rPr>
                <w:rFonts w:hint="eastAsia" w:ascii="宋体" w:hAnsi="宋体" w:eastAsia="宋体" w:cs="宋体"/>
                <w:b w:val="0"/>
                <w:color w:val="auto"/>
                <w:sz w:val="24"/>
                <w:highlight w:val="none"/>
                <w:u w:val="single"/>
                <w:lang w:val="en-US" w:eastAsia="zh-CN"/>
              </w:rPr>
              <w:t>17</w:t>
            </w:r>
            <w:r>
              <w:rPr>
                <w:rFonts w:hint="eastAsia" w:ascii="宋体" w:hAnsi="宋体" w:eastAsia="宋体" w:cs="宋体"/>
                <w:b w:val="0"/>
                <w:color w:val="auto"/>
                <w:sz w:val="24"/>
                <w:highlight w:val="none"/>
              </w:rPr>
              <w:t>时</w:t>
            </w:r>
            <w:r>
              <w:rPr>
                <w:rFonts w:hint="eastAsia" w:ascii="宋体" w:hAnsi="宋体" w:eastAsia="宋体" w:cs="宋体"/>
                <w:b w:val="0"/>
                <w:color w:val="auto"/>
                <w:sz w:val="24"/>
                <w:highlight w:val="none"/>
                <w:u w:val="single"/>
              </w:rPr>
              <w:t>30</w:t>
            </w:r>
            <w:r>
              <w:rPr>
                <w:rFonts w:hint="eastAsia" w:ascii="宋体" w:hAnsi="宋体" w:eastAsia="宋体" w:cs="宋体"/>
                <w:b w:val="0"/>
                <w:color w:val="auto"/>
                <w:sz w:val="24"/>
                <w:highlight w:val="none"/>
              </w:rPr>
              <w:t>分</w:t>
            </w:r>
          </w:p>
        </w:tc>
      </w:tr>
      <w:tr w14:paraId="0EEB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11B99F4D">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7.1</w:t>
            </w:r>
          </w:p>
        </w:tc>
        <w:tc>
          <w:tcPr>
            <w:tcW w:w="1679" w:type="dxa"/>
            <w:vAlign w:val="center"/>
          </w:tcPr>
          <w:p w14:paraId="521AC721">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sz w:val="24"/>
                <w:highlight w:val="none"/>
              </w:rPr>
              <w:t>包别划分</w:t>
            </w:r>
          </w:p>
        </w:tc>
        <w:tc>
          <w:tcPr>
            <w:tcW w:w="6654" w:type="dxa"/>
            <w:vAlign w:val="center"/>
          </w:tcPr>
          <w:p w14:paraId="1DA3C7DE">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color w:val="auto"/>
                <w:sz w:val="24"/>
                <w:highlight w:val="none"/>
              </w:rPr>
              <w:t>不分包     □分为</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rPr>
              <w:t>个包</w:t>
            </w:r>
          </w:p>
          <w:p w14:paraId="0BCB5618">
            <w:pPr>
              <w:pStyle w:val="48"/>
              <w:widowControl w:val="0"/>
              <w:spacing w:before="0" w:beforeAutospacing="0" w:after="0" w:afterAutospacing="0" w:line="440" w:lineRule="exact"/>
              <w:jc w:val="both"/>
              <w:rPr>
                <w:rFonts w:ascii="宋体" w:hAnsi="宋体" w:eastAsia="宋体" w:cs="宋体"/>
                <w:b w:val="0"/>
                <w:color w:val="auto"/>
                <w:sz w:val="24"/>
                <w:highlight w:val="none"/>
                <w:u w:val="single"/>
              </w:rPr>
            </w:pPr>
            <w:r>
              <w:rPr>
                <w:rFonts w:hint="eastAsia" w:ascii="宋体" w:hAnsi="宋体" w:eastAsia="宋体" w:cs="宋体"/>
                <w:b w:val="0"/>
                <w:color w:val="auto"/>
                <w:sz w:val="24"/>
                <w:highlight w:val="none"/>
              </w:rPr>
              <w:t>投标人对多个包进行投标的中标包数规定：</w:t>
            </w:r>
            <w:r>
              <w:rPr>
                <w:rFonts w:hint="eastAsia" w:ascii="宋体" w:hAnsi="宋体" w:eastAsia="宋体" w:cs="宋体"/>
                <w:b w:val="0"/>
                <w:color w:val="auto"/>
                <w:sz w:val="24"/>
                <w:highlight w:val="none"/>
                <w:u w:val="single"/>
              </w:rPr>
              <w:t>/</w:t>
            </w:r>
            <w:r>
              <w:rPr>
                <w:rFonts w:hint="eastAsia" w:ascii="宋体" w:hAnsi="宋体" w:eastAsia="宋体" w:cs="宋体"/>
                <w:b w:val="0"/>
                <w:bCs w:val="0"/>
                <w:color w:val="auto"/>
                <w:sz w:val="24"/>
                <w:szCs w:val="18"/>
                <w:highlight w:val="none"/>
                <w:u w:val="single"/>
              </w:rPr>
              <w:t xml:space="preserve"> </w:t>
            </w:r>
          </w:p>
        </w:tc>
      </w:tr>
      <w:tr w14:paraId="0AEB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E6E5E88">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10.1</w:t>
            </w:r>
          </w:p>
        </w:tc>
        <w:tc>
          <w:tcPr>
            <w:tcW w:w="1679" w:type="dxa"/>
            <w:vAlign w:val="center"/>
          </w:tcPr>
          <w:p w14:paraId="6BCD0416">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sz w:val="24"/>
                <w:highlight w:val="none"/>
              </w:rPr>
              <w:t>投标保证金</w:t>
            </w:r>
          </w:p>
        </w:tc>
        <w:tc>
          <w:tcPr>
            <w:tcW w:w="6654" w:type="dxa"/>
            <w:vAlign w:val="center"/>
          </w:tcPr>
          <w:p w14:paraId="7980B597">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不收取</w:t>
            </w:r>
          </w:p>
        </w:tc>
      </w:tr>
      <w:tr w14:paraId="7178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35B6460">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11.1</w:t>
            </w:r>
          </w:p>
        </w:tc>
        <w:tc>
          <w:tcPr>
            <w:tcW w:w="1679" w:type="dxa"/>
            <w:vAlign w:val="center"/>
          </w:tcPr>
          <w:p w14:paraId="01F69D47">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投标有效期</w:t>
            </w:r>
          </w:p>
        </w:tc>
        <w:tc>
          <w:tcPr>
            <w:tcW w:w="6654" w:type="dxa"/>
            <w:vAlign w:val="center"/>
          </w:tcPr>
          <w:p w14:paraId="550A610E">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u w:val="single"/>
              </w:rPr>
              <w:t>90</w:t>
            </w:r>
            <w:r>
              <w:rPr>
                <w:rFonts w:hint="eastAsia" w:ascii="宋体" w:hAnsi="宋体" w:eastAsia="宋体" w:cs="宋体"/>
                <w:b w:val="0"/>
                <w:color w:val="auto"/>
                <w:sz w:val="24"/>
                <w:highlight w:val="none"/>
              </w:rPr>
              <w:t>日历日</w:t>
            </w:r>
          </w:p>
        </w:tc>
      </w:tr>
      <w:tr w14:paraId="7523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8164B5B">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13.1</w:t>
            </w:r>
          </w:p>
        </w:tc>
        <w:tc>
          <w:tcPr>
            <w:tcW w:w="1679" w:type="dxa"/>
            <w:vAlign w:val="center"/>
          </w:tcPr>
          <w:p w14:paraId="30B610D9">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投标文件解密时间</w:t>
            </w:r>
          </w:p>
        </w:tc>
        <w:tc>
          <w:tcPr>
            <w:tcW w:w="6654" w:type="dxa"/>
            <w:vAlign w:val="center"/>
          </w:tcPr>
          <w:p w14:paraId="6A988D94">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投标截止时间后</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rPr>
              <w:t>分钟内（以本项目网上招投标系统解密倒计时为准）。</w:t>
            </w:r>
          </w:p>
          <w:p w14:paraId="0CF6DBD9">
            <w:pPr>
              <w:spacing w:line="440" w:lineRule="exact"/>
              <w:rPr>
                <w:rFonts w:ascii="宋体" w:hAnsi="宋体" w:eastAsia="宋体" w:cs="宋体"/>
                <w:bCs/>
                <w:color w:val="auto"/>
                <w:kern w:val="0"/>
                <w:sz w:val="24"/>
                <w:szCs w:val="28"/>
                <w:highlight w:val="none"/>
              </w:rPr>
            </w:pPr>
            <w:r>
              <w:rPr>
                <w:rFonts w:hint="eastAsia" w:ascii="宋体" w:hAnsi="宋体" w:eastAsia="宋体" w:cs="宋体"/>
                <w:color w:val="auto"/>
                <w:sz w:val="24"/>
                <w:highlight w:val="none"/>
                <w:lang w:val="en-US" w:eastAsia="zh-CN"/>
              </w:rPr>
              <w:t>未在规定时间内完成解密的，退回其投标文件；如有因系统因系统原因造成的故障，代理机构可申请延迟解密时间。</w:t>
            </w:r>
          </w:p>
        </w:tc>
      </w:tr>
      <w:tr w14:paraId="78A0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00F85F2">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14.1</w:t>
            </w:r>
          </w:p>
        </w:tc>
        <w:tc>
          <w:tcPr>
            <w:tcW w:w="1679" w:type="dxa"/>
            <w:vAlign w:val="center"/>
          </w:tcPr>
          <w:p w14:paraId="25569C55">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资格审查</w:t>
            </w:r>
          </w:p>
        </w:tc>
        <w:tc>
          <w:tcPr>
            <w:tcW w:w="6654" w:type="dxa"/>
            <w:vAlign w:val="center"/>
          </w:tcPr>
          <w:p w14:paraId="6B54FA1C">
            <w:pPr>
              <w:pStyle w:val="48"/>
              <w:widowControl w:val="0"/>
              <w:spacing w:before="0" w:beforeAutospacing="0" w:after="0" w:afterAutospacing="0" w:line="440" w:lineRule="exact"/>
              <w:jc w:val="both"/>
              <w:rPr>
                <w:rFonts w:ascii="宋体" w:hAnsi="宋体" w:eastAsia="宋体" w:cs="宋体"/>
                <w:b w:val="0"/>
                <w:color w:val="auto"/>
                <w:sz w:val="24"/>
                <w:highlight w:val="none"/>
                <w:u w:val="single"/>
              </w:rPr>
            </w:pPr>
            <w:r>
              <w:rPr>
                <w:rFonts w:hint="eastAsia" w:ascii="宋体" w:hAnsi="宋体" w:eastAsia="宋体" w:cs="宋体"/>
                <w:b w:val="0"/>
                <w:bCs w:val="0"/>
                <w:color w:val="auto"/>
                <w:sz w:val="24"/>
                <w:szCs w:val="24"/>
                <w:highlight w:val="none"/>
                <w:lang w:val="en-US" w:eastAsia="zh-CN"/>
              </w:rPr>
              <w:t>评标委员会审查</w:t>
            </w:r>
          </w:p>
        </w:tc>
      </w:tr>
      <w:tr w14:paraId="29E1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C3B08B3">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17.2</w:t>
            </w:r>
          </w:p>
        </w:tc>
        <w:tc>
          <w:tcPr>
            <w:tcW w:w="1679" w:type="dxa"/>
            <w:vAlign w:val="center"/>
          </w:tcPr>
          <w:p w14:paraId="3696C4F0">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评标方法</w:t>
            </w:r>
          </w:p>
        </w:tc>
        <w:tc>
          <w:tcPr>
            <w:tcW w:w="6654" w:type="dxa"/>
            <w:vAlign w:val="center"/>
          </w:tcPr>
          <w:p w14:paraId="4A9A2909">
            <w:pPr>
              <w:pStyle w:val="48"/>
              <w:widowControl w:val="0"/>
              <w:spacing w:before="0" w:beforeAutospacing="0" w:after="0" w:afterAutospacing="0" w:line="440" w:lineRule="exact"/>
              <w:jc w:val="both"/>
              <w:rPr>
                <w:rFonts w:ascii="宋体" w:hAnsi="宋体" w:eastAsia="宋体" w:cs="宋体"/>
                <w:b w:val="0"/>
                <w:color w:val="auto"/>
                <w:sz w:val="24"/>
                <w:highlight w:val="none"/>
                <w:u w:val="single"/>
              </w:rPr>
            </w:pPr>
            <w:r>
              <w:rPr>
                <w:rFonts w:hint="eastAsia" w:ascii="宋体" w:hAnsi="宋体" w:eastAsia="宋体" w:cs="宋体"/>
                <w:b w:val="0"/>
                <w:bCs w:val="0"/>
                <w:color w:val="auto"/>
                <w:sz w:val="24"/>
                <w:szCs w:val="24"/>
                <w:highlight w:val="none"/>
              </w:rPr>
              <w:t>□</w:t>
            </w:r>
            <w:r>
              <w:rPr>
                <w:rFonts w:hint="eastAsia" w:ascii="宋体" w:hAnsi="宋体" w:eastAsia="宋体" w:cs="宋体"/>
                <w:b w:val="0"/>
                <w:color w:val="auto"/>
                <w:sz w:val="24"/>
                <w:highlight w:val="none"/>
              </w:rPr>
              <w:t>最低评标价法</w:t>
            </w:r>
          </w:p>
          <w:p w14:paraId="47B29F6C">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color w:val="auto"/>
                <w:sz w:val="24"/>
                <w:highlight w:val="none"/>
              </w:rPr>
              <w:t>综合评分法</w:t>
            </w:r>
          </w:p>
        </w:tc>
      </w:tr>
      <w:tr w14:paraId="015F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AAF0EA4">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17.3</w:t>
            </w:r>
          </w:p>
        </w:tc>
        <w:tc>
          <w:tcPr>
            <w:tcW w:w="1679" w:type="dxa"/>
            <w:vAlign w:val="center"/>
          </w:tcPr>
          <w:p w14:paraId="5615FFDD">
            <w:pPr>
              <w:pStyle w:val="48"/>
              <w:widowControl w:val="0"/>
              <w:spacing w:before="0" w:beforeAutospacing="0" w:after="0" w:afterAutospacing="0" w:line="440" w:lineRule="exact"/>
              <w:jc w:val="both"/>
              <w:rPr>
                <w:rFonts w:ascii="宋体" w:hAnsi="宋体" w:eastAsia="宋体" w:cs="宋体"/>
                <w:b w:val="0"/>
                <w:i/>
                <w:color w:val="auto"/>
                <w:sz w:val="24"/>
                <w:highlight w:val="none"/>
              </w:rPr>
            </w:pPr>
            <w:r>
              <w:rPr>
                <w:rFonts w:hint="eastAsia" w:ascii="宋体" w:hAnsi="宋体" w:eastAsia="宋体" w:cs="宋体"/>
                <w:b w:val="0"/>
                <w:color w:val="auto"/>
                <w:sz w:val="24"/>
                <w:highlight w:val="none"/>
              </w:rPr>
              <w:t>报价扣除（非专门面向中小企业采购项目适用）</w:t>
            </w:r>
          </w:p>
        </w:tc>
        <w:tc>
          <w:tcPr>
            <w:tcW w:w="6654" w:type="dxa"/>
            <w:vAlign w:val="center"/>
          </w:tcPr>
          <w:p w14:paraId="4D17BD3C">
            <w:pPr>
              <w:pStyle w:val="48"/>
              <w:keepNext w:val="0"/>
              <w:keepLines w:val="0"/>
              <w:widowControl w:val="0"/>
              <w:suppressLineNumbers w:val="0"/>
              <w:spacing w:before="0" w:beforeAutospacing="0" w:after="0" w:afterAutospacing="0" w:line="500" w:lineRule="exact"/>
              <w:ind w:left="0" w:right="0"/>
              <w:jc w:val="both"/>
              <w:rPr>
                <w:rFonts w:hint="default" w:ascii="宋体" w:hAnsi="宋体" w:eastAsia="宋体"/>
                <w:b/>
                <w:bCs w:val="0"/>
                <w:color w:val="auto"/>
                <w:sz w:val="24"/>
                <w:highlight w:val="none"/>
              </w:rPr>
            </w:pPr>
            <w:r>
              <w:rPr>
                <w:rFonts w:hint="eastAsia" w:ascii="宋体" w:hAnsi="宋体" w:eastAsia="宋体" w:cs="宋体"/>
                <w:b w:val="0"/>
                <w:color w:val="auto"/>
                <w:sz w:val="24"/>
                <w:highlight w:val="none"/>
              </w:rPr>
              <w:t>（1）</w:t>
            </w:r>
            <w:r>
              <w:rPr>
                <w:rFonts w:hint="default"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p>
          <w:p w14:paraId="315B0F0F">
            <w:pPr>
              <w:pStyle w:val="48"/>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（2）监狱企业价格扣除：同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44531BDB">
            <w:pPr>
              <w:pStyle w:val="48"/>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44C3A5D6">
            <w:pPr>
              <w:pStyle w:val="48"/>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0F55E929">
            <w:pPr>
              <w:pStyle w:val="48"/>
              <w:widowControl w:val="0"/>
              <w:spacing w:before="0" w:beforeAutospacing="0" w:after="0" w:afterAutospacing="0" w:line="440" w:lineRule="exact"/>
              <w:jc w:val="both"/>
              <w:rPr>
                <w:rFonts w:hint="eastAsia" w:ascii="宋体" w:hAnsi="宋体" w:eastAsia="宋体" w:cs="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u w:val="single"/>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 w:val="0"/>
                <w:color w:val="auto"/>
                <w:sz w:val="24"/>
                <w:highlight w:val="none"/>
              </w:rPr>
              <w:t>。</w:t>
            </w:r>
          </w:p>
        </w:tc>
      </w:tr>
      <w:tr w14:paraId="18DA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1AF76F2">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21.1</w:t>
            </w:r>
          </w:p>
        </w:tc>
        <w:tc>
          <w:tcPr>
            <w:tcW w:w="1679" w:type="dxa"/>
            <w:vAlign w:val="center"/>
          </w:tcPr>
          <w:p w14:paraId="172B7D8B">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评标委员会推荐中标候选人的数量</w:t>
            </w:r>
          </w:p>
        </w:tc>
        <w:tc>
          <w:tcPr>
            <w:tcW w:w="6654" w:type="dxa"/>
            <w:vAlign w:val="center"/>
          </w:tcPr>
          <w:p w14:paraId="5E54435D">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评标委员会推荐3名中标候选人。</w:t>
            </w:r>
          </w:p>
        </w:tc>
      </w:tr>
      <w:tr w14:paraId="3943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0C5D7477">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21.2</w:t>
            </w:r>
          </w:p>
        </w:tc>
        <w:tc>
          <w:tcPr>
            <w:tcW w:w="1679" w:type="dxa"/>
            <w:vAlign w:val="center"/>
          </w:tcPr>
          <w:p w14:paraId="5852F83F">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确定中标人</w:t>
            </w:r>
          </w:p>
        </w:tc>
        <w:tc>
          <w:tcPr>
            <w:tcW w:w="6654" w:type="dxa"/>
            <w:vAlign w:val="center"/>
          </w:tcPr>
          <w:p w14:paraId="4E4DDFC0">
            <w:pPr>
              <w:spacing w:line="440" w:lineRule="exac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sym w:font="Wingdings" w:char="00A8"/>
            </w:r>
            <w:r>
              <w:rPr>
                <w:rFonts w:hint="eastAsia" w:ascii="宋体" w:hAnsi="宋体" w:eastAsia="宋体" w:cs="宋体"/>
                <w:color w:val="auto"/>
                <w:kern w:val="0"/>
                <w:sz w:val="24"/>
                <w:szCs w:val="24"/>
                <w:highlight w:val="none"/>
              </w:rPr>
              <w:t>采购人委托评标委员会确定</w:t>
            </w:r>
          </w:p>
          <w:p w14:paraId="3272A71D">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bCs w:val="0"/>
                <w:color w:val="auto"/>
                <w:kern w:val="2"/>
                <w:sz w:val="24"/>
                <w:szCs w:val="24"/>
                <w:highlight w:val="none"/>
              </w:rPr>
              <w:t>☑采购人确定</w:t>
            </w:r>
          </w:p>
        </w:tc>
      </w:tr>
      <w:tr w14:paraId="5F16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42AEB0E">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23.3</w:t>
            </w:r>
          </w:p>
        </w:tc>
        <w:tc>
          <w:tcPr>
            <w:tcW w:w="1679" w:type="dxa"/>
            <w:vAlign w:val="center"/>
          </w:tcPr>
          <w:p w14:paraId="5B9689B9">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随中标结果公告同时公告的内容</w:t>
            </w:r>
          </w:p>
        </w:tc>
        <w:tc>
          <w:tcPr>
            <w:tcW w:w="6654" w:type="dxa"/>
            <w:vAlign w:val="center"/>
          </w:tcPr>
          <w:p w14:paraId="5EB158D2">
            <w:pPr>
              <w:pStyle w:val="48"/>
              <w:widowControl w:val="0"/>
              <w:numPr>
                <w:ilvl w:val="0"/>
                <w:numId w:val="2"/>
              </w:numPr>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中小企业声明函；</w:t>
            </w:r>
          </w:p>
          <w:p w14:paraId="62680671">
            <w:pPr>
              <w:pStyle w:val="48"/>
              <w:widowControl w:val="0"/>
              <w:spacing w:before="0" w:beforeAutospacing="0" w:after="0" w:afterAutospacing="0" w:line="440" w:lineRule="exact"/>
              <w:jc w:val="both"/>
              <w:rPr>
                <w:rFonts w:ascii="宋体" w:hAnsi="宋体" w:eastAsia="宋体" w:cs="宋体"/>
                <w:b w:val="0"/>
                <w:i/>
                <w:color w:val="auto"/>
                <w:sz w:val="24"/>
                <w:highlight w:val="none"/>
              </w:rPr>
            </w:pPr>
            <w:r>
              <w:rPr>
                <w:rFonts w:hint="eastAsia" w:ascii="宋体" w:hAnsi="宋体" w:eastAsia="宋体" w:cs="宋体"/>
                <w:b w:val="0"/>
                <w:color w:val="auto"/>
                <w:sz w:val="24"/>
                <w:highlight w:val="none"/>
              </w:rPr>
              <w:t>（2）残疾人福利性单位声明函；</w:t>
            </w:r>
            <w:r>
              <w:rPr>
                <w:rFonts w:hint="eastAsia" w:ascii="宋体" w:hAnsi="宋体" w:eastAsia="宋体" w:cs="宋体"/>
                <w:b w:val="0"/>
                <w:i/>
                <w:iCs/>
                <w:color w:val="auto"/>
                <w:sz w:val="24"/>
                <w:highlight w:val="none"/>
              </w:rPr>
              <w:t>（如有）</w:t>
            </w:r>
          </w:p>
          <w:p w14:paraId="20BE1672">
            <w:pPr>
              <w:pStyle w:val="48"/>
              <w:widowControl w:val="0"/>
              <w:spacing w:before="0" w:beforeAutospacing="0" w:after="0" w:afterAutospacing="0" w:line="440" w:lineRule="exact"/>
              <w:jc w:val="both"/>
              <w:rPr>
                <w:rFonts w:hint="eastAsia" w:ascii="宋体" w:hAnsi="宋体" w:eastAsia="宋体" w:cs="宋体"/>
                <w:b w:val="0"/>
                <w:color w:val="auto"/>
                <w:sz w:val="24"/>
                <w:highlight w:val="none"/>
                <w:lang w:eastAsia="zh-CN"/>
              </w:rPr>
            </w:pPr>
            <w:r>
              <w:rPr>
                <w:rFonts w:hint="eastAsia" w:ascii="宋体" w:hAnsi="宋体" w:eastAsia="宋体" w:cs="宋体"/>
                <w:b w:val="0"/>
                <w:color w:val="auto"/>
                <w:sz w:val="24"/>
                <w:highlight w:val="none"/>
              </w:rPr>
              <w:t>（3）中标（成交）供应商的评审总得分</w:t>
            </w:r>
            <w:r>
              <w:rPr>
                <w:rFonts w:hint="eastAsia" w:ascii="宋体" w:hAnsi="宋体" w:eastAsia="宋体" w:cs="宋体"/>
                <w:b w:val="0"/>
                <w:color w:val="auto"/>
                <w:sz w:val="24"/>
                <w:highlight w:val="none"/>
                <w:lang w:eastAsia="zh-CN"/>
              </w:rPr>
              <w:t>；</w:t>
            </w:r>
          </w:p>
          <w:p w14:paraId="0C5C63DB">
            <w:pPr>
              <w:pStyle w:val="48"/>
              <w:widowControl w:val="0"/>
              <w:spacing w:before="0" w:beforeAutospacing="0" w:after="0" w:afterAutospacing="0" w:line="360" w:lineRule="auto"/>
              <w:jc w:val="both"/>
              <w:rPr>
                <w:rFonts w:hint="eastAsia" w:ascii="宋体" w:hAnsi="宋体" w:eastAsia="宋体" w:cs="宋体"/>
                <w:b w:val="0"/>
                <w:color w:val="auto"/>
                <w:sz w:val="24"/>
                <w:highlight w:val="none"/>
                <w:lang w:eastAsia="zh-CN"/>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val="en-US" w:eastAsia="zh-CN"/>
              </w:rPr>
              <w:t>如有</w:t>
            </w:r>
            <w:r>
              <w:rPr>
                <w:rFonts w:hint="eastAsia" w:ascii="宋体" w:hAnsi="宋体" w:eastAsia="宋体" w:cs="@仿宋_GB2312"/>
                <w:b w:val="0"/>
                <w:bCs w:val="0"/>
                <w:i/>
                <w:iCs/>
                <w:color w:val="auto"/>
                <w:sz w:val="24"/>
                <w:szCs w:val="20"/>
                <w:highlight w:val="none"/>
                <w:u w:val="none"/>
                <w:lang w:eastAsia="zh-CN"/>
              </w:rPr>
              <w:t>）</w:t>
            </w:r>
          </w:p>
        </w:tc>
      </w:tr>
      <w:tr w14:paraId="0098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47ED2750">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24.1</w:t>
            </w:r>
          </w:p>
        </w:tc>
        <w:tc>
          <w:tcPr>
            <w:tcW w:w="1679" w:type="dxa"/>
            <w:vAlign w:val="center"/>
          </w:tcPr>
          <w:p w14:paraId="3078D7AE">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中标通知书发出的形式</w:t>
            </w:r>
          </w:p>
        </w:tc>
        <w:tc>
          <w:tcPr>
            <w:tcW w:w="6654" w:type="dxa"/>
            <w:vAlign w:val="center"/>
          </w:tcPr>
          <w:p w14:paraId="0B5CFDEF">
            <w:pPr>
              <w:pStyle w:val="48"/>
              <w:widowControl w:val="0"/>
              <w:spacing w:before="0" w:beforeAutospacing="0" w:after="0" w:afterAutospacing="0" w:line="440" w:lineRule="exact"/>
              <w:jc w:val="both"/>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 xml:space="preserve">书面     </w:t>
            </w:r>
            <w:r>
              <w:rPr>
                <w:rFonts w:hint="eastAsia" w:ascii="宋体" w:hAnsi="宋体" w:eastAsia="宋体" w:cs="宋体"/>
                <w:b w:val="0"/>
                <w:bCs w:val="0"/>
                <w:color w:val="auto"/>
                <w:sz w:val="24"/>
                <w:szCs w:val="24"/>
                <w:highlight w:val="none"/>
              </w:rPr>
              <w:sym w:font="Wingdings" w:char="00A8"/>
            </w:r>
            <w:r>
              <w:rPr>
                <w:rFonts w:hint="eastAsia" w:ascii="宋体" w:hAnsi="宋体" w:eastAsia="宋体" w:cs="宋体"/>
                <w:b w:val="0"/>
                <w:bCs w:val="0"/>
                <w:color w:val="auto"/>
                <w:sz w:val="24"/>
                <w:szCs w:val="24"/>
                <w:highlight w:val="none"/>
              </w:rPr>
              <w:t>数据电文</w:t>
            </w:r>
          </w:p>
        </w:tc>
      </w:tr>
      <w:tr w14:paraId="6CD7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D1DA7D7">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25.1</w:t>
            </w:r>
          </w:p>
        </w:tc>
        <w:tc>
          <w:tcPr>
            <w:tcW w:w="1679" w:type="dxa"/>
            <w:vAlign w:val="center"/>
          </w:tcPr>
          <w:p w14:paraId="0353736F">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告知招标结果的形式</w:t>
            </w:r>
          </w:p>
        </w:tc>
        <w:tc>
          <w:tcPr>
            <w:tcW w:w="6654" w:type="dxa"/>
            <w:vAlign w:val="center"/>
          </w:tcPr>
          <w:p w14:paraId="7F0D140D">
            <w:pPr>
              <w:spacing w:line="440" w:lineRule="exac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sym w:font="Wingdings" w:char="00FE"/>
            </w:r>
            <w:r>
              <w:rPr>
                <w:rFonts w:hint="eastAsia" w:ascii="宋体" w:hAnsi="宋体" w:eastAsia="宋体" w:cs="宋体"/>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宋体" w:hAnsi="宋体" w:eastAsia="宋体" w:cs="宋体"/>
                <w:color w:val="auto"/>
                <w:kern w:val="0"/>
                <w:sz w:val="24"/>
                <w:szCs w:val="24"/>
                <w:highlight w:val="none"/>
              </w:rPr>
              <w:t>系统查看</w:t>
            </w:r>
          </w:p>
          <w:p w14:paraId="0EDF416C">
            <w:pPr>
              <w:pStyle w:val="48"/>
              <w:widowControl w:val="0"/>
              <w:spacing w:before="0" w:beforeAutospacing="0" w:after="0" w:afterAutospacing="0" w:line="440" w:lineRule="exact"/>
              <w:jc w:val="both"/>
              <w:rPr>
                <w:rFonts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rPr>
              <w:t>□评标现场告知</w:t>
            </w:r>
          </w:p>
        </w:tc>
      </w:tr>
      <w:tr w14:paraId="3F88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1F82CB70">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26.1</w:t>
            </w:r>
          </w:p>
        </w:tc>
        <w:tc>
          <w:tcPr>
            <w:tcW w:w="1679" w:type="dxa"/>
            <w:vAlign w:val="center"/>
          </w:tcPr>
          <w:p w14:paraId="72E13868">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履约保证金</w:t>
            </w:r>
          </w:p>
        </w:tc>
        <w:tc>
          <w:tcPr>
            <w:tcW w:w="6654" w:type="dxa"/>
          </w:tcPr>
          <w:p w14:paraId="16881D5B">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（1）金额：</w:t>
            </w:r>
          </w:p>
          <w:p w14:paraId="022DD856">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☑免收</w:t>
            </w:r>
          </w:p>
          <w:p w14:paraId="4B777E3E">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□合同价的</w:t>
            </w:r>
            <w:r>
              <w:rPr>
                <w:rFonts w:hint="eastAsia" w:ascii="宋体" w:hAnsi="宋体" w:eastAsia="宋体" w:cs="宋体"/>
                <w:bCs/>
                <w:color w:val="auto"/>
                <w:sz w:val="24"/>
                <w:highlight w:val="none"/>
                <w:u w:val="single"/>
              </w:rPr>
              <w:t>/</w:t>
            </w:r>
            <w:r>
              <w:rPr>
                <w:rFonts w:hint="eastAsia" w:ascii="宋体" w:hAnsi="宋体" w:eastAsia="宋体" w:cs="宋体"/>
                <w:bCs/>
                <w:color w:val="auto"/>
                <w:kern w:val="0"/>
                <w:sz w:val="24"/>
                <w:szCs w:val="28"/>
                <w:highlight w:val="none"/>
              </w:rPr>
              <w:t>%</w:t>
            </w:r>
          </w:p>
          <w:p w14:paraId="0A5275A4">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□定额收取：人民币</w:t>
            </w:r>
            <w:r>
              <w:rPr>
                <w:rFonts w:hint="eastAsia" w:ascii="宋体" w:hAnsi="宋体" w:eastAsia="宋体" w:cs="宋体"/>
                <w:bCs/>
                <w:color w:val="auto"/>
                <w:sz w:val="24"/>
                <w:highlight w:val="none"/>
                <w:u w:val="single"/>
              </w:rPr>
              <w:t>/</w:t>
            </w:r>
            <w:r>
              <w:rPr>
                <w:rFonts w:hint="eastAsia" w:ascii="宋体" w:hAnsi="宋体" w:eastAsia="宋体" w:cs="宋体"/>
                <w:bCs/>
                <w:color w:val="auto"/>
                <w:kern w:val="0"/>
                <w:sz w:val="24"/>
                <w:szCs w:val="28"/>
                <w:highlight w:val="none"/>
              </w:rPr>
              <w:t>元</w:t>
            </w:r>
          </w:p>
          <w:p w14:paraId="0AAB8D76">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（2）支付方式：</w:t>
            </w:r>
          </w:p>
          <w:p w14:paraId="4C31D53D">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转账/电汇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支票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汇票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本票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保险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保函</w:t>
            </w:r>
          </w:p>
          <w:p w14:paraId="58F7753E">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（3）收取单位：</w:t>
            </w:r>
            <w:r>
              <w:rPr>
                <w:rFonts w:hint="eastAsia" w:ascii="宋体" w:hAnsi="宋体" w:eastAsia="宋体" w:cs="宋体"/>
                <w:bCs/>
                <w:color w:val="auto"/>
                <w:sz w:val="24"/>
                <w:highlight w:val="none"/>
                <w:u w:val="single"/>
              </w:rPr>
              <w:t>/</w:t>
            </w:r>
            <w:r>
              <w:rPr>
                <w:rFonts w:hint="eastAsia" w:ascii="宋体" w:hAnsi="宋体" w:eastAsia="宋体" w:cs="宋体"/>
                <w:bCs/>
                <w:color w:val="auto"/>
                <w:kern w:val="0"/>
                <w:sz w:val="24"/>
                <w:szCs w:val="28"/>
                <w:highlight w:val="none"/>
              </w:rPr>
              <w:t xml:space="preserve">              </w:t>
            </w:r>
          </w:p>
          <w:p w14:paraId="313FBD26">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（4）收取账号：</w:t>
            </w:r>
            <w:r>
              <w:rPr>
                <w:rFonts w:hint="eastAsia" w:ascii="宋体" w:hAnsi="宋体" w:eastAsia="宋体" w:cs="宋体"/>
                <w:bCs/>
                <w:color w:val="auto"/>
                <w:sz w:val="24"/>
                <w:highlight w:val="none"/>
                <w:u w:val="single"/>
              </w:rPr>
              <w:t>/</w:t>
            </w:r>
          </w:p>
          <w:p w14:paraId="3D8848E3">
            <w:pPr>
              <w:spacing w:line="440" w:lineRule="exact"/>
              <w:rPr>
                <w:rFonts w:ascii="宋体" w:hAnsi="宋体" w:eastAsia="宋体" w:cs="宋体"/>
                <w:color w:val="auto"/>
                <w:sz w:val="24"/>
                <w:highlight w:val="none"/>
              </w:rPr>
            </w:pPr>
            <w:r>
              <w:rPr>
                <w:rFonts w:hint="eastAsia" w:ascii="宋体" w:hAnsi="宋体" w:eastAsia="宋体" w:cs="宋体"/>
                <w:bCs/>
                <w:color w:val="auto"/>
                <w:kern w:val="0"/>
                <w:sz w:val="24"/>
                <w:szCs w:val="28"/>
                <w:highlight w:val="none"/>
              </w:rPr>
              <w:t>（5）</w:t>
            </w:r>
            <w:r>
              <w:rPr>
                <w:rFonts w:hint="eastAsia" w:ascii="宋体" w:hAnsi="宋体" w:eastAsia="宋体" w:cs="宋体"/>
                <w:color w:val="auto"/>
                <w:sz w:val="24"/>
                <w:highlight w:val="none"/>
              </w:rPr>
              <w:t>退还时间：</w:t>
            </w:r>
            <w:r>
              <w:rPr>
                <w:rFonts w:hint="eastAsia" w:ascii="宋体" w:hAnsi="宋体" w:eastAsia="宋体" w:cs="宋体"/>
                <w:bCs/>
                <w:color w:val="auto"/>
                <w:sz w:val="24"/>
                <w:highlight w:val="none"/>
                <w:u w:val="single"/>
              </w:rPr>
              <w:t>/</w:t>
            </w:r>
          </w:p>
          <w:p w14:paraId="1DAB2BB1">
            <w:pPr>
              <w:spacing w:line="440" w:lineRule="exac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注意事项：</w:t>
            </w:r>
          </w:p>
          <w:p w14:paraId="3DC762F8">
            <w:pPr>
              <w:spacing w:line="440" w:lineRule="exac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（1）以上各类机构出具的以担保函、保证保险承担责任的方式均须满足无条件见索即付条件。</w:t>
            </w:r>
          </w:p>
          <w:p w14:paraId="4087D3B7">
            <w:pPr>
              <w:spacing w:line="440" w:lineRule="exac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（2）以担保函、保证保险形式缴纳履约保证金的，受益人和收取单位须为采购人。</w:t>
            </w:r>
          </w:p>
        </w:tc>
      </w:tr>
      <w:tr w14:paraId="023B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9899BA1">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27.1</w:t>
            </w:r>
          </w:p>
        </w:tc>
        <w:tc>
          <w:tcPr>
            <w:tcW w:w="1679" w:type="dxa"/>
            <w:vAlign w:val="center"/>
          </w:tcPr>
          <w:p w14:paraId="1387847A">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签订合同和合同公告时间</w:t>
            </w:r>
          </w:p>
        </w:tc>
        <w:tc>
          <w:tcPr>
            <w:tcW w:w="6654" w:type="dxa"/>
          </w:tcPr>
          <w:p w14:paraId="3E5B80C4">
            <w:pPr>
              <w:adjustRightInd w:val="0"/>
              <w:snapToGrid w:val="0"/>
              <w:spacing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（1）采购人与中标人应当自发出中标通知书之日起</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日内签订合同，采购合同签订之日起2个工作日内完成政府采购合同公开。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如需要</w:t>
            </w:r>
            <w:r>
              <w:rPr>
                <w:rFonts w:hint="eastAsia" w:ascii="宋体" w:hAnsi="宋体" w:eastAsia="宋体" w:cs="宋体"/>
                <w:color w:val="auto"/>
                <w:sz w:val="24"/>
                <w:szCs w:val="24"/>
                <w:highlight w:val="none"/>
                <w:lang w:eastAsia="zh-CN"/>
              </w:rPr>
              <w:t>）</w:t>
            </w:r>
          </w:p>
          <w:p w14:paraId="4BDC3D22">
            <w:pPr>
              <w:adjustRightInd w:val="0"/>
              <w:snapToGrid w:val="0"/>
              <w:spacing w:line="440" w:lineRule="exact"/>
              <w:rPr>
                <w:rFonts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和滁州市公共资源交易中心网发布政府采购合同变更公告，但涉及国家秘密、商业秘密的信息和其他依法不得公开的信息除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如需要</w:t>
            </w:r>
            <w:r>
              <w:rPr>
                <w:rFonts w:hint="eastAsia" w:ascii="宋体" w:hAnsi="宋体" w:eastAsia="宋体" w:cs="宋体"/>
                <w:color w:val="auto"/>
                <w:sz w:val="24"/>
                <w:szCs w:val="24"/>
                <w:highlight w:val="none"/>
                <w:lang w:eastAsia="zh-CN"/>
              </w:rPr>
              <w:t>）</w:t>
            </w:r>
          </w:p>
        </w:tc>
      </w:tr>
      <w:tr w14:paraId="3736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5E0B685">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28.1</w:t>
            </w:r>
          </w:p>
        </w:tc>
        <w:tc>
          <w:tcPr>
            <w:tcW w:w="1679" w:type="dxa"/>
            <w:vAlign w:val="center"/>
          </w:tcPr>
          <w:p w14:paraId="5D1DD612">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代理费用</w:t>
            </w:r>
          </w:p>
        </w:tc>
        <w:tc>
          <w:tcPr>
            <w:tcW w:w="6654" w:type="dxa"/>
            <w:vAlign w:val="center"/>
          </w:tcPr>
          <w:p w14:paraId="3F671FC8">
            <w:pPr>
              <w:spacing w:before="39" w:line="440" w:lineRule="exact"/>
              <w:rPr>
                <w:rFonts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中标人</w:t>
            </w:r>
          </w:p>
          <w:p w14:paraId="530ECFD0">
            <w:pPr>
              <w:spacing w:before="24" w:line="440" w:lineRule="exact"/>
              <w:rPr>
                <w:rFonts w:hint="eastAsia" w:ascii="宋体" w:hAnsi="宋体" w:eastAsia="宋体" w:cs="宋体"/>
                <w:bCs/>
                <w:color w:val="auto"/>
                <w:kern w:val="0"/>
                <w:sz w:val="24"/>
                <w:szCs w:val="28"/>
                <w:highlight w:val="none"/>
                <w:lang w:eastAsia="zh-CN"/>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eastAsia="zh-CN"/>
              </w:rPr>
              <w:t>银行转账</w:t>
            </w:r>
          </w:p>
          <w:p w14:paraId="35DFA320">
            <w:pPr>
              <w:pStyle w:val="48"/>
              <w:widowControl w:val="0"/>
              <w:spacing w:before="0" w:beforeAutospacing="0" w:after="0" w:afterAutospacing="0" w:line="440" w:lineRule="exact"/>
              <w:jc w:val="both"/>
              <w:rPr>
                <w:rFonts w:hint="eastAsia" w:ascii="宋体" w:hAnsi="宋体" w:eastAsia="宋体" w:cs="宋体"/>
                <w:b w:val="0"/>
                <w:color w:val="auto"/>
                <w:sz w:val="24"/>
                <w:highlight w:val="none"/>
                <w:lang w:eastAsia="zh-CN"/>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color w:val="auto"/>
                <w:sz w:val="24"/>
                <w:highlight w:val="none"/>
                <w:u w:val="single"/>
                <w:lang w:eastAsia="zh-CN"/>
              </w:rPr>
              <w:t>代理费服务费</w:t>
            </w:r>
            <w:r>
              <w:rPr>
                <w:rFonts w:hint="eastAsia" w:ascii="宋体" w:hAnsi="宋体" w:eastAsia="宋体" w:cs="宋体"/>
                <w:b w:val="0"/>
                <w:color w:val="auto"/>
                <w:sz w:val="24"/>
                <w:highlight w:val="none"/>
                <w:u w:val="single"/>
                <w:lang w:val="en-US" w:eastAsia="zh-CN"/>
              </w:rPr>
              <w:t>4500元。</w:t>
            </w:r>
          </w:p>
        </w:tc>
      </w:tr>
      <w:tr w14:paraId="3AD4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5BFF797">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31.3</w:t>
            </w:r>
          </w:p>
        </w:tc>
        <w:tc>
          <w:tcPr>
            <w:tcW w:w="1679" w:type="dxa"/>
            <w:vAlign w:val="center"/>
          </w:tcPr>
          <w:p w14:paraId="4EE8A461">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质疑函递交方式、接收部门、联系电话和通讯地址</w:t>
            </w:r>
          </w:p>
        </w:tc>
        <w:tc>
          <w:tcPr>
            <w:tcW w:w="6654" w:type="dxa"/>
            <w:vAlign w:val="center"/>
          </w:tcPr>
          <w:p w14:paraId="5C740E7B">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递交方式：</w:t>
            </w:r>
            <w:r>
              <w:rPr>
                <w:rFonts w:hint="eastAsia" w:ascii="宋体" w:hAnsi="宋体" w:eastAsia="宋体" w:cs="宋体"/>
                <w:b w:val="0"/>
                <w:color w:val="auto"/>
                <w:sz w:val="24"/>
                <w:highlight w:val="none"/>
                <w:u w:val="single"/>
              </w:rPr>
              <w:t>供应商可以通过书面形式提出，也可以</w:t>
            </w:r>
            <w:r>
              <w:rPr>
                <w:rFonts w:hint="eastAsia" w:ascii="宋体" w:hAnsi="宋体" w:eastAsia="宋体" w:cs="宋体"/>
                <w:b w:val="0"/>
                <w:color w:val="auto"/>
                <w:sz w:val="24"/>
                <w:highlight w:val="none"/>
                <w:u w:val="single"/>
                <w:lang w:val="en-US" w:eastAsia="zh-CN"/>
              </w:rPr>
              <w:t>通过登录新点电子交易平台【滁州专区】线上提出异议</w:t>
            </w:r>
            <w:r>
              <w:rPr>
                <w:rFonts w:hint="eastAsia" w:ascii="宋体" w:hAnsi="宋体" w:eastAsia="宋体" w:cs="宋体"/>
                <w:b w:val="0"/>
                <w:color w:val="auto"/>
                <w:sz w:val="24"/>
                <w:highlight w:val="none"/>
                <w:u w:val="single"/>
              </w:rPr>
              <w:t>。一份质疑函只能针对一个项目提出质疑，且针对同一采购程序环节的质疑应当一次性提出。</w:t>
            </w:r>
          </w:p>
          <w:p w14:paraId="1FC385AE">
            <w:pPr>
              <w:pStyle w:val="48"/>
              <w:widowControl w:val="0"/>
              <w:spacing w:before="0" w:beforeAutospacing="0" w:after="0" w:afterAutospacing="0" w:line="440" w:lineRule="exact"/>
              <w:jc w:val="both"/>
              <w:rPr>
                <w:rFonts w:ascii="宋体" w:hAnsi="宋体" w:eastAsia="宋体" w:cs="宋体"/>
                <w:b w:val="0"/>
                <w:color w:val="auto"/>
                <w:sz w:val="24"/>
                <w:szCs w:val="18"/>
                <w:highlight w:val="none"/>
              </w:rPr>
            </w:pPr>
            <w:r>
              <w:rPr>
                <w:rFonts w:hint="eastAsia" w:ascii="宋体" w:hAnsi="宋体" w:eastAsia="宋体" w:cs="宋体"/>
                <w:b w:val="0"/>
                <w:color w:val="auto"/>
                <w:sz w:val="24"/>
                <w:highlight w:val="none"/>
              </w:rPr>
              <w:t>接收部门：</w:t>
            </w:r>
            <w:r>
              <w:rPr>
                <w:rFonts w:hint="eastAsia" w:ascii="宋体" w:hAnsi="宋体" w:eastAsia="宋体" w:cs="宋体"/>
                <w:b w:val="0"/>
                <w:color w:val="auto"/>
                <w:sz w:val="24"/>
                <w:highlight w:val="none"/>
                <w:u w:val="single"/>
                <w:lang w:eastAsia="zh-CN"/>
              </w:rPr>
              <w:t>中新苏滁高新技术产业开发区管理委员会</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val="en-US" w:eastAsia="zh-CN"/>
              </w:rPr>
              <w:t>滁州市城投工程咨询管理有限公司</w:t>
            </w:r>
          </w:p>
          <w:p w14:paraId="06CD1323">
            <w:pPr>
              <w:pStyle w:val="48"/>
              <w:widowControl w:val="0"/>
              <w:spacing w:before="0" w:beforeAutospacing="0" w:after="0" w:afterAutospacing="0" w:line="440" w:lineRule="exact"/>
              <w:jc w:val="both"/>
              <w:rPr>
                <w:rFonts w:hint="eastAsia" w:ascii="宋体" w:hAnsi="宋体" w:eastAsia="宋体" w:cs="宋体"/>
                <w:b w:val="0"/>
                <w:color w:val="auto"/>
                <w:sz w:val="24"/>
                <w:szCs w:val="18"/>
                <w:highlight w:val="none"/>
                <w:lang w:eastAsia="zh-CN"/>
              </w:rPr>
            </w:pPr>
            <w:r>
              <w:rPr>
                <w:rFonts w:hint="eastAsia" w:ascii="宋体" w:hAnsi="宋体" w:eastAsia="宋体" w:cs="宋体"/>
                <w:b w:val="0"/>
                <w:color w:val="auto"/>
                <w:sz w:val="24"/>
                <w:highlight w:val="none"/>
              </w:rPr>
              <w:t>联系电话：</w:t>
            </w:r>
            <w:r>
              <w:rPr>
                <w:rFonts w:hint="eastAsia" w:ascii="宋体" w:hAnsi="宋体" w:eastAsia="宋体" w:cs="宋体"/>
                <w:b w:val="0"/>
                <w:color w:val="auto"/>
                <w:sz w:val="24"/>
                <w:highlight w:val="none"/>
                <w:u w:val="single"/>
                <w:lang w:val="en-US" w:eastAsia="zh-CN"/>
              </w:rPr>
              <w:t>0550-3769072</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eastAsia="zh-CN"/>
              </w:rPr>
              <w:t>0550-3519512、19955012432</w:t>
            </w:r>
          </w:p>
          <w:p w14:paraId="21764463">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val="0"/>
                <w:color w:val="auto"/>
                <w:sz w:val="24"/>
                <w:highlight w:val="none"/>
                <w:u w:val="single"/>
                <w:lang w:eastAsia="zh-CN"/>
              </w:rPr>
              <w:t xml:space="preserve">滁州市徽州南路1999号 </w:t>
            </w:r>
            <w:r>
              <w:rPr>
                <w:rFonts w:hint="eastAsia" w:ascii="宋体" w:hAnsi="宋体" w:eastAsia="宋体" w:cs="宋体"/>
                <w:b w:val="0"/>
                <w:color w:val="auto"/>
                <w:sz w:val="24"/>
                <w:highlight w:val="none"/>
                <w:u w:val="single"/>
                <w:lang w:val="en-US" w:eastAsia="zh-CN"/>
              </w:rPr>
              <w:t>、滁州市龙蟠大道109号房产商务大厦6楼</w:t>
            </w:r>
          </w:p>
        </w:tc>
      </w:tr>
      <w:tr w14:paraId="5168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C4B6D58">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33</w:t>
            </w:r>
          </w:p>
        </w:tc>
        <w:tc>
          <w:tcPr>
            <w:tcW w:w="1679" w:type="dxa"/>
            <w:vAlign w:val="center"/>
          </w:tcPr>
          <w:p w14:paraId="7A973C5A">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其他内容</w:t>
            </w:r>
          </w:p>
        </w:tc>
        <w:tc>
          <w:tcPr>
            <w:tcW w:w="6654" w:type="dxa"/>
            <w:vAlign w:val="center"/>
          </w:tcPr>
          <w:p w14:paraId="0586E880">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1、解释权：</w:t>
            </w:r>
          </w:p>
          <w:p w14:paraId="0A8A7AED">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（1）构成本招标文件的各个组成文件应互为解释，互为说明；</w:t>
            </w:r>
          </w:p>
          <w:p w14:paraId="6AAEF438">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（2）同一组成文件中就同一事项的规定或约定不一致的，以编排顺序在后者为准；</w:t>
            </w:r>
          </w:p>
          <w:p w14:paraId="4E78A15E">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（3）如有不明确或不一致，构成合同文件组成内容的，以合同文件约定内容为准，且以专用合同条款约定的合同文件优先顺序解释；</w:t>
            </w:r>
          </w:p>
          <w:p w14:paraId="1CE212F7">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（4）除招标文件中有特别规定外，仅适用于招标投标阶段的规定，按招标公告、投标邀请、投标人须知、评标方法和标准、投标文件格式的先后顺序解释；</w:t>
            </w:r>
          </w:p>
          <w:p w14:paraId="3AE8A22B">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（5）按本款前述规定仍不能形成结论的，由采购人负责解释。</w:t>
            </w:r>
          </w:p>
          <w:p w14:paraId="0319A84D">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2</w:t>
            </w:r>
            <w:r>
              <w:rPr>
                <w:rFonts w:hint="eastAsia" w:ascii="宋体" w:hAnsi="宋体" w:eastAsia="宋体" w:cs="宋体"/>
                <w:b w:val="0"/>
                <w:color w:val="auto"/>
                <w:sz w:val="24"/>
                <w:highlight w:val="none"/>
              </w:rPr>
              <w:t>、系统中提供的表格与招标文件中不一致时，以招标文件中提供的表格格式为准。</w:t>
            </w:r>
          </w:p>
          <w:p w14:paraId="460ADB64">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3</w:t>
            </w:r>
            <w:r>
              <w:rPr>
                <w:rFonts w:hint="eastAsia" w:ascii="宋体" w:hAnsi="宋体" w:eastAsia="宋体" w:cs="宋体"/>
                <w:b w:val="0"/>
                <w:color w:val="auto"/>
                <w:kern w:val="2"/>
                <w:sz w:val="24"/>
                <w:szCs w:val="24"/>
                <w:highlight w:val="none"/>
              </w:rPr>
              <w:t>、特别提示：</w:t>
            </w:r>
          </w:p>
          <w:p w14:paraId="280DBEE8">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4B5CC7CC">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4E450954">
            <w:pPr>
              <w:pStyle w:val="48"/>
              <w:keepNext w:val="0"/>
              <w:keepLines w:val="0"/>
              <w:pageBreakBefore w:val="0"/>
              <w:widowControl w:val="0"/>
              <w:kinsoku/>
              <w:wordWrap w:val="0"/>
              <w:overflowPunct/>
              <w:topLinePunct w:val="0"/>
              <w:autoSpaceDE/>
              <w:autoSpaceDN/>
              <w:bidi w:val="0"/>
              <w:adjustRightInd/>
              <w:snapToGrid/>
              <w:spacing w:before="0" w:beforeAutospacing="0" w:after="0" w:afterAutospacing="0" w:line="440" w:lineRule="exact"/>
              <w:jc w:val="both"/>
              <w:textAlignment w:val="auto"/>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w:t>
            </w:r>
            <w:r>
              <w:rPr>
                <w:rFonts w:hint="eastAsia" w:ascii="宋体" w:hAnsi="宋体" w:eastAsia="宋体" w:cs="宋体"/>
                <w:b w:val="0"/>
                <w:bCs w:val="0"/>
                <w:color w:val="auto"/>
                <w:kern w:val="2"/>
                <w:sz w:val="24"/>
                <w:szCs w:val="24"/>
                <w:highlight w:val="none"/>
                <w:lang w:val="en-US" w:eastAsia="zh-CN" w:bidi="ar-SA"/>
              </w:rPr>
              <w:t>本项目采用电子招标投标，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5615295D">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15C75C64">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 xml:space="preserve">（4）投标人应当用本单位CA数字证书制作投标文件，制作成功后进行投标文件上传。 </w:t>
            </w:r>
          </w:p>
          <w:p w14:paraId="03BBE91D">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3738F823">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2EE07DC5">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（7）投标人联系人或联系电话相同的，由评标委员会否决其投标。</w:t>
            </w:r>
          </w:p>
          <w:p w14:paraId="039EE3D5">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5C956BD3">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w:t>
            </w:r>
          </w:p>
          <w:p w14:paraId="6EE8FAD8">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7.评标过程中的澄清、说明或补正：</w:t>
            </w:r>
          </w:p>
          <w:p w14:paraId="6B6B8A5C">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32601730">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240E603A">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tc>
      </w:tr>
      <w:tr w14:paraId="7260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5" w:type="dxa"/>
            <w:gridSpan w:val="3"/>
            <w:vAlign w:val="center"/>
          </w:tcPr>
          <w:p w14:paraId="204B9F59">
            <w:pPr>
              <w:kinsoku/>
              <w:overflowPunct/>
              <w:bidi w:val="0"/>
              <w:adjustRightInd w:val="0"/>
              <w:snapToGrid w:val="0"/>
              <w:spacing w:line="440" w:lineRule="exac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投标文件制作软件下载：</w:t>
            </w:r>
          </w:p>
          <w:p w14:paraId="7F555977">
            <w:pPr>
              <w:pStyle w:val="48"/>
              <w:widowControl w:val="0"/>
              <w:spacing w:before="0" w:beforeAutospacing="0" w:after="0" w:afterAutospacing="0" w:line="44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bCs/>
                <w:color w:val="auto"/>
                <w:sz w:val="24"/>
                <w:szCs w:val="24"/>
                <w:highlight w:val="none"/>
              </w:rPr>
              <w:t>https://download.bqpoint.com/download/downloaddetail.html?SourceFrom=Ztb&amp;ZtbSoftXiaQuCode=0128&amp;ZtbSoftType=tballinclusive</w:t>
            </w:r>
          </w:p>
        </w:tc>
      </w:tr>
    </w:tbl>
    <w:p w14:paraId="2892D943">
      <w:pPr>
        <w:spacing w:line="440" w:lineRule="exact"/>
        <w:jc w:val="center"/>
        <w:outlineLvl w:val="1"/>
        <w:rPr>
          <w:rFonts w:ascii="宋体" w:hAnsi="宋体" w:eastAsia="宋体" w:cs="宋体"/>
          <w:b/>
          <w:color w:val="auto"/>
          <w:sz w:val="24"/>
          <w:highlight w:val="none"/>
        </w:rPr>
      </w:pPr>
      <w:r>
        <w:rPr>
          <w:rFonts w:hint="eastAsia" w:ascii="宋体" w:hAnsi="宋体" w:eastAsia="宋体" w:cs="宋体"/>
          <w:b/>
          <w:color w:val="auto"/>
          <w:sz w:val="28"/>
          <w:highlight w:val="none"/>
        </w:rPr>
        <w:br w:type="page"/>
      </w:r>
      <w:bookmarkStart w:id="30" w:name="_Toc24882"/>
      <w:bookmarkStart w:id="31" w:name="_Toc9427"/>
      <w:bookmarkStart w:id="32" w:name="_Toc20544"/>
      <w:r>
        <w:rPr>
          <w:rFonts w:hint="eastAsia" w:ascii="宋体" w:hAnsi="宋体" w:eastAsia="宋体" w:cs="宋体"/>
          <w:b/>
          <w:color w:val="auto"/>
          <w:sz w:val="24"/>
          <w:highlight w:val="none"/>
        </w:rPr>
        <w:t>二、投标人须知正文</w:t>
      </w:r>
      <w:bookmarkEnd w:id="30"/>
      <w:bookmarkEnd w:id="31"/>
      <w:bookmarkEnd w:id="32"/>
    </w:p>
    <w:p w14:paraId="65EC727B">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1.采购人、采购代理机构及投标人</w:t>
      </w:r>
    </w:p>
    <w:p w14:paraId="756A27E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1.1采购人：是指依法开展政府采购活动的国家机关、事业单位、团体组织。</w:t>
      </w:r>
    </w:p>
    <w:p w14:paraId="2D4A64B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1.2采购代理机构：是指集中采购机构或从事采购代理业务的社会中介机构。</w:t>
      </w:r>
    </w:p>
    <w:p w14:paraId="37B25D6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1.3政府采购监督管理部门：各级人民政府指定的有关部门依法履行与政府采购活动有关的监督管理职责。</w:t>
      </w:r>
    </w:p>
    <w:p w14:paraId="45F8CE9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1.4投标人：是指向采购人提供货物、工程或者服务的法人、其他组织或者自然人。分支机构不得参加政府采购活动，但银行、保险、石油石化、电力、电信等特殊行业除外。本项目的投标人须满足以下条件：</w:t>
      </w:r>
    </w:p>
    <w:p w14:paraId="5E7CAFA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1.4.1具备《中华人民共和国政府采购法》第二十二条关于供应商条件的规定，遵守本项目采购人本级和上级财政部门政府采购的有关规定。</w:t>
      </w:r>
    </w:p>
    <w:p w14:paraId="1526ECC2">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1.4.2以采购代理机构认可的方式获得本项目的招标文件。</w:t>
      </w:r>
    </w:p>
    <w:p w14:paraId="0F7C6E2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1.4.3若采购需求中写明允许采购进口产品，投标人应保证所投产品可履行合法报通关手续进入中国关境内。</w:t>
      </w:r>
    </w:p>
    <w:p w14:paraId="549FFA8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若采购需求中未写明允许采购进口产品，如投标人所投产品为进口产品，其投标将被认定为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791EDC3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1.5若招标公告中允许联合体投标，对联合体规定如下：</w:t>
      </w:r>
    </w:p>
    <w:p w14:paraId="3BBF3427">
      <w:pPr>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1.5.1两个以上供应商可以组成一个投标联合体，以一个投标人的身份投标。联合体投标的，招标文件获取手续由联合体中任一成员单位办理均可。</w:t>
      </w:r>
    </w:p>
    <w:p w14:paraId="776C320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1.5.2联合体各方均应符合《中华人民共和国政府采购法》第二十二条规定的条件。</w:t>
      </w:r>
    </w:p>
    <w:p w14:paraId="5DA5573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1.5.3采购人根据采购项目对投标人的特殊要求，联合体中至少应当有一方符合相关规定。</w:t>
      </w:r>
    </w:p>
    <w:p w14:paraId="46F9111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1.5.4联合体各方应签订联合协议，明确约定联合体各方承担的工作和相应的责任，并将联合协议作为投标文件的一部分提交。</w:t>
      </w:r>
    </w:p>
    <w:p w14:paraId="5905641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1.5.5大中型企业、其他自然人、法人或者非法人组织与小型、微型企业组成联合体共同参加投标，联合协议中应写明小型、微型企业的协议合同金额占到联合协议投标总金额的比例。</w:t>
      </w:r>
    </w:p>
    <w:p w14:paraId="2138E3A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1.5.6联合体中有同类资质的供应商按照联合体分工承担相同工作的，应当按照资质等级较低的供应商确定资质等级。</w:t>
      </w:r>
    </w:p>
    <w:p w14:paraId="1095A9D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1.5.7以联合体形式参加政府采购活动的，联合体各方不得再单独参加或者与其他供应商另外组成联合体参加本项目投标，否则相关投标将被认定为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567067D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1.5.8对联合体投标的其他资格要求见申请人的资格要求。</w:t>
      </w:r>
    </w:p>
    <w:p w14:paraId="1F82642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2.资金落实情况</w:t>
      </w:r>
    </w:p>
    <w:p w14:paraId="45048AA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2.1本项目的采购人已获得足以支付本次招标后所签订的合同项下的资金。</w:t>
      </w:r>
    </w:p>
    <w:p w14:paraId="6123C4C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3.投标费用</w:t>
      </w:r>
    </w:p>
    <w:p w14:paraId="52FA93B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不论投标的结果如何，投标人应承担所有与准备和参加投标有关的费用。</w:t>
      </w:r>
    </w:p>
    <w:p w14:paraId="4FD4B6E3">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4.适用法律</w:t>
      </w:r>
    </w:p>
    <w:p w14:paraId="5718407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本项目采购人、采购代理机构、投标人、评标委员会的相关行为均受《中华人民共和国政府采购法》、《中</w:t>
      </w:r>
      <w:r>
        <w:rPr>
          <w:rFonts w:hint="eastAsia" w:ascii="宋体" w:hAnsi="宋体" w:eastAsia="宋体" w:cs="宋体"/>
          <w:color w:val="auto"/>
          <w:sz w:val="24"/>
          <w:szCs w:val="22"/>
          <w:highlight w:val="none"/>
        </w:rPr>
        <w:t>华人民共和国政府采购法实施条例》及本项目本级和上级财政部门、政府采购监督管理部门的政府采购有关规定的约束，其权利受到上述法律法规的保护。</w:t>
      </w:r>
    </w:p>
    <w:p w14:paraId="0FFB8C7C">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5.招标文件构成</w:t>
      </w:r>
    </w:p>
    <w:p w14:paraId="6E4E9F4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5.1招标文件包括下列内容：</w:t>
      </w:r>
    </w:p>
    <w:p w14:paraId="7698A488">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第一章  投标邀请</w:t>
      </w:r>
    </w:p>
    <w:p w14:paraId="03B17076">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第二章  投标人须知</w:t>
      </w:r>
    </w:p>
    <w:p w14:paraId="0EAD03FA">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第三章  采购需求</w:t>
      </w:r>
    </w:p>
    <w:p w14:paraId="69B56CC2">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第四章  评标方法和标准</w:t>
      </w:r>
    </w:p>
    <w:p w14:paraId="31A2149D">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第五章  政府采购合同</w:t>
      </w:r>
    </w:p>
    <w:p w14:paraId="03693060">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第六章  投标文件格式</w:t>
      </w:r>
    </w:p>
    <w:p w14:paraId="4610BFAF">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第七章  政府采购询问函和质疑函范本</w:t>
      </w:r>
    </w:p>
    <w:p w14:paraId="6C1C6A3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5.2现场考察（</w:t>
      </w:r>
      <w:r>
        <w:rPr>
          <w:rFonts w:hint="eastAsia" w:ascii="宋体" w:hAnsi="宋体" w:eastAsia="宋体" w:cs="宋体"/>
          <w:bCs/>
          <w:color w:val="auto"/>
          <w:sz w:val="24"/>
          <w:szCs w:val="22"/>
          <w:highlight w:val="none"/>
        </w:rPr>
        <w:t>标前答疑会</w:t>
      </w:r>
      <w:r>
        <w:rPr>
          <w:rFonts w:hint="eastAsia" w:ascii="宋体" w:hAnsi="宋体" w:eastAsia="宋体" w:cs="宋体"/>
          <w:color w:val="auto"/>
          <w:sz w:val="24"/>
          <w:highlight w:val="none"/>
        </w:rPr>
        <w:t>）及相关事项见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688AD47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5.3投标人应认真阅读招标文件所有的事项、格式、条款和技术规范等。</w:t>
      </w:r>
    </w:p>
    <w:p w14:paraId="15DCF920">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6.招标文件的澄清与修改</w:t>
      </w:r>
    </w:p>
    <w:p w14:paraId="710CDFA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6.1投标人如对招标文件内容有疑问，可在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规定的网上询问截止时间前提交给采购代理机构。</w:t>
      </w:r>
    </w:p>
    <w:p w14:paraId="6AD9E1A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6.2采购人可主动地或在答复投标人提出的询问时对招标文件进行澄清与修改。采购代理机构将在</w:t>
      </w:r>
      <w:r>
        <w:rPr>
          <w:rFonts w:hint="eastAsia" w:ascii="宋体" w:hAnsi="宋体" w:eastAsia="宋体" w:cs="宋体"/>
          <w:color w:val="auto"/>
          <w:sz w:val="24"/>
          <w:highlight w:val="none"/>
          <w:lang w:eastAsia="zh-CN"/>
        </w:rPr>
        <w:t>中新苏滁高新技术产业开发区网站（https://scp.chuzhou.gov.cn/）、滁州市城投工程咨询管理有限公司网站（https://www.czctgczx.com/）</w:t>
      </w:r>
      <w:r>
        <w:rPr>
          <w:rFonts w:hint="eastAsia" w:ascii="宋体" w:hAnsi="宋体" w:eastAsia="宋体" w:cs="宋体"/>
          <w:color w:val="auto"/>
          <w:sz w:val="24"/>
          <w:highlight w:val="none"/>
        </w:rPr>
        <w:t>以发布更正公告的方式，澄清或修改招标文件，更正公告的内容作为招标文件的组成部分，对投标人起约束作用。投标人应主动上网查询。采购代理机构不承担投标人未及时关注相关信息引发的相关责任。</w:t>
      </w:r>
    </w:p>
    <w:p w14:paraId="039FE9E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4F540EFA">
      <w:pPr>
        <w:spacing w:line="440" w:lineRule="exact"/>
        <w:ind w:firstLine="435"/>
        <w:rPr>
          <w:rFonts w:ascii="宋体" w:hAnsi="宋体" w:eastAsia="宋体" w:cs="宋体"/>
          <w:i/>
          <w:iCs/>
          <w:color w:val="auto"/>
          <w:sz w:val="24"/>
          <w:highlight w:val="none"/>
        </w:rPr>
      </w:pPr>
      <w:r>
        <w:rPr>
          <w:rFonts w:hint="eastAsia" w:ascii="宋体" w:hAnsi="宋体" w:eastAsia="宋体" w:cs="宋体"/>
          <w:color w:val="auto"/>
          <w:sz w:val="24"/>
          <w:highlight w:val="none"/>
        </w:rPr>
        <w:t>6.4对于没有提出疑问又参与了本项目投标的投标人将被视为完全认同本招标文件（含更正公告的内容）</w:t>
      </w:r>
      <w:r>
        <w:rPr>
          <w:rFonts w:hint="eastAsia" w:ascii="宋体" w:hAnsi="宋体" w:eastAsia="宋体" w:cs="宋体"/>
          <w:i/>
          <w:color w:val="auto"/>
          <w:sz w:val="24"/>
          <w:highlight w:val="none"/>
        </w:rPr>
        <w:t>。</w:t>
      </w:r>
    </w:p>
    <w:p w14:paraId="5DE53463">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7.投标范围及投标文件中标准和计量单位的使用</w:t>
      </w:r>
    </w:p>
    <w:p w14:paraId="5278B87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7.1项目有分包的，投标人可对招标文件其中某一个或几个分包进行投标，除非在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中另有规定。</w:t>
      </w:r>
    </w:p>
    <w:p w14:paraId="2ED7BED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7.2投标人应当对所投分包招标文件中“采购需求”所列的所有内容进行投标，如仅响应所投包别中的部分内容，其所投包别的投标将被认定为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6F6846E5">
      <w:pPr>
        <w:spacing w:line="440" w:lineRule="exact"/>
        <w:ind w:firstLine="435"/>
        <w:rPr>
          <w:rFonts w:ascii="宋体" w:hAnsi="宋体" w:eastAsia="宋体" w:cs="宋体"/>
          <w:color w:val="auto"/>
          <w:sz w:val="24"/>
          <w:highlight w:val="none"/>
        </w:rPr>
      </w:pPr>
      <w:bookmarkStart w:id="33" w:name="_Hlk16458980"/>
      <w:r>
        <w:rPr>
          <w:rFonts w:hint="eastAsia" w:ascii="宋体" w:hAnsi="宋体" w:eastAsia="宋体" w:cs="宋体"/>
          <w:color w:val="auto"/>
          <w:sz w:val="24"/>
          <w:highlight w:val="none"/>
        </w:rPr>
        <w:t>7.3无论招标文件中是否要求，投标人所投货物、服务及工程（如有）均应符合国家强制性标准。</w:t>
      </w:r>
    </w:p>
    <w:bookmarkEnd w:id="33"/>
    <w:p w14:paraId="26A23C2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7.4投标人与采购代理机构之间与投标有关的所有往来通知、函件和投标文件均用中文表述。投标人随投标文件提供的证明文件和资料可以为其它语言，但必须附中文译文。翻译的中文资料与外文资料出现差异时，以中文为准。</w:t>
      </w:r>
    </w:p>
    <w:p w14:paraId="0F9499B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7.5除招标文件中有特殊要求外，投标文件中所使用的计量单位，应采用中华人民共和国法定计量单位。</w:t>
      </w:r>
    </w:p>
    <w:p w14:paraId="0DF3BD8C">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8.投标文件构成</w:t>
      </w:r>
    </w:p>
    <w:p w14:paraId="6D4AA2A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8.1投标人应完整地按招标文件提供的投标文件格式及要求编写投标文件，具体内容详见本项目投标文件格式的相关内容。</w:t>
      </w:r>
    </w:p>
    <w:p w14:paraId="007E7CF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8.2投标人应提交招标文件要求的证明文件，证明其投标内容符合招标文件规定，该证明文件是投标文件的一部分。证明文件形式可以是文字资料、图纸和数据</w:t>
      </w:r>
      <w:bookmarkStart w:id="34" w:name="_Hlk11703583"/>
      <w:r>
        <w:rPr>
          <w:rFonts w:hint="eastAsia" w:ascii="宋体" w:hAnsi="宋体" w:eastAsia="宋体" w:cs="宋体"/>
          <w:color w:val="auto"/>
          <w:sz w:val="24"/>
          <w:highlight w:val="none"/>
        </w:rPr>
        <w:t>等。</w:t>
      </w:r>
    </w:p>
    <w:bookmarkEnd w:id="34"/>
    <w:p w14:paraId="6484BAB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8.3为保证公平公正，除非另有规定或说明，投标人对同一项目投标时，不得同时提供备选投标方案。</w:t>
      </w:r>
    </w:p>
    <w:p w14:paraId="2CB16E9F">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9.投标报价</w:t>
      </w:r>
    </w:p>
    <w:p w14:paraId="64DD4E7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.1投标人的报价应当包括满足本次招标全部采购需求。除招标文件另有规定外，所有投标均应以人民币报价。投标人的投标报价应遵守《中华人民共和国价格法》。</w:t>
      </w:r>
    </w:p>
    <w:p w14:paraId="75879EE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9.2投标人报价超过招标文件规定的预算金额或者分项、分包最高限价，其投标将被认定为</w:t>
      </w:r>
      <w:r>
        <w:rPr>
          <w:rFonts w:hint="eastAsia" w:ascii="宋体" w:hAnsi="宋体" w:eastAsia="宋体" w:cs="宋体"/>
          <w:b/>
          <w:bCs/>
          <w:color w:val="auto"/>
          <w:sz w:val="24"/>
          <w:highlight w:val="none"/>
        </w:rPr>
        <w:t>投标无效</w:t>
      </w:r>
      <w:r>
        <w:rPr>
          <w:rFonts w:hint="eastAsia" w:ascii="宋体" w:hAnsi="宋体" w:eastAsia="宋体" w:cs="宋体"/>
          <w:color w:val="auto"/>
          <w:sz w:val="24"/>
          <w:highlight w:val="none"/>
        </w:rPr>
        <w:t>。</w:t>
      </w:r>
    </w:p>
    <w:p w14:paraId="382C4D4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9.3投标报价在合同履行过程中是固定不变的，不得以任何理由予以变更。任何包含价格调整要求的投标，其投标将被认定为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145826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9.4采购人不接受具有附加条件的报价。</w:t>
      </w:r>
    </w:p>
    <w:p w14:paraId="4D4FBB2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10.投标保证金</w:t>
      </w:r>
    </w:p>
    <w:p w14:paraId="153306D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10.1本项目不收取投标保证金。</w:t>
      </w:r>
    </w:p>
    <w:p w14:paraId="35564912">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11.投标有效期</w:t>
      </w:r>
    </w:p>
    <w:p w14:paraId="2E0EB06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11.1投标有效期为从投标截止之日算起的日历天数，投标有效期详见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37D91D6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11.2在投标有效期内，投标人的投标保持有效，投标人不得要求撤销或修改其投标文件。投标有效期不满足要求的投标，其投标将被认定为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5A782CA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2ECDF6D2">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12.投标文件的递交、修改与撤回</w:t>
      </w:r>
    </w:p>
    <w:p w14:paraId="6A423D7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12.1投标人应当在招标公告规定的投标截止时间前，将加密的投标文件在电子交易系统上传。</w:t>
      </w:r>
    </w:p>
    <w:p w14:paraId="1D60824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66C36E8">
      <w:pPr>
        <w:spacing w:line="440" w:lineRule="exact"/>
        <w:ind w:firstLine="435"/>
        <w:rPr>
          <w:rFonts w:ascii="宋体" w:hAnsi="宋体" w:eastAsia="宋体" w:cs="宋体"/>
          <w:b/>
          <w:color w:val="auto"/>
          <w:sz w:val="24"/>
          <w:highlight w:val="none"/>
        </w:rPr>
      </w:pPr>
      <w:r>
        <w:rPr>
          <w:rFonts w:hint="eastAsia" w:ascii="宋体" w:hAnsi="宋体" w:eastAsia="宋体" w:cs="宋体"/>
          <w:b/>
          <w:color w:val="auto"/>
          <w:sz w:val="24"/>
          <w:highlight w:val="none"/>
        </w:rPr>
        <w:t>13.开标</w:t>
      </w:r>
    </w:p>
    <w:p w14:paraId="3CE265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569EE3BB">
      <w:pPr>
        <w:spacing w:line="440" w:lineRule="exact"/>
        <w:ind w:firstLine="435"/>
        <w:rPr>
          <w:rFonts w:ascii="宋体" w:hAnsi="宋体" w:eastAsia="宋体" w:cs="宋体"/>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r>
        <w:rPr>
          <w:rFonts w:hint="eastAsia" w:ascii="宋体" w:hAnsi="宋体" w:eastAsia="宋体" w:cs="宋体"/>
          <w:color w:val="auto"/>
          <w:sz w:val="24"/>
          <w:highlight w:val="none"/>
        </w:rPr>
        <w:t>。</w:t>
      </w:r>
    </w:p>
    <w:p w14:paraId="51D65E42">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14.资格审查及组建评标委员会</w:t>
      </w:r>
    </w:p>
    <w:p w14:paraId="5D8DD30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14.1采购人或采购代理机构依据法律法规和招标文件中规定的内容，对投标人资格进行审查，未通过资格审查的投标人不进入评标。</w:t>
      </w:r>
    </w:p>
    <w:p w14:paraId="741CC2D6">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rPr>
          <w:rFonts w:ascii="宋体" w:hAnsi="宋体" w:eastAsia="宋体" w:cs="宋体"/>
          <w:color w:val="auto"/>
          <w:sz w:val="24"/>
          <w:szCs w:val="24"/>
          <w:highlight w:val="none"/>
        </w:rPr>
      </w:pPr>
      <w:bookmarkStart w:id="3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3DCC068D">
      <w:pPr>
        <w:spacing w:line="44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E76DF4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5"/>
    <w:p w14:paraId="0E94E462">
      <w:pPr>
        <w:spacing w:line="440" w:lineRule="exact"/>
        <w:ind w:firstLine="435"/>
        <w:rPr>
          <w:rFonts w:ascii="宋体" w:hAnsi="宋体" w:eastAsia="宋体" w:cs="宋体"/>
          <w:b/>
          <w:color w:val="auto"/>
          <w:sz w:val="24"/>
          <w:highlight w:val="none"/>
        </w:rPr>
      </w:pPr>
      <w:r>
        <w:rPr>
          <w:rFonts w:hint="eastAsia" w:ascii="宋体" w:hAnsi="宋体" w:eastAsia="宋体" w:cs="宋体"/>
          <w:color w:val="auto"/>
          <w:sz w:val="24"/>
          <w:highlight w:val="none"/>
        </w:rPr>
        <w:t>14.3按照《中华人民共和国政府采购法》、《中华人民共和国政府采购法实施条例》及本项目本级和上级财政部门、政府采购监督管理部门的有关规定依法组建的评标委员会，负责本项目评标工作。</w:t>
      </w:r>
    </w:p>
    <w:p w14:paraId="102B925B">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15.投标文件符合性审查与澄清</w:t>
      </w:r>
    </w:p>
    <w:p w14:paraId="1952185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15.1符合性审查是指依据招标文件的规定，从投标文件的有效性和完整性对招标文件的响应程度进行审查，以确定是否对招标文件的实质性要求做出响应。</w:t>
      </w:r>
    </w:p>
    <w:p w14:paraId="3ECDF09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15.2投标文件的澄清</w:t>
      </w:r>
    </w:p>
    <w:p w14:paraId="63FB011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作必要的澄清、说明或补正。投标人的澄清、说明或补正应在评标委员会规定的时间内以书面方式进行，并不得超出投标文件范围或者改变投标文件的实质性内容。</w:t>
      </w:r>
    </w:p>
    <w:p w14:paraId="1933EFED">
      <w:pPr>
        <w:spacing w:line="440" w:lineRule="exact"/>
        <w:ind w:firstLine="435"/>
        <w:rPr>
          <w:rFonts w:ascii="宋体" w:hAnsi="宋体" w:eastAsia="宋体" w:cs="宋体"/>
          <w:b/>
          <w:bCs/>
          <w:color w:val="auto"/>
          <w:sz w:val="24"/>
          <w:highlight w:val="none"/>
        </w:rPr>
      </w:pPr>
      <w:r>
        <w:rPr>
          <w:rFonts w:hint="eastAsia" w:ascii="宋体" w:hAnsi="宋体" w:eastAsia="宋体" w:cs="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621863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15.2.2投标人的澄清、说明或补正将作为投标文件的一部分。</w:t>
      </w:r>
    </w:p>
    <w:p w14:paraId="1456236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15.2.3评标委员会对投标人提交的澄清、说明或补正有疑问的，可以要求投标人进一步澄清、说明或补正，直至满足评标委员会的要求。</w:t>
      </w:r>
    </w:p>
    <w:p w14:paraId="207CE8D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15.3投标文件报价出现前后不一致的，按照下列规定修正：</w:t>
      </w:r>
    </w:p>
    <w:p w14:paraId="0A35E4D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（1）投标文件中开标一览表内容与投标文件中相应内容不一致的，以开标一览表为准；</w:t>
      </w:r>
    </w:p>
    <w:p w14:paraId="2B56178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（2）大写金额和小写金额不一致的，以大写金额为准；</w:t>
      </w:r>
    </w:p>
    <w:p w14:paraId="20C9B2A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（3）单价金额小数点或者百分比有明显错位的，以开标一览表的总价为准，并修改单价；</w:t>
      </w:r>
    </w:p>
    <w:p w14:paraId="0CD6637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（4）总价金额与按单价汇总金额不一致的，以单价金额计算结果为准。</w:t>
      </w:r>
    </w:p>
    <w:p w14:paraId="4051CC6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同时出现两种以上不一致的，按照前款规定的顺序修正。修正后的报价按照第15.3条的规定经投标人确认后产生约束力，无论投标人是接受或是拒绝调整后的价格，都应当由投标人在系统中确认。投标人拒绝对投标文件出现的错漏按上述原则进行修正、澄清、说明，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3431E0C">
      <w:pPr>
        <w:spacing w:line="440" w:lineRule="exact"/>
        <w:ind w:firstLine="435"/>
        <w:rPr>
          <w:rFonts w:ascii="宋体" w:hAnsi="宋体" w:eastAsia="宋体" w:cs="宋体"/>
          <w:b/>
          <w:color w:val="auto"/>
          <w:sz w:val="24"/>
          <w:highlight w:val="none"/>
        </w:rPr>
      </w:pPr>
      <w:r>
        <w:rPr>
          <w:rFonts w:hint="eastAsia" w:ascii="宋体" w:hAnsi="宋体" w:eastAsia="宋体" w:cs="宋体"/>
          <w:color w:val="auto"/>
          <w:sz w:val="24"/>
          <w:highlight w:val="none"/>
        </w:rPr>
        <w:t>对不同文字文本投标文件的解释发生异议的，以中文文本为准。</w:t>
      </w:r>
    </w:p>
    <w:p w14:paraId="4299B8B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16.投标无效</w:t>
      </w:r>
    </w:p>
    <w:p w14:paraId="68D6911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16.1根据本招标文件的规定，评标委员会要审查每份投标文件是否实质上响应了招标文件的要求。投标人不得通过修正或撤销不符合要求的偏离，从而使其投标成为实质上响应的投标。</w:t>
      </w:r>
    </w:p>
    <w:p w14:paraId="0EAF906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评标委员会决定投标的响应性只根据招标文件要求和投标文件内容。</w:t>
      </w:r>
    </w:p>
    <w:p w14:paraId="7E41D9A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无论何种原因，即使投标人投标时携带了证书材料的原件，但投标文件中未提供与之内容完全一致的扫描件的，评标委员会视同其未提供。</w:t>
      </w:r>
    </w:p>
    <w:p w14:paraId="1697D75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16.2如发现下列情况之一的，其投标将被认定为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0FF2DF3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（1）投标文件未按照招标文件规定要求签署、盖章的；</w:t>
      </w:r>
    </w:p>
    <w:p w14:paraId="6AF8E0C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（2）不具备招标文件中规定的资格要求的；</w:t>
      </w:r>
    </w:p>
    <w:p w14:paraId="7581410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（3）报价超过招标文件中规定的预算金额或者最高限价的；</w:t>
      </w:r>
    </w:p>
    <w:p w14:paraId="3D38321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（4）投标文件含有采购人不能接受的附加条件的；</w:t>
      </w:r>
    </w:p>
    <w:p w14:paraId="014B65B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（5）法律、法规和招标文件规定的其他无效情形。</w:t>
      </w:r>
    </w:p>
    <w:p w14:paraId="695DC960">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17.比较与评价</w:t>
      </w:r>
    </w:p>
    <w:p w14:paraId="4D9EDF8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17.1经符合性审查合格的投标文件，评标委员会将根据招标文件确定的评标方法和标准，对其投标文件作进一步的比较与评价。</w:t>
      </w:r>
    </w:p>
    <w:p w14:paraId="0E72C87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17.2评标严格按照招标文件的要求和条件进行。根据实际情况，在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中规定采用下列一种评标方法，详细评标方法和标准见招标文件第四章：</w:t>
      </w:r>
    </w:p>
    <w:p w14:paraId="4807701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（1）最低评标价法，是指投标文件满足招标文件全部实质性要求，且投标报价最低的投标人为中标候选人的评标方法。</w:t>
      </w:r>
    </w:p>
    <w:p w14:paraId="322E864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（2）综合评分法，是指投标文件满足招标文件全部实质性要求，且按照评审因素的量化指标评审得分最高的投标人为中标候选人的评标方法。</w:t>
      </w:r>
    </w:p>
    <w:p w14:paraId="578616A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17.3根据《政府采购促进中小企业发展管理办法》（财库〔2020〕46号）、《三部门联合发布关于促进残疾人就业政府采购政策的通知》（财库〔2017〕141号）和《财政部 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中规定的标准扣除后的价格参与评审。对于同时属于小微企业、监狱企业或残疾人福利性单位的，不重复进行投标报价扣除。</w:t>
      </w:r>
    </w:p>
    <w:p w14:paraId="497B305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接受大中型企业与小微企业组成联合体或者允许大中型企业向一家或者多家小微企业分包的，对于联合协议或者分包意向协议约定小微企业的合同份额占到合同总金额30%以上的，可给予联合体或者大中型企业的投标报价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1B7B211B">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D789A29">
      <w:pPr>
        <w:spacing w:line="440" w:lineRule="exact"/>
        <w:ind w:firstLine="435"/>
        <w:rPr>
          <w:rFonts w:hint="eastAsia" w:ascii="宋体" w:hAnsi="宋体" w:eastAsia="宋体" w:cs="宋体"/>
          <w:color w:val="auto"/>
          <w:sz w:val="24"/>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DEEACB4">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18.废标、重新招标与变更采购方式</w:t>
      </w:r>
    </w:p>
    <w:p w14:paraId="323C160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18.1出现下列情形之一，将导致项目废标：</w:t>
      </w:r>
    </w:p>
    <w:p w14:paraId="20FA4A8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（1）符合专业条件的供应商或者对招标文件做实质性响应的供应商不足规定数量的；</w:t>
      </w:r>
    </w:p>
    <w:p w14:paraId="41B1646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（2）出现影响采购公正的违法、违规行为的；</w:t>
      </w:r>
    </w:p>
    <w:p w14:paraId="3CA834C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（3）投标人的报价均超过了采购预算，采购人不能支付的；</w:t>
      </w:r>
    </w:p>
    <w:p w14:paraId="7B02E85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（4）因重大变故，采购任务取消的。</w:t>
      </w:r>
    </w:p>
    <w:p w14:paraId="0BF1B50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18.2公开招标数额标准以上的采购项目，投标截止后投标人不足3家或者通过资格审查或符合性审查的投标人不足3家的，除采购任务取消情形外，按照以下方式处理：</w:t>
      </w:r>
    </w:p>
    <w:p w14:paraId="39A2E62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（1）招标文件存在不合理条款或者招标程序不符合规定的，采购人、采购代理机构改正后依法重新招标；</w:t>
      </w:r>
    </w:p>
    <w:p w14:paraId="3972E65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宋体" w:hAnsi="宋体" w:eastAsia="宋体" w:cs="宋体"/>
          <w:color w:val="auto"/>
          <w:sz w:val="24"/>
          <w:highlight w:val="none"/>
        </w:rPr>
        <w:t>批准。</w:t>
      </w:r>
    </w:p>
    <w:p w14:paraId="3FF356C6">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19.保密要求</w:t>
      </w:r>
    </w:p>
    <w:p w14:paraId="2FCDD77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19.1评标将在严格保密的情况下进行。</w:t>
      </w:r>
    </w:p>
    <w:p w14:paraId="6B51A50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19.2有关人员应当遵守评标工作纪律，不得泄露评标文件、评标情况和评标中获悉的国家秘密、商业秘密。</w:t>
      </w:r>
    </w:p>
    <w:p w14:paraId="0050228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20.中标候选人的确定原则及标准</w:t>
      </w:r>
    </w:p>
    <w:p w14:paraId="1AD4116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20.1评标委员会依据本项目招标文件所约定的评标方法，对实质上响应招标文件的投标人按下列方法进行排序，确定中标候选人：</w:t>
      </w:r>
    </w:p>
    <w:p w14:paraId="7A35991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采取评标委员会随机抽取的方式确定中标候选顺序。</w:t>
      </w:r>
    </w:p>
    <w:p w14:paraId="00169915">
      <w:pPr>
        <w:spacing w:line="440" w:lineRule="exact"/>
        <w:ind w:firstLine="435"/>
        <w:rPr>
          <w:rFonts w:ascii="宋体" w:hAnsi="宋体" w:eastAsia="宋体" w:cs="宋体"/>
          <w:color w:val="auto"/>
          <w:highlight w:val="none"/>
        </w:rPr>
      </w:pPr>
      <w:r>
        <w:rPr>
          <w:rFonts w:hint="eastAsia" w:ascii="宋体" w:hAnsi="宋体" w:eastAsia="宋体" w:cs="宋体"/>
          <w:color w:val="auto"/>
          <w:sz w:val="24"/>
          <w:highlight w:val="none"/>
        </w:rPr>
        <w:t>（2）采用综合评分法的，评标结果按评审后得分由高到低顺序排列。得分相同的，按投标报价由低到高顺序排列。得分与投标报价均相同的，则采取评标委员会随机抽取的方式确定中标候选顺序。</w:t>
      </w:r>
    </w:p>
    <w:p w14:paraId="4071547A">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21.确定中标候选人和中标人</w:t>
      </w:r>
    </w:p>
    <w:p w14:paraId="7CDA452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21.1评标委员会将根据评标标准，按</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中规定数量推荐中标候选人。</w:t>
      </w:r>
    </w:p>
    <w:p w14:paraId="57201AB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21.2按</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中规定，由评标委员会或采购人确定中标人。</w:t>
      </w:r>
    </w:p>
    <w:p w14:paraId="67F4741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21.3因重大变故采购任务取消时，采购人有权拒绝任何投标人中标，且对受影响的投标人不承担任何责任。</w:t>
      </w:r>
    </w:p>
    <w:p w14:paraId="5237EAF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22.编写评标报告</w:t>
      </w:r>
    </w:p>
    <w:p w14:paraId="1406CA7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56BCD8B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23.中标结果公告</w:t>
      </w:r>
    </w:p>
    <w:p w14:paraId="6550D57D">
      <w:pPr>
        <w:spacing w:line="440" w:lineRule="exact"/>
        <w:ind w:firstLine="435"/>
        <w:rPr>
          <w:rFonts w:ascii="宋体" w:hAnsi="宋体" w:eastAsia="宋体" w:cs="宋体"/>
          <w:color w:val="auto"/>
          <w:sz w:val="24"/>
          <w:szCs w:val="18"/>
          <w:highlight w:val="none"/>
        </w:rPr>
      </w:pPr>
      <w:r>
        <w:rPr>
          <w:rFonts w:hint="eastAsia" w:ascii="宋体" w:hAnsi="宋体" w:eastAsia="宋体" w:cs="宋体"/>
          <w:color w:val="auto"/>
          <w:sz w:val="24"/>
          <w:highlight w:val="none"/>
        </w:rPr>
        <w:t>23.1除</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FF3D213">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23.2自中标人确定之日起2个工作日内，采购代理机构将在</w:t>
      </w:r>
      <w:r>
        <w:rPr>
          <w:rFonts w:hint="eastAsia" w:ascii="宋体" w:hAnsi="宋体" w:eastAsia="宋体" w:cs="宋体"/>
          <w:color w:val="auto"/>
          <w:sz w:val="24"/>
          <w:szCs w:val="18"/>
          <w:highlight w:val="none"/>
          <w:lang w:eastAsia="zh-CN"/>
        </w:rPr>
        <w:t>中新苏滁高新技术产业开发区网站（https://scp.chuzhou.gov.cn/）、滁州市城投工程咨询管理有限公司网站（https://www.czctgczx.com/）</w:t>
      </w:r>
      <w:r>
        <w:rPr>
          <w:rFonts w:hint="eastAsia" w:ascii="宋体" w:hAnsi="宋体" w:eastAsia="宋体" w:cs="宋体"/>
          <w:color w:val="auto"/>
          <w:sz w:val="24"/>
          <w:szCs w:val="18"/>
          <w:highlight w:val="none"/>
        </w:rPr>
        <w:t>上发布中标结果公告。</w:t>
      </w:r>
    </w:p>
    <w:p w14:paraId="68C2EB4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23.3中标结果公告内容应当包括采购人及其委托的采购代理机构的名称、地址、联系方式，项目名称和项目编号，中标人名称、地址和中标金额，主要中标标的的名称、服务范围、服务要求、服务时间、服务标准，中标公告期限、评审专家名单以及</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中约定进行公告的内容。中标公告期限为1个工作日。</w:t>
      </w:r>
    </w:p>
    <w:p w14:paraId="048985BB">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24.中标通知书</w:t>
      </w:r>
    </w:p>
    <w:p w14:paraId="54F1561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24.1采购代理机构发布中标结果公告</w:t>
      </w:r>
      <w:r>
        <w:rPr>
          <w:rFonts w:hint="eastAsia" w:ascii="宋体" w:hAnsi="宋体" w:eastAsia="宋体" w:cs="宋体"/>
          <w:iCs/>
          <w:color w:val="auto"/>
          <w:sz w:val="24"/>
          <w:highlight w:val="none"/>
        </w:rPr>
        <w:t>的</w:t>
      </w:r>
      <w:r>
        <w:rPr>
          <w:rFonts w:hint="eastAsia" w:ascii="宋体" w:hAnsi="宋体" w:eastAsia="宋体" w:cs="宋体"/>
          <w:color w:val="auto"/>
          <w:sz w:val="24"/>
          <w:highlight w:val="none"/>
        </w:rPr>
        <w:t>同时以</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规定的形式向中标人发出中标通知书。中标通知书须加盖采购人、采购代理机构公章后，方可发出。</w:t>
      </w:r>
    </w:p>
    <w:p w14:paraId="4BB7E8A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24.2中标通知书对采购人和中标人具有同等法律效力。中标通知书发出以后，采购人改变中标结果或者中标人放弃中标，应当承担相应的法律责任。</w:t>
      </w:r>
    </w:p>
    <w:p w14:paraId="737E77D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24.3中标通知书是合同的组成部分。</w:t>
      </w:r>
    </w:p>
    <w:p w14:paraId="305224F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25.告知招标结果</w:t>
      </w:r>
    </w:p>
    <w:p w14:paraId="46FD5DE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25.1在公告中标结果的同时，采购代理机构同时以</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规定的形式告知未通过资格审查的投标人未通过的原因；采用综合评分法评审的，还将告知未中标人本人的评审得分和排序。</w:t>
      </w:r>
    </w:p>
    <w:p w14:paraId="3038A96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26.履约保证金</w:t>
      </w:r>
    </w:p>
    <w:p w14:paraId="27C7DB8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26.1中标人应按照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规定缴纳履约保证金。</w:t>
      </w:r>
    </w:p>
    <w:p w14:paraId="709252E9">
      <w:pPr>
        <w:spacing w:line="440" w:lineRule="exact"/>
        <w:ind w:firstLine="435"/>
        <w:rPr>
          <w:rFonts w:ascii="宋体" w:hAnsi="宋体" w:eastAsia="宋体" w:cs="宋体"/>
          <w:b/>
          <w:color w:val="auto"/>
          <w:sz w:val="24"/>
          <w:highlight w:val="none"/>
        </w:rPr>
      </w:pPr>
      <w:r>
        <w:rPr>
          <w:rFonts w:hint="eastAsia" w:ascii="宋体" w:hAnsi="宋体" w:eastAsia="宋体" w:cs="宋体"/>
          <w:color w:val="auto"/>
          <w:sz w:val="24"/>
          <w:highlight w:val="none"/>
        </w:rPr>
        <w:t>26.2如果中标人没有按照上述履约保证金的规定执行，将视为放弃中标资格。在此情况下，采购人可确定下一中标候选人为中标人，也可以重新开展采购活动。</w:t>
      </w:r>
    </w:p>
    <w:p w14:paraId="005549C0">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27.签订合同</w:t>
      </w:r>
    </w:p>
    <w:p w14:paraId="69072A3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30AED7B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27.2招标文件、中标人的投标文件及其澄清文件等，均为签订合同的依据。</w:t>
      </w:r>
    </w:p>
    <w:p w14:paraId="0E4932A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27.3中标人拒绝与采购人签订合同的，采购人可以按照评审报告推荐的中标候选人名单排序，确定下一中标候选人为中标人，也可以重新开展政府采购活动。</w:t>
      </w:r>
    </w:p>
    <w:p w14:paraId="7C5B55E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27.4依据《政府采购促进中小企业发展管理办法》（财库〔2020〕46号）规定享受扶持政策获得政府采购合同的，小微企业不得将合同分包给大中型企业，中型企业不得将合同分包给大型企业。</w:t>
      </w:r>
    </w:p>
    <w:p w14:paraId="0FE9DA3F">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28.代理费用</w:t>
      </w:r>
    </w:p>
    <w:p w14:paraId="274DCAB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28.1本项目代理费用的收取按</w:t>
      </w:r>
      <w:r>
        <w:rPr>
          <w:rFonts w:hint="eastAsia" w:ascii="宋体" w:hAnsi="宋体" w:eastAsia="宋体" w:cs="宋体"/>
          <w:color w:val="auto"/>
          <w:sz w:val="24"/>
          <w:highlight w:val="none"/>
          <w:u w:val="single"/>
        </w:rPr>
        <w:t>投标人须知前附表的</w:t>
      </w:r>
      <w:r>
        <w:rPr>
          <w:rFonts w:hint="eastAsia" w:ascii="宋体" w:hAnsi="宋体" w:eastAsia="宋体" w:cs="宋体"/>
          <w:color w:val="auto"/>
          <w:sz w:val="24"/>
          <w:highlight w:val="none"/>
        </w:rPr>
        <w:t>规定执行。</w:t>
      </w:r>
    </w:p>
    <w:p w14:paraId="47CA787A">
      <w:pPr>
        <w:spacing w:line="440" w:lineRule="exact"/>
        <w:ind w:firstLine="437"/>
        <w:outlineLvl w:val="2"/>
        <w:rPr>
          <w:rFonts w:ascii="宋体" w:hAnsi="宋体" w:eastAsia="宋体" w:cs="宋体"/>
          <w:b/>
          <w:color w:val="auto"/>
          <w:sz w:val="24"/>
          <w:highlight w:val="none"/>
        </w:rPr>
      </w:pPr>
      <w:bookmarkStart w:id="36" w:name="_Toc518923100"/>
      <w:bookmarkStart w:id="37" w:name="_Toc2583661"/>
      <w:r>
        <w:rPr>
          <w:rFonts w:hint="eastAsia" w:ascii="宋体" w:hAnsi="宋体" w:eastAsia="宋体" w:cs="宋体"/>
          <w:b/>
          <w:color w:val="auto"/>
          <w:sz w:val="24"/>
          <w:highlight w:val="none"/>
        </w:rPr>
        <w:t>29.廉洁自律规定</w:t>
      </w:r>
      <w:bookmarkEnd w:id="36"/>
      <w:bookmarkEnd w:id="37"/>
    </w:p>
    <w:p w14:paraId="3263773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29.1采购代理机构工作人员不得以不正当手段获取政府采购代理业务，不得与采购人、供应商恶意串通。</w:t>
      </w:r>
    </w:p>
    <w:p w14:paraId="7E0555D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29.2采购代理机构工作人员不得接受采购人或者供应商组织的宴请、旅游、娱乐，不得收受礼品、现金、有价证券等，不得向采购人或者供应商报销应当由个人承担的费用。</w:t>
      </w:r>
    </w:p>
    <w:p w14:paraId="73661A4F">
      <w:pPr>
        <w:spacing w:line="440" w:lineRule="exact"/>
        <w:ind w:firstLine="437"/>
        <w:outlineLvl w:val="2"/>
        <w:rPr>
          <w:rFonts w:ascii="宋体" w:hAnsi="宋体" w:eastAsia="宋体" w:cs="宋体"/>
          <w:b/>
          <w:color w:val="auto"/>
          <w:sz w:val="24"/>
          <w:highlight w:val="none"/>
        </w:rPr>
      </w:pPr>
      <w:bookmarkStart w:id="38" w:name="_Toc2583662"/>
      <w:bookmarkStart w:id="39" w:name="_Toc518923101"/>
      <w:r>
        <w:rPr>
          <w:rFonts w:hint="eastAsia" w:ascii="宋体" w:hAnsi="宋体" w:eastAsia="宋体" w:cs="宋体"/>
          <w:b/>
          <w:color w:val="auto"/>
          <w:sz w:val="24"/>
          <w:highlight w:val="none"/>
        </w:rPr>
        <w:t>30.人员回避</w:t>
      </w:r>
      <w:bookmarkEnd w:id="38"/>
      <w:bookmarkEnd w:id="39"/>
    </w:p>
    <w:p w14:paraId="262C5BC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投标人认为采购人员及其相关人员有法律法规所列与其他供应商有利害关系的，可以向采购人或采购代理机构书面提出回避申请，并说明理由。</w:t>
      </w:r>
    </w:p>
    <w:p w14:paraId="7E5748B6">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31.质疑的提出与接收</w:t>
      </w:r>
    </w:p>
    <w:p w14:paraId="18A8D51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583889A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0D823DC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31.3采购代理机构质疑函接收部门、联系电话和通讯地址，见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1FADC99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注：上述条款中所要求的书面形式包含通过电子交易系统递交方式。</w:t>
      </w:r>
    </w:p>
    <w:p w14:paraId="74F2F241">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.需要补充的其他内容</w:t>
      </w:r>
    </w:p>
    <w:p w14:paraId="1FA49AD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需要补充的其他内容，见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1CDB21CE">
      <w:pPr>
        <w:widowControl/>
        <w:jc w:val="left"/>
        <w:rPr>
          <w:rFonts w:ascii="宋体" w:hAnsi="宋体" w:eastAsia="宋体" w:cs="宋体"/>
          <w:b/>
          <w:color w:val="auto"/>
          <w:sz w:val="28"/>
          <w:highlight w:val="none"/>
        </w:rPr>
      </w:pPr>
      <w:r>
        <w:rPr>
          <w:rFonts w:hint="eastAsia" w:ascii="宋体" w:hAnsi="宋体" w:eastAsia="宋体" w:cs="宋体"/>
          <w:color w:val="auto"/>
          <w:sz w:val="24"/>
          <w:highlight w:val="none"/>
        </w:rPr>
        <w:br w:type="page"/>
      </w:r>
    </w:p>
    <w:p w14:paraId="124A0498">
      <w:pPr>
        <w:numPr>
          <w:ilvl w:val="0"/>
          <w:numId w:val="3"/>
        </w:numPr>
        <w:spacing w:line="360" w:lineRule="auto"/>
        <w:jc w:val="center"/>
        <w:outlineLvl w:val="0"/>
        <w:rPr>
          <w:rFonts w:ascii="宋体" w:hAnsi="宋体" w:eastAsia="宋体" w:cs="宋体"/>
          <w:b/>
          <w:color w:val="auto"/>
          <w:sz w:val="28"/>
          <w:highlight w:val="none"/>
        </w:rPr>
      </w:pPr>
      <w:r>
        <w:rPr>
          <w:rFonts w:hint="eastAsia" w:ascii="宋体" w:hAnsi="宋体" w:eastAsia="宋体" w:cs="宋体"/>
          <w:b/>
          <w:color w:val="auto"/>
          <w:sz w:val="28"/>
          <w:highlight w:val="none"/>
        </w:rPr>
        <w:t xml:space="preserve"> </w:t>
      </w:r>
      <w:bookmarkStart w:id="40" w:name="_Toc8123"/>
      <w:r>
        <w:rPr>
          <w:rFonts w:hint="eastAsia" w:ascii="宋体" w:hAnsi="宋体" w:eastAsia="宋体" w:cs="宋体"/>
          <w:b/>
          <w:color w:val="auto"/>
          <w:sz w:val="28"/>
          <w:highlight w:val="none"/>
        </w:rPr>
        <w:t>采购需求</w:t>
      </w:r>
      <w:bookmarkEnd w:id="40"/>
    </w:p>
    <w:p w14:paraId="7EED9928">
      <w:pPr>
        <w:spacing w:line="440" w:lineRule="exact"/>
        <w:rPr>
          <w:rFonts w:ascii="宋体" w:hAnsi="宋体" w:eastAsia="宋体" w:cs="宋体"/>
          <w:b/>
          <w:color w:val="auto"/>
          <w:sz w:val="24"/>
          <w:highlight w:val="none"/>
        </w:rPr>
      </w:pPr>
      <w:r>
        <w:rPr>
          <w:rFonts w:hint="eastAsia" w:ascii="宋体" w:hAnsi="宋体" w:eastAsia="宋体" w:cs="宋体"/>
          <w:b/>
          <w:color w:val="auto"/>
          <w:sz w:val="24"/>
          <w:highlight w:val="none"/>
        </w:rPr>
        <w:t>前注：</w:t>
      </w:r>
    </w:p>
    <w:p w14:paraId="40FAEBEE">
      <w:pPr>
        <w:spacing w:line="44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1.本采购需求中提出的服务方案仅为参考，如无明确限制，投标人可以进行优化，提供满足采购人实际需要的更优（或者性能实质上不低于的）服务方案，且此方案须经评标委员会评审认可。</w:t>
      </w:r>
    </w:p>
    <w:p w14:paraId="2BDD042E">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2.政府采购政策（包括但不限于下列具体政策要求）：</w:t>
      </w:r>
    </w:p>
    <w:p w14:paraId="4C9A6A92">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1976711">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99C9720">
      <w:pPr>
        <w:spacing w:line="440" w:lineRule="exact"/>
        <w:ind w:firstLine="480" w:firstLineChars="200"/>
        <w:rPr>
          <w:rFonts w:ascii="宋体" w:hAnsi="宋体" w:eastAsia="宋体" w:cs="宋体"/>
          <w:bCs/>
          <w:color w:val="auto"/>
          <w:sz w:val="24"/>
          <w:szCs w:val="18"/>
          <w:highlight w:val="none"/>
        </w:rPr>
      </w:pPr>
      <w:r>
        <w:rPr>
          <w:rFonts w:hint="eastAsia" w:ascii="宋体" w:hAnsi="宋体" w:eastAsia="宋体" w:cs="宋体"/>
          <w:color w:val="auto"/>
          <w:sz w:val="24"/>
          <w:szCs w:val="24"/>
          <w:highlight w:val="none"/>
        </w:rPr>
        <w:t>3.如采购人允许采用分包方式履行合同的，应当明确可以分包履行的相关内容。</w:t>
      </w:r>
    </w:p>
    <w:p w14:paraId="56B8816E">
      <w:pPr>
        <w:spacing w:line="440" w:lineRule="exact"/>
        <w:ind w:firstLine="437"/>
        <w:outlineLvl w:val="1"/>
        <w:rPr>
          <w:rFonts w:ascii="宋体" w:hAnsi="宋体" w:eastAsia="宋体" w:cs="宋体"/>
          <w:b/>
          <w:color w:val="auto"/>
          <w:sz w:val="24"/>
          <w:szCs w:val="18"/>
          <w:highlight w:val="none"/>
        </w:rPr>
      </w:pPr>
      <w:bookmarkStart w:id="41" w:name="_Toc4148"/>
      <w:bookmarkStart w:id="42" w:name="_Toc30244"/>
      <w:bookmarkStart w:id="43" w:name="_Toc21798"/>
      <w:bookmarkStart w:id="44" w:name="_Hlk23621890"/>
      <w:r>
        <w:rPr>
          <w:rFonts w:hint="eastAsia" w:ascii="宋体" w:hAnsi="宋体" w:eastAsia="宋体" w:cs="宋体"/>
          <w:b/>
          <w:color w:val="auto"/>
          <w:sz w:val="24"/>
          <w:szCs w:val="18"/>
          <w:highlight w:val="none"/>
        </w:rPr>
        <w:t>一、采购需求前附表</w:t>
      </w:r>
      <w:bookmarkEnd w:id="41"/>
      <w:bookmarkEnd w:id="42"/>
      <w:bookmarkEnd w:id="43"/>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4"/>
        <w:gridCol w:w="5977"/>
      </w:tblGrid>
      <w:tr w14:paraId="780A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1A5E01D">
            <w:pPr>
              <w:pStyle w:val="49"/>
              <w:pBdr>
                <w:bottom w:val="none" w:color="auto" w:sz="0" w:space="0"/>
              </w:pBdr>
              <w:tabs>
                <w:tab w:val="clear" w:pos="4153"/>
                <w:tab w:val="clear" w:pos="8306"/>
              </w:tabs>
              <w:adjustRightInd/>
              <w:spacing w:line="440" w:lineRule="exact"/>
              <w:textAlignment w:val="auto"/>
              <w:rPr>
                <w:rFonts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1192" w:type="pct"/>
            <w:vAlign w:val="center"/>
          </w:tcPr>
          <w:p w14:paraId="28CD6EA1">
            <w:pPr>
              <w:pStyle w:val="48"/>
              <w:widowControl w:val="0"/>
              <w:spacing w:before="0" w:beforeAutospacing="0" w:after="0" w:afterAutospacing="0" w:line="440" w:lineRule="exact"/>
              <w:rPr>
                <w:rFonts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217" w:type="pct"/>
            <w:vAlign w:val="center"/>
          </w:tcPr>
          <w:p w14:paraId="6A9A2423">
            <w:pPr>
              <w:pStyle w:val="48"/>
              <w:widowControl w:val="0"/>
              <w:spacing w:before="0" w:beforeAutospacing="0" w:after="0" w:afterAutospacing="0" w:line="440" w:lineRule="exact"/>
              <w:rPr>
                <w:rFonts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7E82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90" w:type="pct"/>
            <w:vAlign w:val="center"/>
          </w:tcPr>
          <w:p w14:paraId="24B92334">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1192" w:type="pct"/>
            <w:vAlign w:val="center"/>
          </w:tcPr>
          <w:p w14:paraId="30A5A5CD">
            <w:pPr>
              <w:pStyle w:val="48"/>
              <w:widowControl w:val="0"/>
              <w:spacing w:before="0" w:beforeAutospacing="0" w:after="0" w:afterAutospacing="0" w:line="440" w:lineRule="exact"/>
              <w:rPr>
                <w:rFonts w:hint="eastAsia"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付款方式</w:t>
            </w:r>
          </w:p>
        </w:tc>
        <w:tc>
          <w:tcPr>
            <w:tcW w:w="5977" w:type="dxa"/>
            <w:vAlign w:val="center"/>
          </w:tcPr>
          <w:p w14:paraId="7F4CBEB4">
            <w:pPr>
              <w:spacing w:line="440" w:lineRule="exact"/>
              <w:jc w:val="left"/>
              <w:rPr>
                <w:rFonts w:hint="default"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合同签订6个月后支付至合同金额的50%，2027年完成所有委托方的委托，委托人支付至合同价款的100%</w:t>
            </w:r>
          </w:p>
        </w:tc>
      </w:tr>
      <w:tr w14:paraId="4B1D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90" w:type="pct"/>
            <w:vAlign w:val="center"/>
          </w:tcPr>
          <w:p w14:paraId="7E73BD71">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1192" w:type="pct"/>
            <w:vAlign w:val="center"/>
          </w:tcPr>
          <w:p w14:paraId="4C7B8E11">
            <w:pPr>
              <w:pStyle w:val="48"/>
              <w:widowControl w:val="0"/>
              <w:spacing w:before="0" w:beforeAutospacing="0" w:after="0" w:afterAutospacing="0" w:line="440" w:lineRule="exact"/>
              <w:rPr>
                <w:rFonts w:ascii="宋体" w:hAnsi="宋体" w:eastAsia="宋体" w:cs="宋体"/>
                <w:b w:val="0"/>
                <w:color w:val="auto"/>
                <w:sz w:val="24"/>
                <w:highlight w:val="none"/>
              </w:rPr>
            </w:pPr>
            <w:r>
              <w:rPr>
                <w:rFonts w:hint="eastAsia" w:ascii="宋体" w:hAnsi="宋体" w:eastAsia="宋体" w:cs="宋体"/>
                <w:b w:val="0"/>
                <w:color w:val="auto"/>
                <w:sz w:val="24"/>
                <w:highlight w:val="none"/>
              </w:rPr>
              <w:t>服务地点</w:t>
            </w:r>
          </w:p>
        </w:tc>
        <w:tc>
          <w:tcPr>
            <w:tcW w:w="3217" w:type="pct"/>
            <w:vAlign w:val="center"/>
          </w:tcPr>
          <w:p w14:paraId="695D3540">
            <w:pPr>
              <w:spacing w:line="440" w:lineRule="exact"/>
              <w:jc w:val="left"/>
              <w:rPr>
                <w:rFonts w:hint="default"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中新苏滁高新区内。</w:t>
            </w:r>
          </w:p>
        </w:tc>
      </w:tr>
      <w:tr w14:paraId="5FE8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90" w:type="pct"/>
            <w:vAlign w:val="center"/>
          </w:tcPr>
          <w:p w14:paraId="4E9FB581">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1192" w:type="pct"/>
            <w:vAlign w:val="center"/>
          </w:tcPr>
          <w:p w14:paraId="73BC8E24">
            <w:pPr>
              <w:pStyle w:val="48"/>
              <w:widowControl w:val="0"/>
              <w:spacing w:before="0" w:beforeAutospacing="0" w:after="0" w:afterAutospacing="0" w:line="440" w:lineRule="exact"/>
              <w:rPr>
                <w:rFonts w:ascii="宋体" w:hAnsi="宋体" w:eastAsia="宋体" w:cs="宋体"/>
                <w:b w:val="0"/>
                <w:color w:val="auto"/>
                <w:sz w:val="24"/>
                <w:highlight w:val="none"/>
              </w:rPr>
            </w:pPr>
            <w:r>
              <w:rPr>
                <w:rFonts w:hint="eastAsia" w:ascii="宋体" w:hAnsi="宋体" w:eastAsia="宋体" w:cs="宋体"/>
                <w:b w:val="0"/>
                <w:color w:val="auto"/>
                <w:sz w:val="24"/>
                <w:highlight w:val="none"/>
              </w:rPr>
              <w:t>服务期限</w:t>
            </w:r>
          </w:p>
        </w:tc>
        <w:tc>
          <w:tcPr>
            <w:tcW w:w="3217" w:type="pct"/>
            <w:vAlign w:val="center"/>
          </w:tcPr>
          <w:p w14:paraId="4FBCEE3B">
            <w:pPr>
              <w:pStyle w:val="48"/>
              <w:widowControl w:val="0"/>
              <w:spacing w:before="0" w:beforeAutospacing="0" w:after="0" w:afterAutospacing="0" w:line="440" w:lineRule="exact"/>
              <w:jc w:val="both"/>
              <w:rPr>
                <w:rFonts w:hint="eastAsia"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2027年1月1日-2027年12月31日。</w:t>
            </w:r>
          </w:p>
        </w:tc>
      </w:tr>
      <w:tr w14:paraId="23AD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590" w:type="pct"/>
            <w:vAlign w:val="center"/>
          </w:tcPr>
          <w:p w14:paraId="5ECFC226">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1192" w:type="pct"/>
            <w:vAlign w:val="center"/>
          </w:tcPr>
          <w:p w14:paraId="1D7B50F4">
            <w:pPr>
              <w:pStyle w:val="48"/>
              <w:widowControl w:val="0"/>
              <w:spacing w:before="0" w:beforeAutospacing="0" w:after="0" w:afterAutospacing="0" w:line="440" w:lineRule="exact"/>
              <w:rPr>
                <w:rFonts w:ascii="宋体" w:hAnsi="宋体" w:eastAsia="宋体" w:cs="宋体"/>
                <w:b w:val="0"/>
                <w:color w:val="auto"/>
                <w:sz w:val="24"/>
                <w:highlight w:val="none"/>
              </w:rPr>
            </w:pPr>
            <w:r>
              <w:rPr>
                <w:rFonts w:hint="eastAsia" w:ascii="宋体" w:hAnsi="宋体" w:eastAsia="宋体" w:cs="宋体"/>
                <w:b w:val="0"/>
                <w:color w:val="auto"/>
                <w:sz w:val="24"/>
                <w:highlight w:val="none"/>
              </w:rPr>
              <w:t>本项目采购标的名称及所属行业</w:t>
            </w:r>
          </w:p>
        </w:tc>
        <w:tc>
          <w:tcPr>
            <w:tcW w:w="3217" w:type="pct"/>
            <w:vAlign w:val="center"/>
          </w:tcPr>
          <w:p w14:paraId="4809EF09">
            <w:pPr>
              <w:spacing w:line="440" w:lineRule="exact"/>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标的名称：</w:t>
            </w:r>
            <w:bookmarkStart w:id="45" w:name="OLE_LINK1"/>
            <w:bookmarkStart w:id="46" w:name="OLE_LINK2"/>
            <w:r>
              <w:rPr>
                <w:rFonts w:hint="eastAsia" w:ascii="宋体" w:hAnsi="宋体" w:eastAsia="宋体" w:cs="宋体"/>
                <w:color w:val="auto"/>
                <w:sz w:val="24"/>
                <w:highlight w:val="none"/>
                <w:lang w:val="en-US" w:eastAsia="zh-CN"/>
              </w:rPr>
              <w:t>2027年度企业科技研发项目基础资料质量提升服务</w:t>
            </w:r>
          </w:p>
          <w:p w14:paraId="297D5E39">
            <w:pPr>
              <w:spacing w:line="440" w:lineRule="exact"/>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所属行业</w:t>
            </w:r>
            <w:bookmarkEnd w:id="45"/>
            <w:bookmarkEnd w:id="46"/>
            <w:r>
              <w:rPr>
                <w:rFonts w:hint="eastAsia" w:ascii="宋体" w:hAnsi="宋体" w:eastAsia="宋体" w:cs="宋体"/>
                <w:color w:val="auto"/>
                <w:sz w:val="24"/>
                <w:highlight w:val="none"/>
                <w:lang w:val="en-US" w:eastAsia="zh-CN"/>
              </w:rPr>
              <w:t>：其他未列明行业</w:t>
            </w:r>
          </w:p>
        </w:tc>
      </w:tr>
    </w:tbl>
    <w:p w14:paraId="1E681F4C">
      <w:pPr>
        <w:spacing w:line="440" w:lineRule="exact"/>
        <w:ind w:firstLine="482" w:firstLineChars="200"/>
        <w:rPr>
          <w:rFonts w:hint="eastAsia" w:ascii="宋体" w:hAnsi="宋体" w:eastAsia="宋体" w:cs="宋体"/>
          <w:b/>
          <w:bCs/>
          <w:color w:val="auto"/>
          <w:sz w:val="24"/>
          <w:szCs w:val="24"/>
          <w:highlight w:val="none"/>
          <w:lang w:val="en-US" w:eastAsia="zh-CN"/>
        </w:rPr>
      </w:pPr>
      <w:bookmarkStart w:id="47" w:name="_Toc18794"/>
      <w:bookmarkStart w:id="48" w:name="_Toc8283"/>
      <w:bookmarkStart w:id="49" w:name="_Hlk16461016"/>
      <w:r>
        <w:rPr>
          <w:rFonts w:hint="eastAsia" w:ascii="宋体" w:hAnsi="宋体" w:eastAsia="宋体" w:cs="宋体"/>
          <w:b/>
          <w:bCs/>
          <w:color w:val="auto"/>
          <w:sz w:val="24"/>
          <w:szCs w:val="24"/>
          <w:highlight w:val="none"/>
          <w:lang w:val="en-US" w:eastAsia="zh-CN"/>
        </w:rPr>
        <w:t>二、采购内容</w:t>
      </w:r>
    </w:p>
    <w:p w14:paraId="0DA2A9E8">
      <w:pPr>
        <w:spacing w:line="440" w:lineRule="exact"/>
        <w:ind w:firstLine="480" w:firstLineChars="200"/>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为针对解决区域内企业科技研发项目资料编制的痛点难点，增加企业科技研发项目资料编制的规范化意识，提高企业科技研发项目资料的规范化程度，</w:t>
      </w:r>
      <w:r>
        <w:rPr>
          <w:rFonts w:hint="eastAsia" w:ascii="宋体" w:hAnsi="宋体" w:eastAsia="宋体" w:cs="宋体"/>
          <w:color w:val="auto"/>
          <w:sz w:val="24"/>
          <w:szCs w:val="24"/>
          <w:highlight w:val="none"/>
          <w:lang w:val="en-US" w:eastAsia="zh-CN"/>
        </w:rPr>
        <w:t>对园区规上企业进行政策宣传、入户走访、政策解读、问题收集和企业回访等服务工作，</w:t>
      </w:r>
      <w:r>
        <w:rPr>
          <w:rFonts w:hint="default" w:ascii="宋体" w:hAnsi="宋体" w:eastAsia="宋体" w:cs="宋体"/>
          <w:color w:val="auto"/>
          <w:sz w:val="24"/>
          <w:szCs w:val="24"/>
          <w:highlight w:val="none"/>
          <w:lang w:val="en-US" w:eastAsia="zh-CN"/>
        </w:rPr>
        <w:t>协助我区有科技研发项目投入的企业完善项目基础资料</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为地方科技创新发展进一步提升进行赋能</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具体如下：</w:t>
      </w:r>
    </w:p>
    <w:p w14:paraId="57E8AC15">
      <w:pPr>
        <w:spacing w:line="440" w:lineRule="exact"/>
        <w:ind w:firstLine="480" w:firstLineChars="200"/>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（1）完成企业科技研发项目资料编制相关事项辅导的培训方案；</w:t>
      </w:r>
    </w:p>
    <w:p w14:paraId="3CFFEDE8">
      <w:pPr>
        <w:spacing w:line="440" w:lineRule="exact"/>
        <w:ind w:firstLine="480" w:firstLineChars="200"/>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（2）辅导完善企业科技人员名单；</w:t>
      </w:r>
    </w:p>
    <w:p w14:paraId="1480977E">
      <w:pPr>
        <w:spacing w:line="440" w:lineRule="exact"/>
        <w:ind w:firstLine="480" w:firstLineChars="200"/>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（3）辅导企业设立研发项目立项书、立项决议结题报告；</w:t>
      </w:r>
    </w:p>
    <w:p w14:paraId="6A6D2B69">
      <w:pPr>
        <w:spacing w:line="440" w:lineRule="exact"/>
        <w:ind w:firstLine="480" w:firstLineChars="200"/>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（4）辅导完善企业科技创新技术成果及相关材料归档工作。</w:t>
      </w:r>
    </w:p>
    <w:p w14:paraId="600895AC">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、报价要求</w:t>
      </w:r>
    </w:p>
    <w:p w14:paraId="30A8F6F3">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本项目采用报总价的方式，总价包含完成本项目所发生的一切费用（报价包含并不限于所投服务、仪器设备、人员、餐饮、住宿、保险、税费等为完成本项目所需一切费用），采购人后期不再增加任何费用，供应商需自行考虑各种风险，谨慎报价</w:t>
      </w:r>
      <w:r>
        <w:rPr>
          <w:rFonts w:hint="eastAsia" w:ascii="宋体" w:hAnsi="宋体" w:eastAsia="宋体" w:cs="宋体"/>
          <w:color w:val="auto"/>
          <w:sz w:val="24"/>
          <w:szCs w:val="24"/>
          <w:highlight w:val="none"/>
          <w:lang w:val="en-US" w:eastAsia="zh-CN"/>
        </w:rPr>
        <w:t>。</w:t>
      </w:r>
    </w:p>
    <w:p w14:paraId="67BE1352">
      <w:pPr>
        <w:spacing w:line="440" w:lineRule="exact"/>
        <w:ind w:firstLine="480" w:firstLineChars="200"/>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br w:type="page"/>
      </w:r>
    </w:p>
    <w:bookmarkEnd w:id="44"/>
    <w:bookmarkEnd w:id="47"/>
    <w:bookmarkEnd w:id="48"/>
    <w:bookmarkEnd w:id="49"/>
    <w:p w14:paraId="6AE9DB37">
      <w:pPr>
        <w:spacing w:line="360" w:lineRule="auto"/>
        <w:jc w:val="center"/>
        <w:outlineLvl w:val="0"/>
        <w:rPr>
          <w:rFonts w:ascii="宋体" w:hAnsi="宋体" w:eastAsia="宋体" w:cs="宋体"/>
          <w:b/>
          <w:color w:val="auto"/>
          <w:sz w:val="28"/>
          <w:highlight w:val="none"/>
        </w:rPr>
      </w:pPr>
      <w:bookmarkStart w:id="50" w:name="_Toc27607"/>
      <w:r>
        <w:rPr>
          <w:rFonts w:hint="eastAsia" w:ascii="宋体" w:hAnsi="宋体" w:eastAsia="宋体" w:cs="宋体"/>
          <w:b/>
          <w:color w:val="auto"/>
          <w:sz w:val="28"/>
          <w:highlight w:val="none"/>
        </w:rPr>
        <w:t>第四章  评标方法和标准（综合评分法）</w:t>
      </w:r>
      <w:bookmarkEnd w:id="50"/>
    </w:p>
    <w:p w14:paraId="21417947">
      <w:pPr>
        <w:spacing w:line="440" w:lineRule="exact"/>
        <w:ind w:firstLine="437"/>
        <w:outlineLvl w:val="1"/>
        <w:rPr>
          <w:rFonts w:ascii="宋体" w:hAnsi="宋体" w:eastAsia="宋体" w:cs="宋体"/>
          <w:b/>
          <w:color w:val="auto"/>
          <w:sz w:val="24"/>
          <w:highlight w:val="none"/>
        </w:rPr>
      </w:pPr>
      <w:bookmarkStart w:id="51" w:name="_Toc11823"/>
      <w:bookmarkStart w:id="52" w:name="_Toc4705"/>
      <w:bookmarkStart w:id="53" w:name="_Toc25122"/>
      <w:r>
        <w:rPr>
          <w:rFonts w:hint="eastAsia" w:ascii="宋体" w:hAnsi="宋体" w:eastAsia="宋体" w:cs="宋体"/>
          <w:b/>
          <w:color w:val="auto"/>
          <w:sz w:val="24"/>
          <w:highlight w:val="none"/>
        </w:rPr>
        <w:t>一、总则</w:t>
      </w:r>
      <w:bookmarkEnd w:id="51"/>
      <w:bookmarkEnd w:id="52"/>
      <w:bookmarkEnd w:id="53"/>
    </w:p>
    <w:p w14:paraId="68ABFF6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本项目将按照招标文件第二章投标人须知的相关要求及本章的规定评标。</w:t>
      </w:r>
    </w:p>
    <w:p w14:paraId="5126A75F">
      <w:pPr>
        <w:spacing w:line="440" w:lineRule="exact"/>
        <w:ind w:firstLine="437"/>
        <w:outlineLvl w:val="1"/>
        <w:rPr>
          <w:rFonts w:ascii="宋体" w:hAnsi="宋体" w:eastAsia="宋体" w:cs="宋体"/>
          <w:b/>
          <w:color w:val="auto"/>
          <w:sz w:val="24"/>
          <w:highlight w:val="none"/>
        </w:rPr>
      </w:pPr>
      <w:bookmarkStart w:id="54" w:name="_Toc31871"/>
      <w:bookmarkStart w:id="55" w:name="_Toc4014"/>
      <w:bookmarkStart w:id="56" w:name="_Toc32410"/>
      <w:r>
        <w:rPr>
          <w:rFonts w:hint="eastAsia" w:ascii="宋体" w:hAnsi="宋体" w:eastAsia="宋体" w:cs="宋体"/>
          <w:b/>
          <w:color w:val="auto"/>
          <w:sz w:val="24"/>
          <w:highlight w:val="none"/>
        </w:rPr>
        <w:t>二、评标方法</w:t>
      </w:r>
      <w:bookmarkEnd w:id="54"/>
      <w:bookmarkEnd w:id="55"/>
      <w:bookmarkEnd w:id="56"/>
    </w:p>
    <w:p w14:paraId="0918A8CC">
      <w:pPr>
        <w:spacing w:line="440" w:lineRule="exact"/>
        <w:ind w:firstLine="437"/>
        <w:outlineLvl w:val="2"/>
        <w:rPr>
          <w:rFonts w:ascii="宋体" w:hAnsi="宋体" w:eastAsia="宋体" w:cs="宋体"/>
          <w:color w:val="auto"/>
          <w:sz w:val="24"/>
          <w:highlight w:val="none"/>
        </w:rPr>
      </w:pPr>
      <w:r>
        <w:rPr>
          <w:rFonts w:hint="eastAsia" w:ascii="宋体" w:hAnsi="宋体" w:eastAsia="宋体" w:cs="宋体"/>
          <w:color w:val="auto"/>
          <w:sz w:val="24"/>
          <w:highlight w:val="none"/>
        </w:rPr>
        <w:t>2.1资格审查</w:t>
      </w:r>
    </w:p>
    <w:tbl>
      <w:tblPr>
        <w:tblStyle w:val="30"/>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799"/>
        <w:gridCol w:w="4964"/>
        <w:gridCol w:w="2078"/>
      </w:tblGrid>
      <w:tr w14:paraId="585B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43D3454F">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b/>
                <w:sz w:val="24"/>
                <w:szCs w:val="22"/>
                <w:highlight w:val="none"/>
              </w:rPr>
              <w:t>资格审查表</w:t>
            </w:r>
          </w:p>
        </w:tc>
      </w:tr>
      <w:tr w14:paraId="0389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bottom w:val="single" w:color="auto" w:sz="4" w:space="0"/>
            </w:tcBorders>
            <w:vAlign w:val="center"/>
          </w:tcPr>
          <w:p w14:paraId="34E72C44">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942" w:type="pct"/>
            <w:tcBorders>
              <w:bottom w:val="single" w:color="auto" w:sz="4" w:space="0"/>
            </w:tcBorders>
            <w:vAlign w:val="center"/>
          </w:tcPr>
          <w:p w14:paraId="48B4D19D">
            <w:pPr>
              <w:pStyle w:val="49"/>
              <w:pBdr>
                <w:bottom w:val="none" w:color="auto" w:sz="0" w:space="0"/>
              </w:pBdr>
              <w:tabs>
                <w:tab w:val="clear" w:pos="4153"/>
                <w:tab w:val="clear" w:pos="8306"/>
              </w:tabs>
              <w:snapToGrid w:val="0"/>
              <w:spacing w:line="440" w:lineRule="exact"/>
              <w:ind w:right="-10"/>
              <w:textAlignment w:val="auto"/>
              <w:rPr>
                <w:rFonts w:hint="eastAsia" w:ascii="宋体" w:hAnsi="宋体" w:eastAsia="宋体" w:cs="宋体"/>
                <w:kern w:val="2"/>
                <w:szCs w:val="24"/>
                <w:highlight w:val="none"/>
              </w:rPr>
            </w:pPr>
            <w:r>
              <w:rPr>
                <w:rFonts w:hint="eastAsia" w:ascii="宋体" w:hAnsi="宋体" w:eastAsia="宋体" w:cs="宋体"/>
                <w:kern w:val="2"/>
                <w:szCs w:val="24"/>
                <w:highlight w:val="none"/>
              </w:rPr>
              <w:t>审查因素</w:t>
            </w:r>
          </w:p>
        </w:tc>
        <w:tc>
          <w:tcPr>
            <w:tcW w:w="2600" w:type="pct"/>
            <w:tcBorders>
              <w:bottom w:val="single" w:color="auto" w:sz="4" w:space="0"/>
            </w:tcBorders>
            <w:vAlign w:val="center"/>
          </w:tcPr>
          <w:p w14:paraId="4DA42642">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审查内容</w:t>
            </w:r>
          </w:p>
        </w:tc>
        <w:tc>
          <w:tcPr>
            <w:tcW w:w="1087" w:type="pct"/>
            <w:tcBorders>
              <w:bottom w:val="single" w:color="auto" w:sz="4" w:space="0"/>
            </w:tcBorders>
            <w:vAlign w:val="center"/>
          </w:tcPr>
          <w:p w14:paraId="3180C3A1">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格式要求</w:t>
            </w:r>
          </w:p>
        </w:tc>
      </w:tr>
      <w:tr w14:paraId="0F71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0" w:type="pct"/>
            <w:tcBorders>
              <w:bottom w:val="single" w:color="auto" w:sz="4" w:space="0"/>
            </w:tcBorders>
            <w:vAlign w:val="center"/>
          </w:tcPr>
          <w:p w14:paraId="5B16FD5C">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942" w:type="pct"/>
            <w:tcBorders>
              <w:bottom w:val="single" w:color="auto" w:sz="4" w:space="0"/>
            </w:tcBorders>
            <w:vAlign w:val="center"/>
          </w:tcPr>
          <w:p w14:paraId="24E59D7A">
            <w:pPr>
              <w:spacing w:after="50" w:line="440" w:lineRule="exact"/>
              <w:ind w:right="-10"/>
              <w:jc w:val="center"/>
              <w:rPr>
                <w:rFonts w:hint="eastAsia" w:ascii="宋体" w:hAnsi="宋体" w:eastAsia="宋体" w:cs="宋体"/>
                <w:sz w:val="24"/>
                <w:szCs w:val="28"/>
                <w:highlight w:val="none"/>
              </w:rPr>
            </w:pPr>
            <w:r>
              <w:rPr>
                <w:rFonts w:hint="eastAsia" w:ascii="宋体" w:hAnsi="宋体" w:eastAsia="宋体" w:cs="宋体"/>
                <w:spacing w:val="9"/>
                <w:sz w:val="24"/>
                <w:szCs w:val="24"/>
                <w:highlight w:val="none"/>
              </w:rPr>
              <w:t>营业执照等证明</w:t>
            </w:r>
            <w:r>
              <w:rPr>
                <w:rFonts w:hint="eastAsia" w:ascii="宋体" w:hAnsi="宋体" w:eastAsia="宋体" w:cs="宋体"/>
                <w:spacing w:val="-3"/>
                <w:sz w:val="24"/>
                <w:szCs w:val="24"/>
                <w:highlight w:val="none"/>
              </w:rPr>
              <w:t>文件</w:t>
            </w:r>
          </w:p>
        </w:tc>
        <w:tc>
          <w:tcPr>
            <w:tcW w:w="2600" w:type="pct"/>
            <w:tcBorders>
              <w:bottom w:val="single" w:color="auto" w:sz="4" w:space="0"/>
            </w:tcBorders>
            <w:vAlign w:val="center"/>
          </w:tcPr>
          <w:p w14:paraId="3DAB00BA">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（1）投标人为企业（包括合伙企业）的，应提供有效的营业执照；</w:t>
            </w:r>
          </w:p>
          <w:p w14:paraId="6B646F2A">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（2）投标人为事业单位的，应提供有效的事业单位法人证书；</w:t>
            </w:r>
          </w:p>
          <w:p w14:paraId="14825A89">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（3）投标人是非企业机构的，应提供有效的执业许可证或登记证书等证明文件；</w:t>
            </w:r>
          </w:p>
          <w:p w14:paraId="67B4D42C">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（4）投标人是个体工商户的，应提供有效的个体工商户营业执照；</w:t>
            </w:r>
          </w:p>
          <w:p w14:paraId="7A00B333">
            <w:pPr>
              <w:spacing w:after="50" w:line="440" w:lineRule="exact"/>
              <w:ind w:right="-10"/>
              <w:jc w:val="left"/>
              <w:rPr>
                <w:rFonts w:hint="eastAsia" w:ascii="宋体" w:hAnsi="宋体" w:eastAsia="宋体" w:cs="宋体"/>
                <w:sz w:val="24"/>
                <w:szCs w:val="28"/>
                <w:highlight w:val="none"/>
              </w:rPr>
            </w:pPr>
            <w:r>
              <w:rPr>
                <w:rFonts w:hint="eastAsia" w:ascii="宋体" w:hAnsi="宋体" w:eastAsia="宋体" w:cs="宋体"/>
                <w:sz w:val="24"/>
                <w:szCs w:val="24"/>
                <w:highlight w:val="none"/>
              </w:rPr>
              <w:t>（5）投标人是自然人的，应提供有效的自然人身份证明。</w:t>
            </w:r>
          </w:p>
        </w:tc>
        <w:tc>
          <w:tcPr>
            <w:tcW w:w="1087" w:type="pct"/>
            <w:vAlign w:val="center"/>
          </w:tcPr>
          <w:p w14:paraId="525704F7">
            <w:pPr>
              <w:spacing w:line="440" w:lineRule="exact"/>
              <w:jc w:val="left"/>
              <w:rPr>
                <w:rFonts w:hint="eastAsia" w:ascii="宋体" w:hAnsi="宋体" w:eastAsia="宋体" w:cs="宋体"/>
                <w:sz w:val="24"/>
                <w:highlight w:val="none"/>
              </w:rPr>
            </w:pPr>
            <w:r>
              <w:rPr>
                <w:rFonts w:hint="eastAsia" w:ascii="宋体" w:hAnsi="宋体" w:eastAsia="宋体" w:cs="宋体"/>
                <w:sz w:val="24"/>
                <w:szCs w:val="24"/>
                <w:highlight w:val="none"/>
              </w:rPr>
              <w:t>提供材料扫描件或电子证照，应完整的体现出材料或电子证照全部内容。联合体投标的联合体各方均须提供。</w:t>
            </w:r>
          </w:p>
        </w:tc>
      </w:tr>
      <w:tr w14:paraId="60F9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0" w:type="pct"/>
            <w:tcBorders>
              <w:bottom w:val="single" w:color="auto" w:sz="4" w:space="0"/>
            </w:tcBorders>
            <w:vAlign w:val="center"/>
          </w:tcPr>
          <w:p w14:paraId="1D2BA25C">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942" w:type="pct"/>
            <w:tcBorders>
              <w:bottom w:val="single" w:color="auto" w:sz="4" w:space="0"/>
            </w:tcBorders>
            <w:vAlign w:val="center"/>
          </w:tcPr>
          <w:p w14:paraId="0903EB12">
            <w:pPr>
              <w:spacing w:after="50" w:line="440" w:lineRule="exact"/>
              <w:ind w:right="-10"/>
              <w:jc w:val="center"/>
              <w:rPr>
                <w:rFonts w:hint="eastAsia" w:ascii="宋体" w:hAnsi="宋体" w:eastAsia="宋体" w:cs="宋体"/>
                <w:sz w:val="24"/>
                <w:szCs w:val="28"/>
                <w:highlight w:val="none"/>
              </w:rPr>
            </w:pPr>
            <w:r>
              <w:rPr>
                <w:rFonts w:hint="eastAsia" w:ascii="宋体" w:hAnsi="宋体" w:eastAsia="宋体" w:cs="宋体"/>
                <w:sz w:val="24"/>
                <w:szCs w:val="18"/>
                <w:highlight w:val="none"/>
              </w:rPr>
              <w:t>投标人资格声明书</w:t>
            </w:r>
          </w:p>
        </w:tc>
        <w:tc>
          <w:tcPr>
            <w:tcW w:w="2600" w:type="pct"/>
            <w:tcBorders>
              <w:bottom w:val="single" w:color="auto" w:sz="4" w:space="0"/>
            </w:tcBorders>
            <w:vAlign w:val="center"/>
          </w:tcPr>
          <w:p w14:paraId="53757F51">
            <w:pPr>
              <w:spacing w:after="50" w:line="440" w:lineRule="exact"/>
              <w:ind w:right="-10"/>
              <w:jc w:val="left"/>
              <w:rPr>
                <w:rFonts w:hint="eastAsia" w:ascii="宋体" w:hAnsi="宋体" w:eastAsia="宋体" w:cs="宋体"/>
                <w:sz w:val="24"/>
                <w:szCs w:val="28"/>
                <w:highlight w:val="none"/>
              </w:rPr>
            </w:pPr>
            <w:r>
              <w:rPr>
                <w:rFonts w:hint="eastAsia" w:ascii="宋体" w:hAnsi="宋体" w:eastAsia="宋体" w:cs="宋体"/>
                <w:sz w:val="24"/>
                <w:szCs w:val="24"/>
                <w:highlight w:val="none"/>
              </w:rPr>
              <w:t>提供符合招标文件要求的《投标人资格声明书》。</w:t>
            </w:r>
          </w:p>
        </w:tc>
        <w:tc>
          <w:tcPr>
            <w:tcW w:w="1087" w:type="pct"/>
            <w:vAlign w:val="center"/>
          </w:tcPr>
          <w:p w14:paraId="4A5838B5">
            <w:pPr>
              <w:spacing w:line="440" w:lineRule="exact"/>
              <w:jc w:val="left"/>
              <w:rPr>
                <w:rFonts w:hint="eastAsia" w:ascii="宋体" w:hAnsi="宋体" w:eastAsia="宋体" w:cs="宋体"/>
                <w:sz w:val="24"/>
                <w:szCs w:val="24"/>
                <w:highlight w:val="none"/>
              </w:rPr>
            </w:pPr>
            <w:r>
              <w:rPr>
                <w:rFonts w:hint="eastAsia" w:ascii="宋体" w:hAnsi="宋体" w:eastAsia="宋体" w:cs="宋体"/>
                <w:sz w:val="24"/>
                <w:highlight w:val="none"/>
              </w:rPr>
              <w:t>详见第六章投标文件格式。</w:t>
            </w:r>
          </w:p>
        </w:tc>
      </w:tr>
      <w:tr w14:paraId="6730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vAlign w:val="center"/>
          </w:tcPr>
          <w:p w14:paraId="3A2B0CDE">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942" w:type="pct"/>
            <w:vAlign w:val="center"/>
          </w:tcPr>
          <w:p w14:paraId="31B48DA7">
            <w:pPr>
              <w:spacing w:after="50" w:line="440" w:lineRule="exact"/>
              <w:ind w:right="-10"/>
              <w:jc w:val="center"/>
              <w:rPr>
                <w:rFonts w:hint="eastAsia" w:ascii="宋体" w:hAnsi="宋体" w:eastAsia="宋体" w:cs="宋体"/>
                <w:sz w:val="24"/>
                <w:szCs w:val="28"/>
                <w:highlight w:val="none"/>
              </w:rPr>
            </w:pPr>
            <w:r>
              <w:rPr>
                <w:rFonts w:hint="eastAsia" w:ascii="宋体" w:hAnsi="宋体" w:eastAsia="宋体" w:cs="宋体"/>
                <w:sz w:val="24"/>
                <w:szCs w:val="24"/>
                <w:highlight w:val="none"/>
              </w:rPr>
              <w:t>投标人信用记录</w:t>
            </w:r>
          </w:p>
        </w:tc>
        <w:tc>
          <w:tcPr>
            <w:tcW w:w="2600" w:type="pct"/>
            <w:vAlign w:val="center"/>
          </w:tcPr>
          <w:p w14:paraId="42C8BB6E">
            <w:pPr>
              <w:spacing w:after="50" w:line="440" w:lineRule="exact"/>
              <w:ind w:right="-10"/>
              <w:jc w:val="left"/>
              <w:rPr>
                <w:rFonts w:hint="eastAsia" w:ascii="宋体" w:hAnsi="宋体" w:eastAsia="宋体" w:cs="宋体"/>
                <w:highlight w:val="none"/>
              </w:rPr>
            </w:pPr>
            <w:r>
              <w:rPr>
                <w:rFonts w:hint="eastAsia" w:ascii="宋体" w:hAnsi="宋体" w:eastAsia="宋体" w:cs="宋体"/>
                <w:sz w:val="24"/>
                <w:szCs w:val="24"/>
                <w:highlight w:val="none"/>
                <w:lang w:val="zh-CN"/>
              </w:rPr>
              <w:t>投标人不得存在</w:t>
            </w:r>
            <w:r>
              <w:rPr>
                <w:rFonts w:hint="eastAsia" w:ascii="宋体" w:hAnsi="宋体" w:eastAsia="宋体" w:cs="宋体"/>
                <w:sz w:val="24"/>
                <w:szCs w:val="24"/>
                <w:highlight w:val="none"/>
              </w:rPr>
              <w:t>投标邀请第4条信誉要求和</w:t>
            </w:r>
            <w:r>
              <w:rPr>
                <w:rFonts w:hint="eastAsia" w:ascii="宋体" w:hAnsi="宋体" w:eastAsia="宋体" w:cs="宋体"/>
                <w:sz w:val="24"/>
                <w:szCs w:val="24"/>
                <w:highlight w:val="none"/>
                <w:lang w:val="zh-CN"/>
              </w:rPr>
              <w:t>投标人须知正文第1</w:t>
            </w:r>
            <w:r>
              <w:rPr>
                <w:rFonts w:hint="eastAsia" w:ascii="宋体" w:hAnsi="宋体" w:eastAsia="宋体" w:cs="宋体"/>
                <w:sz w:val="24"/>
                <w:szCs w:val="24"/>
                <w:highlight w:val="none"/>
              </w:rPr>
              <w:t>4</w:t>
            </w:r>
            <w:r>
              <w:rPr>
                <w:rFonts w:hint="eastAsia" w:ascii="宋体" w:hAnsi="宋体" w:eastAsia="宋体" w:cs="宋体"/>
                <w:sz w:val="24"/>
                <w:szCs w:val="24"/>
                <w:highlight w:val="none"/>
                <w:lang w:val="zh-CN"/>
              </w:rPr>
              <w:t>.2</w:t>
            </w:r>
            <w:r>
              <w:rPr>
                <w:rFonts w:hint="eastAsia" w:ascii="宋体" w:hAnsi="宋体" w:eastAsia="宋体" w:cs="宋体"/>
                <w:sz w:val="24"/>
                <w:szCs w:val="24"/>
                <w:highlight w:val="none"/>
              </w:rPr>
              <w:t>条中</w:t>
            </w:r>
            <w:r>
              <w:rPr>
                <w:rFonts w:hint="eastAsia" w:ascii="宋体" w:hAnsi="宋体" w:eastAsia="宋体" w:cs="宋体"/>
                <w:sz w:val="24"/>
                <w:szCs w:val="28"/>
                <w:highlight w:val="none"/>
              </w:rPr>
              <w:t>的</w:t>
            </w:r>
            <w:r>
              <w:rPr>
                <w:rFonts w:hint="eastAsia" w:ascii="宋体" w:hAnsi="宋体" w:eastAsia="宋体" w:cs="宋体"/>
                <w:sz w:val="24"/>
                <w:szCs w:val="18"/>
                <w:highlight w:val="none"/>
              </w:rPr>
              <w:t>不良信用记录情形</w:t>
            </w:r>
          </w:p>
        </w:tc>
        <w:tc>
          <w:tcPr>
            <w:tcW w:w="1087" w:type="pct"/>
            <w:vAlign w:val="center"/>
          </w:tcPr>
          <w:p w14:paraId="5F2AEDBC">
            <w:pPr>
              <w:spacing w:line="440" w:lineRule="exact"/>
              <w:jc w:val="left"/>
              <w:rPr>
                <w:rFonts w:hint="eastAsia" w:ascii="宋体" w:hAnsi="宋体" w:eastAsia="宋体" w:cs="宋体"/>
                <w:highlight w:val="none"/>
              </w:rPr>
            </w:pPr>
            <w:r>
              <w:rPr>
                <w:rFonts w:hint="eastAsia" w:ascii="宋体" w:hAnsi="宋体" w:eastAsia="宋体" w:cs="宋体"/>
                <w:sz w:val="24"/>
                <w:szCs w:val="24"/>
                <w:highlight w:val="none"/>
              </w:rPr>
              <w:t>无须投标人提供，由采购人或采购代理机构查询。</w:t>
            </w:r>
          </w:p>
        </w:tc>
      </w:tr>
      <w:tr w14:paraId="636B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14:paraId="338893F4">
            <w:pPr>
              <w:adjustRightInd w:val="0"/>
              <w:snapToGrid w:val="0"/>
              <w:spacing w:line="360" w:lineRule="auto"/>
              <w:ind w:right="-10" w:rightChars="0"/>
              <w:jc w:val="center"/>
              <w:rPr>
                <w:rFonts w:hint="eastAsia" w:ascii="宋体" w:hAnsi="宋体" w:eastAsia="宋体" w:cs="宋体"/>
                <w:sz w:val="24"/>
                <w:highlight w:val="none"/>
              </w:rPr>
            </w:pPr>
            <w:r>
              <w:rPr>
                <w:rFonts w:hint="eastAsia" w:ascii="宋体" w:hAnsi="宋体" w:eastAsia="宋体"/>
                <w:color w:val="auto"/>
                <w:sz w:val="24"/>
                <w:highlight w:val="none"/>
                <w:lang w:val="en-US" w:eastAsia="zh-CN"/>
              </w:rPr>
              <w:t>4</w:t>
            </w:r>
          </w:p>
        </w:tc>
        <w:tc>
          <w:tcPr>
            <w:tcW w:w="1799" w:type="dxa"/>
            <w:vAlign w:val="center"/>
          </w:tcPr>
          <w:p w14:paraId="07C1FD9D">
            <w:pPr>
              <w:spacing w:after="50" w:line="360" w:lineRule="auto"/>
              <w:ind w:right="-10" w:rightChars="0"/>
              <w:jc w:val="center"/>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中小企业证明文件</w:t>
            </w:r>
          </w:p>
        </w:tc>
        <w:tc>
          <w:tcPr>
            <w:tcW w:w="4964" w:type="dxa"/>
            <w:vAlign w:val="top"/>
          </w:tcPr>
          <w:p w14:paraId="01F5554F">
            <w:pPr>
              <w:spacing w:after="50" w:line="360" w:lineRule="auto"/>
              <w:ind w:right="-10"/>
              <w:jc w:val="left"/>
              <w:rPr>
                <w:rFonts w:hint="eastAsia" w:ascii="宋体" w:hAnsi="宋体" w:eastAsia="宋体" w:cs="宋体"/>
                <w:color w:val="auto"/>
                <w:sz w:val="24"/>
                <w:szCs w:val="24"/>
                <w:highlight w:val="none"/>
                <w:lang w:eastAsia="zh-CN"/>
              </w:rPr>
            </w:pPr>
            <w:r>
              <w:rPr>
                <w:rFonts w:hint="eastAsia" w:ascii="宋体" w:hAnsi="宋体" w:eastAsia="宋体"/>
                <w:color w:val="auto"/>
                <w:sz w:val="24"/>
                <w:szCs w:val="28"/>
                <w:highlight w:val="none"/>
              </w:rPr>
              <w:t>符合</w:t>
            </w:r>
            <w:r>
              <w:rPr>
                <w:rFonts w:hint="eastAsia" w:ascii="宋体" w:hAnsi="宋体" w:eastAsia="宋体"/>
                <w:color w:val="auto"/>
                <w:sz w:val="24"/>
                <w:szCs w:val="28"/>
                <w:highlight w:val="none"/>
                <w:lang w:val="en-US" w:eastAsia="zh-CN"/>
              </w:rPr>
              <w:t>申请人的</w:t>
            </w:r>
            <w:r>
              <w:rPr>
                <w:rFonts w:hint="eastAsia" w:ascii="宋体" w:hAnsi="宋体" w:eastAsia="宋体"/>
                <w:color w:val="auto"/>
                <w:sz w:val="24"/>
                <w:szCs w:val="28"/>
                <w:highlight w:val="none"/>
              </w:rPr>
              <w:t>资格</w:t>
            </w:r>
            <w:r>
              <w:rPr>
                <w:rFonts w:hint="eastAsia" w:ascii="宋体" w:hAnsi="宋体" w:eastAsia="宋体"/>
                <w:color w:val="auto"/>
                <w:sz w:val="24"/>
                <w:szCs w:val="28"/>
                <w:highlight w:val="none"/>
                <w:lang w:val="en-US" w:eastAsia="zh-CN"/>
              </w:rPr>
              <w:t>要求</w:t>
            </w:r>
            <w:r>
              <w:rPr>
                <w:rFonts w:hint="eastAsia" w:ascii="宋体" w:hAnsi="宋体" w:eastAsia="宋体"/>
                <w:color w:val="auto"/>
                <w:sz w:val="24"/>
                <w:szCs w:val="28"/>
                <w:highlight w:val="none"/>
              </w:rPr>
              <w:t>中落实政府采购政策需满足的资格要求</w:t>
            </w:r>
            <w:r>
              <w:rPr>
                <w:rFonts w:hint="eastAsia" w:ascii="宋体" w:hAnsi="宋体" w:eastAsia="宋体"/>
                <w:color w:val="auto"/>
                <w:sz w:val="24"/>
                <w:szCs w:val="28"/>
                <w:highlight w:val="none"/>
                <w:lang w:eastAsia="zh-CN"/>
              </w:rPr>
              <w:t>：</w:t>
            </w:r>
          </w:p>
          <w:p w14:paraId="72467823">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w:t>
            </w:r>
            <w:r>
              <w:rPr>
                <w:rFonts w:hint="eastAsia" w:ascii="宋体" w:hAnsi="宋体" w:eastAsia="宋体" w:cs="宋体"/>
                <w:sz w:val="24"/>
                <w:szCs w:val="24"/>
                <w:lang w:val="zh-CN" w:eastAsia="zh-CN"/>
              </w:rPr>
              <w:t>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 生产建设兵团）出具的属于监狱企业的证明文件。</w:t>
            </w:r>
          </w:p>
          <w:p w14:paraId="66E8D659">
            <w:pPr>
              <w:spacing w:after="50" w:line="360" w:lineRule="auto"/>
              <w:ind w:right="-10" w:rightChars="0"/>
              <w:jc w:val="left"/>
              <w:rPr>
                <w:rFonts w:hint="eastAsia" w:ascii="宋体" w:hAnsi="宋体" w:eastAsia="宋体" w:cs="宋体"/>
                <w:sz w:val="24"/>
                <w:szCs w:val="24"/>
                <w:highlight w:val="none"/>
                <w:lang w:val="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2078" w:type="dxa"/>
            <w:vAlign w:val="center"/>
          </w:tcPr>
          <w:p w14:paraId="03676FA2">
            <w:pPr>
              <w:spacing w:after="50" w:line="360" w:lineRule="auto"/>
              <w:ind w:right="-10" w:rightChars="0"/>
              <w:jc w:val="center"/>
              <w:rPr>
                <w:rFonts w:hint="eastAsia" w:ascii="宋体" w:hAnsi="宋体" w:eastAsia="宋体" w:cs="宋体"/>
                <w:sz w:val="24"/>
                <w:szCs w:val="24"/>
                <w:highlight w:val="none"/>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21F6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5BB4125A">
            <w:pPr>
              <w:adjustRightInd w:val="0"/>
              <w:snapToGrid w:val="0"/>
              <w:spacing w:line="360" w:lineRule="auto"/>
              <w:ind w:right="-10" w:rightChars="0"/>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5</w:t>
            </w:r>
          </w:p>
        </w:tc>
        <w:tc>
          <w:tcPr>
            <w:tcW w:w="942" w:type="pct"/>
            <w:shd w:val="clear" w:color="auto" w:fill="auto"/>
            <w:vAlign w:val="center"/>
          </w:tcPr>
          <w:p w14:paraId="76AFA14B">
            <w:pPr>
              <w:spacing w:after="50" w:line="360" w:lineRule="auto"/>
              <w:ind w:right="-10" w:rightChars="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2600" w:type="pct"/>
            <w:shd w:val="clear" w:color="auto" w:fill="auto"/>
            <w:vAlign w:val="center"/>
          </w:tcPr>
          <w:p w14:paraId="45ECB700">
            <w:pPr>
              <w:spacing w:after="50" w:line="360" w:lineRule="auto"/>
              <w:ind w:right="-10" w:rightChars="0"/>
              <w:jc w:val="both"/>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spacing w:val="-2"/>
                <w:sz w:val="24"/>
                <w:szCs w:val="24"/>
                <w:highlight w:val="none"/>
                <w:lang w:val="en-US" w:eastAsia="zh-CN"/>
              </w:rPr>
              <w:t>如有，</w:t>
            </w:r>
            <w:r>
              <w:rPr>
                <w:rFonts w:hint="eastAsia" w:ascii="宋体" w:hAnsi="宋体" w:eastAsia="宋体" w:cs="宋体"/>
                <w:color w:val="auto"/>
                <w:spacing w:val="-2"/>
                <w:sz w:val="24"/>
                <w:szCs w:val="24"/>
                <w:highlight w:val="none"/>
              </w:rPr>
              <w:t>见第一章《投标邀请》</w:t>
            </w:r>
          </w:p>
        </w:tc>
        <w:tc>
          <w:tcPr>
            <w:tcW w:w="1087" w:type="pct"/>
            <w:shd w:val="clear" w:color="auto" w:fill="auto"/>
            <w:vAlign w:val="center"/>
          </w:tcPr>
          <w:p w14:paraId="30C92E6F">
            <w:pPr>
              <w:spacing w:after="50" w:line="360" w:lineRule="auto"/>
              <w:ind w:right="-10" w:rightChars="0"/>
              <w:jc w:val="both"/>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1FA6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bottom w:val="single" w:color="auto" w:sz="4" w:space="0"/>
            </w:tcBorders>
            <w:shd w:val="clear" w:color="auto" w:fill="auto"/>
            <w:vAlign w:val="center"/>
          </w:tcPr>
          <w:p w14:paraId="130F3D2F">
            <w:pPr>
              <w:adjustRightInd w:val="0"/>
              <w:snapToGrid w:val="0"/>
              <w:spacing w:line="360" w:lineRule="auto"/>
              <w:ind w:right="-10" w:rightChars="0"/>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6</w:t>
            </w:r>
          </w:p>
        </w:tc>
        <w:tc>
          <w:tcPr>
            <w:tcW w:w="942" w:type="pct"/>
            <w:tcBorders>
              <w:bottom w:val="single" w:color="auto" w:sz="4" w:space="0"/>
            </w:tcBorders>
            <w:shd w:val="clear" w:color="auto" w:fill="auto"/>
            <w:vAlign w:val="center"/>
          </w:tcPr>
          <w:p w14:paraId="3E227839">
            <w:pPr>
              <w:spacing w:after="50" w:line="360" w:lineRule="auto"/>
              <w:ind w:right="-10" w:rightChars="0"/>
              <w:jc w:val="both"/>
              <w:rPr>
                <w:rFonts w:hint="eastAsia" w:ascii="宋体" w:hAnsi="宋体" w:eastAsia="宋体" w:cs="宋体"/>
                <w:color w:val="auto"/>
                <w:spacing w:val="10"/>
                <w:kern w:val="2"/>
                <w:sz w:val="24"/>
                <w:szCs w:val="24"/>
                <w:highlight w:val="none"/>
                <w:lang w:val="en-US" w:eastAsia="zh-CN" w:bidi="ar-SA"/>
              </w:rPr>
            </w:pPr>
            <w:r>
              <w:rPr>
                <w:rFonts w:hint="eastAsia" w:ascii="宋体" w:hAnsi="宋体" w:eastAsia="宋体" w:cs="宋体"/>
                <w:color w:val="auto"/>
                <w:spacing w:val="10"/>
                <w:sz w:val="24"/>
                <w:szCs w:val="24"/>
                <w:highlight w:val="none"/>
              </w:rPr>
              <w:t>其他特定资格要求</w:t>
            </w:r>
          </w:p>
        </w:tc>
        <w:tc>
          <w:tcPr>
            <w:tcW w:w="2600" w:type="pct"/>
            <w:tcBorders>
              <w:bottom w:val="single" w:color="auto" w:sz="4" w:space="0"/>
            </w:tcBorders>
            <w:shd w:val="clear" w:color="auto" w:fill="auto"/>
            <w:vAlign w:val="center"/>
          </w:tcPr>
          <w:p w14:paraId="37D7F185">
            <w:pPr>
              <w:spacing w:after="50" w:line="360" w:lineRule="auto"/>
              <w:ind w:right="-10" w:rightChars="0"/>
              <w:jc w:val="both"/>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pacing w:val="-2"/>
                <w:sz w:val="24"/>
                <w:szCs w:val="24"/>
                <w:highlight w:val="none"/>
              </w:rPr>
              <w:t>见第一章《投标邀请》</w:t>
            </w:r>
          </w:p>
        </w:tc>
        <w:tc>
          <w:tcPr>
            <w:tcW w:w="1087" w:type="pct"/>
            <w:tcBorders>
              <w:bottom w:val="single" w:color="auto" w:sz="4" w:space="0"/>
            </w:tcBorders>
            <w:shd w:val="clear" w:color="auto" w:fill="auto"/>
            <w:vAlign w:val="center"/>
          </w:tcPr>
          <w:p w14:paraId="36F1B436">
            <w:pPr>
              <w:spacing w:after="50" w:line="360" w:lineRule="auto"/>
              <w:ind w:right="-10" w:rightChars="0"/>
              <w:jc w:val="both"/>
              <w:rPr>
                <w:rFonts w:hint="eastAsia" w:ascii="宋体" w:hAnsi="宋体" w:eastAsia="宋体" w:cs="宋体"/>
                <w:color w:val="auto"/>
                <w:spacing w:val="10"/>
                <w:kern w:val="2"/>
                <w:sz w:val="24"/>
                <w:szCs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1F2AB6D3">
      <w:pPr>
        <w:spacing w:line="440" w:lineRule="exact"/>
        <w:ind w:firstLine="435"/>
        <w:rPr>
          <w:rFonts w:ascii="宋体" w:hAnsi="宋体" w:eastAsia="宋体" w:cs="宋体"/>
          <w:color w:val="auto"/>
          <w:sz w:val="24"/>
          <w:highlight w:val="none"/>
        </w:rPr>
      </w:pPr>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p w14:paraId="6543FF0F">
      <w:pPr>
        <w:spacing w:line="440" w:lineRule="exact"/>
        <w:ind w:firstLine="437"/>
        <w:outlineLvl w:val="2"/>
        <w:rPr>
          <w:rFonts w:ascii="宋体" w:hAnsi="宋体" w:eastAsia="宋体" w:cs="宋体"/>
          <w:color w:val="auto"/>
          <w:sz w:val="24"/>
          <w:highlight w:val="none"/>
        </w:rPr>
      </w:pPr>
      <w:r>
        <w:rPr>
          <w:rFonts w:hint="eastAsia" w:ascii="宋体" w:hAnsi="宋体" w:eastAsia="宋体" w:cs="宋体"/>
          <w:color w:val="auto"/>
          <w:sz w:val="24"/>
          <w:highlight w:val="none"/>
        </w:rPr>
        <w:t>2.2符合性审查</w:t>
      </w:r>
    </w:p>
    <w:p w14:paraId="3CD0175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307"/>
        <w:gridCol w:w="3408"/>
        <w:gridCol w:w="2736"/>
      </w:tblGrid>
      <w:tr w14:paraId="49B5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6D1E9F2D">
            <w:pPr>
              <w:adjustRightInd w:val="0"/>
              <w:snapToGrid w:val="0"/>
              <w:spacing w:line="360" w:lineRule="auto"/>
              <w:ind w:right="-1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76EB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72D8A140">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42" w:type="pct"/>
            <w:tcBorders>
              <w:bottom w:val="single" w:color="auto" w:sz="4" w:space="0"/>
            </w:tcBorders>
            <w:vAlign w:val="center"/>
          </w:tcPr>
          <w:p w14:paraId="7A62C52C">
            <w:pPr>
              <w:pStyle w:val="49"/>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审查指标</w:t>
            </w:r>
          </w:p>
        </w:tc>
        <w:tc>
          <w:tcPr>
            <w:tcW w:w="1835" w:type="pct"/>
            <w:tcBorders>
              <w:bottom w:val="single" w:color="auto" w:sz="4" w:space="0"/>
            </w:tcBorders>
            <w:vAlign w:val="center"/>
          </w:tcPr>
          <w:p w14:paraId="51CDA99D">
            <w:pPr>
              <w:adjustRightInd w:val="0"/>
              <w:snapToGrid w:val="0"/>
              <w:spacing w:line="360" w:lineRule="auto"/>
              <w:ind w:right="-10"/>
              <w:jc w:val="center"/>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审查标准</w:t>
            </w:r>
          </w:p>
        </w:tc>
        <w:tc>
          <w:tcPr>
            <w:tcW w:w="1472" w:type="pct"/>
            <w:tcBorders>
              <w:bottom w:val="single" w:color="auto" w:sz="4" w:space="0"/>
            </w:tcBorders>
            <w:vAlign w:val="center"/>
          </w:tcPr>
          <w:p w14:paraId="2EDBBC84">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1BA8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4C8AB0F">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42" w:type="pct"/>
            <w:vAlign w:val="center"/>
          </w:tcPr>
          <w:p w14:paraId="67330D22">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1835" w:type="pct"/>
            <w:vAlign w:val="center"/>
          </w:tcPr>
          <w:p w14:paraId="66735CE2">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472" w:type="pct"/>
            <w:vAlign w:val="center"/>
          </w:tcPr>
          <w:p w14:paraId="1C7D8330">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649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2C24C60">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242" w:type="pct"/>
            <w:vAlign w:val="center"/>
          </w:tcPr>
          <w:p w14:paraId="2AB398A3">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1835" w:type="pct"/>
            <w:vAlign w:val="center"/>
          </w:tcPr>
          <w:p w14:paraId="35FB071C">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472" w:type="pct"/>
            <w:vAlign w:val="center"/>
          </w:tcPr>
          <w:p w14:paraId="6C67A7B7">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046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48CAAE7">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242" w:type="pct"/>
            <w:vAlign w:val="center"/>
          </w:tcPr>
          <w:p w14:paraId="4EC4C481">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1835" w:type="pct"/>
            <w:vAlign w:val="center"/>
          </w:tcPr>
          <w:p w14:paraId="78A0F23A">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472" w:type="pct"/>
            <w:vAlign w:val="center"/>
          </w:tcPr>
          <w:p w14:paraId="589C6855">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213D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ED48A89">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242" w:type="pct"/>
            <w:vAlign w:val="center"/>
          </w:tcPr>
          <w:p w14:paraId="60913D56">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1835" w:type="pct"/>
            <w:vAlign w:val="center"/>
          </w:tcPr>
          <w:p w14:paraId="52EB3D78">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472" w:type="pct"/>
            <w:vAlign w:val="center"/>
          </w:tcPr>
          <w:p w14:paraId="5885C9C5">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57B0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779D4F7">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1242" w:type="pct"/>
            <w:vAlign w:val="center"/>
          </w:tcPr>
          <w:p w14:paraId="64E19087">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1835" w:type="pct"/>
            <w:vAlign w:val="center"/>
          </w:tcPr>
          <w:p w14:paraId="45D1DB40">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期限、</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地点的要求</w:t>
            </w:r>
          </w:p>
        </w:tc>
        <w:tc>
          <w:tcPr>
            <w:tcW w:w="1472" w:type="pct"/>
            <w:vAlign w:val="center"/>
          </w:tcPr>
          <w:p w14:paraId="2D1232F2">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8A0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30468CB">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1242" w:type="pct"/>
            <w:vAlign w:val="center"/>
          </w:tcPr>
          <w:p w14:paraId="6345128C">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响应情况</w:t>
            </w:r>
          </w:p>
        </w:tc>
        <w:tc>
          <w:tcPr>
            <w:tcW w:w="1835" w:type="pct"/>
            <w:vAlign w:val="center"/>
          </w:tcPr>
          <w:p w14:paraId="5279CD23">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要求</w:t>
            </w:r>
          </w:p>
        </w:tc>
        <w:tc>
          <w:tcPr>
            <w:tcW w:w="1472" w:type="pct"/>
            <w:vAlign w:val="center"/>
          </w:tcPr>
          <w:p w14:paraId="413C781B">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6BAE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C4BFC04">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7</w:t>
            </w:r>
          </w:p>
        </w:tc>
        <w:tc>
          <w:tcPr>
            <w:tcW w:w="1242" w:type="pct"/>
            <w:vAlign w:val="center"/>
          </w:tcPr>
          <w:p w14:paraId="7FB539B4">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其他要求</w:t>
            </w:r>
          </w:p>
        </w:tc>
        <w:tc>
          <w:tcPr>
            <w:tcW w:w="1835" w:type="pct"/>
            <w:vAlign w:val="center"/>
          </w:tcPr>
          <w:p w14:paraId="25B02AF9">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符合法律、行政法规规定的其他条件或招标文件列明的其他要求</w:t>
            </w:r>
          </w:p>
        </w:tc>
        <w:tc>
          <w:tcPr>
            <w:tcW w:w="1472" w:type="pct"/>
            <w:vAlign w:val="center"/>
          </w:tcPr>
          <w:p w14:paraId="184AA0C7">
            <w:pPr>
              <w:adjustRightInd w:val="0"/>
              <w:snapToGrid w:val="0"/>
              <w:spacing w:line="360" w:lineRule="auto"/>
              <w:ind w:right="-10"/>
              <w:jc w:val="center"/>
              <w:rPr>
                <w:rFonts w:hint="eastAsia" w:ascii="宋体" w:hAnsi="宋体" w:eastAsia="宋体" w:cs="宋体"/>
                <w:color w:val="auto"/>
                <w:sz w:val="24"/>
                <w:highlight w:val="none"/>
              </w:rPr>
            </w:pPr>
          </w:p>
        </w:tc>
      </w:tr>
    </w:tbl>
    <w:p w14:paraId="1D6D0672">
      <w:pPr>
        <w:spacing w:line="440" w:lineRule="exact"/>
        <w:ind w:firstLine="435"/>
        <w:rPr>
          <w:rFonts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6312E16C">
      <w:pPr>
        <w:spacing w:line="360" w:lineRule="auto"/>
        <w:ind w:firstLine="435"/>
        <w:outlineLvl w:val="2"/>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lang w:val="en-US" w:eastAsia="zh-CN"/>
        </w:rPr>
        <w:t>2.3</w:t>
      </w:r>
      <w:r>
        <w:rPr>
          <w:rFonts w:hint="eastAsia" w:asciiTheme="minorEastAsia" w:hAnsiTheme="minorEastAsia" w:eastAsiaTheme="minorEastAsia"/>
          <w:b/>
          <w:bCs/>
          <w:color w:val="auto"/>
          <w:sz w:val="24"/>
          <w:highlight w:val="none"/>
        </w:rPr>
        <w:t>异常低价</w:t>
      </w:r>
      <w:r>
        <w:rPr>
          <w:rFonts w:hint="eastAsia" w:asciiTheme="minorEastAsia" w:hAnsiTheme="minorEastAsia" w:eastAsiaTheme="minorEastAsia"/>
          <w:b/>
          <w:bCs/>
          <w:color w:val="auto"/>
          <w:sz w:val="24"/>
          <w:highlight w:val="none"/>
          <w:lang w:val="en-US" w:eastAsia="zh-CN"/>
        </w:rPr>
        <w:t>投标</w:t>
      </w:r>
      <w:r>
        <w:rPr>
          <w:rFonts w:hint="eastAsia" w:asciiTheme="minorEastAsia" w:hAnsiTheme="minorEastAsia" w:eastAsiaTheme="minorEastAsia"/>
          <w:b/>
          <w:bCs/>
          <w:color w:val="auto"/>
          <w:sz w:val="24"/>
          <w:highlight w:val="none"/>
        </w:rPr>
        <w:t>审查</w:t>
      </w:r>
    </w:p>
    <w:tbl>
      <w:tblPr>
        <w:tblStyle w:val="3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1D98DCD4">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5805031B">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4904B6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kern w:val="2"/>
                <w:sz w:val="24"/>
                <w:highlight w:val="none"/>
                <w:lang w:val="en-US" w:eastAsia="zh-CN" w:bidi="ar-SA"/>
              </w:rPr>
              <w:t>上述第（1）项数值计算：涉及总价、单价的精确到“分”并四舍五入，涉及费率的精确到小数点后两位，第三位四舍五入（例：如平均值为123.456元，即为123.46元；如平均值为80.126%，即为80.13%）。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31E0CE9D">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6039C20">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57A26DE8">
      <w:pPr>
        <w:spacing w:line="440" w:lineRule="exact"/>
        <w:ind w:firstLine="437"/>
        <w:outlineLvl w:val="2"/>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详细审查</w:t>
      </w:r>
    </w:p>
    <w:p w14:paraId="66906F3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.1评标委员会按照下表对投标文件进行详细审查和评分。</w:t>
      </w:r>
    </w:p>
    <w:p w14:paraId="6B86DDA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.2本项目综合评分满分为100分，具体评分细则如下：</w:t>
      </w:r>
    </w:p>
    <w:tbl>
      <w:tblPr>
        <w:tblStyle w:val="30"/>
        <w:tblW w:w="52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310"/>
        <w:gridCol w:w="6219"/>
        <w:gridCol w:w="1349"/>
      </w:tblGrid>
      <w:tr w14:paraId="14ED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A33E889">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类别</w:t>
            </w:r>
          </w:p>
        </w:tc>
        <w:tc>
          <w:tcPr>
            <w:tcW w:w="671" w:type="pct"/>
            <w:tcBorders>
              <w:top w:val="single" w:color="auto" w:sz="4" w:space="0"/>
              <w:left w:val="single" w:color="auto" w:sz="4" w:space="0"/>
              <w:bottom w:val="single" w:color="auto" w:sz="4" w:space="0"/>
              <w:right w:val="single" w:color="auto" w:sz="4" w:space="0"/>
            </w:tcBorders>
            <w:vAlign w:val="center"/>
          </w:tcPr>
          <w:p w14:paraId="2D20B6AA">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评分内容</w:t>
            </w:r>
          </w:p>
        </w:tc>
        <w:tc>
          <w:tcPr>
            <w:tcW w:w="3185" w:type="pct"/>
            <w:tcBorders>
              <w:top w:val="single" w:color="auto" w:sz="4" w:space="0"/>
              <w:left w:val="single" w:color="auto" w:sz="4" w:space="0"/>
              <w:bottom w:val="single" w:color="auto" w:sz="4" w:space="0"/>
              <w:right w:val="single" w:color="auto" w:sz="4" w:space="0"/>
            </w:tcBorders>
            <w:vAlign w:val="center"/>
          </w:tcPr>
          <w:p w14:paraId="579EF4C9">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c>
          <w:tcPr>
            <w:tcW w:w="691" w:type="pct"/>
            <w:tcBorders>
              <w:top w:val="single" w:color="auto" w:sz="4" w:space="0"/>
              <w:left w:val="single" w:color="auto" w:sz="4" w:space="0"/>
              <w:bottom w:val="single" w:color="auto" w:sz="4" w:space="0"/>
              <w:right w:val="single" w:color="auto" w:sz="4" w:space="0"/>
            </w:tcBorders>
            <w:vAlign w:val="center"/>
          </w:tcPr>
          <w:p w14:paraId="441F6A4B">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分值范围</w:t>
            </w:r>
          </w:p>
        </w:tc>
      </w:tr>
      <w:tr w14:paraId="3B0D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tcBorders>
              <w:left w:val="single" w:color="auto" w:sz="4" w:space="0"/>
              <w:right w:val="single" w:color="auto" w:sz="4" w:space="0"/>
            </w:tcBorders>
            <w:vAlign w:val="center"/>
          </w:tcPr>
          <w:p w14:paraId="0B014F31">
            <w:pPr>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资信分</w:t>
            </w:r>
          </w:p>
        </w:tc>
        <w:tc>
          <w:tcPr>
            <w:tcW w:w="671" w:type="pct"/>
            <w:tcBorders>
              <w:top w:val="single" w:color="auto" w:sz="4" w:space="0"/>
              <w:left w:val="single" w:color="auto" w:sz="4" w:space="0"/>
              <w:bottom w:val="single" w:color="auto" w:sz="4" w:space="0"/>
              <w:right w:val="single" w:color="auto" w:sz="4" w:space="0"/>
            </w:tcBorders>
            <w:vAlign w:val="center"/>
          </w:tcPr>
          <w:p w14:paraId="0E8F2EE1">
            <w:pPr>
              <w:spacing w:line="4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rPr>
              <w:t>业绩</w:t>
            </w:r>
          </w:p>
        </w:tc>
        <w:tc>
          <w:tcPr>
            <w:tcW w:w="3185" w:type="pct"/>
            <w:tcBorders>
              <w:top w:val="single" w:color="auto" w:sz="4" w:space="0"/>
              <w:left w:val="single" w:color="auto" w:sz="4" w:space="0"/>
              <w:bottom w:val="single" w:color="auto" w:sz="4" w:space="0"/>
              <w:right w:val="single" w:color="auto" w:sz="4" w:space="0"/>
            </w:tcBorders>
            <w:vAlign w:val="center"/>
          </w:tcPr>
          <w:p w14:paraId="4EC62D18">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自2023年1月1日以来（以合同签订时间为准），供应商具有同类项目（同类项目是指“服务企业完善研发投入基础资料或服务企业申报高新技术企业或园区类相关研究项目”）业绩的，每提供一个得5分，满分15分。</w:t>
            </w:r>
          </w:p>
          <w:p w14:paraId="758C2C0E">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注：（1）投标时须提供项目合同原件扫描件，未按要求提供者不得分。</w:t>
            </w:r>
          </w:p>
          <w:p w14:paraId="00F4491B">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（2）业绩合同若无法反应合同签订时间、项目内容等评审因素的，须在投标文件中另附合同甲方（或招标人）加盖公章的证明材料或其他相关证明材料，否则不得分。</w:t>
            </w:r>
          </w:p>
        </w:tc>
        <w:tc>
          <w:tcPr>
            <w:tcW w:w="691" w:type="pct"/>
            <w:tcBorders>
              <w:top w:val="single" w:color="auto" w:sz="4" w:space="0"/>
              <w:left w:val="single" w:color="auto" w:sz="4" w:space="0"/>
              <w:bottom w:val="single" w:color="auto" w:sz="4" w:space="0"/>
              <w:right w:val="single" w:color="auto" w:sz="4" w:space="0"/>
            </w:tcBorders>
            <w:vAlign w:val="center"/>
          </w:tcPr>
          <w:p w14:paraId="03B8D844">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tc>
      </w:tr>
      <w:tr w14:paraId="484C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pct"/>
            <w:vMerge w:val="continue"/>
            <w:tcBorders>
              <w:left w:val="single" w:color="auto" w:sz="4" w:space="0"/>
              <w:right w:val="single" w:color="auto" w:sz="4" w:space="0"/>
            </w:tcBorders>
            <w:vAlign w:val="center"/>
          </w:tcPr>
          <w:p w14:paraId="0991E578">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vAlign w:val="center"/>
          </w:tcPr>
          <w:p w14:paraId="26C3B96B">
            <w:pPr>
              <w:spacing w:line="4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2.项目团队人员</w:t>
            </w:r>
          </w:p>
        </w:tc>
        <w:tc>
          <w:tcPr>
            <w:tcW w:w="3185" w:type="pct"/>
            <w:tcBorders>
              <w:top w:val="single" w:color="auto" w:sz="4" w:space="0"/>
              <w:left w:val="single" w:color="auto" w:sz="4" w:space="0"/>
              <w:bottom w:val="single" w:color="auto" w:sz="4" w:space="0"/>
              <w:right w:val="single" w:color="auto" w:sz="4" w:space="0"/>
            </w:tcBorders>
            <w:vAlign w:val="center"/>
          </w:tcPr>
          <w:p w14:paraId="24920CA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1.项目负责人</w:t>
            </w:r>
          </w:p>
          <w:p w14:paraId="11B76EF2">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具有与本项目相关的职业资格证书（如注册咨询工程师、技术经纪人、专利代理师、会计师、经济师等），得6分；</w:t>
            </w:r>
          </w:p>
          <w:p w14:paraId="5F92519C">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3.项目组成员（除项目负责人）</w:t>
            </w:r>
          </w:p>
          <w:p w14:paraId="63D1B764">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具有初级或以上职称的，每提供1名人员得3分，满分9分。</w:t>
            </w:r>
          </w:p>
          <w:p w14:paraId="51EF05C8">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备注：①提供以上人员相关证书扫描件；②上述人员不得兼任；一人多证不重复计分；③提供上述人员缴纳的开标之日前三个月中任意一个月的社保缴纳证明材料或承诺已缴纳社保（如属依法可不缴社保的情形，需提供其他可靠材料由评标委员会评审）。</w:t>
            </w:r>
          </w:p>
        </w:tc>
        <w:tc>
          <w:tcPr>
            <w:tcW w:w="691" w:type="pct"/>
            <w:tcBorders>
              <w:top w:val="single" w:color="auto" w:sz="4" w:space="0"/>
              <w:left w:val="single" w:color="auto" w:sz="4" w:space="0"/>
              <w:bottom w:val="single" w:color="auto" w:sz="4" w:space="0"/>
              <w:right w:val="single" w:color="auto" w:sz="4" w:space="0"/>
            </w:tcBorders>
            <w:vAlign w:val="center"/>
          </w:tcPr>
          <w:p w14:paraId="29DC9CE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0-15分</w:t>
            </w:r>
          </w:p>
        </w:tc>
      </w:tr>
      <w:tr w14:paraId="2524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tcBorders>
              <w:left w:val="single" w:color="auto" w:sz="4" w:space="0"/>
              <w:right w:val="single" w:color="auto" w:sz="4" w:space="0"/>
            </w:tcBorders>
            <w:vAlign w:val="center"/>
          </w:tcPr>
          <w:p w14:paraId="1A7FD38D">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技术分</w:t>
            </w:r>
          </w:p>
          <w:p w14:paraId="79C328FA">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1EC8A2C4">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项目理解</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58A3A5E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(1)对项目的背景、目标和意义有深刻理解，对材料的编制目的、使用场景和评审要求有全面、准确的认识，得10分。</w:t>
            </w:r>
          </w:p>
          <w:p w14:paraId="276B173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(2)对项目背景有较好理解，基本掌握政策要求，对材料的编制规范有基本认识，但理解的深度或全面性略有不足，得8分。</w:t>
            </w:r>
          </w:p>
          <w:p w14:paraId="6559113B">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(3)对项目背景理解较为浅显，对政策要求认识模糊，对材料编制规范缺乏系统了解，得6分。</w:t>
            </w:r>
          </w:p>
          <w:p w14:paraId="6648AE99">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(4)未提供项目理解内容，或对项目背景、政策要求、服务目标等理解存在明显错误或重大缺失，得0分。</w:t>
            </w:r>
          </w:p>
        </w:tc>
        <w:tc>
          <w:tcPr>
            <w:tcW w:w="691" w:type="pct"/>
            <w:tcBorders>
              <w:top w:val="single" w:color="auto" w:sz="4" w:space="0"/>
              <w:left w:val="single" w:color="auto" w:sz="4" w:space="0"/>
              <w:bottom w:val="single" w:color="auto" w:sz="4" w:space="0"/>
              <w:right w:val="single" w:color="auto" w:sz="4" w:space="0"/>
            </w:tcBorders>
            <w:vAlign w:val="center"/>
          </w:tcPr>
          <w:p w14:paraId="59668E33">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r>
      <w:tr w14:paraId="006A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43190B3F">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48ED4700">
            <w:pPr>
              <w:spacing w:line="4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sz w:val="24"/>
                <w:lang w:val="en-US" w:eastAsia="zh-CN"/>
              </w:rPr>
              <w:t>项目重难点分析</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5E06E5A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(1)精准识别本项目的核心重点和关键难点，准确把握申报材料的核心要求，分析全面、具体、有针对性，得10分。</w:t>
            </w:r>
          </w:p>
          <w:p w14:paraId="61C25EC0">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(2)能识别项目的主要重点和难点，分析较为具体，具有一定的针对性，但分析深度或全面性略有不足，得8分。</w:t>
            </w:r>
          </w:p>
          <w:p w14:paraId="524F5D06">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(3)对项目重点和难点的识别不够准确或不够全面，分析较为笼统，应对思路缺乏针对性或可行性不足，得6分。</w:t>
            </w:r>
          </w:p>
          <w:p w14:paraId="5ED6CC76">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(4)未提供重难点分析内容，或分析内容与项目实际严重脱节，得0分。</w:t>
            </w:r>
          </w:p>
        </w:tc>
        <w:tc>
          <w:tcPr>
            <w:tcW w:w="691" w:type="pct"/>
            <w:tcBorders>
              <w:top w:val="single" w:color="auto" w:sz="4" w:space="0"/>
              <w:left w:val="single" w:color="auto" w:sz="4" w:space="0"/>
              <w:bottom w:val="single" w:color="auto" w:sz="4" w:space="0"/>
              <w:right w:val="single" w:color="auto" w:sz="4" w:space="0"/>
            </w:tcBorders>
            <w:vAlign w:val="center"/>
          </w:tcPr>
          <w:p w14:paraId="09C88BF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r>
      <w:tr w14:paraId="480A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65139082">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68CBEEC8">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sz w:val="24"/>
                <w:lang w:val="en-US" w:eastAsia="zh-CN"/>
              </w:rPr>
              <w:t>项目实施方案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4079B4E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(1)实施方案内容完整、逻辑清晰、结构合理，各阶段任务明确、衔接紧密，得10分。</w:t>
            </w:r>
          </w:p>
          <w:p w14:paraId="16BA13F8">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(2)实施方案较为完整，涵盖主要工作环节，各阶段任务基本明确，得8分。</w:t>
            </w:r>
          </w:p>
          <w:p w14:paraId="1EED160B">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(3)实施方案内容不够完整，各阶段任务安排不够合理或衔接不够紧密，得6分。</w:t>
            </w:r>
          </w:p>
          <w:p w14:paraId="0C03131E">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(4)未提供实施方案，或方案内容严重缺失、无法指导项目实际开展，得0分。</w:t>
            </w:r>
          </w:p>
        </w:tc>
        <w:tc>
          <w:tcPr>
            <w:tcW w:w="691" w:type="pct"/>
            <w:tcBorders>
              <w:top w:val="single" w:color="auto" w:sz="4" w:space="0"/>
              <w:left w:val="single" w:color="auto" w:sz="4" w:space="0"/>
              <w:bottom w:val="single" w:color="auto" w:sz="4" w:space="0"/>
              <w:right w:val="single" w:color="auto" w:sz="4" w:space="0"/>
            </w:tcBorders>
            <w:vAlign w:val="center"/>
          </w:tcPr>
          <w:p w14:paraId="4D43AAF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r>
      <w:tr w14:paraId="0432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1299EB59">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52962702">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sz w:val="24"/>
                <w:lang w:val="en-US" w:eastAsia="zh-CN"/>
              </w:rPr>
              <w:t>项目保障方案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4E93E1EF">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(1)项目保障方案全面完善，涵盖质量保障、进度保障、人员保障和保密管理等各个方面，得10分。</w:t>
            </w:r>
          </w:p>
          <w:p w14:paraId="4F99F911">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(2)项目保障方案较为完整，有基本的质量控制措施和进度控制措施，保密方案有一定体现，但全面性或精细化程度略有不足，得8分。</w:t>
            </w:r>
          </w:p>
          <w:p w14:paraId="0079417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(3)项目保障方案不够完善，质量控制措施简单或进度安排不够合理，保密措施不够具体，得6分。</w:t>
            </w:r>
          </w:p>
          <w:p w14:paraId="422F671C">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(4)未提供项目保障方案，或方案严重缺乏可行性和有效性，得0分。</w:t>
            </w:r>
          </w:p>
        </w:tc>
        <w:tc>
          <w:tcPr>
            <w:tcW w:w="691" w:type="pct"/>
            <w:tcBorders>
              <w:top w:val="single" w:color="auto" w:sz="4" w:space="0"/>
              <w:left w:val="single" w:color="auto" w:sz="4" w:space="0"/>
              <w:bottom w:val="single" w:color="auto" w:sz="4" w:space="0"/>
              <w:right w:val="single" w:color="auto" w:sz="4" w:space="0"/>
            </w:tcBorders>
            <w:vAlign w:val="center"/>
          </w:tcPr>
          <w:p w14:paraId="15A1A95D">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r>
      <w:tr w14:paraId="3F76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5534897C">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7AF2614F">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sz w:val="24"/>
                <w:lang w:val="en-US" w:eastAsia="zh-CN"/>
              </w:rPr>
              <w:t>项目跟踪服务方案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3A6A9DD1">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(1)跟踪服务方案完善、可操作性强，承诺提供不间断的跟踪服务，能够根据采购人要求的节奏提供持续的服务保障，得10分。</w:t>
            </w:r>
          </w:p>
          <w:p w14:paraId="51DFEB1F">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(2)跟踪服务方案较为完整，能承诺提供修改完善和沟通协调服务，但响应速度或服务覆盖范围略有不足，得8分。</w:t>
            </w:r>
          </w:p>
          <w:p w14:paraId="2E3D495A">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(3)跟踪服务方案不够具体，服务响应机制不够明确，对跟踪服务内容描述不清，得6分。</w:t>
            </w:r>
          </w:p>
          <w:p w14:paraId="23A0A9C4">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未提供跟踪服务方案，或方案严重缺乏可操作性和实际服务能力，得0分。</w:t>
            </w:r>
          </w:p>
        </w:tc>
        <w:tc>
          <w:tcPr>
            <w:tcW w:w="691" w:type="pct"/>
            <w:tcBorders>
              <w:top w:val="single" w:color="auto" w:sz="4" w:space="0"/>
              <w:left w:val="single" w:color="auto" w:sz="4" w:space="0"/>
              <w:bottom w:val="single" w:color="auto" w:sz="4" w:space="0"/>
              <w:right w:val="single" w:color="auto" w:sz="4" w:space="0"/>
            </w:tcBorders>
            <w:vAlign w:val="center"/>
          </w:tcPr>
          <w:p w14:paraId="024DE8CA">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r>
      <w:tr w14:paraId="1176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452" w:type="pct"/>
            <w:tcBorders>
              <w:left w:val="single" w:color="auto" w:sz="4" w:space="0"/>
              <w:right w:val="single" w:color="auto" w:sz="4" w:space="0"/>
            </w:tcBorders>
            <w:vAlign w:val="center"/>
          </w:tcPr>
          <w:p w14:paraId="7DE0633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w:t>
            </w:r>
          </w:p>
          <w:p w14:paraId="45F3470E">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20</w:t>
            </w:r>
            <w:r>
              <w:rPr>
                <w:rFonts w:hint="eastAsia" w:ascii="宋体" w:hAnsi="宋体" w:eastAsia="宋体" w:cs="宋体"/>
                <w:color w:val="auto"/>
                <w:sz w:val="24"/>
                <w:szCs w:val="24"/>
                <w:highlight w:val="none"/>
              </w:rPr>
              <w:t>分）</w:t>
            </w:r>
          </w:p>
        </w:tc>
        <w:tc>
          <w:tcPr>
            <w:tcW w:w="4547" w:type="pct"/>
            <w:gridSpan w:val="3"/>
            <w:tcBorders>
              <w:top w:val="single" w:color="auto" w:sz="4" w:space="0"/>
              <w:left w:val="single" w:color="auto" w:sz="4" w:space="0"/>
              <w:bottom w:val="single" w:color="auto" w:sz="4" w:space="0"/>
              <w:right w:val="single" w:color="auto" w:sz="4" w:space="0"/>
            </w:tcBorders>
            <w:vAlign w:val="center"/>
          </w:tcPr>
          <w:p w14:paraId="3ED73828">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价格分统一采用低价优先法，即满足招标文件要求且投标价格最低的投标报价为评标基准价，其价格分为满分</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分。其他投标人的价格分统一按照下列公式计算：</w:t>
            </w:r>
          </w:p>
          <w:p w14:paraId="151ECD90">
            <w:pPr>
              <w:spacing w:line="440" w:lineRule="exact"/>
              <w:rPr>
                <w:rFonts w:hint="default" w:eastAsia="宋体"/>
                <w:color w:val="auto"/>
                <w:sz w:val="24"/>
                <w:szCs w:val="24"/>
                <w:lang w:val="en-US" w:eastAsia="zh-CN"/>
              </w:rPr>
            </w:pPr>
            <w:r>
              <w:rPr>
                <w:rFonts w:hint="eastAsia" w:ascii="宋体" w:hAnsi="宋体" w:eastAsia="宋体" w:cs="宋体"/>
                <w:color w:val="auto"/>
                <w:sz w:val="24"/>
                <w:szCs w:val="24"/>
                <w:highlight w:val="none"/>
              </w:rPr>
              <w:t>投标报价得分＝（评标基准价/投标报价）×</w:t>
            </w:r>
            <w:r>
              <w:rPr>
                <w:rFonts w:hint="eastAsia" w:ascii="宋体" w:hAnsi="宋体" w:eastAsia="宋体" w:cs="宋体"/>
                <w:color w:val="auto"/>
                <w:sz w:val="24"/>
                <w:szCs w:val="24"/>
                <w:highlight w:val="none"/>
                <w:u w:val="single"/>
                <w:lang w:val="en-US" w:eastAsia="zh-CN"/>
              </w:rPr>
              <w:t>20</w:t>
            </w:r>
            <w:r>
              <w:rPr>
                <w:rFonts w:hint="eastAsia" w:ascii="宋体" w:hAnsi="宋体" w:eastAsia="宋体" w:cs="宋体"/>
                <w:color w:val="auto"/>
                <w:sz w:val="24"/>
                <w:szCs w:val="24"/>
                <w:highlight w:val="none"/>
              </w:rPr>
              <w:t>％×100</w:t>
            </w:r>
          </w:p>
        </w:tc>
      </w:tr>
    </w:tbl>
    <w:p w14:paraId="74C4160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.3分值汇总</w:t>
      </w:r>
    </w:p>
    <w:p w14:paraId="30F9AC1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（1）评标委员会各成员应当独立对每个有效投标人的投标文件进行评分，并汇总每个投标人的得分。取各位评委评分之平均值，四舍五入保留至小数点后两位数，得到该投标人的技术资信分。</w:t>
      </w:r>
    </w:p>
    <w:p w14:paraId="2A5877C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（2）将投标人的技术资信分加上根据上述标准计算出的价格分，即为该投标人的综合总得分。</w:t>
      </w:r>
    </w:p>
    <w:p w14:paraId="7AA872AC">
      <w:pPr>
        <w:spacing w:line="360" w:lineRule="auto"/>
        <w:ind w:firstLine="435"/>
        <w:rPr>
          <w:rFonts w:ascii="宋体" w:hAnsi="宋体" w:eastAsia="宋体" w:cs="宋体"/>
          <w:b/>
          <w:bCs/>
          <w:color w:val="auto"/>
          <w:sz w:val="24"/>
          <w:highlight w:val="none"/>
        </w:rPr>
      </w:pPr>
      <w:r>
        <w:rPr>
          <w:rFonts w:hint="eastAsia" w:ascii="宋体" w:hAnsi="宋体" w:eastAsia="宋体" w:cs="宋体"/>
          <w:b/>
          <w:bCs/>
          <w:color w:val="auto"/>
          <w:sz w:val="24"/>
          <w:highlight w:val="none"/>
        </w:rPr>
        <w:t>三、无效投标条款</w:t>
      </w:r>
    </w:p>
    <w:p w14:paraId="4F75576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3.1投标文件有下列情形之一的,其投标文件拒收:</w:t>
      </w:r>
    </w:p>
    <w:p w14:paraId="5FF5B49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）未在开标截止时间前通过网上招标投标系统递交有效电子投标文件的，开标系统不予接收，投标将被拒绝。</w:t>
      </w:r>
    </w:p>
    <w:p w14:paraId="0298BBA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企业接到远程解密指令后，须在规定时间内解密。因投标人自身原因导致投标文件在规定时间内未能解密、解密失败或解密超时，投标文件无效；解密时间：从本项目解密程序开始时计时，至完成投标文件解密时间，不得超过</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分钟，否则投标文件将被拒绝。</w:t>
      </w:r>
    </w:p>
    <w:p w14:paraId="35A56C7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421249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57DB422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）投标人与在本项目代理机构存在相互任职或工作的；</w:t>
      </w:r>
    </w:p>
    <w:p w14:paraId="3972105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）招标公告写明专门面向中小企业采购，投标人提供的货物非中小企业制造的；</w:t>
      </w:r>
    </w:p>
    <w:p w14:paraId="3DE6B1D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）要求供应商以联合体形式参加采购活动，投标人非联合体或者联合协议中中小企业合同金额未达到应当达到的比例；</w:t>
      </w:r>
    </w:p>
    <w:p w14:paraId="3C24DDB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）要求获得采购合同的供应商向中小企业分包，投标人未提供分包意向协议或者分包意向协议中中小企业合同金额未达到应当达到的比例；</w:t>
      </w:r>
    </w:p>
    <w:p w14:paraId="7F87EE72">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）评标专家无法查看并检验电子投标文件中相关资料的；</w:t>
      </w:r>
    </w:p>
    <w:p w14:paraId="613D2EC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）联合体投标未提交联合体协议的；</w:t>
      </w:r>
    </w:p>
    <w:p w14:paraId="2519546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）责令停产停业的；</w:t>
      </w:r>
    </w:p>
    <w:p w14:paraId="280F121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）暂停或者取消参与政府采购项目资格的；</w:t>
      </w:r>
    </w:p>
    <w:p w14:paraId="74A3604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）投标人单位负责人为同一人或者存在（直接）控股、管理关系的不同单位的；</w:t>
      </w:r>
    </w:p>
    <w:p w14:paraId="3E84FAD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）投标人基本资格条件和特定资格条件中有一项及以上不符合要求的；</w:t>
      </w:r>
    </w:p>
    <w:p w14:paraId="06AA177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3B18730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rPr>
        <w:t>）其它情形，经评标委员会委提出按无效投标处理；</w:t>
      </w:r>
    </w:p>
    <w:p w14:paraId="656166B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14</w:t>
      </w:r>
      <w:r>
        <w:rPr>
          <w:rFonts w:hint="eastAsia" w:ascii="宋体" w:hAnsi="宋体" w:eastAsia="宋体" w:cs="宋体"/>
          <w:color w:val="auto"/>
          <w:sz w:val="24"/>
          <w:highlight w:val="none"/>
        </w:rPr>
        <w:t>）投标人联系人或联系电话相同的，由评标委员会否决其投标；</w:t>
      </w:r>
    </w:p>
    <w:p w14:paraId="3D12C1B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）投标人单方面出现其他投标人材料的；</w:t>
      </w:r>
    </w:p>
    <w:p w14:paraId="33BE901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）招标文件规定的其它无效投标情形。</w:t>
      </w:r>
    </w:p>
    <w:p w14:paraId="48804A2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3.3 投标人有下列情形之一的,符合性审查后其投标按无效投标处理：</w:t>
      </w:r>
    </w:p>
    <w:p w14:paraId="255B713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）投标文件签字、盖章不全，经评标委员会一致认定对开评标内容有实质性影响的；</w:t>
      </w:r>
    </w:p>
    <w:p w14:paraId="5A98CD87">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）未按规定的格式填写导致实质性内容不全以及实质上不响应，或者关键字迹模糊、无法辨认的；</w:t>
      </w:r>
    </w:p>
    <w:p w14:paraId="31890983">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）同一投标人提交两个以上不同的投标文件或者投标报价，但招标文件规定提交备选方案的除外；</w:t>
      </w:r>
    </w:p>
    <w:p w14:paraId="5CA756F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）投标文件没有对招标文件的实质性要求和条件作出响应;</w:t>
      </w:r>
    </w:p>
    <w:p w14:paraId="2537EFD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）投标报价超出规定的投标限价或公布的采购预算的或投标人的投标报价各项单价高于招标文件给定的单价最高限价；</w:t>
      </w:r>
    </w:p>
    <w:p w14:paraId="52D3A66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）不按评标委员会要求澄清、说明或补正的，或者评标委员会根据招标文件的规定对投标文件的计算错误进行修正后，投标人不接受修正的投标报价的。</w:t>
      </w:r>
    </w:p>
    <w:p w14:paraId="28A83F1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）其它情形，经评标委员会委提出按无效投标处理；</w:t>
      </w:r>
    </w:p>
    <w:p w14:paraId="749B477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）投标文件含有采购人不能接受的附加条件的；</w:t>
      </w:r>
    </w:p>
    <w:p w14:paraId="1815F0C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）招标文件规定的其它无效投标情形。</w:t>
      </w:r>
    </w:p>
    <w:p w14:paraId="1FAACB5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3.4 投标人有下列情形之一的, 详细评审后其投标按无效投标处理：</w:t>
      </w:r>
    </w:p>
    <w:p w14:paraId="1C28547D">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）投标产品不符合必须强制执行的国家标准的；</w:t>
      </w:r>
    </w:p>
    <w:p w14:paraId="65558B7D">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）投标人有串通投标、弄虚作假、行贿等违法行为；</w:t>
      </w:r>
    </w:p>
    <w:p w14:paraId="54B0F4EE">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）投标文件含有违反国家法律、法规的内容，或附有采购人不能接受的条件的；</w:t>
      </w:r>
    </w:p>
    <w:p w14:paraId="6686DB8D">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）报价明显低于其他投标人，且不能证明报价合理性的投标无效；</w:t>
      </w:r>
    </w:p>
    <w:p w14:paraId="135F3361">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）拒不确认评标委员会评审修正的投标无效；</w:t>
      </w:r>
    </w:p>
    <w:p w14:paraId="045536A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）招标文件规定的其它无效投标情形。</w:t>
      </w:r>
      <w:r>
        <w:rPr>
          <w:rFonts w:hint="eastAsia" w:ascii="宋体" w:hAnsi="宋体" w:eastAsia="宋体" w:cs="宋体"/>
          <w:color w:val="auto"/>
          <w:sz w:val="24"/>
          <w:highlight w:val="none"/>
        </w:rPr>
        <w:br w:type="page"/>
      </w:r>
    </w:p>
    <w:p w14:paraId="7D53E525">
      <w:pPr>
        <w:spacing w:line="480" w:lineRule="auto"/>
        <w:jc w:val="center"/>
        <w:outlineLvl w:val="1"/>
        <w:rPr>
          <w:rFonts w:hint="eastAsia" w:ascii="宋体" w:hAnsi="宋体" w:eastAsia="宋体" w:cs="宋体"/>
          <w:b/>
          <w:color w:val="auto"/>
          <w:sz w:val="28"/>
          <w:highlight w:val="none"/>
        </w:rPr>
      </w:pPr>
      <w:bookmarkStart w:id="57" w:name="_Toc8178"/>
      <w:r>
        <w:rPr>
          <w:rFonts w:hint="eastAsia" w:ascii="宋体" w:hAnsi="宋体" w:eastAsia="宋体" w:cs="宋体"/>
          <w:b/>
          <w:color w:val="auto"/>
          <w:sz w:val="28"/>
          <w:highlight w:val="none"/>
        </w:rPr>
        <w:t xml:space="preserve">第五章 </w:t>
      </w:r>
      <w:r>
        <w:rPr>
          <w:rFonts w:hint="eastAsia" w:ascii="宋体" w:hAnsi="宋体" w:eastAsia="宋体" w:cs="宋体"/>
          <w:b/>
          <w:color w:val="auto"/>
          <w:sz w:val="28"/>
          <w:highlight w:val="none"/>
          <w:lang w:val="en-US" w:eastAsia="zh-CN"/>
        </w:rPr>
        <w:t>政府采购合同</w:t>
      </w:r>
      <w:bookmarkEnd w:id="57"/>
      <w:r>
        <w:rPr>
          <w:rFonts w:hint="eastAsia" w:ascii="宋体" w:hAnsi="宋体" w:eastAsia="宋体" w:cs="宋体"/>
          <w:b/>
          <w:color w:val="auto"/>
          <w:sz w:val="28"/>
          <w:highlight w:val="none"/>
        </w:rPr>
        <w:t xml:space="preserve"> </w:t>
      </w:r>
      <w:bookmarkStart w:id="58" w:name="_Toc3714"/>
    </w:p>
    <w:p w14:paraId="0F5010A2">
      <w:pPr>
        <w:spacing w:line="480" w:lineRule="auto"/>
        <w:jc w:val="center"/>
        <w:outlineLvl w:val="1"/>
        <w:rPr>
          <w:rFonts w:ascii="宋体" w:hAnsi="宋体" w:eastAsia="宋体" w:cs="Times New Roman"/>
          <w:b/>
          <w:color w:val="auto"/>
          <w:sz w:val="28"/>
          <w:szCs w:val="28"/>
          <w:highlight w:val="none"/>
        </w:rPr>
      </w:pPr>
      <w:bookmarkStart w:id="59" w:name="_Toc1498"/>
      <w:r>
        <w:rPr>
          <w:rFonts w:ascii="宋体" w:hAnsi="宋体" w:eastAsia="宋体" w:cs="Times New Roman"/>
          <w:b/>
          <w:color w:val="auto"/>
          <w:sz w:val="28"/>
          <w:szCs w:val="28"/>
          <w:highlight w:val="none"/>
        </w:rPr>
        <w:t>政府采购合同</w:t>
      </w:r>
      <w:r>
        <w:rPr>
          <w:rFonts w:hint="eastAsia" w:ascii="宋体" w:hAnsi="宋体" w:eastAsia="宋体" w:cs="Times New Roman"/>
          <w:b/>
          <w:color w:val="auto"/>
          <w:sz w:val="28"/>
          <w:szCs w:val="28"/>
          <w:highlight w:val="none"/>
        </w:rPr>
        <w:t>参考范本</w:t>
      </w:r>
      <w:bookmarkEnd w:id="58"/>
      <w:bookmarkEnd w:id="59"/>
    </w:p>
    <w:p w14:paraId="7507E051">
      <w:pPr>
        <w:spacing w:line="480" w:lineRule="auto"/>
        <w:jc w:val="center"/>
        <w:outlineLvl w:val="1"/>
        <w:rPr>
          <w:rFonts w:ascii="宋体" w:hAnsi="宋体" w:eastAsia="宋体" w:cs="Times New Roman"/>
          <w:b/>
          <w:color w:val="auto"/>
          <w:sz w:val="28"/>
          <w:szCs w:val="28"/>
          <w:highlight w:val="none"/>
        </w:rPr>
      </w:pPr>
      <w:bookmarkStart w:id="60" w:name="_Toc8560"/>
      <w:bookmarkStart w:id="61" w:name="_Toc11193"/>
      <w:r>
        <w:rPr>
          <w:rFonts w:hint="eastAsia" w:ascii="宋体" w:hAnsi="宋体" w:eastAsia="宋体" w:cs="Times New Roman"/>
          <w:b/>
          <w:color w:val="auto"/>
          <w:sz w:val="28"/>
          <w:szCs w:val="28"/>
          <w:highlight w:val="none"/>
        </w:rPr>
        <w:t>（服务类）</w:t>
      </w:r>
      <w:bookmarkEnd w:id="60"/>
      <w:bookmarkEnd w:id="61"/>
    </w:p>
    <w:p w14:paraId="36D21321">
      <w:pPr>
        <w:spacing w:line="480" w:lineRule="auto"/>
        <w:jc w:val="center"/>
        <w:rPr>
          <w:rFonts w:ascii="宋体" w:hAnsi="宋体" w:eastAsia="宋体" w:cs="Times New Roman"/>
          <w:b/>
          <w:color w:val="auto"/>
          <w:sz w:val="24"/>
          <w:szCs w:val="24"/>
          <w:highlight w:val="none"/>
        </w:rPr>
      </w:pPr>
    </w:p>
    <w:p w14:paraId="4620EEE9">
      <w:pPr>
        <w:spacing w:line="480" w:lineRule="auto"/>
        <w:jc w:val="center"/>
        <w:rPr>
          <w:rFonts w:ascii="宋体" w:hAnsi="宋体" w:eastAsia="宋体" w:cs="Times New Roman"/>
          <w:b/>
          <w:color w:val="auto"/>
          <w:sz w:val="24"/>
          <w:szCs w:val="24"/>
          <w:highlight w:val="none"/>
        </w:rPr>
      </w:pPr>
    </w:p>
    <w:p w14:paraId="4E4341B0">
      <w:pPr>
        <w:spacing w:line="480" w:lineRule="auto"/>
        <w:jc w:val="center"/>
        <w:rPr>
          <w:rFonts w:ascii="宋体" w:hAnsi="宋体" w:eastAsia="宋体" w:cs="Times New Roman"/>
          <w:b/>
          <w:color w:val="auto"/>
          <w:sz w:val="24"/>
          <w:szCs w:val="24"/>
          <w:highlight w:val="none"/>
        </w:rPr>
      </w:pPr>
    </w:p>
    <w:p w14:paraId="27328024">
      <w:pPr>
        <w:spacing w:line="360" w:lineRule="auto"/>
        <w:jc w:val="center"/>
        <w:outlineLvl w:val="1"/>
        <w:rPr>
          <w:rFonts w:ascii="宋体" w:hAnsi="宋体" w:eastAsia="宋体"/>
          <w:b/>
          <w:color w:val="auto"/>
          <w:sz w:val="24"/>
          <w:highlight w:val="none"/>
        </w:rPr>
      </w:pPr>
      <w:bookmarkStart w:id="62" w:name="_Toc8263"/>
      <w:bookmarkStart w:id="63" w:name="_Toc2449"/>
      <w:r>
        <w:rPr>
          <w:rFonts w:hint="eastAsia" w:ascii="宋体" w:hAnsi="宋体" w:eastAsia="宋体"/>
          <w:b/>
          <w:color w:val="auto"/>
          <w:sz w:val="24"/>
          <w:highlight w:val="none"/>
        </w:rPr>
        <w:t>第一部分 合同书</w:t>
      </w:r>
      <w:bookmarkEnd w:id="62"/>
      <w:bookmarkEnd w:id="63"/>
    </w:p>
    <w:p w14:paraId="4077FA67">
      <w:pPr>
        <w:spacing w:line="480" w:lineRule="auto"/>
        <w:jc w:val="center"/>
        <w:rPr>
          <w:rFonts w:ascii="宋体" w:hAnsi="宋体" w:eastAsia="宋体" w:cs="Times New Roman"/>
          <w:b/>
          <w:color w:val="auto"/>
          <w:sz w:val="24"/>
          <w:szCs w:val="24"/>
          <w:highlight w:val="none"/>
        </w:rPr>
      </w:pPr>
    </w:p>
    <w:p w14:paraId="195E1F73">
      <w:pPr>
        <w:spacing w:line="480" w:lineRule="auto"/>
        <w:jc w:val="center"/>
        <w:rPr>
          <w:rFonts w:ascii="宋体" w:hAnsi="宋体" w:eastAsia="宋体" w:cs="Times New Roman"/>
          <w:b/>
          <w:color w:val="auto"/>
          <w:sz w:val="24"/>
          <w:szCs w:val="24"/>
          <w:highlight w:val="none"/>
        </w:rPr>
      </w:pPr>
    </w:p>
    <w:p w14:paraId="7BC89C24">
      <w:pPr>
        <w:pStyle w:val="10"/>
        <w:rPr>
          <w:color w:val="auto"/>
          <w:highlight w:val="none"/>
        </w:rPr>
      </w:pPr>
    </w:p>
    <w:p w14:paraId="4B2FDC8B">
      <w:pPr>
        <w:pStyle w:val="10"/>
        <w:rPr>
          <w:color w:val="auto"/>
          <w:highlight w:val="none"/>
        </w:rPr>
      </w:pPr>
    </w:p>
    <w:p w14:paraId="383297C2">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hint="default" w:ascii="宋体" w:hAnsi="宋体" w:eastAsia="宋体" w:cs="Times New Roman"/>
          <w:color w:val="auto"/>
          <w:sz w:val="24"/>
          <w:szCs w:val="24"/>
          <w:highlight w:val="none"/>
          <w:u w:val="single"/>
          <w:lang w:val="en-US"/>
        </w:rPr>
      </w:pPr>
      <w:r>
        <w:rPr>
          <w:rFonts w:hint="eastAsia" w:ascii="宋体" w:hAnsi="宋体" w:eastAsia="宋体" w:cs="Times New Roman"/>
          <w:color w:val="auto"/>
          <w:sz w:val="24"/>
          <w:szCs w:val="24"/>
          <w:highlight w:val="none"/>
        </w:rPr>
        <w:t>项目名称：</w:t>
      </w:r>
      <w:r>
        <w:rPr>
          <w:rFonts w:hint="eastAsia" w:ascii="宋体" w:hAnsi="宋体" w:eastAsia="宋体" w:cs="Times New Roman"/>
          <w:color w:val="auto"/>
          <w:sz w:val="24"/>
          <w:szCs w:val="24"/>
          <w:highlight w:val="none"/>
          <w:u w:val="single"/>
          <w:lang w:val="en-US" w:eastAsia="zh-CN"/>
        </w:rPr>
        <w:t xml:space="preserve">                                    </w:t>
      </w:r>
    </w:p>
    <w:p w14:paraId="5BAE6A54">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项目编号：</w:t>
      </w:r>
      <w:r>
        <w:rPr>
          <w:rFonts w:hint="eastAsia" w:ascii="宋体" w:hAnsi="宋体" w:eastAsia="宋体" w:cs="Times New Roman"/>
          <w:color w:val="auto"/>
          <w:sz w:val="24"/>
          <w:szCs w:val="24"/>
          <w:highlight w:val="none"/>
          <w:u w:val="single"/>
          <w:lang w:val="en-US" w:eastAsia="zh-CN"/>
        </w:rPr>
        <w:t xml:space="preserve">                                     </w:t>
      </w:r>
    </w:p>
    <w:p w14:paraId="298E15EF">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hint="default"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t>甲方（采购人）：</w:t>
      </w:r>
      <w:r>
        <w:rPr>
          <w:rFonts w:hint="eastAsia" w:ascii="宋体" w:hAnsi="宋体" w:eastAsia="宋体" w:cs="Times New Roman"/>
          <w:color w:val="auto"/>
          <w:sz w:val="24"/>
          <w:szCs w:val="24"/>
          <w:highlight w:val="none"/>
          <w:u w:val="single"/>
          <w:lang w:val="en-US" w:eastAsia="zh-CN"/>
        </w:rPr>
        <w:t xml:space="preserve">  中新苏滁高新技术产业开发区管理委员会  </w:t>
      </w:r>
    </w:p>
    <w:p w14:paraId="72C0F1FF">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乙方（中标人）：</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p>
    <w:p w14:paraId="59C2880D">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签订地：</w:t>
      </w:r>
      <w:r>
        <w:rPr>
          <w:rFonts w:hint="eastAsia" w:ascii="宋体" w:hAnsi="宋体" w:eastAsia="宋体" w:cs="Times New Roman"/>
          <w:color w:val="auto"/>
          <w:sz w:val="24"/>
          <w:szCs w:val="24"/>
          <w:highlight w:val="none"/>
          <w:u w:val="single"/>
          <w:lang w:eastAsia="zh-CN"/>
        </w:rPr>
        <w:t>中新苏滁高新技术产业开发区管理委员会</w:t>
      </w:r>
      <w:r>
        <w:rPr>
          <w:rFonts w:hint="eastAsia" w:ascii="宋体" w:hAnsi="宋体" w:eastAsia="宋体" w:cs="Times New Roman"/>
          <w:color w:val="auto"/>
          <w:sz w:val="24"/>
          <w:szCs w:val="24"/>
          <w:highlight w:val="none"/>
          <w:u w:val="single"/>
        </w:rPr>
        <w:t xml:space="preserve">   </w:t>
      </w:r>
    </w:p>
    <w:p w14:paraId="66A8510F">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签订日期：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00C4E8E2">
      <w:pPr>
        <w:widowControl/>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br w:type="page"/>
      </w:r>
    </w:p>
    <w:p w14:paraId="107B4AD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u w:val="single"/>
          <w:lang w:val="en-US" w:eastAsia="zh-CN"/>
        </w:rPr>
        <w:t xml:space="preserve"> 中新苏滁高新技术产业开发区管理委员会 </w:t>
      </w:r>
      <w:r>
        <w:rPr>
          <w:rFonts w:hint="eastAsia" w:ascii="宋体" w:hAnsi="宋体" w:eastAsia="宋体"/>
          <w:color w:val="auto"/>
          <w:sz w:val="24"/>
          <w:highlight w:val="none"/>
        </w:rPr>
        <w:t>（</w:t>
      </w:r>
      <w:r>
        <w:rPr>
          <w:rFonts w:hint="eastAsia" w:ascii="宋体" w:hAnsi="宋体" w:eastAsia="宋体" w:cs="Times New Roman"/>
          <w:color w:val="auto"/>
          <w:sz w:val="24"/>
          <w:szCs w:val="24"/>
          <w:highlight w:val="none"/>
          <w:lang w:val="zh-CN"/>
        </w:rPr>
        <w:t>以下简称：甲方</w:t>
      </w:r>
      <w:r>
        <w:rPr>
          <w:rFonts w:hint="eastAsia" w:ascii="宋体" w:hAnsi="宋体" w:eastAsia="宋体"/>
          <w:color w:val="auto"/>
          <w:sz w:val="24"/>
          <w:highlight w:val="none"/>
        </w:rPr>
        <w:t>）通过</w:t>
      </w:r>
      <w:r>
        <w:rPr>
          <w:rFonts w:hint="eastAsia" w:ascii="宋体" w:hAnsi="宋体" w:eastAsia="宋体"/>
          <w:color w:val="auto"/>
          <w:sz w:val="24"/>
          <w:highlight w:val="none"/>
          <w:u w:val="single"/>
          <w:lang w:val="en-US" w:eastAsia="zh-CN"/>
        </w:rPr>
        <w:t xml:space="preserve">滁州市城投工程咨询管理有限公司 </w:t>
      </w:r>
      <w:r>
        <w:rPr>
          <w:rFonts w:hint="eastAsia" w:ascii="宋体" w:hAnsi="宋体" w:eastAsia="宋体"/>
          <w:color w:val="auto"/>
          <w:sz w:val="24"/>
          <w:highlight w:val="none"/>
        </w:rPr>
        <w:t>组织的</w:t>
      </w:r>
      <w:r>
        <w:rPr>
          <w:rFonts w:hint="eastAsia" w:ascii="宋体" w:hAnsi="宋体" w:eastAsia="宋体"/>
          <w:color w:val="auto"/>
          <w:sz w:val="24"/>
          <w:highlight w:val="none"/>
          <w:u w:val="single"/>
        </w:rPr>
        <w:t>公开招标</w:t>
      </w:r>
      <w:r>
        <w:rPr>
          <w:rFonts w:hint="eastAsia" w:ascii="宋体" w:hAnsi="宋体" w:eastAsia="宋体"/>
          <w:color w:val="auto"/>
          <w:sz w:val="24"/>
          <w:highlight w:val="none"/>
        </w:rPr>
        <w:t>方式采购活动，经</w:t>
      </w:r>
      <w:r>
        <w:rPr>
          <w:rFonts w:hint="eastAsia" w:ascii="宋体" w:hAnsi="宋体" w:eastAsia="宋体"/>
          <w:color w:val="auto"/>
          <w:sz w:val="24"/>
          <w:highlight w:val="none"/>
          <w:u w:val="single"/>
        </w:rPr>
        <w:t>评标委员会</w:t>
      </w:r>
      <w:r>
        <w:rPr>
          <w:rFonts w:hint="eastAsia" w:ascii="宋体" w:hAnsi="宋体" w:eastAsia="宋体"/>
          <w:color w:val="auto"/>
          <w:sz w:val="24"/>
          <w:highlight w:val="none"/>
        </w:rPr>
        <w:t>评定，</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rPr>
        <w:t>（</w:t>
      </w:r>
      <w:r>
        <w:rPr>
          <w:rFonts w:hint="eastAsia" w:ascii="宋体" w:hAnsi="宋体" w:eastAsia="宋体" w:cs="Times New Roman"/>
          <w:color w:val="auto"/>
          <w:sz w:val="24"/>
          <w:szCs w:val="24"/>
          <w:highlight w:val="none"/>
          <w:lang w:val="zh-CN"/>
        </w:rPr>
        <w:t>以下简称：乙方</w:t>
      </w:r>
      <w:r>
        <w:rPr>
          <w:rFonts w:hint="eastAsia" w:ascii="宋体" w:hAnsi="宋体" w:eastAsia="宋体"/>
          <w:color w:val="auto"/>
          <w:sz w:val="24"/>
          <w:highlight w:val="none"/>
        </w:rPr>
        <w:t>）为本项目中标人，现</w:t>
      </w:r>
      <w:r>
        <w:rPr>
          <w:rFonts w:hint="eastAsia" w:ascii="宋体" w:hAnsi="宋体" w:eastAsia="宋体" w:cs="Times New Roman"/>
          <w:color w:val="auto"/>
          <w:sz w:val="24"/>
          <w:szCs w:val="24"/>
          <w:highlight w:val="none"/>
        </w:rPr>
        <w:t>按照采购文件确定的事项签订本合同。</w:t>
      </w:r>
    </w:p>
    <w:p w14:paraId="32B73483">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683447F8">
      <w:pPr>
        <w:spacing w:line="360" w:lineRule="auto"/>
        <w:ind w:firstLine="437"/>
        <w:outlineLvl w:val="2"/>
        <w:rPr>
          <w:rFonts w:ascii="宋体" w:hAnsi="宋体" w:eastAsia="宋体" w:cs="Times New Roman"/>
          <w:b/>
          <w:bCs/>
          <w:color w:val="auto"/>
          <w:sz w:val="24"/>
          <w:szCs w:val="24"/>
          <w:highlight w:val="none"/>
          <w:lang w:val="zh-CN"/>
        </w:rPr>
      </w:pPr>
      <w:bookmarkStart w:id="64" w:name="_Toc2232"/>
      <w:bookmarkStart w:id="65" w:name="_Toc24059"/>
      <w:bookmarkStart w:id="66" w:name="_Toc3029"/>
      <w:r>
        <w:rPr>
          <w:rFonts w:hint="eastAsia" w:ascii="宋体" w:hAnsi="宋体" w:eastAsia="宋体" w:cs="Times New Roman"/>
          <w:b/>
          <w:bCs/>
          <w:color w:val="auto"/>
          <w:sz w:val="24"/>
          <w:szCs w:val="24"/>
          <w:highlight w:val="none"/>
          <w:lang w:val="zh-CN"/>
        </w:rPr>
        <w:t>1.1</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合同组成部分</w:t>
      </w:r>
      <w:bookmarkEnd w:id="64"/>
      <w:bookmarkEnd w:id="65"/>
      <w:bookmarkEnd w:id="66"/>
    </w:p>
    <w:p w14:paraId="0B2BFEE9">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79A0ABD">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1.1.1本合同及其补充合同、变更协议；</w:t>
      </w:r>
    </w:p>
    <w:p w14:paraId="788C3C93">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1.1.2中标通知书；</w:t>
      </w:r>
    </w:p>
    <w:p w14:paraId="1FC08287">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1.1.3投标文件（含澄清或者说明文件）；</w:t>
      </w:r>
    </w:p>
    <w:p w14:paraId="1D1437A7">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1.1.4招标文件（含澄清或者修改文件）；</w:t>
      </w:r>
    </w:p>
    <w:p w14:paraId="45485CAE">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1.1.5其他相关采购文件。</w:t>
      </w:r>
    </w:p>
    <w:p w14:paraId="1DC4DDA8">
      <w:pPr>
        <w:spacing w:line="360" w:lineRule="auto"/>
        <w:ind w:firstLine="437"/>
        <w:outlineLvl w:val="2"/>
        <w:rPr>
          <w:rFonts w:ascii="宋体" w:hAnsi="宋体" w:eastAsia="宋体" w:cs="Times New Roman"/>
          <w:b/>
          <w:bCs/>
          <w:color w:val="auto"/>
          <w:sz w:val="24"/>
          <w:szCs w:val="24"/>
          <w:highlight w:val="none"/>
          <w:lang w:val="zh-CN"/>
        </w:rPr>
      </w:pPr>
      <w:bookmarkStart w:id="67" w:name="_Toc6311"/>
      <w:bookmarkStart w:id="68" w:name="_Toc6773"/>
      <w:bookmarkStart w:id="69" w:name="_Toc22185"/>
      <w:bookmarkStart w:id="70" w:name="_Toc2918"/>
      <w:bookmarkStart w:id="71" w:name="_Toc18585"/>
      <w:r>
        <w:rPr>
          <w:rFonts w:hint="eastAsia" w:ascii="宋体" w:hAnsi="宋体" w:eastAsia="宋体" w:cs="Times New Roman"/>
          <w:b/>
          <w:bCs/>
          <w:color w:val="auto"/>
          <w:sz w:val="24"/>
          <w:szCs w:val="24"/>
          <w:highlight w:val="none"/>
          <w:lang w:val="zh-CN"/>
        </w:rPr>
        <w:t xml:space="preserve">1.2 </w:t>
      </w:r>
      <w:bookmarkEnd w:id="67"/>
      <w:bookmarkEnd w:id="68"/>
      <w:bookmarkEnd w:id="69"/>
      <w:bookmarkEnd w:id="70"/>
      <w:bookmarkEnd w:id="71"/>
      <w:r>
        <w:rPr>
          <w:rFonts w:hint="eastAsia" w:ascii="宋体" w:hAnsi="宋体" w:eastAsia="宋体" w:cs="Times New Roman"/>
          <w:b/>
          <w:bCs/>
          <w:color w:val="auto"/>
          <w:sz w:val="24"/>
          <w:szCs w:val="24"/>
          <w:highlight w:val="none"/>
          <w:lang w:val="zh-CN"/>
        </w:rPr>
        <w:t>服务</w:t>
      </w:r>
    </w:p>
    <w:p w14:paraId="23FBCE83">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1.2.1服务</w:t>
      </w:r>
      <w:r>
        <w:rPr>
          <w:rFonts w:ascii="宋体" w:hAnsi="宋体" w:eastAsia="宋体" w:cs="Times New Roman"/>
          <w:color w:val="auto"/>
          <w:sz w:val="24"/>
          <w:szCs w:val="24"/>
          <w:highlight w:val="none"/>
        </w:rPr>
        <w:t>名称：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6339F74E">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1.2.2服务内容</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招标文件第三章采购需求全部内容，详见附件 </w:t>
      </w:r>
      <w:r>
        <w:rPr>
          <w:rFonts w:hint="eastAsia" w:ascii="宋体" w:hAnsi="宋体" w:eastAsia="宋体" w:cs="Times New Roman"/>
          <w:color w:val="auto"/>
          <w:sz w:val="24"/>
          <w:szCs w:val="24"/>
          <w:highlight w:val="none"/>
        </w:rPr>
        <w:t>；</w:t>
      </w:r>
    </w:p>
    <w:p w14:paraId="7075F48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1.2.3服务质量：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16B5B82B">
      <w:pPr>
        <w:spacing w:line="360" w:lineRule="auto"/>
        <w:ind w:firstLine="437"/>
        <w:outlineLvl w:val="2"/>
        <w:rPr>
          <w:rFonts w:ascii="宋体" w:hAnsi="宋体" w:eastAsia="宋体" w:cs="Times New Roman"/>
          <w:b/>
          <w:bCs/>
          <w:color w:val="auto"/>
          <w:sz w:val="24"/>
          <w:szCs w:val="24"/>
          <w:highlight w:val="none"/>
          <w:lang w:val="zh-CN"/>
        </w:rPr>
      </w:pPr>
      <w:bookmarkStart w:id="72" w:name="_Toc21631"/>
      <w:bookmarkStart w:id="73" w:name="_Toc23292"/>
      <w:bookmarkStart w:id="74" w:name="_Toc21551"/>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 xml:space="preserve">3 </w:t>
      </w:r>
      <w:r>
        <w:rPr>
          <w:rFonts w:hint="eastAsia" w:ascii="宋体" w:hAnsi="宋体" w:eastAsia="宋体" w:cs="Times New Roman"/>
          <w:b/>
          <w:bCs/>
          <w:color w:val="auto"/>
          <w:sz w:val="24"/>
          <w:szCs w:val="24"/>
          <w:highlight w:val="none"/>
          <w:lang w:val="zh-CN"/>
        </w:rPr>
        <w:t>价款</w:t>
      </w:r>
      <w:bookmarkEnd w:id="72"/>
      <w:bookmarkEnd w:id="73"/>
      <w:bookmarkEnd w:id="74"/>
    </w:p>
    <w:p w14:paraId="7AEC667A">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本合同总价为</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（大写：人民币</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元）</w:t>
      </w:r>
      <w:r>
        <w:rPr>
          <w:rFonts w:ascii="宋体" w:hAnsi="宋体" w:eastAsia="宋体" w:cs="Times New Roman"/>
          <w:color w:val="auto"/>
          <w:sz w:val="24"/>
          <w:szCs w:val="24"/>
          <w:highlight w:val="none"/>
        </w:rPr>
        <w:t>。</w:t>
      </w:r>
    </w:p>
    <w:p w14:paraId="564F96CB">
      <w:pPr>
        <w:spacing w:line="360" w:lineRule="auto"/>
        <w:ind w:firstLine="435"/>
        <w:rPr>
          <w:rFonts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分项价格：</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4F65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center"/>
          </w:tcPr>
          <w:p w14:paraId="17C7714B">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default" w:ascii="宋体" w:hAnsi="宋体" w:eastAsia="宋体" w:cs="Times New Roman"/>
                <w:color w:val="auto"/>
                <w:sz w:val="24"/>
                <w:szCs w:val="24"/>
                <w:highlight w:val="none"/>
                <w:lang w:val="zh-CN"/>
              </w:rPr>
              <w:t>序号</w:t>
            </w:r>
          </w:p>
        </w:tc>
        <w:tc>
          <w:tcPr>
            <w:tcW w:w="4316" w:type="dxa"/>
            <w:noWrap w:val="0"/>
            <w:vAlign w:val="center"/>
          </w:tcPr>
          <w:p w14:paraId="509DAF8A">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分项名称</w:t>
            </w:r>
          </w:p>
        </w:tc>
        <w:tc>
          <w:tcPr>
            <w:tcW w:w="3237" w:type="dxa"/>
            <w:gridSpan w:val="2"/>
            <w:noWrap w:val="0"/>
            <w:vAlign w:val="center"/>
          </w:tcPr>
          <w:p w14:paraId="4379B13B">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rPr>
            </w:pPr>
            <w:r>
              <w:rPr>
                <w:rFonts w:hint="default" w:ascii="宋体" w:hAnsi="宋体" w:eastAsia="宋体" w:cs="Times New Roman"/>
                <w:color w:val="auto"/>
                <w:sz w:val="24"/>
                <w:szCs w:val="24"/>
                <w:highlight w:val="none"/>
              </w:rPr>
              <w:t>分项价格</w:t>
            </w:r>
          </w:p>
        </w:tc>
      </w:tr>
      <w:tr w14:paraId="4E87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6CA8C934">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w:t>
            </w:r>
          </w:p>
        </w:tc>
        <w:tc>
          <w:tcPr>
            <w:tcW w:w="4316" w:type="dxa"/>
            <w:noWrap w:val="0"/>
            <w:vAlign w:val="center"/>
          </w:tcPr>
          <w:p w14:paraId="725E2297">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72689F79">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5381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4197776A">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2</w:t>
            </w:r>
          </w:p>
        </w:tc>
        <w:tc>
          <w:tcPr>
            <w:tcW w:w="4316" w:type="dxa"/>
            <w:noWrap w:val="0"/>
            <w:vAlign w:val="center"/>
          </w:tcPr>
          <w:p w14:paraId="4867ABED">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0E643234">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650B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06C24432">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default" w:ascii="宋体" w:hAnsi="宋体" w:eastAsia="宋体" w:cs="Times New Roman"/>
                <w:color w:val="auto"/>
                <w:sz w:val="24"/>
                <w:szCs w:val="24"/>
                <w:highlight w:val="none"/>
                <w:lang w:val="zh-CN"/>
              </w:rPr>
              <w:t>3</w:t>
            </w:r>
          </w:p>
        </w:tc>
        <w:tc>
          <w:tcPr>
            <w:tcW w:w="4316" w:type="dxa"/>
            <w:noWrap w:val="0"/>
            <w:vAlign w:val="center"/>
          </w:tcPr>
          <w:p w14:paraId="1248391E">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6B623EBA">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1025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2151BE9D">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w:t>
            </w:r>
          </w:p>
        </w:tc>
        <w:tc>
          <w:tcPr>
            <w:tcW w:w="4316" w:type="dxa"/>
            <w:noWrap w:val="0"/>
            <w:vAlign w:val="center"/>
          </w:tcPr>
          <w:p w14:paraId="604DF405">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2A8E9FBE">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3B0E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noWrap w:val="0"/>
            <w:vAlign w:val="center"/>
          </w:tcPr>
          <w:p w14:paraId="7A0031AF">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总价</w:t>
            </w:r>
          </w:p>
        </w:tc>
        <w:tc>
          <w:tcPr>
            <w:tcW w:w="3237" w:type="dxa"/>
            <w:gridSpan w:val="2"/>
            <w:noWrap w:val="0"/>
            <w:vAlign w:val="center"/>
          </w:tcPr>
          <w:p w14:paraId="70E61ED6">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bl>
    <w:p w14:paraId="5AB2668A">
      <w:pPr>
        <w:spacing w:line="360" w:lineRule="auto"/>
        <w:ind w:firstLine="437"/>
        <w:outlineLvl w:val="2"/>
        <w:rPr>
          <w:rFonts w:ascii="宋体" w:hAnsi="宋体" w:eastAsia="宋体" w:cs="Times New Roman"/>
          <w:b/>
          <w:bCs/>
          <w:color w:val="auto"/>
          <w:sz w:val="24"/>
          <w:szCs w:val="24"/>
          <w:highlight w:val="none"/>
          <w:lang w:val="zh-CN"/>
        </w:rPr>
      </w:pPr>
      <w:bookmarkStart w:id="75" w:name="_Toc22618"/>
      <w:bookmarkStart w:id="76" w:name="_Toc10340"/>
      <w:bookmarkStart w:id="77" w:name="_Toc1814"/>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4 付款方式和发票开具方式</w:t>
      </w:r>
      <w:bookmarkEnd w:id="75"/>
      <w:bookmarkEnd w:id="76"/>
      <w:bookmarkEnd w:id="77"/>
    </w:p>
    <w:p w14:paraId="4B08795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1.4.1</w:t>
      </w:r>
      <w:r>
        <w:rPr>
          <w:rFonts w:ascii="宋体" w:hAnsi="宋体" w:eastAsia="宋体" w:cs="Times New Roman"/>
          <w:color w:val="auto"/>
          <w:sz w:val="24"/>
          <w:szCs w:val="24"/>
          <w:highlight w:val="none"/>
        </w:rPr>
        <w:t>付款方式：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64C71B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1.4.2发票开具方式：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63D21483">
      <w:pPr>
        <w:spacing w:line="360" w:lineRule="auto"/>
        <w:ind w:firstLine="437"/>
        <w:outlineLvl w:val="2"/>
        <w:rPr>
          <w:rFonts w:ascii="宋体" w:hAnsi="宋体" w:eastAsia="宋体" w:cs="Times New Roman"/>
          <w:b/>
          <w:bCs/>
          <w:color w:val="auto"/>
          <w:sz w:val="24"/>
          <w:szCs w:val="24"/>
          <w:highlight w:val="none"/>
          <w:lang w:val="zh-CN"/>
        </w:rPr>
      </w:pPr>
      <w:bookmarkStart w:id="78" w:name="_Toc19304"/>
      <w:bookmarkStart w:id="79" w:name="_Toc32071"/>
      <w:bookmarkStart w:id="80" w:name="_Toc2846"/>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 xml:space="preserve">5 </w:t>
      </w:r>
      <w:r>
        <w:rPr>
          <w:rFonts w:hint="eastAsia" w:ascii="宋体" w:hAnsi="宋体" w:eastAsia="宋体" w:cs="Times New Roman"/>
          <w:b/>
          <w:bCs/>
          <w:color w:val="auto"/>
          <w:sz w:val="24"/>
          <w:szCs w:val="24"/>
          <w:highlight w:val="none"/>
          <w:lang w:val="zh-CN"/>
        </w:rPr>
        <w:t>服务</w:t>
      </w:r>
      <w:r>
        <w:rPr>
          <w:rFonts w:ascii="宋体" w:hAnsi="宋体" w:eastAsia="宋体" w:cs="Times New Roman"/>
          <w:b/>
          <w:bCs/>
          <w:color w:val="auto"/>
          <w:sz w:val="24"/>
          <w:szCs w:val="24"/>
          <w:highlight w:val="none"/>
          <w:lang w:val="zh-CN"/>
        </w:rPr>
        <w:t>期限</w:t>
      </w:r>
      <w:r>
        <w:rPr>
          <w:rFonts w:hint="eastAsia" w:ascii="宋体" w:hAnsi="宋体" w:eastAsia="宋体" w:cs="Times New Roman"/>
          <w:b/>
          <w:bCs/>
          <w:color w:val="auto"/>
          <w:sz w:val="24"/>
          <w:szCs w:val="24"/>
          <w:highlight w:val="none"/>
          <w:lang w:val="zh-CN"/>
        </w:rPr>
        <w:t>、地点和方式</w:t>
      </w:r>
      <w:bookmarkEnd w:id="78"/>
      <w:bookmarkEnd w:id="79"/>
      <w:bookmarkEnd w:id="80"/>
    </w:p>
    <w:p w14:paraId="6E084832">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1.5.1服务期限</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1F4379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1.5.2服务地点</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7A43D27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1.5.3服务方式：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6291B3BD">
      <w:pPr>
        <w:spacing w:line="360" w:lineRule="auto"/>
        <w:ind w:firstLine="437"/>
        <w:outlineLvl w:val="2"/>
        <w:rPr>
          <w:rFonts w:ascii="宋体" w:hAnsi="宋体" w:eastAsia="宋体" w:cs="Times New Roman"/>
          <w:b/>
          <w:bCs/>
          <w:color w:val="auto"/>
          <w:sz w:val="24"/>
          <w:szCs w:val="24"/>
          <w:highlight w:val="none"/>
          <w:lang w:val="zh-CN"/>
        </w:rPr>
      </w:pPr>
      <w:bookmarkStart w:id="81" w:name="_Toc19554"/>
      <w:bookmarkStart w:id="82" w:name="_Toc21423"/>
      <w:bookmarkStart w:id="83" w:name="_Toc27250"/>
      <w:r>
        <w:rPr>
          <w:rFonts w:hint="eastAsia" w:ascii="宋体" w:hAnsi="宋体" w:eastAsia="宋体" w:cs="Times New Roman"/>
          <w:b/>
          <w:bCs/>
          <w:color w:val="auto"/>
          <w:sz w:val="24"/>
          <w:szCs w:val="24"/>
          <w:highlight w:val="none"/>
          <w:lang w:val="zh-CN"/>
        </w:rPr>
        <w:t>1.6 违约责任</w:t>
      </w:r>
      <w:bookmarkEnd w:id="81"/>
      <w:bookmarkEnd w:id="82"/>
      <w:bookmarkEnd w:id="83"/>
    </w:p>
    <w:p w14:paraId="30DCEC5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1.6.1</w:t>
      </w:r>
      <w:r>
        <w:rPr>
          <w:rFonts w:ascii="宋体" w:hAnsi="宋体" w:eastAsia="宋体" w:cs="Times New Roman"/>
          <w:color w:val="auto"/>
          <w:sz w:val="24"/>
          <w:szCs w:val="24"/>
          <w:highlight w:val="none"/>
        </w:rPr>
        <w:t>除不可抗力外，如果乙方没有按照本合同约定的期限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地点和方式</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，那么甲方可要求乙方支付违约金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一日的应提供而未</w:t>
      </w:r>
      <w:r>
        <w:rPr>
          <w:rFonts w:hint="eastAsia" w:ascii="宋体" w:hAnsi="宋体" w:eastAsia="宋体" w:cs="Times New Roman"/>
          <w:color w:val="auto"/>
          <w:sz w:val="24"/>
          <w:szCs w:val="24"/>
          <w:highlight w:val="none"/>
        </w:rPr>
        <w:t>提供</w:t>
      </w:r>
      <w:r>
        <w:rPr>
          <w:rFonts w:ascii="宋体" w:hAnsi="宋体" w:eastAsia="宋体" w:cs="Times New Roman"/>
          <w:color w:val="auto"/>
          <w:sz w:val="24"/>
          <w:szCs w:val="24"/>
          <w:highlight w:val="none"/>
        </w:rPr>
        <w:t>服务价格的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1</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5</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的违约金计算数额达到前述最高限额之日起</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甲方有权在要求乙方支付违约金的同时</w:t>
      </w:r>
      <w:r>
        <w:rPr>
          <w:rFonts w:hint="eastAsia" w:ascii="宋体" w:hAnsi="宋体" w:eastAsia="宋体" w:cs="Times New Roman"/>
          <w:color w:val="auto"/>
          <w:sz w:val="24"/>
          <w:szCs w:val="24"/>
          <w:highlight w:val="none"/>
        </w:rPr>
        <w:t>，书面通知乙方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333FE3EF">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1.6.2</w:t>
      </w:r>
      <w:r>
        <w:rPr>
          <w:rFonts w:ascii="宋体" w:hAnsi="宋体" w:eastAsia="宋体" w:cs="Times New Roman"/>
          <w:color w:val="auto"/>
          <w:sz w:val="24"/>
          <w:szCs w:val="24"/>
          <w:highlight w:val="none"/>
        </w:rPr>
        <w:t>除不可抗力外，如果甲方没有按照本合同约定的付款方式付款，那么乙方可要求甲方支付违约金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一日的应付而未付款的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0.1</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1</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的违约金计算数额达到前述最高限额之日起</w:t>
      </w:r>
      <w:r>
        <w:rPr>
          <w:rFonts w:hint="eastAsia" w:ascii="宋体" w:hAnsi="宋体" w:eastAsia="宋体" w:cs="Times New Roman"/>
          <w:color w:val="auto"/>
          <w:sz w:val="24"/>
          <w:szCs w:val="24"/>
          <w:highlight w:val="none"/>
        </w:rPr>
        <w:t>，乙</w:t>
      </w:r>
      <w:r>
        <w:rPr>
          <w:rFonts w:ascii="宋体" w:hAnsi="宋体" w:eastAsia="宋体" w:cs="Times New Roman"/>
          <w:color w:val="auto"/>
          <w:sz w:val="24"/>
          <w:szCs w:val="24"/>
          <w:highlight w:val="none"/>
        </w:rPr>
        <w:t>方有权在要求甲方支付违约金的同时</w:t>
      </w:r>
      <w:r>
        <w:rPr>
          <w:rFonts w:hint="eastAsia" w:ascii="宋体" w:hAnsi="宋体" w:eastAsia="宋体" w:cs="Times New Roman"/>
          <w:color w:val="auto"/>
          <w:sz w:val="24"/>
          <w:szCs w:val="24"/>
          <w:highlight w:val="none"/>
        </w:rPr>
        <w:t>，书面通知甲方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0F5B950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30BE80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AA8F60A">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56A6AC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1AEC22B9">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1.6.7因甲方未按合同约定支付价款、未按合同约定受领标的物、擅自解除合同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逾期退还履约保证金</w:t>
      </w:r>
      <w:r>
        <w:rPr>
          <w:rFonts w:ascii="宋体" w:hAnsi="宋体" w:eastAsia="宋体" w:cs="Times New Roman"/>
          <w:color w:val="auto"/>
          <w:sz w:val="24"/>
          <w:szCs w:val="24"/>
          <w:highlight w:val="none"/>
        </w:rPr>
        <w:t>导致乙方遭受的直接损失，乙方可向甲方申请赔偿，赔偿金额由双方协商一致；</w:t>
      </w:r>
      <w:r>
        <w:rPr>
          <w:rFonts w:hint="eastAsia" w:ascii="宋体" w:hAnsi="宋体" w:eastAsia="宋体" w:cs="Times New Roman"/>
          <w:color w:val="auto"/>
          <w:sz w:val="24"/>
          <w:szCs w:val="24"/>
          <w:highlight w:val="none"/>
        </w:rPr>
        <w:t>针对因政策变化等原因不能签订合同或解除合同时，造成乙方合法利益受损的情形，可以给予乙方合理补偿，补偿金额不得超过乙方的直接损失。</w:t>
      </w:r>
    </w:p>
    <w:p w14:paraId="17FDF4B9">
      <w:pPr>
        <w:spacing w:line="360" w:lineRule="auto"/>
        <w:ind w:firstLine="437"/>
        <w:outlineLvl w:val="2"/>
        <w:rPr>
          <w:rFonts w:ascii="宋体" w:hAnsi="宋体" w:eastAsia="宋体" w:cs="Times New Roman"/>
          <w:b/>
          <w:bCs/>
          <w:color w:val="auto"/>
          <w:sz w:val="24"/>
          <w:szCs w:val="24"/>
          <w:highlight w:val="none"/>
          <w:lang w:val="zh-CN"/>
        </w:rPr>
      </w:pPr>
      <w:bookmarkStart w:id="84" w:name="_Toc15583"/>
      <w:bookmarkStart w:id="85" w:name="_Toc16021"/>
      <w:bookmarkStart w:id="86" w:name="_Toc28375"/>
      <w:r>
        <w:rPr>
          <w:rFonts w:hint="eastAsia" w:ascii="宋体" w:hAnsi="宋体" w:eastAsia="宋体" w:cs="Times New Roman"/>
          <w:b/>
          <w:bCs/>
          <w:color w:val="auto"/>
          <w:sz w:val="24"/>
          <w:szCs w:val="24"/>
          <w:highlight w:val="none"/>
          <w:lang w:val="zh-CN"/>
        </w:rPr>
        <w:t>1.7</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合同</w:t>
      </w:r>
      <w:r>
        <w:rPr>
          <w:rFonts w:ascii="宋体" w:hAnsi="宋体" w:eastAsia="宋体" w:cs="Times New Roman"/>
          <w:b/>
          <w:bCs/>
          <w:color w:val="auto"/>
          <w:sz w:val="24"/>
          <w:szCs w:val="24"/>
          <w:highlight w:val="none"/>
          <w:lang w:val="zh-CN"/>
        </w:rPr>
        <w:t>争议的解决</w:t>
      </w:r>
      <w:bookmarkEnd w:id="84"/>
      <w:bookmarkEnd w:id="85"/>
      <w:bookmarkEnd w:id="86"/>
    </w:p>
    <w:p w14:paraId="03EB8E1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本合</w:t>
      </w:r>
      <w:r>
        <w:rPr>
          <w:rFonts w:ascii="宋体" w:hAnsi="宋体" w:eastAsia="宋体" w:cs="Times New Roman"/>
          <w:color w:val="auto"/>
          <w:sz w:val="24"/>
          <w:szCs w:val="24"/>
          <w:highlight w:val="none"/>
        </w:rPr>
        <w:t>同履行过程中发生的任何争议，双方当事人均可</w:t>
      </w:r>
      <w:r>
        <w:rPr>
          <w:rFonts w:hint="eastAsia" w:ascii="宋体" w:hAnsi="宋体" w:eastAsia="宋体" w:cs="Times New Roman"/>
          <w:color w:val="auto"/>
          <w:sz w:val="24"/>
          <w:szCs w:val="24"/>
          <w:highlight w:val="none"/>
        </w:rPr>
        <w:t>通过和解或者调解解决；不愿和解、调解或者和解、调解不成的，可以选择下列第</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1</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种方式解决：</w:t>
      </w:r>
    </w:p>
    <w:p w14:paraId="3073215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1.7.1将争议提交</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滁州</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仲裁委员会依申请仲裁时其现行有效的仲裁规则裁决；</w:t>
      </w:r>
    </w:p>
    <w:p w14:paraId="5767866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1.7.2向</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采购人所在地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人民法院起诉。</w:t>
      </w:r>
    </w:p>
    <w:p w14:paraId="30DBF312">
      <w:pPr>
        <w:spacing w:line="360" w:lineRule="auto"/>
        <w:ind w:firstLine="437"/>
        <w:outlineLvl w:val="2"/>
        <w:rPr>
          <w:rFonts w:ascii="宋体" w:hAnsi="宋体" w:eastAsia="宋体" w:cs="Times New Roman"/>
          <w:b/>
          <w:bCs/>
          <w:color w:val="auto"/>
          <w:sz w:val="24"/>
          <w:szCs w:val="24"/>
          <w:highlight w:val="none"/>
          <w:lang w:val="zh-CN"/>
        </w:rPr>
      </w:pPr>
      <w:bookmarkStart w:id="87" w:name="_Toc7245"/>
      <w:bookmarkStart w:id="88" w:name="_Toc11173"/>
      <w:bookmarkStart w:id="89" w:name="_Toc15322"/>
      <w:r>
        <w:rPr>
          <w:rFonts w:hint="eastAsia" w:ascii="宋体" w:hAnsi="宋体" w:eastAsia="宋体" w:cs="Times New Roman"/>
          <w:b/>
          <w:bCs/>
          <w:color w:val="auto"/>
          <w:sz w:val="24"/>
          <w:szCs w:val="24"/>
          <w:highlight w:val="none"/>
          <w:lang w:val="zh-CN"/>
        </w:rPr>
        <w:t>1.8</w:t>
      </w:r>
      <w:r>
        <w:rPr>
          <w:rFonts w:ascii="宋体" w:hAnsi="宋体" w:eastAsia="宋体" w:cs="Times New Roman"/>
          <w:b/>
          <w:bCs/>
          <w:color w:val="auto"/>
          <w:sz w:val="24"/>
          <w:szCs w:val="24"/>
          <w:highlight w:val="none"/>
          <w:lang w:val="zh-CN"/>
        </w:rPr>
        <w:t xml:space="preserve"> 合同生效</w:t>
      </w:r>
      <w:bookmarkEnd w:id="87"/>
      <w:bookmarkEnd w:id="88"/>
      <w:bookmarkEnd w:id="89"/>
    </w:p>
    <w:p w14:paraId="4B4DADA1">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本合同自</w:t>
      </w:r>
      <w:r>
        <w:rPr>
          <w:rFonts w:hint="eastAsia" w:ascii="宋体" w:hAnsi="宋体" w:eastAsia="宋体" w:cs="Times New Roman"/>
          <w:color w:val="auto"/>
          <w:sz w:val="24"/>
          <w:szCs w:val="24"/>
          <w:highlight w:val="none"/>
        </w:rPr>
        <w:t>双方当事人盖章时</w:t>
      </w:r>
      <w:r>
        <w:rPr>
          <w:rFonts w:ascii="宋体" w:hAnsi="宋体" w:eastAsia="宋体" w:cs="Times New Roman"/>
          <w:color w:val="auto"/>
          <w:sz w:val="24"/>
          <w:szCs w:val="24"/>
          <w:highlight w:val="none"/>
        </w:rPr>
        <w:t>生效。</w:t>
      </w:r>
    </w:p>
    <w:p w14:paraId="4C07C2EF">
      <w:pPr>
        <w:autoSpaceDE w:val="0"/>
        <w:autoSpaceDN w:val="0"/>
        <w:adjustRightInd w:val="0"/>
        <w:spacing w:line="560" w:lineRule="exact"/>
        <w:rPr>
          <w:rFonts w:ascii="宋体" w:hAnsi="宋体" w:eastAsia="宋体" w:cs="Times New Roman"/>
          <w:color w:val="auto"/>
          <w:sz w:val="24"/>
          <w:szCs w:val="24"/>
          <w:highlight w:val="none"/>
          <w:lang w:val="zh-CN"/>
        </w:rPr>
      </w:pPr>
    </w:p>
    <w:p w14:paraId="2B3B9A70">
      <w:pPr>
        <w:autoSpaceDE w:val="0"/>
        <w:autoSpaceDN w:val="0"/>
        <w:adjustRightInd w:val="0"/>
        <w:spacing w:line="560" w:lineRule="exact"/>
        <w:rPr>
          <w:rFonts w:ascii="宋体" w:hAnsi="宋体" w:eastAsia="宋体" w:cs="Times New Roman"/>
          <w:color w:val="auto"/>
          <w:sz w:val="24"/>
          <w:szCs w:val="24"/>
          <w:highlight w:val="none"/>
          <w:lang w:val="zh-CN"/>
        </w:rPr>
      </w:pPr>
    </w:p>
    <w:p w14:paraId="35D7F691">
      <w:pPr>
        <w:autoSpaceDE w:val="0"/>
        <w:autoSpaceDN w:val="0"/>
        <w:adjustRightInd w:val="0"/>
        <w:spacing w:line="560" w:lineRule="exact"/>
        <w:rPr>
          <w:rFonts w:ascii="宋体" w:hAnsi="宋体" w:eastAsia="宋体" w:cs="Times New Roman"/>
          <w:color w:val="auto"/>
          <w:sz w:val="24"/>
          <w:szCs w:val="24"/>
          <w:highlight w:val="none"/>
          <w:lang w:val="zh-CN"/>
        </w:rPr>
      </w:pPr>
    </w:p>
    <w:p w14:paraId="198FF2F5">
      <w:pPr>
        <w:autoSpaceDE w:val="0"/>
        <w:autoSpaceDN w:val="0"/>
        <w:adjustRightInd w:val="0"/>
        <w:spacing w:line="560" w:lineRule="exact"/>
        <w:rPr>
          <w:rFonts w:ascii="宋体" w:hAnsi="宋体" w:eastAsia="宋体" w:cs="Times New Roman"/>
          <w:bCs/>
          <w:color w:val="auto"/>
          <w:sz w:val="24"/>
          <w:szCs w:val="24"/>
          <w:highlight w:val="none"/>
          <w:lang w:val="zh-CN"/>
        </w:rPr>
      </w:pPr>
      <w:r>
        <w:rPr>
          <w:rFonts w:hint="eastAsia" w:ascii="宋体" w:hAnsi="宋体" w:eastAsia="宋体" w:cs="Times New Roman"/>
          <w:bCs/>
          <w:color w:val="auto"/>
          <w:sz w:val="24"/>
          <w:szCs w:val="24"/>
          <w:highlight w:val="none"/>
          <w:lang w:val="zh-CN"/>
        </w:rPr>
        <w:t xml:space="preserve">甲 </w:t>
      </w:r>
      <w:r>
        <w:rPr>
          <w:rFonts w:ascii="宋体" w:hAnsi="宋体" w:eastAsia="宋体" w:cs="Times New Roman"/>
          <w:bCs/>
          <w:color w:val="auto"/>
          <w:sz w:val="24"/>
          <w:szCs w:val="24"/>
          <w:highlight w:val="none"/>
          <w:lang w:val="zh-CN"/>
        </w:rPr>
        <w:t xml:space="preserve">   </w:t>
      </w:r>
      <w:r>
        <w:rPr>
          <w:rFonts w:hint="eastAsia" w:ascii="宋体" w:hAnsi="宋体" w:eastAsia="宋体" w:cs="Times New Roman"/>
          <w:bCs/>
          <w:color w:val="auto"/>
          <w:sz w:val="24"/>
          <w:szCs w:val="24"/>
          <w:highlight w:val="none"/>
          <w:lang w:val="zh-CN"/>
        </w:rPr>
        <w:t>方：</w:t>
      </w:r>
      <w:r>
        <w:rPr>
          <w:rFonts w:hint="eastAsia" w:ascii="宋体" w:hAnsi="宋体" w:eastAsia="宋体" w:cs="Times New Roman"/>
          <w:bCs/>
          <w:color w:val="auto"/>
          <w:sz w:val="24"/>
          <w:szCs w:val="24"/>
          <w:highlight w:val="none"/>
          <w:u w:val="single"/>
          <w:lang w:val="zh-CN"/>
        </w:rPr>
        <w:t xml:space="preserve">    （单位盖章）     </w:t>
      </w:r>
      <w:r>
        <w:rPr>
          <w:rFonts w:hint="eastAsia" w:ascii="宋体" w:hAnsi="宋体" w:eastAsia="宋体" w:cs="Times New Roman"/>
          <w:bCs/>
          <w:color w:val="auto"/>
          <w:sz w:val="24"/>
          <w:szCs w:val="24"/>
          <w:highlight w:val="none"/>
          <w:lang w:val="zh-CN"/>
        </w:rPr>
        <w:t xml:space="preserve">          乙方：</w:t>
      </w:r>
      <w:r>
        <w:rPr>
          <w:rFonts w:hint="eastAsia" w:ascii="宋体" w:hAnsi="宋体" w:eastAsia="宋体" w:cs="Times New Roman"/>
          <w:bCs/>
          <w:color w:val="auto"/>
          <w:sz w:val="24"/>
          <w:szCs w:val="24"/>
          <w:highlight w:val="none"/>
          <w:u w:val="single"/>
          <w:lang w:val="zh-CN"/>
        </w:rPr>
        <w:t xml:space="preserve">    （单位盖章）     </w:t>
      </w:r>
    </w:p>
    <w:p w14:paraId="6CE2586B">
      <w:pPr>
        <w:autoSpaceDE w:val="0"/>
        <w:autoSpaceDN w:val="0"/>
        <w:adjustRightInd w:val="0"/>
        <w:spacing w:line="560" w:lineRule="exact"/>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 xml:space="preserve">法定代表人                             </w:t>
      </w:r>
      <w:r>
        <w:rPr>
          <w:rFonts w:ascii="宋体" w:hAnsi="宋体" w:eastAsia="宋体" w:cs="Times New Roman"/>
          <w:color w:val="auto"/>
          <w:sz w:val="24"/>
          <w:szCs w:val="24"/>
          <w:highlight w:val="none"/>
          <w:lang w:val="zh-CN"/>
        </w:rPr>
        <w:t xml:space="preserve">  </w:t>
      </w:r>
      <w:r>
        <w:rPr>
          <w:rFonts w:hint="eastAsia" w:ascii="宋体" w:hAnsi="宋体" w:eastAsia="宋体" w:cs="Times New Roman"/>
          <w:color w:val="auto"/>
          <w:sz w:val="24"/>
          <w:szCs w:val="24"/>
          <w:highlight w:val="none"/>
          <w:lang w:val="zh-CN"/>
        </w:rPr>
        <w:t>法定代表人</w:t>
      </w:r>
    </w:p>
    <w:p w14:paraId="63F5F532">
      <w:pPr>
        <w:autoSpaceDE w:val="0"/>
        <w:autoSpaceDN w:val="0"/>
        <w:adjustRightInd w:val="0"/>
        <w:spacing w:line="560" w:lineRule="exact"/>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或授权代表（签字）：                      或授权代表（签字）：</w:t>
      </w:r>
    </w:p>
    <w:p w14:paraId="102B7E80">
      <w:pPr>
        <w:widowControl/>
        <w:spacing w:line="560" w:lineRule="exact"/>
        <w:jc w:val="left"/>
        <w:rPr>
          <w:rFonts w:ascii="宋体" w:hAnsi="宋体" w:eastAsia="宋体" w:cs="Times New Roman"/>
          <w:bCs/>
          <w:color w:val="auto"/>
          <w:sz w:val="24"/>
          <w:szCs w:val="24"/>
          <w:highlight w:val="none"/>
        </w:rPr>
      </w:pPr>
      <w:bookmarkStart w:id="90" w:name="_Toc331685783"/>
      <w:r>
        <w:rPr>
          <w:rFonts w:hint="eastAsia" w:ascii="宋体" w:hAnsi="宋体" w:eastAsia="宋体" w:cs="Times New Roman"/>
          <w:bCs/>
          <w:color w:val="auto"/>
          <w:sz w:val="24"/>
          <w:szCs w:val="24"/>
          <w:highlight w:val="none"/>
        </w:rPr>
        <w:t>时间：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月</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日               时间：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月</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日</w:t>
      </w:r>
    </w:p>
    <w:p w14:paraId="58E203BE">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w:t>
      </w:r>
      <w:bookmarkStart w:id="91" w:name="_Hlk110099149"/>
      <w:r>
        <w:rPr>
          <w:rFonts w:hint="eastAsia" w:ascii="宋体" w:hAnsi="宋体" w:eastAsia="宋体"/>
          <w:color w:val="auto"/>
          <w:sz w:val="24"/>
          <w:szCs w:val="24"/>
          <w:highlight w:val="none"/>
        </w:rPr>
        <w:t>乙方账户信息</w:t>
      </w:r>
    </w:p>
    <w:p w14:paraId="35DABEC9">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户名：</w:t>
      </w:r>
      <w:r>
        <w:rPr>
          <w:rFonts w:hint="eastAsia" w:ascii="宋体" w:hAnsi="宋体" w:eastAsia="宋体"/>
          <w:color w:val="auto"/>
          <w:sz w:val="24"/>
          <w:szCs w:val="24"/>
          <w:highlight w:val="none"/>
          <w:u w:val="single"/>
        </w:rPr>
        <w:t xml:space="preserve">            </w:t>
      </w:r>
    </w:p>
    <w:p w14:paraId="10C84FB4">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账号：</w:t>
      </w:r>
      <w:r>
        <w:rPr>
          <w:rFonts w:hint="eastAsia" w:ascii="宋体" w:hAnsi="宋体" w:eastAsia="宋体"/>
          <w:color w:val="auto"/>
          <w:sz w:val="24"/>
          <w:szCs w:val="24"/>
          <w:highlight w:val="none"/>
          <w:u w:val="single"/>
        </w:rPr>
        <w:t xml:space="preserve">            </w:t>
      </w:r>
    </w:p>
    <w:p w14:paraId="354CCFDA">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开户银行：</w:t>
      </w:r>
      <w:r>
        <w:rPr>
          <w:rFonts w:hint="eastAsia" w:ascii="宋体" w:hAnsi="宋体" w:eastAsia="宋体"/>
          <w:color w:val="auto"/>
          <w:sz w:val="24"/>
          <w:szCs w:val="24"/>
          <w:highlight w:val="none"/>
          <w:u w:val="single"/>
        </w:rPr>
        <w:t xml:space="preserve">        </w:t>
      </w:r>
    </w:p>
    <w:bookmarkEnd w:id="91"/>
    <w:p w14:paraId="20EB0435">
      <w:pPr>
        <w:widowControl/>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br w:type="page"/>
      </w:r>
    </w:p>
    <w:p w14:paraId="09D08C77">
      <w:pPr>
        <w:spacing w:line="360" w:lineRule="auto"/>
        <w:jc w:val="center"/>
        <w:outlineLvl w:val="1"/>
        <w:rPr>
          <w:rFonts w:ascii="宋体" w:hAnsi="宋体" w:eastAsia="宋体"/>
          <w:b/>
          <w:color w:val="auto"/>
          <w:sz w:val="24"/>
          <w:highlight w:val="none"/>
        </w:rPr>
      </w:pPr>
      <w:bookmarkStart w:id="92" w:name="_Toc415"/>
      <w:bookmarkStart w:id="93" w:name="_Toc2377"/>
      <w:r>
        <w:rPr>
          <w:rFonts w:hint="eastAsia" w:ascii="宋体" w:hAnsi="宋体" w:eastAsia="宋体"/>
          <w:b/>
          <w:color w:val="auto"/>
          <w:sz w:val="24"/>
          <w:highlight w:val="none"/>
        </w:rPr>
        <w:t>第二部分</w:t>
      </w:r>
      <w:r>
        <w:rPr>
          <w:rFonts w:ascii="宋体" w:hAnsi="宋体" w:eastAsia="宋体"/>
          <w:b/>
          <w:color w:val="auto"/>
          <w:sz w:val="24"/>
          <w:highlight w:val="none"/>
        </w:rPr>
        <w:t xml:space="preserve"> </w:t>
      </w:r>
      <w:r>
        <w:rPr>
          <w:rFonts w:hint="eastAsia" w:ascii="宋体" w:hAnsi="宋体" w:eastAsia="宋体"/>
          <w:b/>
          <w:color w:val="auto"/>
          <w:sz w:val="24"/>
          <w:highlight w:val="none"/>
        </w:rPr>
        <w:t>合同一般条款</w:t>
      </w:r>
      <w:bookmarkEnd w:id="90"/>
      <w:bookmarkEnd w:id="92"/>
      <w:bookmarkEnd w:id="93"/>
    </w:p>
    <w:p w14:paraId="26749441">
      <w:pPr>
        <w:spacing w:line="360" w:lineRule="auto"/>
        <w:ind w:firstLine="437"/>
        <w:outlineLvl w:val="2"/>
        <w:rPr>
          <w:rFonts w:ascii="宋体" w:hAnsi="宋体" w:eastAsia="宋体" w:cs="Times New Roman"/>
          <w:b/>
          <w:bCs/>
          <w:color w:val="auto"/>
          <w:sz w:val="24"/>
          <w:szCs w:val="24"/>
          <w:highlight w:val="none"/>
          <w:lang w:val="zh-CN"/>
        </w:rPr>
      </w:pPr>
      <w:bookmarkStart w:id="94" w:name="_Ref467379094"/>
      <w:bookmarkStart w:id="95" w:name="_Ref467379101"/>
      <w:bookmarkStart w:id="96" w:name="_Ref467378404"/>
      <w:bookmarkStart w:id="97" w:name="_Toc19614"/>
      <w:bookmarkStart w:id="98" w:name="_Ref467379205"/>
      <w:bookmarkStart w:id="99" w:name="_Toc259093669"/>
      <w:bookmarkStart w:id="100" w:name="_Toc279701240"/>
      <w:bookmarkStart w:id="101" w:name="_Ref467379109"/>
      <w:bookmarkStart w:id="102" w:name="_Toc487900349"/>
      <w:bookmarkStart w:id="103" w:name="_Ref467379195"/>
      <w:bookmarkStart w:id="104" w:name="_Toc16917"/>
      <w:bookmarkStart w:id="105" w:name="_Ref467379214"/>
      <w:bookmarkStart w:id="106" w:name="_Ref467378499"/>
      <w:bookmarkStart w:id="107" w:name="_Ref467378463"/>
      <w:bookmarkStart w:id="108" w:name="_Ref467379225"/>
      <w:bookmarkStart w:id="109" w:name="_Toc28763"/>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 xml:space="preserve"> 定义</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3B26B0C0">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本合同中的下列</w:t>
      </w:r>
      <w:r>
        <w:rPr>
          <w:rFonts w:hint="eastAsia" w:ascii="宋体" w:hAnsi="宋体" w:eastAsia="宋体" w:cs="Times New Roman"/>
          <w:color w:val="auto"/>
          <w:sz w:val="24"/>
          <w:szCs w:val="24"/>
          <w:highlight w:val="none"/>
        </w:rPr>
        <w:t>词</w:t>
      </w:r>
      <w:r>
        <w:rPr>
          <w:rFonts w:ascii="宋体" w:hAnsi="宋体" w:eastAsia="宋体" w:cs="Times New Roman"/>
          <w:color w:val="auto"/>
          <w:sz w:val="24"/>
          <w:szCs w:val="24"/>
          <w:highlight w:val="none"/>
        </w:rPr>
        <w:t>语应</w:t>
      </w:r>
      <w:r>
        <w:rPr>
          <w:rFonts w:hint="eastAsia" w:ascii="宋体" w:hAnsi="宋体" w:eastAsia="宋体" w:cs="Times New Roman"/>
          <w:color w:val="auto"/>
          <w:sz w:val="24"/>
          <w:szCs w:val="24"/>
          <w:highlight w:val="none"/>
        </w:rPr>
        <w:t>按以下内容进行</w:t>
      </w:r>
      <w:r>
        <w:rPr>
          <w:rFonts w:ascii="宋体" w:hAnsi="宋体" w:eastAsia="宋体" w:cs="Times New Roman"/>
          <w:color w:val="auto"/>
          <w:sz w:val="24"/>
          <w:szCs w:val="24"/>
          <w:highlight w:val="none"/>
        </w:rPr>
        <w:t>解释：</w:t>
      </w:r>
    </w:p>
    <w:p w14:paraId="5A708C26">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“合同”系指采购人和中标人签订的载明双方当事人所达成的协议，并包括所有的附件、附录和构成合同的其他文件。</w:t>
      </w:r>
    </w:p>
    <w:p w14:paraId="2FDEDD1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1.2“合同价”系指根据合同约定，中标人在完全履行合同义务后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采购人应支付给中标人的价格。</w:t>
      </w:r>
    </w:p>
    <w:p w14:paraId="3268EDB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1.3“</w:t>
      </w:r>
      <w:r>
        <w:rPr>
          <w:rFonts w:hint="eastAsia" w:ascii="宋体" w:hAnsi="宋体" w:eastAsia="宋体" w:cs="Times New Roman"/>
          <w:color w:val="auto"/>
          <w:sz w:val="24"/>
          <w:szCs w:val="24"/>
          <w:highlight w:val="none"/>
        </w:rPr>
        <w:t>服务</w:t>
      </w:r>
      <w:r>
        <w:rPr>
          <w:rFonts w:ascii="宋体" w:hAnsi="宋体" w:eastAsia="宋体" w:cs="Times New Roman"/>
          <w:color w:val="auto"/>
          <w:sz w:val="24"/>
          <w:szCs w:val="24"/>
          <w:highlight w:val="none"/>
        </w:rPr>
        <w:t>”系指</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根据合同约定应向采购人</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lang w:val="en-US" w:eastAsia="zh-CN"/>
        </w:rPr>
        <w:t>服务</w:t>
      </w:r>
      <w:r>
        <w:rPr>
          <w:rFonts w:hint="eastAsia" w:ascii="宋体" w:hAnsi="宋体" w:eastAsia="宋体" w:cs="Times New Roman"/>
          <w:color w:val="auto"/>
          <w:sz w:val="24"/>
          <w:szCs w:val="24"/>
          <w:highlight w:val="none"/>
        </w:rPr>
        <w:t>，包括采购人自身需要的服务和向社会公众提供的公共服务。</w:t>
      </w:r>
    </w:p>
    <w:p w14:paraId="75AF2E6A">
      <w:pPr>
        <w:spacing w:line="360" w:lineRule="auto"/>
        <w:ind w:firstLine="435"/>
        <w:rPr>
          <w:rFonts w:ascii="宋体" w:hAnsi="宋体" w:eastAsia="宋体" w:cs="Times New Roman"/>
          <w:color w:val="auto"/>
          <w:sz w:val="24"/>
          <w:szCs w:val="24"/>
          <w:highlight w:val="none"/>
        </w:rPr>
      </w:pPr>
      <w:bookmarkStart w:id="110" w:name="_Ref46737884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甲方</w:t>
      </w:r>
      <w:r>
        <w:rPr>
          <w:rFonts w:ascii="宋体" w:hAnsi="宋体" w:eastAsia="宋体" w:cs="Times New Roman"/>
          <w:color w:val="auto"/>
          <w:sz w:val="24"/>
          <w:szCs w:val="24"/>
          <w:highlight w:val="none"/>
        </w:rPr>
        <w:t>”系指与</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签署合同的采购人</w:t>
      </w:r>
      <w:bookmarkEnd w:id="110"/>
      <w:r>
        <w:rPr>
          <w:rFonts w:hint="eastAsia" w:ascii="宋体" w:hAnsi="宋体" w:eastAsia="宋体" w:cs="Times New Roman"/>
          <w:color w:val="auto"/>
          <w:sz w:val="24"/>
          <w:szCs w:val="24"/>
          <w:highlight w:val="none"/>
        </w:rPr>
        <w:t>；采购人委托采购代理机构代表其与乙方签订合同的，采购人的授权委托书作为合同附件。</w:t>
      </w:r>
    </w:p>
    <w:p w14:paraId="2DA07946">
      <w:pPr>
        <w:spacing w:line="360" w:lineRule="auto"/>
        <w:ind w:firstLine="435"/>
        <w:rPr>
          <w:rFonts w:ascii="宋体" w:hAnsi="宋体" w:eastAsia="宋体" w:cs="Times New Roman"/>
          <w:color w:val="auto"/>
          <w:sz w:val="24"/>
          <w:szCs w:val="24"/>
          <w:highlight w:val="none"/>
        </w:rPr>
      </w:pPr>
      <w:bookmarkStart w:id="111" w:name="_Ref46737940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“乙方”系指根据合同约定</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的中标人</w:t>
      </w:r>
      <w:bookmarkEnd w:id="111"/>
      <w:r>
        <w:rPr>
          <w:rFonts w:hint="eastAsia" w:ascii="宋体" w:hAnsi="宋体" w:eastAsia="宋体" w:cs="Times New Roman"/>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498C62E">
      <w:pPr>
        <w:spacing w:line="360" w:lineRule="auto"/>
        <w:ind w:firstLine="435"/>
        <w:rPr>
          <w:rFonts w:ascii="宋体" w:hAnsi="宋体" w:eastAsia="宋体" w:cs="Times New Roman"/>
          <w:color w:val="auto"/>
          <w:sz w:val="24"/>
          <w:szCs w:val="24"/>
          <w:highlight w:val="none"/>
        </w:rPr>
      </w:pPr>
      <w:bookmarkStart w:id="112" w:name="_Ref467379436"/>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6</w:t>
      </w:r>
      <w:r>
        <w:rPr>
          <w:rFonts w:ascii="宋体" w:hAnsi="宋体" w:eastAsia="宋体" w:cs="Times New Roman"/>
          <w:color w:val="auto"/>
          <w:sz w:val="24"/>
          <w:szCs w:val="24"/>
          <w:highlight w:val="none"/>
        </w:rPr>
        <w:t>“现场”系指合同约定</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的地点。</w:t>
      </w:r>
      <w:bookmarkEnd w:id="112"/>
    </w:p>
    <w:p w14:paraId="2F187356">
      <w:pPr>
        <w:spacing w:line="360" w:lineRule="auto"/>
        <w:ind w:firstLine="437"/>
        <w:outlineLvl w:val="2"/>
        <w:rPr>
          <w:rFonts w:ascii="宋体" w:hAnsi="宋体" w:eastAsia="宋体" w:cs="Times New Roman"/>
          <w:b/>
          <w:bCs/>
          <w:color w:val="auto"/>
          <w:sz w:val="24"/>
          <w:szCs w:val="24"/>
          <w:highlight w:val="none"/>
          <w:lang w:val="zh-CN"/>
        </w:rPr>
      </w:pPr>
      <w:bookmarkStart w:id="113" w:name="_Toc27635"/>
      <w:bookmarkStart w:id="114" w:name="_Toc32504"/>
      <w:bookmarkStart w:id="115" w:name="_Toc13336"/>
      <w:bookmarkStart w:id="116" w:name="_Toc279701241"/>
      <w:bookmarkStart w:id="117" w:name="_Toc259093670"/>
      <w:bookmarkStart w:id="118" w:name="_Toc487900350"/>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2 技术规范</w:t>
      </w:r>
      <w:bookmarkEnd w:id="113"/>
      <w:bookmarkEnd w:id="114"/>
      <w:bookmarkEnd w:id="115"/>
      <w:bookmarkEnd w:id="116"/>
      <w:bookmarkEnd w:id="117"/>
      <w:bookmarkEnd w:id="118"/>
    </w:p>
    <w:p w14:paraId="0B635A13">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货物所应遵守的技术规范应与采购文件规定的技术规范和技术规范附件(如果有的话)及其技术规范偏差表(如果被甲方接受的话)相一致</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如果采购文件中没有技术规范的相应说明，那么应以国家有关部门最新颁布的相应标准</w:t>
      </w:r>
      <w:r>
        <w:rPr>
          <w:rFonts w:hint="eastAsia" w:ascii="宋体" w:hAnsi="宋体" w:eastAsia="宋体" w:cs="Times New Roman"/>
          <w:color w:val="auto"/>
          <w:sz w:val="24"/>
          <w:szCs w:val="24"/>
          <w:highlight w:val="none"/>
        </w:rPr>
        <w:t>和</w:t>
      </w:r>
      <w:r>
        <w:rPr>
          <w:rFonts w:ascii="宋体" w:hAnsi="宋体" w:eastAsia="宋体" w:cs="Times New Roman"/>
          <w:color w:val="auto"/>
          <w:sz w:val="24"/>
          <w:szCs w:val="24"/>
          <w:highlight w:val="none"/>
        </w:rPr>
        <w:t>规范为准。</w:t>
      </w:r>
    </w:p>
    <w:p w14:paraId="62A3E5A5">
      <w:pPr>
        <w:spacing w:line="360" w:lineRule="auto"/>
        <w:ind w:firstLine="437"/>
        <w:outlineLvl w:val="2"/>
        <w:rPr>
          <w:rFonts w:ascii="宋体" w:hAnsi="宋体" w:eastAsia="宋体" w:cs="Times New Roman"/>
          <w:b/>
          <w:bCs/>
          <w:color w:val="auto"/>
          <w:sz w:val="24"/>
          <w:szCs w:val="24"/>
          <w:highlight w:val="none"/>
          <w:lang w:val="zh-CN"/>
        </w:rPr>
      </w:pPr>
      <w:bookmarkStart w:id="119" w:name="_Toc279701242"/>
      <w:bookmarkStart w:id="120" w:name="_Toc9829"/>
      <w:bookmarkStart w:id="121" w:name="_Toc27853"/>
      <w:bookmarkStart w:id="122" w:name="_Toc31634"/>
      <w:bookmarkStart w:id="123" w:name="_Toc259093671"/>
      <w:bookmarkStart w:id="124" w:name="_Toc487900351"/>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3 知识产权</w:t>
      </w:r>
      <w:bookmarkEnd w:id="119"/>
      <w:bookmarkEnd w:id="120"/>
      <w:bookmarkEnd w:id="121"/>
      <w:bookmarkEnd w:id="122"/>
      <w:bookmarkEnd w:id="123"/>
      <w:bookmarkEnd w:id="124"/>
    </w:p>
    <w:p w14:paraId="2873918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2.3.1乙</w:t>
      </w:r>
      <w:r>
        <w:rPr>
          <w:rFonts w:ascii="宋体" w:hAnsi="宋体" w:eastAsia="宋体" w:cs="Times New Roman"/>
          <w:color w:val="auto"/>
          <w:sz w:val="24"/>
          <w:szCs w:val="24"/>
          <w:highlight w:val="none"/>
        </w:rPr>
        <w:t>方应保证</w:t>
      </w:r>
      <w:r>
        <w:rPr>
          <w:rFonts w:hint="eastAsia" w:ascii="宋体" w:hAnsi="宋体" w:eastAsia="宋体" w:cs="Times New Roman"/>
          <w:color w:val="auto"/>
          <w:sz w:val="24"/>
          <w:szCs w:val="24"/>
          <w:highlight w:val="none"/>
        </w:rPr>
        <w:t>其提供的服务</w:t>
      </w:r>
      <w:r>
        <w:rPr>
          <w:rFonts w:ascii="宋体" w:hAnsi="宋体" w:eastAsia="宋体" w:cs="Times New Roman"/>
          <w:color w:val="auto"/>
          <w:sz w:val="24"/>
          <w:szCs w:val="24"/>
          <w:highlight w:val="none"/>
        </w:rPr>
        <w:t>不受任何第三方提出的侵犯其著作权、商标权、专利权等知识产权方面的起诉</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如果任何第三方提出侵权</w:t>
      </w:r>
      <w:r>
        <w:rPr>
          <w:rFonts w:hint="eastAsia" w:ascii="宋体" w:hAnsi="宋体" w:eastAsia="宋体" w:cs="Times New Roman"/>
          <w:color w:val="auto"/>
          <w:sz w:val="24"/>
          <w:szCs w:val="24"/>
          <w:highlight w:val="none"/>
        </w:rPr>
        <w:t>指控</w:t>
      </w:r>
      <w:r>
        <w:rPr>
          <w:rFonts w:ascii="宋体" w:hAnsi="宋体" w:eastAsia="宋体" w:cs="Times New Roman"/>
          <w:color w:val="auto"/>
          <w:sz w:val="24"/>
          <w:szCs w:val="24"/>
          <w:highlight w:val="none"/>
        </w:rPr>
        <w:t>，那么乙方须与该第三方交涉并承担由此发生的一切责任、费用和赔偿</w:t>
      </w:r>
      <w:r>
        <w:rPr>
          <w:rFonts w:hint="eastAsia" w:ascii="宋体" w:hAnsi="宋体" w:eastAsia="宋体" w:cs="Times New Roman"/>
          <w:color w:val="auto"/>
          <w:sz w:val="24"/>
          <w:szCs w:val="24"/>
          <w:highlight w:val="none"/>
        </w:rPr>
        <w:t>；</w:t>
      </w:r>
    </w:p>
    <w:p w14:paraId="31085DA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2.3.2具有知识产权的计算机软件等货物的知识产权归属，</w:t>
      </w: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240DA3E9">
      <w:pPr>
        <w:spacing w:line="360" w:lineRule="auto"/>
        <w:ind w:firstLine="437"/>
        <w:outlineLvl w:val="2"/>
        <w:rPr>
          <w:rFonts w:ascii="宋体" w:hAnsi="宋体" w:eastAsia="宋体" w:cs="Times New Roman"/>
          <w:b/>
          <w:bCs/>
          <w:color w:val="auto"/>
          <w:sz w:val="24"/>
          <w:szCs w:val="24"/>
          <w:highlight w:val="none"/>
          <w:lang w:val="zh-CN"/>
        </w:rPr>
      </w:pPr>
      <w:bookmarkStart w:id="125" w:name="_Toc487900354"/>
      <w:bookmarkStart w:id="126" w:name="_Ref467379536"/>
      <w:bookmarkStart w:id="127" w:name="_Toc259093674"/>
      <w:bookmarkStart w:id="128" w:name="_Toc279701245"/>
      <w:bookmarkStart w:id="129" w:name="_Ref467379527"/>
      <w:bookmarkStart w:id="130" w:name="_Ref467378591"/>
      <w:bookmarkStart w:id="131" w:name="_Ref467379542"/>
      <w:bookmarkStart w:id="132" w:name="_Ref467378541"/>
      <w:bookmarkStart w:id="133" w:name="_Toc19074"/>
      <w:bookmarkStart w:id="134" w:name="_Toc30272"/>
      <w:bookmarkStart w:id="135" w:name="_Toc26182"/>
      <w:r>
        <w:rPr>
          <w:rFonts w:hint="eastAsia" w:ascii="宋体" w:hAnsi="宋体" w:eastAsia="宋体" w:cs="Times New Roman"/>
          <w:b/>
          <w:bCs/>
          <w:color w:val="auto"/>
          <w:sz w:val="24"/>
          <w:szCs w:val="24"/>
          <w:highlight w:val="none"/>
          <w:lang w:val="zh-CN"/>
        </w:rPr>
        <w:t>2.</w:t>
      </w:r>
      <w:bookmarkEnd w:id="125"/>
      <w:bookmarkEnd w:id="126"/>
      <w:bookmarkEnd w:id="127"/>
      <w:bookmarkEnd w:id="128"/>
      <w:bookmarkEnd w:id="129"/>
      <w:bookmarkEnd w:id="130"/>
      <w:bookmarkEnd w:id="131"/>
      <w:bookmarkEnd w:id="132"/>
      <w:r>
        <w:rPr>
          <w:rFonts w:ascii="宋体" w:hAnsi="宋体" w:eastAsia="宋体" w:cs="Times New Roman"/>
          <w:b/>
          <w:bCs/>
          <w:color w:val="auto"/>
          <w:sz w:val="24"/>
          <w:szCs w:val="24"/>
          <w:highlight w:val="none"/>
          <w:lang w:val="zh-CN"/>
        </w:rPr>
        <w:t xml:space="preserve">4 </w:t>
      </w:r>
      <w:r>
        <w:rPr>
          <w:rFonts w:hint="eastAsia" w:ascii="宋体" w:hAnsi="宋体" w:eastAsia="宋体" w:cs="Times New Roman"/>
          <w:b/>
          <w:bCs/>
          <w:color w:val="auto"/>
          <w:sz w:val="24"/>
          <w:szCs w:val="24"/>
          <w:highlight w:val="none"/>
          <w:lang w:val="zh-CN"/>
        </w:rPr>
        <w:t>履约检查和问题反馈</w:t>
      </w:r>
      <w:bookmarkEnd w:id="133"/>
      <w:bookmarkEnd w:id="134"/>
      <w:bookmarkEnd w:id="135"/>
    </w:p>
    <w:p w14:paraId="4CD8A13A">
      <w:pPr>
        <w:spacing w:line="360" w:lineRule="auto"/>
        <w:ind w:firstLine="435"/>
        <w:rPr>
          <w:rFonts w:ascii="宋体" w:hAnsi="宋体" w:eastAsia="宋体" w:cs="Times New Roman"/>
          <w:color w:val="auto"/>
          <w:sz w:val="24"/>
          <w:szCs w:val="24"/>
          <w:highlight w:val="none"/>
        </w:rPr>
      </w:pPr>
      <w:bookmarkStart w:id="136" w:name="_Toc186431854"/>
      <w:bookmarkStart w:id="137" w:name="_Toc279701247"/>
      <w:bookmarkStart w:id="138" w:name="_Ref467379793"/>
      <w:bookmarkStart w:id="139" w:name="_Toc259093676"/>
      <w:bookmarkStart w:id="140" w:name="_Ref467379807"/>
      <w:bookmarkStart w:id="141" w:name="_Toc487900357"/>
      <w:r>
        <w:rPr>
          <w:rFonts w:hint="eastAsia" w:ascii="宋体" w:hAnsi="宋体" w:eastAsia="宋体" w:cs="Times New Roman"/>
          <w:color w:val="auto"/>
          <w:sz w:val="24"/>
          <w:szCs w:val="24"/>
          <w:highlight w:val="none"/>
        </w:rPr>
        <w:t>2.4</w:t>
      </w:r>
      <w:r>
        <w:rPr>
          <w:rFonts w:ascii="宋体" w:hAnsi="宋体" w:eastAsia="宋体" w:cs="Times New Roman"/>
          <w:color w:val="auto"/>
          <w:sz w:val="24"/>
          <w:szCs w:val="24"/>
          <w:highlight w:val="none"/>
        </w:rPr>
        <w:t>.1甲方</w:t>
      </w:r>
      <w:r>
        <w:rPr>
          <w:rFonts w:hint="eastAsia" w:ascii="宋体" w:hAnsi="宋体" w:eastAsia="宋体" w:cs="Times New Roman"/>
          <w:color w:val="auto"/>
          <w:sz w:val="24"/>
          <w:szCs w:val="24"/>
          <w:highlight w:val="none"/>
        </w:rPr>
        <w:t>有权</w:t>
      </w:r>
      <w:r>
        <w:rPr>
          <w:rFonts w:ascii="宋体" w:hAnsi="宋体" w:eastAsia="宋体" w:cs="Times New Roman"/>
          <w:color w:val="auto"/>
          <w:sz w:val="24"/>
          <w:szCs w:val="24"/>
          <w:highlight w:val="none"/>
        </w:rPr>
        <w:t>在其认为必要时</w:t>
      </w:r>
      <w:r>
        <w:rPr>
          <w:rFonts w:hint="eastAsia" w:ascii="宋体" w:hAnsi="宋体" w:eastAsia="宋体" w:cs="Times New Roman"/>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5550B7F4">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.2合同履行期间，甲方有权将履行过程中出现的问题反馈给乙方，双方当事人应以书面形式约定需要完善和改进的内容</w:t>
      </w:r>
      <w:bookmarkEnd w:id="136"/>
      <w:bookmarkStart w:id="142" w:name="_Toc186431855"/>
      <w:r>
        <w:rPr>
          <w:rFonts w:hint="eastAsia" w:ascii="宋体" w:hAnsi="宋体" w:eastAsia="宋体" w:cs="Times New Roman"/>
          <w:color w:val="auto"/>
          <w:sz w:val="24"/>
          <w:szCs w:val="24"/>
          <w:highlight w:val="none"/>
        </w:rPr>
        <w:t>。</w:t>
      </w:r>
    </w:p>
    <w:bookmarkEnd w:id="142"/>
    <w:p w14:paraId="39FEFA3B">
      <w:pPr>
        <w:spacing w:line="360" w:lineRule="auto"/>
        <w:ind w:firstLine="437"/>
        <w:outlineLvl w:val="2"/>
        <w:rPr>
          <w:rFonts w:ascii="宋体" w:hAnsi="宋体" w:eastAsia="宋体" w:cs="Times New Roman"/>
          <w:b/>
          <w:bCs/>
          <w:color w:val="auto"/>
          <w:sz w:val="24"/>
          <w:szCs w:val="24"/>
          <w:highlight w:val="none"/>
          <w:lang w:val="zh-CN"/>
        </w:rPr>
      </w:pPr>
      <w:bookmarkStart w:id="143" w:name="_Toc7836"/>
      <w:bookmarkStart w:id="144" w:name="_Toc28451"/>
      <w:bookmarkStart w:id="145" w:name="_Toc19219"/>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5</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结算方式和付款条件</w:t>
      </w:r>
      <w:bookmarkEnd w:id="137"/>
      <w:bookmarkEnd w:id="138"/>
      <w:bookmarkEnd w:id="139"/>
      <w:bookmarkEnd w:id="140"/>
      <w:bookmarkEnd w:id="141"/>
      <w:bookmarkEnd w:id="143"/>
      <w:bookmarkEnd w:id="144"/>
      <w:bookmarkEnd w:id="145"/>
    </w:p>
    <w:p w14:paraId="435CF0F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51FD1153">
      <w:pPr>
        <w:spacing w:line="360" w:lineRule="auto"/>
        <w:ind w:firstLine="437"/>
        <w:outlineLvl w:val="2"/>
        <w:rPr>
          <w:rFonts w:ascii="宋体" w:hAnsi="宋体" w:eastAsia="宋体" w:cs="Times New Roman"/>
          <w:b/>
          <w:bCs/>
          <w:color w:val="auto"/>
          <w:sz w:val="24"/>
          <w:szCs w:val="24"/>
          <w:highlight w:val="none"/>
          <w:lang w:val="zh-CN"/>
        </w:rPr>
      </w:pPr>
      <w:bookmarkStart w:id="146" w:name="_Toc487900358"/>
      <w:bookmarkStart w:id="147" w:name="_Toc259093677"/>
      <w:bookmarkStart w:id="148" w:name="_Toc279701248"/>
      <w:bookmarkStart w:id="149" w:name="_Ref467379923"/>
      <w:bookmarkStart w:id="150" w:name="_Ref467379852"/>
      <w:bookmarkStart w:id="151" w:name="_Ref467379863"/>
      <w:bookmarkStart w:id="152" w:name="_Toc3225"/>
      <w:bookmarkStart w:id="153" w:name="_Toc774"/>
      <w:bookmarkStart w:id="154" w:name="_Toc16110"/>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6</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技术资料</w:t>
      </w:r>
      <w:bookmarkEnd w:id="146"/>
      <w:bookmarkEnd w:id="147"/>
      <w:bookmarkEnd w:id="148"/>
      <w:bookmarkEnd w:id="149"/>
      <w:bookmarkEnd w:id="150"/>
      <w:bookmarkEnd w:id="151"/>
      <w:r>
        <w:rPr>
          <w:rFonts w:ascii="宋体" w:hAnsi="宋体" w:eastAsia="宋体" w:cs="Times New Roman"/>
          <w:b/>
          <w:bCs/>
          <w:color w:val="auto"/>
          <w:sz w:val="24"/>
          <w:szCs w:val="24"/>
          <w:highlight w:val="none"/>
          <w:lang w:val="zh-CN"/>
        </w:rPr>
        <w:t>和保密义务</w:t>
      </w:r>
      <w:bookmarkEnd w:id="152"/>
      <w:bookmarkEnd w:id="153"/>
      <w:bookmarkEnd w:id="154"/>
    </w:p>
    <w:p w14:paraId="59DD788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6.1</w:t>
      </w:r>
      <w:r>
        <w:rPr>
          <w:rFonts w:hint="eastAsia" w:ascii="宋体" w:hAnsi="宋体" w:eastAsia="宋体" w:cs="Times New Roman"/>
          <w:color w:val="auto"/>
          <w:sz w:val="24"/>
          <w:szCs w:val="24"/>
          <w:highlight w:val="none"/>
        </w:rPr>
        <w:t>乙方有权依据合同约定和项目需要，向甲方了解有关情况，调阅有关资料等，甲方应予积极配合；</w:t>
      </w:r>
    </w:p>
    <w:p w14:paraId="395B9E9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w:t>
      </w:r>
      <w:r>
        <w:rPr>
          <w:rFonts w:hint="eastAsia" w:ascii="宋体" w:hAnsi="宋体" w:eastAsia="宋体" w:cs="Times New Roman"/>
          <w:color w:val="auto"/>
          <w:sz w:val="24"/>
          <w:szCs w:val="24"/>
          <w:highlight w:val="none"/>
        </w:rPr>
        <w:t>.2乙方有义务妥善保管和保护由甲方提供的前款信息和资料等；</w:t>
      </w:r>
    </w:p>
    <w:p w14:paraId="3CF7977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w:t>
      </w:r>
      <w:r>
        <w:rPr>
          <w:rFonts w:hint="eastAsia" w:ascii="宋体" w:hAnsi="宋体" w:eastAsia="宋体" w:cs="Times New Roman"/>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cs="Times New Roman"/>
          <w:color w:val="auto"/>
          <w:sz w:val="24"/>
          <w:szCs w:val="24"/>
          <w:highlight w:val="none"/>
        </w:rPr>
        <w:t>技术情报</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技术资料</w:t>
      </w:r>
      <w:r>
        <w:rPr>
          <w:rFonts w:hint="eastAsia" w:ascii="宋体" w:hAnsi="宋体" w:eastAsia="宋体" w:cs="Times New Roman"/>
          <w:color w:val="auto"/>
          <w:sz w:val="24"/>
          <w:szCs w:val="24"/>
          <w:highlight w:val="none"/>
        </w:rPr>
        <w:t>、商业秘密和商业信息等，并采取一切合理和必要措施和方式防止任何第三方接触到对方当事人的上述保密信息和资料。</w:t>
      </w:r>
    </w:p>
    <w:p w14:paraId="75A430A0">
      <w:pPr>
        <w:spacing w:line="360" w:lineRule="auto"/>
        <w:ind w:firstLine="437"/>
        <w:outlineLvl w:val="2"/>
        <w:rPr>
          <w:rFonts w:ascii="宋体" w:hAnsi="宋体" w:eastAsia="宋体" w:cs="Times New Roman"/>
          <w:b/>
          <w:bCs/>
          <w:color w:val="auto"/>
          <w:sz w:val="24"/>
          <w:szCs w:val="24"/>
          <w:highlight w:val="none"/>
          <w:lang w:val="zh-CN"/>
        </w:rPr>
      </w:pPr>
      <w:bookmarkStart w:id="155" w:name="_Toc7860"/>
      <w:r>
        <w:rPr>
          <w:rFonts w:ascii="宋体" w:hAnsi="宋体" w:eastAsia="宋体" w:cs="Times New Roman"/>
          <w:b/>
          <w:bCs/>
          <w:color w:val="auto"/>
          <w:sz w:val="24"/>
          <w:szCs w:val="24"/>
          <w:highlight w:val="none"/>
          <w:lang w:val="zh-CN"/>
        </w:rPr>
        <w:t>2.7 质量保证</w:t>
      </w:r>
      <w:bookmarkEnd w:id="155"/>
    </w:p>
    <w:p w14:paraId="25D2F47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rPr>
        <w:t>.1乙方应建立和完善履行合同的内部质量保证体系，并提供相关内部规章制度给甲方，以便甲方进行监督检查；</w:t>
      </w:r>
    </w:p>
    <w:p w14:paraId="4F7F3250">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rPr>
        <w:t>.2乙方应保证履行合同的人员数量和素质、软件和硬件设备的配置、场地、环境和设施等满足全面履行合同的要求，并应接受甲方的监督检查。</w:t>
      </w:r>
    </w:p>
    <w:p w14:paraId="07459290">
      <w:pPr>
        <w:spacing w:line="360" w:lineRule="auto"/>
        <w:ind w:firstLine="437"/>
        <w:outlineLvl w:val="2"/>
        <w:rPr>
          <w:rFonts w:ascii="宋体" w:hAnsi="宋体" w:eastAsia="宋体" w:cs="Times New Roman"/>
          <w:b/>
          <w:color w:val="auto"/>
          <w:sz w:val="24"/>
          <w:szCs w:val="24"/>
          <w:highlight w:val="none"/>
        </w:rPr>
      </w:pPr>
      <w:bookmarkStart w:id="156" w:name="_Toc22267"/>
      <w:r>
        <w:rPr>
          <w:rFonts w:hint="eastAsia" w:ascii="宋体" w:hAnsi="宋体" w:eastAsia="宋体" w:cs="Times New Roman"/>
          <w:b/>
          <w:color w:val="auto"/>
          <w:sz w:val="24"/>
          <w:szCs w:val="24"/>
          <w:highlight w:val="none"/>
        </w:rPr>
        <w:t>2.8 延迟履行</w:t>
      </w:r>
      <w:bookmarkEnd w:id="156"/>
    </w:p>
    <w:p w14:paraId="546E6C12">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在合同履行过程中，如果乙方遇到不能按时</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的情况，应及时以书面形式将不能按时</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的理由、预期延误时间通知甲方</w:t>
      </w:r>
      <w:r>
        <w:rPr>
          <w:rFonts w:hint="eastAsia" w:ascii="宋体" w:hAnsi="宋体" w:eastAsia="宋体" w:cs="Times New Roman"/>
          <w:color w:val="auto"/>
          <w:sz w:val="24"/>
          <w:szCs w:val="24"/>
          <w:highlight w:val="none"/>
        </w:rPr>
        <w:t>；甲</w:t>
      </w:r>
      <w:r>
        <w:rPr>
          <w:rFonts w:ascii="宋体" w:hAnsi="宋体" w:eastAsia="宋体" w:cs="Times New Roman"/>
          <w:color w:val="auto"/>
          <w:sz w:val="24"/>
          <w:szCs w:val="24"/>
          <w:highlight w:val="none"/>
        </w:rPr>
        <w:t>方收到乙方通知后，认为其理由正当的，可以书面形式酌情同意乙方可以延长</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的具体时间。</w:t>
      </w:r>
    </w:p>
    <w:p w14:paraId="5073A62A">
      <w:pPr>
        <w:spacing w:line="360" w:lineRule="auto"/>
        <w:ind w:firstLine="437"/>
        <w:outlineLvl w:val="2"/>
        <w:rPr>
          <w:rFonts w:ascii="宋体" w:hAnsi="宋体" w:eastAsia="宋体" w:cs="Times New Roman"/>
          <w:b/>
          <w:bCs/>
          <w:color w:val="auto"/>
          <w:sz w:val="24"/>
          <w:szCs w:val="24"/>
          <w:highlight w:val="none"/>
          <w:lang w:val="zh-CN"/>
        </w:rPr>
      </w:pPr>
      <w:bookmarkStart w:id="157" w:name="_Toc7502"/>
      <w:bookmarkStart w:id="158" w:name="_Toc487900364"/>
      <w:bookmarkStart w:id="159" w:name="_Ref467378121"/>
      <w:bookmarkStart w:id="160" w:name="_Toc259093683"/>
      <w:bookmarkStart w:id="161" w:name="_Toc279701254"/>
      <w:r>
        <w:rPr>
          <w:rFonts w:ascii="宋体" w:hAnsi="宋体" w:eastAsia="宋体" w:cs="Times New Roman"/>
          <w:b/>
          <w:bCs/>
          <w:color w:val="auto"/>
          <w:sz w:val="24"/>
          <w:szCs w:val="24"/>
          <w:highlight w:val="none"/>
          <w:lang w:val="zh-CN"/>
        </w:rPr>
        <w:t>2.9 合同变更</w:t>
      </w:r>
      <w:bookmarkEnd w:id="157"/>
    </w:p>
    <w:p w14:paraId="4E4442B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9</w:t>
      </w:r>
      <w:r>
        <w:rPr>
          <w:rFonts w:hint="eastAsia" w:ascii="宋体" w:hAnsi="宋体" w:eastAsia="宋体" w:cs="Times New Roman"/>
          <w:color w:val="auto"/>
          <w:sz w:val="24"/>
          <w:szCs w:val="24"/>
          <w:highlight w:val="none"/>
        </w:rPr>
        <w:t>.1双方当事人协商一致，可以签订书面补充合同的形式变更合同，但不得违背采购文件确定的事项；</w:t>
      </w:r>
    </w:p>
    <w:p w14:paraId="2D5EA30F">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9</w:t>
      </w:r>
      <w:r>
        <w:rPr>
          <w:rFonts w:hint="eastAsia" w:ascii="宋体" w:hAnsi="宋体" w:eastAsia="宋体" w:cs="Times New Roman"/>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62" w:name="_Toc487900369"/>
      <w:bookmarkStart w:id="163" w:name="_Toc279701259"/>
      <w:bookmarkStart w:id="164" w:name="_Toc259093688"/>
    </w:p>
    <w:p w14:paraId="5E5B0670">
      <w:pPr>
        <w:spacing w:line="360" w:lineRule="auto"/>
        <w:ind w:firstLine="437"/>
        <w:outlineLvl w:val="2"/>
        <w:rPr>
          <w:rFonts w:ascii="宋体" w:hAnsi="宋体" w:eastAsia="宋体" w:cs="Times New Roman"/>
          <w:b/>
          <w:bCs/>
          <w:color w:val="auto"/>
          <w:sz w:val="24"/>
          <w:szCs w:val="24"/>
          <w:highlight w:val="none"/>
          <w:lang w:val="zh-CN"/>
        </w:rPr>
      </w:pPr>
      <w:bookmarkStart w:id="165" w:name="_Toc22955"/>
      <w:bookmarkStart w:id="166" w:name="_Toc10366"/>
      <w:bookmarkStart w:id="167" w:name="_Toc15237"/>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0</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合同转让</w:t>
      </w:r>
      <w:bookmarkEnd w:id="162"/>
      <w:bookmarkEnd w:id="163"/>
      <w:bookmarkEnd w:id="164"/>
      <w:r>
        <w:rPr>
          <w:rFonts w:ascii="宋体" w:hAnsi="宋体" w:eastAsia="宋体" w:cs="Times New Roman"/>
          <w:b/>
          <w:bCs/>
          <w:color w:val="auto"/>
          <w:sz w:val="24"/>
          <w:szCs w:val="24"/>
          <w:highlight w:val="none"/>
          <w:lang w:val="zh-CN"/>
        </w:rPr>
        <w:t>和分包</w:t>
      </w:r>
      <w:bookmarkEnd w:id="165"/>
      <w:bookmarkEnd w:id="166"/>
      <w:bookmarkEnd w:id="167"/>
    </w:p>
    <w:p w14:paraId="23C230C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合同的权利义务依法不</w:t>
      </w:r>
      <w:r>
        <w:rPr>
          <w:rFonts w:hint="eastAsia" w:ascii="宋体" w:hAnsi="宋体" w:eastAsia="宋体" w:cs="Times New Roman"/>
          <w:color w:val="auto"/>
          <w:sz w:val="24"/>
          <w:szCs w:val="24"/>
          <w:highlight w:val="none"/>
        </w:rPr>
        <w:t>得</w:t>
      </w:r>
      <w:r>
        <w:rPr>
          <w:rFonts w:ascii="宋体" w:hAnsi="宋体" w:eastAsia="宋体" w:cs="Times New Roman"/>
          <w:color w:val="auto"/>
          <w:sz w:val="24"/>
          <w:szCs w:val="24"/>
          <w:highlight w:val="none"/>
        </w:rPr>
        <w:t>转让</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但经甲方</w:t>
      </w:r>
      <w:r>
        <w:rPr>
          <w:rFonts w:hint="eastAsia" w:ascii="宋体" w:hAnsi="宋体" w:eastAsia="宋体" w:cs="Times New Roman"/>
          <w:color w:val="auto"/>
          <w:sz w:val="24"/>
          <w:szCs w:val="24"/>
          <w:highlight w:val="none"/>
        </w:rPr>
        <w:t>同意，乙方可以依法采取分包方式履行合同，即：依法可以</w:t>
      </w:r>
      <w:r>
        <w:rPr>
          <w:rFonts w:ascii="宋体" w:hAnsi="宋体" w:eastAsia="宋体" w:cs="Times New Roman"/>
          <w:color w:val="auto"/>
          <w:sz w:val="24"/>
          <w:szCs w:val="24"/>
          <w:highlight w:val="none"/>
        </w:rPr>
        <w:t>将合同项下的部分非主体、非关键性工作分包给他人完成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接受分包的人应当具备相应的资格条件，并不得再次分包</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且乙方应就分包项目向甲方负责</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并</w:t>
      </w:r>
      <w:r>
        <w:rPr>
          <w:rFonts w:hint="eastAsia" w:ascii="宋体" w:hAnsi="宋体" w:eastAsia="宋体" w:cs="Times New Roman"/>
          <w:color w:val="auto"/>
          <w:sz w:val="24"/>
          <w:szCs w:val="24"/>
          <w:highlight w:val="none"/>
        </w:rPr>
        <w:t>与分包供应商就分包项目向甲方承担连带责任。</w:t>
      </w:r>
    </w:p>
    <w:p w14:paraId="20DE06A9">
      <w:pPr>
        <w:spacing w:line="360" w:lineRule="auto"/>
        <w:ind w:firstLine="437"/>
        <w:outlineLvl w:val="2"/>
        <w:rPr>
          <w:rFonts w:ascii="宋体" w:hAnsi="宋体" w:eastAsia="宋体" w:cs="Times New Roman"/>
          <w:b/>
          <w:bCs/>
          <w:color w:val="auto"/>
          <w:sz w:val="24"/>
          <w:szCs w:val="24"/>
          <w:highlight w:val="none"/>
          <w:lang w:val="zh-CN"/>
        </w:rPr>
      </w:pPr>
      <w:bookmarkStart w:id="168" w:name="_Toc16508"/>
      <w:bookmarkStart w:id="169" w:name="_Toc13566"/>
      <w:bookmarkStart w:id="170" w:name="_Toc14066"/>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1 不可抗力</w:t>
      </w:r>
      <w:bookmarkEnd w:id="168"/>
      <w:bookmarkEnd w:id="169"/>
      <w:bookmarkEnd w:id="170"/>
    </w:p>
    <w:p w14:paraId="34AAAAC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1.1如果任何一方遭遇法律规定的不可抗力，致使合同履行受阻时，履行合同的期限应予延长，延长的期限应相当于不可抗力所影响的时间</w:t>
      </w:r>
      <w:r>
        <w:rPr>
          <w:rFonts w:hint="eastAsia" w:ascii="宋体" w:hAnsi="宋体" w:eastAsia="宋体" w:cs="Times New Roman"/>
          <w:color w:val="auto"/>
          <w:sz w:val="24"/>
          <w:szCs w:val="24"/>
          <w:highlight w:val="none"/>
        </w:rPr>
        <w:t>；</w:t>
      </w:r>
    </w:p>
    <w:p w14:paraId="7FF227A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.2因不可抗力致使不能实现合同目的的，当事人可以解除合同；</w:t>
      </w:r>
    </w:p>
    <w:p w14:paraId="5A5B2C76">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.3因</w:t>
      </w:r>
      <w:r>
        <w:rPr>
          <w:rFonts w:ascii="宋体" w:hAnsi="宋体" w:eastAsia="宋体" w:cs="Times New Roman"/>
          <w:color w:val="auto"/>
          <w:sz w:val="24"/>
          <w:szCs w:val="24"/>
          <w:highlight w:val="none"/>
        </w:rPr>
        <w:t>不可抗力致使合同有变更必要的，双方当事人应在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约定时间内以书面形式变更合同</w:t>
      </w:r>
      <w:r>
        <w:rPr>
          <w:rFonts w:hint="eastAsia" w:ascii="宋体" w:hAnsi="宋体" w:eastAsia="宋体" w:cs="Times New Roman"/>
          <w:color w:val="auto"/>
          <w:sz w:val="24"/>
          <w:szCs w:val="24"/>
          <w:highlight w:val="none"/>
        </w:rPr>
        <w:t>；</w:t>
      </w:r>
    </w:p>
    <w:p w14:paraId="286E27A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受</w:t>
      </w:r>
      <w:r>
        <w:rPr>
          <w:rFonts w:hint="eastAsia" w:ascii="宋体" w:hAnsi="宋体" w:eastAsia="宋体" w:cs="Times New Roman"/>
          <w:color w:val="auto"/>
          <w:sz w:val="24"/>
          <w:szCs w:val="24"/>
          <w:highlight w:val="none"/>
        </w:rPr>
        <w:t>不可抗力</w:t>
      </w:r>
      <w:r>
        <w:rPr>
          <w:rFonts w:ascii="宋体" w:hAnsi="宋体" w:eastAsia="宋体" w:cs="Times New Roman"/>
          <w:color w:val="auto"/>
          <w:sz w:val="24"/>
          <w:szCs w:val="24"/>
          <w:highlight w:val="none"/>
        </w:rPr>
        <w:t>影响的一方在不可抗力发生后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约定时间内以书面形式通知</w:t>
      </w:r>
      <w:r>
        <w:rPr>
          <w:rFonts w:hint="eastAsia" w:ascii="宋体" w:hAnsi="宋体" w:eastAsia="宋体" w:cs="Times New Roman"/>
          <w:color w:val="auto"/>
          <w:sz w:val="24"/>
          <w:szCs w:val="24"/>
          <w:highlight w:val="none"/>
        </w:rPr>
        <w:t>对</w:t>
      </w:r>
      <w:r>
        <w:rPr>
          <w:rFonts w:ascii="宋体" w:hAnsi="宋体" w:eastAsia="宋体" w:cs="Times New Roman"/>
          <w:color w:val="auto"/>
          <w:sz w:val="24"/>
          <w:szCs w:val="24"/>
          <w:highlight w:val="none"/>
        </w:rPr>
        <w:t>方当事人，并在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约定时间内，将有关部门出具的证明文件送达</w:t>
      </w:r>
      <w:r>
        <w:rPr>
          <w:rFonts w:hint="eastAsia" w:ascii="宋体" w:hAnsi="宋体" w:eastAsia="宋体" w:cs="Times New Roman"/>
          <w:color w:val="auto"/>
          <w:sz w:val="24"/>
          <w:szCs w:val="24"/>
          <w:highlight w:val="none"/>
        </w:rPr>
        <w:t>对方当事人</w:t>
      </w:r>
      <w:r>
        <w:rPr>
          <w:rFonts w:ascii="宋体" w:hAnsi="宋体" w:eastAsia="宋体" w:cs="Times New Roman"/>
          <w:color w:val="auto"/>
          <w:sz w:val="24"/>
          <w:szCs w:val="24"/>
          <w:highlight w:val="none"/>
        </w:rPr>
        <w:t>。</w:t>
      </w:r>
    </w:p>
    <w:p w14:paraId="100536A0">
      <w:pPr>
        <w:spacing w:line="360" w:lineRule="auto"/>
        <w:ind w:firstLine="437"/>
        <w:outlineLvl w:val="2"/>
        <w:rPr>
          <w:rFonts w:ascii="宋体" w:hAnsi="宋体" w:eastAsia="宋体" w:cs="Times New Roman"/>
          <w:b/>
          <w:bCs/>
          <w:color w:val="auto"/>
          <w:sz w:val="24"/>
          <w:szCs w:val="24"/>
          <w:highlight w:val="none"/>
          <w:lang w:val="zh-CN"/>
        </w:rPr>
      </w:pPr>
      <w:bookmarkStart w:id="171" w:name="_Toc6969"/>
      <w:bookmarkStart w:id="172" w:name="_Toc689"/>
      <w:bookmarkStart w:id="173" w:name="_Toc259093684"/>
      <w:bookmarkStart w:id="174" w:name="_Toc279701255"/>
      <w:bookmarkStart w:id="175" w:name="_Toc30676"/>
      <w:bookmarkStart w:id="176" w:name="_Toc487900365"/>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12</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税费</w:t>
      </w:r>
      <w:bookmarkEnd w:id="171"/>
      <w:bookmarkEnd w:id="172"/>
      <w:bookmarkEnd w:id="173"/>
      <w:bookmarkEnd w:id="174"/>
      <w:bookmarkEnd w:id="175"/>
      <w:bookmarkEnd w:id="176"/>
    </w:p>
    <w:p w14:paraId="397CFB4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与合同有关的一切税费</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均按照中华人民共和国法律的相关规定</w:t>
      </w:r>
      <w:r>
        <w:rPr>
          <w:rFonts w:hint="eastAsia" w:ascii="宋体" w:hAnsi="宋体" w:eastAsia="宋体" w:cs="Times New Roman"/>
          <w:color w:val="auto"/>
          <w:sz w:val="24"/>
          <w:szCs w:val="24"/>
          <w:highlight w:val="none"/>
        </w:rPr>
        <w:t>缴纳</w:t>
      </w:r>
      <w:r>
        <w:rPr>
          <w:rFonts w:ascii="宋体" w:hAnsi="宋体" w:eastAsia="宋体" w:cs="Times New Roman"/>
          <w:color w:val="auto"/>
          <w:sz w:val="24"/>
          <w:szCs w:val="24"/>
          <w:highlight w:val="none"/>
        </w:rPr>
        <w:t>。</w:t>
      </w:r>
    </w:p>
    <w:p w14:paraId="12C20253">
      <w:pPr>
        <w:spacing w:line="360" w:lineRule="auto"/>
        <w:ind w:firstLine="437"/>
        <w:outlineLvl w:val="2"/>
        <w:rPr>
          <w:rFonts w:ascii="宋体" w:hAnsi="宋体" w:eastAsia="宋体" w:cs="Times New Roman"/>
          <w:b/>
          <w:bCs/>
          <w:color w:val="auto"/>
          <w:sz w:val="24"/>
          <w:szCs w:val="24"/>
          <w:highlight w:val="none"/>
          <w:lang w:val="zh-CN"/>
        </w:rPr>
      </w:pPr>
      <w:bookmarkStart w:id="177" w:name="_Toc8298"/>
      <w:bookmarkStart w:id="178" w:name="_Toc16959"/>
      <w:bookmarkStart w:id="179" w:name="_Toc279701258"/>
      <w:bookmarkStart w:id="180" w:name="_Toc487900368"/>
      <w:bookmarkStart w:id="181" w:name="_Toc7102"/>
      <w:bookmarkStart w:id="182" w:name="_Toc259093687"/>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13</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乙方破产</w:t>
      </w:r>
      <w:bookmarkEnd w:id="177"/>
      <w:bookmarkEnd w:id="178"/>
      <w:bookmarkEnd w:id="179"/>
      <w:bookmarkEnd w:id="180"/>
      <w:bookmarkEnd w:id="181"/>
      <w:bookmarkEnd w:id="182"/>
    </w:p>
    <w:p w14:paraId="10294AB5">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如果乙方破产导致合同无法履行时，甲方可以书面形式通知乙方终止合同且不给予乙方任何补偿和赔偿</w:t>
      </w:r>
      <w:r>
        <w:rPr>
          <w:rFonts w:hint="eastAsia" w:ascii="宋体" w:hAnsi="宋体" w:eastAsia="宋体" w:cs="Times New Roman"/>
          <w:color w:val="auto"/>
          <w:sz w:val="24"/>
          <w:szCs w:val="24"/>
          <w:highlight w:val="none"/>
        </w:rPr>
        <w:t>，但合同的</w:t>
      </w:r>
      <w:r>
        <w:rPr>
          <w:rFonts w:ascii="宋体" w:hAnsi="宋体" w:eastAsia="宋体" w:cs="Times New Roman"/>
          <w:color w:val="auto"/>
          <w:sz w:val="24"/>
          <w:szCs w:val="24"/>
          <w:highlight w:val="none"/>
        </w:rPr>
        <w:t>终止不损害或不影响甲方已经采取或将要采取的任何要求乙方支付违约金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赔偿损失等的行动或补救措施的权利</w:t>
      </w:r>
      <w:r>
        <w:rPr>
          <w:rFonts w:hint="eastAsia" w:ascii="宋体" w:hAnsi="宋体" w:eastAsia="宋体" w:cs="Times New Roman"/>
          <w:color w:val="auto"/>
          <w:sz w:val="24"/>
          <w:szCs w:val="24"/>
          <w:highlight w:val="none"/>
        </w:rPr>
        <w:t>。</w:t>
      </w:r>
    </w:p>
    <w:p w14:paraId="223205E7">
      <w:pPr>
        <w:spacing w:line="360" w:lineRule="auto"/>
        <w:ind w:firstLine="437"/>
        <w:outlineLvl w:val="2"/>
        <w:rPr>
          <w:rFonts w:ascii="宋体" w:hAnsi="宋体" w:eastAsia="宋体" w:cs="Times New Roman"/>
          <w:b/>
          <w:color w:val="auto"/>
          <w:sz w:val="24"/>
          <w:szCs w:val="24"/>
          <w:highlight w:val="none"/>
        </w:rPr>
      </w:pPr>
      <w:bookmarkStart w:id="183" w:name="_Toc6134"/>
      <w:bookmarkStart w:id="184" w:name="_Toc15387"/>
      <w:bookmarkStart w:id="185" w:name="_Toc29333"/>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4</w:t>
      </w:r>
      <w:r>
        <w:rPr>
          <w:rFonts w:hint="eastAsia" w:ascii="宋体" w:hAnsi="宋体" w:eastAsia="宋体" w:cs="Times New Roman"/>
          <w:b/>
          <w:bCs/>
          <w:color w:val="auto"/>
          <w:sz w:val="24"/>
          <w:szCs w:val="24"/>
          <w:highlight w:val="none"/>
          <w:lang w:val="zh-CN"/>
        </w:rPr>
        <w:t xml:space="preserve"> 合同中止、终止</w:t>
      </w:r>
      <w:bookmarkEnd w:id="183"/>
      <w:bookmarkEnd w:id="184"/>
      <w:bookmarkEnd w:id="185"/>
    </w:p>
    <w:p w14:paraId="05F515F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.1双方当事人不得擅自中止或者终止合同；</w:t>
      </w:r>
    </w:p>
    <w:p w14:paraId="294FC48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12A08407">
      <w:pPr>
        <w:spacing w:line="360" w:lineRule="auto"/>
        <w:ind w:firstLine="437"/>
        <w:outlineLvl w:val="2"/>
        <w:rPr>
          <w:rFonts w:ascii="宋体" w:hAnsi="宋体" w:eastAsia="宋体" w:cs="Times New Roman"/>
          <w:b/>
          <w:bCs/>
          <w:color w:val="auto"/>
          <w:sz w:val="24"/>
          <w:szCs w:val="24"/>
          <w:highlight w:val="none"/>
          <w:lang w:val="zh-CN"/>
        </w:rPr>
      </w:pPr>
      <w:bookmarkStart w:id="186" w:name="_Toc14563"/>
      <w:bookmarkStart w:id="187" w:name="_Toc1125"/>
      <w:bookmarkStart w:id="188" w:name="_Toc6596"/>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5</w:t>
      </w:r>
      <w:r>
        <w:rPr>
          <w:rFonts w:hint="eastAsia" w:ascii="宋体" w:hAnsi="宋体" w:eastAsia="宋体" w:cs="Times New Roman"/>
          <w:b/>
          <w:bCs/>
          <w:color w:val="auto"/>
          <w:sz w:val="24"/>
          <w:szCs w:val="24"/>
          <w:highlight w:val="none"/>
          <w:lang w:val="zh-CN"/>
        </w:rPr>
        <w:t xml:space="preserve"> 检验和验收</w:t>
      </w:r>
      <w:bookmarkEnd w:id="186"/>
      <w:bookmarkEnd w:id="187"/>
      <w:bookmarkEnd w:id="188"/>
    </w:p>
    <w:p w14:paraId="69276E6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1乙方按照</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的约定</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定期提交服务报告</w:t>
      </w:r>
      <w:r>
        <w:rPr>
          <w:rFonts w:hint="eastAsia" w:ascii="宋体" w:hAnsi="宋体" w:eastAsia="宋体" w:cs="Times New Roman"/>
          <w:color w:val="auto"/>
          <w:sz w:val="24"/>
          <w:szCs w:val="24"/>
          <w:highlight w:val="none"/>
        </w:rPr>
        <w:t>，甲方按照</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的约定进行定期验收</w:t>
      </w:r>
      <w:r>
        <w:rPr>
          <w:rFonts w:hint="eastAsia" w:ascii="宋体" w:hAnsi="宋体" w:eastAsia="宋体" w:cs="Times New Roman"/>
          <w:color w:val="auto"/>
          <w:sz w:val="24"/>
          <w:szCs w:val="24"/>
          <w:highlight w:val="none"/>
        </w:rPr>
        <w:t>；</w:t>
      </w:r>
    </w:p>
    <w:p w14:paraId="6F98701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670F77B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2.15.3检验和验收标准、程序等具体内容以及前述验收书的效力详见</w:t>
      </w:r>
      <w:r>
        <w:rPr>
          <w:rFonts w:ascii="宋体" w:hAnsi="宋体" w:eastAsia="宋体" w:cs="Times New Roman"/>
          <w:b/>
          <w:i/>
          <w:color w:val="auto"/>
          <w:sz w:val="24"/>
          <w:szCs w:val="24"/>
          <w:highlight w:val="none"/>
          <w:u w:val="single"/>
        </w:rPr>
        <w:t>合同专用条款</w:t>
      </w:r>
      <w:r>
        <w:rPr>
          <w:rFonts w:hint="eastAsia" w:ascii="宋体" w:hAnsi="宋体" w:eastAsia="宋体" w:cs="Times New Roman"/>
          <w:i/>
          <w:color w:val="auto"/>
          <w:sz w:val="24"/>
          <w:szCs w:val="24"/>
          <w:highlight w:val="none"/>
        </w:rPr>
        <w:t>。</w:t>
      </w:r>
    </w:p>
    <w:bookmarkEnd w:id="158"/>
    <w:bookmarkEnd w:id="159"/>
    <w:bookmarkEnd w:id="160"/>
    <w:bookmarkEnd w:id="161"/>
    <w:p w14:paraId="01425035">
      <w:pPr>
        <w:spacing w:line="360" w:lineRule="auto"/>
        <w:ind w:firstLine="437"/>
        <w:outlineLvl w:val="2"/>
        <w:rPr>
          <w:rFonts w:ascii="宋体" w:hAnsi="宋体" w:eastAsia="宋体" w:cs="Times New Roman"/>
          <w:b/>
          <w:bCs/>
          <w:color w:val="auto"/>
          <w:sz w:val="24"/>
          <w:szCs w:val="24"/>
          <w:highlight w:val="none"/>
        </w:rPr>
      </w:pPr>
      <w:bookmarkStart w:id="189" w:name="_Toc279701263"/>
      <w:bookmarkStart w:id="190" w:name="_Toc487900373"/>
      <w:bookmarkStart w:id="191" w:name="_Toc18567"/>
      <w:bookmarkStart w:id="192" w:name="_Toc10330"/>
      <w:bookmarkStart w:id="193" w:name="_Toc259093692"/>
      <w:bookmarkStart w:id="194" w:name="_Toc12773"/>
      <w:r>
        <w:rPr>
          <w:rFonts w:hint="eastAsia" w:ascii="宋体" w:hAnsi="宋体" w:eastAsia="宋体" w:cs="Times New Roman"/>
          <w:b/>
          <w:bCs/>
          <w:color w:val="auto"/>
          <w:sz w:val="24"/>
          <w:szCs w:val="24"/>
          <w:highlight w:val="none"/>
        </w:rPr>
        <w:t>2.</w:t>
      </w:r>
      <w:r>
        <w:rPr>
          <w:rFonts w:ascii="宋体" w:hAnsi="宋体" w:eastAsia="宋体" w:cs="Times New Roman"/>
          <w:b/>
          <w:bCs/>
          <w:color w:val="auto"/>
          <w:sz w:val="24"/>
          <w:szCs w:val="24"/>
          <w:highlight w:val="none"/>
        </w:rPr>
        <w:t>16</w:t>
      </w:r>
      <w:r>
        <w:rPr>
          <w:rFonts w:hint="eastAsia" w:ascii="宋体" w:hAnsi="宋体" w:eastAsia="宋体" w:cs="Times New Roman"/>
          <w:b/>
          <w:bCs/>
          <w:color w:val="auto"/>
          <w:sz w:val="24"/>
          <w:szCs w:val="24"/>
          <w:highlight w:val="none"/>
        </w:rPr>
        <w:t xml:space="preserve"> </w:t>
      </w:r>
      <w:r>
        <w:rPr>
          <w:rFonts w:hint="eastAsia" w:ascii="宋体" w:hAnsi="宋体" w:eastAsia="宋体" w:cs="Times New Roman"/>
          <w:b/>
          <w:bCs/>
          <w:color w:val="auto"/>
          <w:sz w:val="24"/>
          <w:szCs w:val="24"/>
          <w:highlight w:val="none"/>
          <w:lang w:val="zh-CN"/>
        </w:rPr>
        <w:t>合同使用的文字和</w:t>
      </w:r>
      <w:r>
        <w:rPr>
          <w:rFonts w:ascii="宋体" w:hAnsi="宋体" w:eastAsia="宋体" w:cs="Times New Roman"/>
          <w:b/>
          <w:bCs/>
          <w:color w:val="auto"/>
          <w:sz w:val="24"/>
          <w:szCs w:val="24"/>
          <w:highlight w:val="none"/>
          <w:lang w:val="zh-CN"/>
        </w:rPr>
        <w:t>适用的法律</w:t>
      </w:r>
      <w:bookmarkEnd w:id="189"/>
      <w:bookmarkEnd w:id="190"/>
      <w:bookmarkEnd w:id="191"/>
      <w:bookmarkEnd w:id="192"/>
      <w:bookmarkEnd w:id="193"/>
      <w:bookmarkEnd w:id="194"/>
    </w:p>
    <w:p w14:paraId="65DCBCC6">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16.1合同使用汉语书就</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变更和解释</w:t>
      </w:r>
      <w:r>
        <w:rPr>
          <w:rFonts w:hint="eastAsia" w:ascii="宋体" w:hAnsi="宋体" w:eastAsia="宋体" w:cs="Times New Roman"/>
          <w:color w:val="auto"/>
          <w:sz w:val="24"/>
          <w:szCs w:val="24"/>
          <w:highlight w:val="none"/>
        </w:rPr>
        <w:t>；</w:t>
      </w:r>
    </w:p>
    <w:p w14:paraId="0997B20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16</w:t>
      </w:r>
      <w:r>
        <w:rPr>
          <w:rFonts w:hint="eastAsia" w:ascii="宋体" w:hAnsi="宋体" w:eastAsia="宋体" w:cs="Times New Roman"/>
          <w:color w:val="auto"/>
          <w:sz w:val="24"/>
          <w:szCs w:val="24"/>
          <w:highlight w:val="none"/>
        </w:rPr>
        <w:t>.2合同适用</w:t>
      </w:r>
      <w:r>
        <w:rPr>
          <w:rFonts w:ascii="宋体" w:hAnsi="宋体" w:eastAsia="宋体" w:cs="Times New Roman"/>
          <w:color w:val="auto"/>
          <w:sz w:val="24"/>
          <w:szCs w:val="24"/>
          <w:highlight w:val="none"/>
        </w:rPr>
        <w:t>中华人民共和国法律。</w:t>
      </w:r>
    </w:p>
    <w:p w14:paraId="1D520872">
      <w:pPr>
        <w:spacing w:line="360" w:lineRule="auto"/>
        <w:ind w:firstLine="437"/>
        <w:outlineLvl w:val="2"/>
        <w:rPr>
          <w:rFonts w:ascii="宋体" w:hAnsi="宋体" w:eastAsia="宋体" w:cs="Times New Roman"/>
          <w:b/>
          <w:color w:val="auto"/>
          <w:sz w:val="24"/>
          <w:szCs w:val="24"/>
          <w:highlight w:val="none"/>
        </w:rPr>
      </w:pPr>
      <w:bookmarkStart w:id="195" w:name="_Toc279701264"/>
      <w:bookmarkStart w:id="196" w:name="_Toc16673"/>
      <w:bookmarkStart w:id="197" w:name="_Toc3148"/>
      <w:bookmarkStart w:id="198" w:name="_Toc12004"/>
      <w:bookmarkStart w:id="199" w:name="_Toc259093693"/>
      <w:bookmarkStart w:id="200" w:name="_Toc487900374"/>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17</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履约保证金</w:t>
      </w:r>
      <w:bookmarkEnd w:id="195"/>
      <w:bookmarkEnd w:id="196"/>
      <w:bookmarkEnd w:id="197"/>
      <w:bookmarkEnd w:id="198"/>
      <w:bookmarkEnd w:id="199"/>
    </w:p>
    <w:p w14:paraId="46DDEC4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w:t>
      </w:r>
      <w:r>
        <w:rPr>
          <w:rFonts w:hint="eastAsia" w:ascii="宋体" w:hAnsi="宋体" w:eastAsia="宋体" w:cs="Times New Roman"/>
          <w:color w:val="auto"/>
          <w:sz w:val="24"/>
          <w:szCs w:val="24"/>
          <w:highlight w:val="none"/>
        </w:rPr>
        <w:t>.1采购文件要求乙方提交履约保证金的，乙方</w:t>
      </w:r>
      <w:r>
        <w:rPr>
          <w:rFonts w:ascii="宋体" w:hAnsi="宋体" w:eastAsia="宋体" w:cs="Times New Roman"/>
          <w:color w:val="auto"/>
          <w:sz w:val="24"/>
          <w:szCs w:val="24"/>
          <w:highlight w:val="none"/>
        </w:rPr>
        <w:t>应按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约定的方式</w:t>
      </w:r>
      <w:r>
        <w:rPr>
          <w:rFonts w:hint="eastAsia" w:ascii="宋体" w:hAnsi="宋体" w:eastAsia="宋体" w:cs="Times New Roman"/>
          <w:color w:val="auto"/>
          <w:sz w:val="24"/>
          <w:szCs w:val="24"/>
          <w:highlight w:val="none"/>
        </w:rPr>
        <w:t>，以支票、汇票、本票或者金融机构、担保机构出具的保函等非现金形式提交；</w:t>
      </w:r>
    </w:p>
    <w:p w14:paraId="66C013B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17.2履约保证金在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约定期间内不予退还或者应完全有效</w:t>
      </w:r>
      <w:r>
        <w:rPr>
          <w:rFonts w:hint="eastAsia" w:ascii="宋体" w:hAnsi="宋体" w:eastAsia="宋体" w:cs="Times New Roman"/>
          <w:color w:val="auto"/>
          <w:sz w:val="24"/>
          <w:szCs w:val="24"/>
          <w:highlight w:val="none"/>
        </w:rPr>
        <w:t>，前述约定期间届满</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3</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个</w:t>
      </w:r>
      <w:r>
        <w:rPr>
          <w:rFonts w:ascii="宋体" w:hAnsi="宋体" w:eastAsia="宋体" w:cs="Times New Roman"/>
          <w:color w:val="auto"/>
          <w:sz w:val="24"/>
          <w:szCs w:val="24"/>
          <w:highlight w:val="none"/>
        </w:rPr>
        <w:t>工作日内，甲方应将履约保证金退还乙方</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甲方</w:t>
      </w:r>
      <w:r>
        <w:rPr>
          <w:rFonts w:hint="eastAsia" w:ascii="宋体" w:hAnsi="宋体" w:eastAsia="宋体" w:cs="Times New Roman"/>
          <w:color w:val="auto"/>
          <w:sz w:val="24"/>
          <w:szCs w:val="24"/>
          <w:highlight w:val="none"/>
        </w:rPr>
        <w:t>逾期退还履约保证金</w:t>
      </w:r>
      <w:r>
        <w:rPr>
          <w:rFonts w:hint="eastAsia" w:ascii="宋体" w:hAnsi="宋体" w:eastAsia="宋体" w:cs="Times New Roman"/>
          <w:color w:val="auto"/>
          <w:sz w:val="24"/>
          <w:szCs w:val="24"/>
          <w:highlight w:val="none"/>
          <w:lang w:val="en-US" w:eastAsia="zh-CN"/>
        </w:rPr>
        <w:t>应承担违约责任。</w:t>
      </w:r>
    </w:p>
    <w:p w14:paraId="3BA12B6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如果乙方不履行合同</w:t>
      </w:r>
      <w:r>
        <w:rPr>
          <w:rFonts w:hint="eastAsia" w:ascii="宋体" w:hAnsi="宋体" w:eastAsia="宋体" w:cs="Times New Roman"/>
          <w:color w:val="auto"/>
          <w:sz w:val="24"/>
          <w:szCs w:val="24"/>
          <w:highlight w:val="none"/>
        </w:rPr>
        <w:t>，履约保证金不予退还；如果乙方</w:t>
      </w:r>
      <w:r>
        <w:rPr>
          <w:rFonts w:ascii="宋体" w:hAnsi="宋体" w:eastAsia="宋体" w:cs="Times New Roman"/>
          <w:color w:val="auto"/>
          <w:sz w:val="24"/>
          <w:szCs w:val="24"/>
          <w:highlight w:val="none"/>
        </w:rPr>
        <w:t>未能按合同</w:t>
      </w:r>
      <w:r>
        <w:rPr>
          <w:rFonts w:hint="eastAsia" w:ascii="宋体" w:hAnsi="宋体" w:eastAsia="宋体" w:cs="Times New Roman"/>
          <w:color w:val="auto"/>
          <w:sz w:val="24"/>
          <w:szCs w:val="24"/>
          <w:highlight w:val="none"/>
        </w:rPr>
        <w:t>约</w:t>
      </w:r>
      <w:r>
        <w:rPr>
          <w:rFonts w:ascii="宋体" w:hAnsi="宋体" w:eastAsia="宋体" w:cs="Times New Roman"/>
          <w:color w:val="auto"/>
          <w:sz w:val="24"/>
          <w:szCs w:val="24"/>
          <w:highlight w:val="none"/>
        </w:rPr>
        <w:t>定全面履行义务，那么甲方有权从履约保证金中取得补偿或赔偿</w:t>
      </w:r>
      <w:r>
        <w:rPr>
          <w:rFonts w:hint="eastAsia" w:ascii="宋体" w:hAnsi="宋体" w:eastAsia="宋体" w:cs="Times New Roman"/>
          <w:color w:val="auto"/>
          <w:sz w:val="24"/>
          <w:szCs w:val="24"/>
          <w:highlight w:val="none"/>
        </w:rPr>
        <w:t>，同时不影响甲方要求乙方承担合同约定的超过履约保证金的违约责任的权利。</w:t>
      </w:r>
    </w:p>
    <w:bookmarkEnd w:id="200"/>
    <w:p w14:paraId="2F22F205">
      <w:pPr>
        <w:spacing w:line="360" w:lineRule="auto"/>
        <w:ind w:firstLine="437"/>
        <w:outlineLvl w:val="2"/>
        <w:rPr>
          <w:rFonts w:ascii="宋体" w:hAnsi="宋体" w:eastAsia="宋体" w:cs="Times New Roman"/>
          <w:b/>
          <w:color w:val="auto"/>
          <w:sz w:val="24"/>
          <w:szCs w:val="24"/>
          <w:highlight w:val="none"/>
        </w:rPr>
      </w:pPr>
      <w:bookmarkStart w:id="201" w:name="_Toc19890"/>
      <w:bookmarkStart w:id="202" w:name="_Toc6885"/>
      <w:bookmarkStart w:id="203" w:name="_Toc14001"/>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18</w:t>
      </w:r>
      <w:r>
        <w:rPr>
          <w:rFonts w:hint="eastAsia" w:ascii="宋体" w:hAnsi="宋体" w:eastAsia="宋体" w:cs="Times New Roman"/>
          <w:b/>
          <w:bCs/>
          <w:color w:val="auto"/>
          <w:sz w:val="24"/>
          <w:szCs w:val="24"/>
          <w:highlight w:val="none"/>
          <w:lang w:val="zh-CN"/>
        </w:rPr>
        <w:t xml:space="preserve"> 合同份数</w:t>
      </w:r>
      <w:bookmarkEnd w:id="201"/>
      <w:bookmarkEnd w:id="202"/>
      <w:bookmarkEnd w:id="203"/>
    </w:p>
    <w:p w14:paraId="33955B3D">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合同份数按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规定</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每份均具有同等法律效力</w:t>
      </w:r>
      <w:r>
        <w:rPr>
          <w:rFonts w:hint="eastAsia" w:ascii="宋体" w:hAnsi="宋体" w:eastAsia="宋体" w:cs="Times New Roman"/>
          <w:color w:val="auto"/>
          <w:sz w:val="24"/>
          <w:szCs w:val="24"/>
          <w:highlight w:val="none"/>
        </w:rPr>
        <w:t>。</w:t>
      </w:r>
    </w:p>
    <w:p w14:paraId="36E86220">
      <w:pPr>
        <w:spacing w:line="360" w:lineRule="auto"/>
        <w:jc w:val="center"/>
        <w:outlineLvl w:val="1"/>
        <w:rPr>
          <w:rFonts w:hint="eastAsia" w:ascii="宋体"/>
          <w:b/>
          <w:color w:val="auto"/>
          <w:sz w:val="30"/>
          <w:szCs w:val="30"/>
          <w:highlight w:val="none"/>
        </w:rPr>
      </w:pPr>
      <w:r>
        <w:rPr>
          <w:rFonts w:ascii="宋体" w:hAnsi="宋体" w:eastAsia="宋体" w:cs="Times New Roman"/>
          <w:color w:val="auto"/>
          <w:sz w:val="24"/>
          <w:szCs w:val="24"/>
          <w:highlight w:val="none"/>
        </w:rPr>
        <w:br w:type="page"/>
      </w:r>
      <w:bookmarkStart w:id="204" w:name="_Toc20149"/>
      <w:r>
        <w:rPr>
          <w:rFonts w:hint="eastAsia" w:ascii="宋体" w:hAnsi="宋体" w:eastAsia="宋体" w:cs="宋体"/>
          <w:b/>
          <w:color w:val="auto"/>
          <w:sz w:val="28"/>
          <w:highlight w:val="none"/>
        </w:rPr>
        <w:t>第三部分 合同专用条款</w:t>
      </w:r>
      <w:bookmarkEnd w:id="204"/>
    </w:p>
    <w:p w14:paraId="6458FEB5">
      <w:pPr>
        <w:keepNext w:val="0"/>
        <w:keepLines w:val="0"/>
        <w:pageBreakBefore w:val="0"/>
        <w:widowControl w:val="0"/>
        <w:kinsoku/>
        <w:wordWrap/>
        <w:overflowPunct/>
        <w:topLinePunct w:val="0"/>
        <w:autoSpaceDE/>
        <w:autoSpaceDN/>
        <w:bidi w:val="0"/>
        <w:adjustRightInd/>
        <w:snapToGrid/>
        <w:spacing w:line="500" w:lineRule="exact"/>
        <w:ind w:firstLine="437"/>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3"/>
        <w:gridCol w:w="7569"/>
      </w:tblGrid>
      <w:tr w14:paraId="28C0A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3" w:type="dxa"/>
            <w:tcBorders>
              <w:left w:val="single" w:color="auto" w:sz="4" w:space="0"/>
            </w:tcBorders>
            <w:noWrap w:val="0"/>
            <w:vAlign w:val="center"/>
          </w:tcPr>
          <w:p w14:paraId="5B019694">
            <w:pPr>
              <w:keepNext w:val="0"/>
              <w:keepLines w:val="0"/>
              <w:suppressLineNumbers w:val="0"/>
              <w:spacing w:before="0" w:beforeAutospacing="0" w:after="0" w:afterAutospacing="0"/>
              <w:ind w:left="0" w:right="0"/>
              <w:jc w:val="center"/>
              <w:rPr>
                <w:rFonts w:hint="default" w:ascii="宋体" w:hAnsi="宋体"/>
                <w:b/>
                <w:color w:val="auto"/>
                <w:szCs w:val="21"/>
                <w:highlight w:val="none"/>
              </w:rPr>
            </w:pPr>
            <w:r>
              <w:rPr>
                <w:rFonts w:hint="default" w:ascii="宋体" w:hAnsi="宋体" w:eastAsia="宋体" w:cs="宋体"/>
                <w:color w:val="auto"/>
                <w:szCs w:val="21"/>
                <w:highlight w:val="none"/>
              </w:rPr>
              <w:t>条款号</w:t>
            </w:r>
          </w:p>
        </w:tc>
        <w:tc>
          <w:tcPr>
            <w:tcW w:w="7569" w:type="dxa"/>
            <w:noWrap w:val="0"/>
            <w:vAlign w:val="center"/>
          </w:tcPr>
          <w:p w14:paraId="362DC730">
            <w:pPr>
              <w:keepNext w:val="0"/>
              <w:keepLines w:val="0"/>
              <w:suppressLineNumbers w:val="0"/>
              <w:spacing w:before="0" w:beforeAutospacing="0" w:after="0" w:afterAutospacing="0"/>
              <w:ind w:left="0" w:right="0"/>
              <w:jc w:val="center"/>
              <w:rPr>
                <w:rFonts w:hint="default" w:ascii="宋体" w:hAnsi="宋体"/>
                <w:b/>
                <w:color w:val="auto"/>
                <w:szCs w:val="21"/>
                <w:highlight w:val="none"/>
              </w:rPr>
            </w:pPr>
            <w:r>
              <w:rPr>
                <w:rFonts w:hint="eastAsia" w:ascii="宋体" w:hAnsi="宋体" w:eastAsia="宋体" w:cs="宋体"/>
                <w:color w:val="auto"/>
                <w:szCs w:val="21"/>
                <w:highlight w:val="none"/>
              </w:rPr>
              <w:t>约定内容</w:t>
            </w:r>
          </w:p>
        </w:tc>
      </w:tr>
      <w:tr w14:paraId="61A43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79CCEC7C">
            <w:pPr>
              <w:keepNext w:val="0"/>
              <w:keepLines w:val="0"/>
              <w:pageBreakBefore w:val="0"/>
              <w:kinsoku/>
              <w:wordWrap/>
              <w:overflowPunct/>
              <w:topLinePunct w:val="0"/>
              <w:bidi w:val="0"/>
              <w:snapToGrid/>
              <w:spacing w:line="440" w:lineRule="exact"/>
              <w:jc w:val="center"/>
              <w:textAlignment w:val="auto"/>
              <w:rPr>
                <w:rFonts w:hint="default" w:ascii="宋体" w:hAnsi="宋体"/>
                <w:b/>
                <w:bCs/>
                <w:color w:val="auto"/>
                <w:sz w:val="28"/>
                <w:szCs w:val="28"/>
                <w:highlight w:val="none"/>
                <w:lang w:val="en-US" w:eastAsia="zh-CN"/>
              </w:rPr>
            </w:pPr>
            <w:r>
              <w:rPr>
                <w:rFonts w:hint="eastAsia" w:ascii="宋体" w:hAnsi="宋体" w:eastAsia="宋体" w:cs="宋体"/>
                <w:color w:val="auto"/>
                <w:sz w:val="24"/>
                <w:szCs w:val="24"/>
                <w:highlight w:val="none"/>
                <w:lang w:val="en-US" w:eastAsia="zh-CN"/>
              </w:rPr>
              <w:t>2.11.3</w:t>
            </w:r>
          </w:p>
        </w:tc>
        <w:tc>
          <w:tcPr>
            <w:tcW w:w="7569" w:type="dxa"/>
            <w:noWrap w:val="0"/>
            <w:vAlign w:val="center"/>
          </w:tcPr>
          <w:p w14:paraId="25AFC3DA">
            <w:pPr>
              <w:keepNext w:val="0"/>
              <w:keepLines w:val="0"/>
              <w:pageBreakBefore w:val="0"/>
              <w:kinsoku/>
              <w:wordWrap/>
              <w:overflowPunct/>
              <w:topLinePunct w:val="0"/>
              <w:bidi w:val="0"/>
              <w:snapToGrid/>
              <w:spacing w:line="440" w:lineRule="exact"/>
              <w:textAlignment w:val="auto"/>
              <w:rPr>
                <w:rFonts w:hint="default" w:ascii="宋体" w:hAnsi="宋体"/>
                <w:b/>
                <w:bCs/>
                <w:color w:val="auto"/>
                <w:sz w:val="28"/>
                <w:szCs w:val="28"/>
                <w:highlight w:val="none"/>
                <w:lang w:val="en-US" w:eastAsia="zh-CN"/>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137F1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178FE579">
            <w:pPr>
              <w:keepNext w:val="0"/>
              <w:keepLines w:val="0"/>
              <w:pageBreakBefore w:val="0"/>
              <w:kinsoku/>
              <w:wordWrap/>
              <w:overflowPunct/>
              <w:topLinePunct w:val="0"/>
              <w:bidi w:val="0"/>
              <w:snapToGrid/>
              <w:spacing w:line="440" w:lineRule="exact"/>
              <w:jc w:val="center"/>
              <w:textAlignment w:val="auto"/>
              <w:rPr>
                <w:rFonts w:hint="default" w:ascii="宋体" w:hAnsi="宋体"/>
                <w:color w:val="auto"/>
                <w:szCs w:val="21"/>
                <w:highlight w:val="none"/>
              </w:rPr>
            </w:pPr>
            <w:r>
              <w:rPr>
                <w:rFonts w:hint="eastAsia" w:ascii="宋体" w:hAnsi="宋体" w:eastAsia="宋体" w:cs="宋体"/>
                <w:color w:val="auto"/>
                <w:sz w:val="24"/>
                <w:szCs w:val="24"/>
                <w:highlight w:val="none"/>
                <w:lang w:val="en-US" w:eastAsia="zh-CN"/>
              </w:rPr>
              <w:t>2.11.4</w:t>
            </w:r>
          </w:p>
        </w:tc>
        <w:tc>
          <w:tcPr>
            <w:tcW w:w="7569" w:type="dxa"/>
            <w:noWrap w:val="0"/>
            <w:vAlign w:val="center"/>
          </w:tcPr>
          <w:p w14:paraId="1D6C07CD">
            <w:pPr>
              <w:keepNext w:val="0"/>
              <w:keepLines w:val="0"/>
              <w:pageBreakBefore w:val="0"/>
              <w:kinsoku/>
              <w:wordWrap/>
              <w:overflowPunct/>
              <w:topLinePunct w:val="0"/>
              <w:bidi w:val="0"/>
              <w:snapToGrid/>
              <w:spacing w:line="440" w:lineRule="exact"/>
              <w:textAlignment w:val="auto"/>
              <w:rPr>
                <w:rFonts w:hint="default" w:ascii="宋体" w:hAnsi="宋体"/>
                <w:color w:val="auto"/>
                <w:szCs w:val="21"/>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54D59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34190999">
            <w:pPr>
              <w:keepNext w:val="0"/>
              <w:keepLines w:val="0"/>
              <w:pageBreakBefore w:val="0"/>
              <w:kinsoku/>
              <w:wordWrap/>
              <w:overflowPunct/>
              <w:topLinePunct w:val="0"/>
              <w:bidi w:val="0"/>
              <w:snapToGrid/>
              <w:spacing w:line="440" w:lineRule="exact"/>
              <w:jc w:val="center"/>
              <w:textAlignment w:val="auto"/>
              <w:rPr>
                <w:rFonts w:hint="default" w:ascii="宋体" w:hAnsi="宋体"/>
                <w:color w:val="auto"/>
                <w:szCs w:val="21"/>
                <w:highlight w:val="none"/>
              </w:rPr>
            </w:pPr>
            <w:r>
              <w:rPr>
                <w:rFonts w:hint="eastAsia" w:ascii="宋体" w:hAnsi="宋体" w:eastAsia="宋体" w:cs="宋体"/>
                <w:color w:val="auto"/>
                <w:sz w:val="24"/>
                <w:szCs w:val="24"/>
                <w:highlight w:val="none"/>
                <w:lang w:val="en-US" w:eastAsia="zh-CN"/>
              </w:rPr>
              <w:t>2.18</w:t>
            </w:r>
          </w:p>
        </w:tc>
        <w:tc>
          <w:tcPr>
            <w:tcW w:w="7569" w:type="dxa"/>
            <w:noWrap w:val="0"/>
            <w:vAlign w:val="center"/>
          </w:tcPr>
          <w:p w14:paraId="157906E9">
            <w:pPr>
              <w:keepNext w:val="0"/>
              <w:keepLines w:val="0"/>
              <w:pageBreakBefore w:val="0"/>
              <w:kinsoku/>
              <w:wordWrap/>
              <w:overflowPunct/>
              <w:topLinePunct w:val="0"/>
              <w:bidi w:val="0"/>
              <w:snapToGrid/>
              <w:spacing w:line="440" w:lineRule="exact"/>
              <w:textAlignment w:val="auto"/>
              <w:rPr>
                <w:rFonts w:hint="default" w:ascii="宋体" w:hAnsi="宋体"/>
                <w:color w:val="auto"/>
                <w:szCs w:val="21"/>
                <w:highlight w:val="none"/>
              </w:rPr>
            </w:pPr>
            <w:r>
              <w:rPr>
                <w:rFonts w:hint="eastAsia" w:ascii="宋体" w:hAnsi="宋体" w:eastAsia="宋体" w:cs="宋体"/>
                <w:color w:val="auto"/>
                <w:sz w:val="24"/>
                <w:szCs w:val="24"/>
                <w:highlight w:val="none"/>
                <w:u w:val="single"/>
              </w:rPr>
              <w:t>合同一式</w:t>
            </w:r>
            <w:r>
              <w:rPr>
                <w:rFonts w:hint="eastAsia" w:ascii="宋体" w:hAnsi="宋体" w:eastAsia="宋体" w:cs="宋体"/>
                <w:color w:val="auto"/>
                <w:sz w:val="24"/>
                <w:szCs w:val="24"/>
                <w:highlight w:val="none"/>
                <w:u w:val="single"/>
                <w:lang w:val="en-US" w:eastAsia="zh-CN"/>
              </w:rPr>
              <w:t>四</w:t>
            </w:r>
            <w:r>
              <w:rPr>
                <w:rFonts w:hint="eastAsia" w:ascii="宋体" w:hAnsi="宋体" w:eastAsia="宋体" w:cs="宋体"/>
                <w:color w:val="auto"/>
                <w:sz w:val="24"/>
                <w:szCs w:val="24"/>
                <w:highlight w:val="none"/>
                <w:u w:val="single"/>
              </w:rPr>
              <w:t>份，甲乙双方各执</w:t>
            </w:r>
            <w:r>
              <w:rPr>
                <w:rFonts w:hint="eastAsia" w:ascii="宋体" w:hAnsi="宋体" w:eastAsia="宋体" w:cs="宋体"/>
                <w:color w:val="auto"/>
                <w:sz w:val="24"/>
                <w:szCs w:val="24"/>
                <w:highlight w:val="none"/>
                <w:u w:val="single"/>
                <w:lang w:val="en-US" w:eastAsia="zh-CN"/>
              </w:rPr>
              <w:t>二</w:t>
            </w:r>
            <w:r>
              <w:rPr>
                <w:rFonts w:hint="eastAsia" w:ascii="宋体" w:hAnsi="宋体" w:eastAsia="宋体" w:cs="宋体"/>
                <w:color w:val="auto"/>
                <w:sz w:val="24"/>
                <w:szCs w:val="24"/>
                <w:highlight w:val="none"/>
                <w:u w:val="single"/>
              </w:rPr>
              <w:t>份。</w:t>
            </w:r>
          </w:p>
        </w:tc>
      </w:tr>
      <w:tr w14:paraId="71816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1200DA88">
            <w:pPr>
              <w:keepNext w:val="0"/>
              <w:keepLines w:val="0"/>
              <w:pageBreakBefore w:val="0"/>
              <w:kinsoku/>
              <w:wordWrap/>
              <w:overflowPunct/>
              <w:topLinePunct w:val="0"/>
              <w:bidi w:val="0"/>
              <w:snapToGrid/>
              <w:spacing w:line="440" w:lineRule="exact"/>
              <w:jc w:val="center"/>
              <w:textAlignment w:val="auto"/>
              <w:rPr>
                <w:rFonts w:hint="default" w:ascii="宋体" w:hAnsi="宋体"/>
                <w:color w:val="auto"/>
                <w:szCs w:val="21"/>
                <w:highlight w:val="none"/>
              </w:rPr>
            </w:pPr>
          </w:p>
        </w:tc>
        <w:tc>
          <w:tcPr>
            <w:tcW w:w="7569" w:type="dxa"/>
            <w:noWrap w:val="0"/>
            <w:vAlign w:val="center"/>
          </w:tcPr>
          <w:p w14:paraId="22A167C5">
            <w:pPr>
              <w:keepNext w:val="0"/>
              <w:keepLines w:val="0"/>
              <w:pageBreakBefore w:val="0"/>
              <w:kinsoku/>
              <w:wordWrap/>
              <w:overflowPunct/>
              <w:topLinePunct w:val="0"/>
              <w:bidi w:val="0"/>
              <w:snapToGrid/>
              <w:spacing w:line="440" w:lineRule="exact"/>
              <w:textAlignment w:val="auto"/>
              <w:rPr>
                <w:rFonts w:hint="default" w:ascii="宋体" w:hAnsi="宋体"/>
                <w:color w:val="auto"/>
                <w:szCs w:val="21"/>
                <w:highlight w:val="none"/>
                <w:u w:val="single"/>
              </w:rPr>
            </w:pPr>
            <w:r>
              <w:rPr>
                <w:rFonts w:hint="eastAsia" w:ascii="宋体" w:hAnsi="宋体" w:eastAsia="宋体" w:cs="宋体"/>
                <w:color w:val="auto"/>
                <w:sz w:val="24"/>
                <w:szCs w:val="24"/>
                <w:highlight w:val="none"/>
              </w:rPr>
              <w:t>（签订合同时可补充）</w:t>
            </w:r>
          </w:p>
        </w:tc>
      </w:tr>
      <w:tr w14:paraId="4690C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572F5185">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1808BD58">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051B6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68B43103">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035195A0">
            <w:pPr>
              <w:keepNext w:val="0"/>
              <w:keepLines w:val="0"/>
              <w:suppressLineNumbers w:val="0"/>
              <w:spacing w:before="0" w:beforeAutospacing="0" w:after="0" w:afterAutospacing="0" w:line="560" w:lineRule="exact"/>
              <w:ind w:left="0" w:right="0"/>
              <w:rPr>
                <w:rFonts w:hint="default" w:ascii="宋体" w:hAnsi="宋体"/>
                <w:color w:val="auto"/>
                <w:szCs w:val="21"/>
                <w:highlight w:val="none"/>
                <w:u w:val="single"/>
              </w:rPr>
            </w:pPr>
          </w:p>
        </w:tc>
      </w:tr>
      <w:tr w14:paraId="182A7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73C47984">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389F3BCA">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4ECF6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3EC54A1A">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4492E8F7">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21792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28499F34">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52275B97">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49C0F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252B0199">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61D7F0A1">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07018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09F8C444">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217293FF">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bl>
    <w:p w14:paraId="5092D70F">
      <w:pPr>
        <w:rPr>
          <w:rFonts w:ascii="宋体" w:hAnsi="宋体" w:eastAsia="宋体" w:cs="宋体"/>
          <w:color w:val="auto"/>
          <w:sz w:val="24"/>
          <w:szCs w:val="24"/>
          <w:highlight w:val="none"/>
        </w:rPr>
      </w:pPr>
    </w:p>
    <w:p w14:paraId="488388D6">
      <w:pPr>
        <w:spacing w:line="360" w:lineRule="auto"/>
        <w:jc w:val="center"/>
        <w:outlineLvl w:val="0"/>
        <w:rPr>
          <w:rFonts w:ascii="宋体" w:hAnsi="宋体" w:eastAsia="宋体" w:cs="宋体"/>
          <w:b/>
          <w:color w:val="auto"/>
          <w:sz w:val="28"/>
          <w:highlight w:val="none"/>
        </w:rPr>
      </w:pPr>
    </w:p>
    <w:p w14:paraId="7D04967F">
      <w:pPr>
        <w:spacing w:line="360" w:lineRule="auto"/>
        <w:jc w:val="center"/>
        <w:outlineLvl w:val="0"/>
        <w:rPr>
          <w:rFonts w:ascii="宋体" w:hAnsi="宋体" w:eastAsia="宋体" w:cs="宋体"/>
          <w:b/>
          <w:color w:val="auto"/>
          <w:sz w:val="28"/>
          <w:highlight w:val="none"/>
        </w:rPr>
      </w:pPr>
    </w:p>
    <w:p w14:paraId="066F432A">
      <w:pPr>
        <w:spacing w:line="360" w:lineRule="auto"/>
        <w:jc w:val="center"/>
        <w:outlineLvl w:val="0"/>
        <w:rPr>
          <w:rFonts w:ascii="宋体" w:hAnsi="宋体" w:eastAsia="宋体" w:cs="宋体"/>
          <w:b/>
          <w:color w:val="auto"/>
          <w:sz w:val="28"/>
          <w:highlight w:val="none"/>
        </w:rPr>
      </w:pPr>
    </w:p>
    <w:p w14:paraId="7C6F8FA0">
      <w:pPr>
        <w:spacing w:line="360" w:lineRule="auto"/>
        <w:jc w:val="center"/>
        <w:outlineLvl w:val="0"/>
        <w:rPr>
          <w:rFonts w:ascii="宋体" w:hAnsi="宋体" w:eastAsia="宋体" w:cs="宋体"/>
          <w:b/>
          <w:color w:val="auto"/>
          <w:sz w:val="28"/>
          <w:highlight w:val="none"/>
        </w:rPr>
      </w:pPr>
    </w:p>
    <w:p w14:paraId="27174DBE">
      <w:pPr>
        <w:spacing w:line="360" w:lineRule="auto"/>
        <w:jc w:val="center"/>
        <w:outlineLvl w:val="0"/>
        <w:rPr>
          <w:rFonts w:ascii="宋体" w:hAnsi="宋体" w:eastAsia="宋体" w:cs="宋体"/>
          <w:b/>
          <w:color w:val="auto"/>
          <w:sz w:val="28"/>
          <w:highlight w:val="none"/>
        </w:rPr>
      </w:pPr>
    </w:p>
    <w:p w14:paraId="6D1FF9E2">
      <w:pPr>
        <w:spacing w:line="360" w:lineRule="auto"/>
        <w:jc w:val="center"/>
        <w:outlineLvl w:val="0"/>
        <w:rPr>
          <w:rFonts w:ascii="宋体" w:hAnsi="宋体" w:eastAsia="宋体" w:cs="宋体"/>
          <w:b/>
          <w:color w:val="auto"/>
          <w:sz w:val="28"/>
          <w:highlight w:val="none"/>
        </w:rPr>
      </w:pPr>
    </w:p>
    <w:p w14:paraId="0BD92A12">
      <w:pPr>
        <w:spacing w:line="360" w:lineRule="auto"/>
        <w:jc w:val="center"/>
        <w:outlineLvl w:val="0"/>
        <w:rPr>
          <w:rFonts w:ascii="宋体" w:hAnsi="宋体" w:eastAsia="宋体" w:cs="宋体"/>
          <w:b/>
          <w:color w:val="auto"/>
          <w:sz w:val="28"/>
          <w:highlight w:val="none"/>
        </w:rPr>
      </w:pPr>
      <w:bookmarkStart w:id="205" w:name="_Toc16334"/>
      <w:r>
        <w:rPr>
          <w:rFonts w:hint="eastAsia" w:ascii="宋体" w:hAnsi="宋体" w:eastAsia="宋体" w:cs="宋体"/>
          <w:b/>
          <w:color w:val="auto"/>
          <w:sz w:val="28"/>
          <w:highlight w:val="none"/>
        </w:rPr>
        <w:t>第六章  投标文件格式</w:t>
      </w:r>
      <w:bookmarkEnd w:id="205"/>
    </w:p>
    <w:p w14:paraId="1C5DED8C">
      <w:pPr>
        <w:spacing w:line="900" w:lineRule="exact"/>
        <w:jc w:val="center"/>
        <w:rPr>
          <w:rFonts w:ascii="宋体" w:hAnsi="宋体" w:eastAsia="宋体" w:cs="宋体"/>
          <w:b/>
          <w:color w:val="auto"/>
          <w:sz w:val="72"/>
          <w:highlight w:val="none"/>
        </w:rPr>
      </w:pPr>
    </w:p>
    <w:p w14:paraId="38238996">
      <w:pPr>
        <w:rPr>
          <w:rFonts w:ascii="宋体" w:hAnsi="宋体" w:eastAsia="宋体" w:cs="宋体"/>
          <w:b/>
          <w:color w:val="auto"/>
          <w:sz w:val="28"/>
          <w:szCs w:val="28"/>
          <w:highlight w:val="none"/>
          <w:bdr w:val="single" w:color="000000" w:sz="4" w:space="0"/>
        </w:rPr>
      </w:pPr>
      <w:bookmarkStart w:id="206" w:name="_Toc28960"/>
      <w:bookmarkStart w:id="207" w:name="_Toc17986"/>
      <w:r>
        <w:rPr>
          <w:rFonts w:hint="eastAsia" w:ascii="宋体" w:hAnsi="宋体" w:eastAsia="宋体" w:cs="宋体"/>
          <w:b/>
          <w:color w:val="auto"/>
          <w:sz w:val="28"/>
          <w:szCs w:val="28"/>
          <w:highlight w:val="none"/>
        </w:rPr>
        <w:t>一、资信证明格式文件</w:t>
      </w:r>
    </w:p>
    <w:p w14:paraId="615D5DAD">
      <w:pPr>
        <w:jc w:val="center"/>
        <w:rPr>
          <w:rFonts w:ascii="宋体" w:hAnsi="宋体" w:eastAsia="宋体" w:cs="宋体"/>
          <w:color w:val="auto"/>
          <w:sz w:val="20"/>
          <w:highlight w:val="none"/>
        </w:rPr>
      </w:pPr>
    </w:p>
    <w:p w14:paraId="6CB2715A">
      <w:pPr>
        <w:rPr>
          <w:rFonts w:ascii="宋体" w:hAnsi="宋体" w:eastAsia="宋体" w:cs="宋体"/>
          <w:color w:val="auto"/>
          <w:sz w:val="20"/>
          <w:highlight w:val="none"/>
        </w:rPr>
      </w:pPr>
    </w:p>
    <w:p w14:paraId="3DF8B77A">
      <w:pPr>
        <w:jc w:val="center"/>
        <w:rPr>
          <w:rFonts w:ascii="宋体" w:hAnsi="宋体" w:eastAsia="宋体" w:cs="宋体"/>
          <w:b/>
          <w:color w:val="auto"/>
          <w:sz w:val="44"/>
          <w:szCs w:val="44"/>
          <w:highlight w:val="none"/>
        </w:rPr>
      </w:pPr>
      <w:bookmarkStart w:id="208" w:name="_Toc350698753"/>
      <w:bookmarkStart w:id="209" w:name="_Toc449028949"/>
      <w:r>
        <w:rPr>
          <w:rFonts w:hint="eastAsia" w:ascii="宋体" w:hAnsi="宋体" w:eastAsia="宋体" w:cs="宋体"/>
          <w:b/>
          <w:color w:val="auto"/>
          <w:sz w:val="44"/>
          <w:szCs w:val="44"/>
          <w:highlight w:val="none"/>
        </w:rPr>
        <w:t>资信证明文件</w:t>
      </w:r>
      <w:bookmarkEnd w:id="208"/>
      <w:bookmarkEnd w:id="209"/>
    </w:p>
    <w:p w14:paraId="20C1BC5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（投标文件一）</w:t>
      </w:r>
    </w:p>
    <w:p w14:paraId="0814CC95">
      <w:pPr>
        <w:jc w:val="center"/>
        <w:rPr>
          <w:rFonts w:ascii="宋体" w:hAnsi="宋体" w:eastAsia="宋体" w:cs="宋体"/>
          <w:color w:val="auto"/>
          <w:sz w:val="44"/>
          <w:szCs w:val="44"/>
          <w:highlight w:val="none"/>
        </w:rPr>
      </w:pPr>
    </w:p>
    <w:p w14:paraId="10C80AFF">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项目</w:t>
      </w:r>
    </w:p>
    <w:p w14:paraId="571AED05">
      <w:pPr>
        <w:jc w:val="center"/>
        <w:rPr>
          <w:rFonts w:ascii="宋体" w:hAnsi="宋体" w:eastAsia="宋体" w:cs="宋体"/>
          <w:color w:val="auto"/>
          <w:sz w:val="44"/>
          <w:szCs w:val="44"/>
          <w:highlight w:val="none"/>
        </w:rPr>
      </w:pP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u w:val="single"/>
        </w:rPr>
        <w:t xml:space="preserve">     </w:t>
      </w:r>
    </w:p>
    <w:p w14:paraId="6E242CEC">
      <w:pPr>
        <w:rPr>
          <w:rFonts w:ascii="宋体" w:hAnsi="宋体" w:eastAsia="宋体" w:cs="宋体"/>
          <w:color w:val="auto"/>
          <w:sz w:val="28"/>
          <w:szCs w:val="28"/>
          <w:highlight w:val="none"/>
        </w:rPr>
      </w:pPr>
    </w:p>
    <w:p w14:paraId="207E80F7">
      <w:pPr>
        <w:rPr>
          <w:rFonts w:ascii="宋体" w:hAnsi="宋体" w:eastAsia="宋体" w:cs="宋体"/>
          <w:color w:val="auto"/>
          <w:sz w:val="28"/>
          <w:szCs w:val="28"/>
          <w:highlight w:val="none"/>
        </w:rPr>
      </w:pPr>
    </w:p>
    <w:p w14:paraId="2C4BAD49">
      <w:pPr>
        <w:rPr>
          <w:rFonts w:ascii="宋体" w:hAnsi="宋体" w:eastAsia="宋体" w:cs="宋体"/>
          <w:color w:val="auto"/>
          <w:sz w:val="28"/>
          <w:szCs w:val="28"/>
          <w:highlight w:val="none"/>
        </w:rPr>
      </w:pPr>
    </w:p>
    <w:p w14:paraId="046286EB">
      <w:pPr>
        <w:rPr>
          <w:rFonts w:ascii="宋体" w:hAnsi="宋体" w:eastAsia="宋体" w:cs="宋体"/>
          <w:color w:val="auto"/>
          <w:sz w:val="28"/>
          <w:szCs w:val="28"/>
          <w:highlight w:val="none"/>
        </w:rPr>
      </w:pPr>
    </w:p>
    <w:p w14:paraId="05C3A632">
      <w:pPr>
        <w:rPr>
          <w:rFonts w:ascii="宋体" w:hAnsi="宋体" w:eastAsia="宋体" w:cs="宋体"/>
          <w:color w:val="auto"/>
          <w:sz w:val="28"/>
          <w:szCs w:val="28"/>
          <w:highlight w:val="none"/>
        </w:rPr>
      </w:pPr>
    </w:p>
    <w:p w14:paraId="2830F980">
      <w:pPr>
        <w:rPr>
          <w:rFonts w:ascii="宋体" w:hAnsi="宋体" w:eastAsia="宋体" w:cs="宋体"/>
          <w:color w:val="auto"/>
          <w:sz w:val="28"/>
          <w:szCs w:val="28"/>
          <w:highlight w:val="none"/>
        </w:rPr>
      </w:pPr>
    </w:p>
    <w:p w14:paraId="6E8DC9EB">
      <w:pPr>
        <w:rPr>
          <w:rFonts w:ascii="宋体" w:hAnsi="宋体" w:eastAsia="宋体" w:cs="宋体"/>
          <w:color w:val="auto"/>
          <w:sz w:val="28"/>
          <w:szCs w:val="28"/>
          <w:highlight w:val="none"/>
        </w:rPr>
      </w:pPr>
    </w:p>
    <w:p w14:paraId="7B56B3BF">
      <w:pPr>
        <w:jc w:val="center"/>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6F50564F">
      <w:pPr>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6ED9C78B">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47494F49">
      <w:pPr>
        <w:spacing w:line="720" w:lineRule="auto"/>
        <w:jc w:val="center"/>
        <w:rPr>
          <w:rFonts w:ascii="宋体" w:hAnsi="宋体" w:eastAsia="宋体" w:cs="宋体"/>
          <w:b/>
          <w:color w:val="auto"/>
          <w:sz w:val="36"/>
          <w:szCs w:val="36"/>
          <w:highlight w:val="none"/>
        </w:rPr>
      </w:pPr>
    </w:p>
    <w:p w14:paraId="06B50641">
      <w:pPr>
        <w:spacing w:line="400" w:lineRule="exact"/>
        <w:ind w:firstLine="4130" w:firstLineChars="935"/>
        <w:rPr>
          <w:rFonts w:ascii="宋体" w:hAnsi="宋体" w:eastAsia="宋体" w:cs="宋体"/>
          <w:b/>
          <w:color w:val="auto"/>
          <w:sz w:val="44"/>
          <w:szCs w:val="44"/>
          <w:highlight w:val="none"/>
        </w:rPr>
      </w:pPr>
    </w:p>
    <w:p w14:paraId="5FC5B420">
      <w:pPr>
        <w:pageBreakBefore/>
        <w:jc w:val="center"/>
        <w:rPr>
          <w:rFonts w:ascii="宋体" w:hAnsi="宋体" w:eastAsia="宋体" w:cs="宋体"/>
          <w:b/>
          <w:color w:val="auto"/>
          <w:sz w:val="44"/>
          <w:szCs w:val="44"/>
          <w:highlight w:val="none"/>
        </w:rPr>
      </w:pPr>
      <w:r>
        <w:rPr>
          <w:rFonts w:hint="eastAsia" w:ascii="宋体" w:hAnsi="宋体" w:eastAsia="宋体" w:cs="宋体"/>
          <w:b/>
          <w:color w:val="auto"/>
          <w:sz w:val="36"/>
          <w:szCs w:val="36"/>
          <w:highlight w:val="none"/>
        </w:rPr>
        <w:t>目   录</w:t>
      </w:r>
    </w:p>
    <w:p w14:paraId="3248B239">
      <w:pPr>
        <w:spacing w:line="440" w:lineRule="exact"/>
        <w:rPr>
          <w:rFonts w:ascii="宋体" w:hAnsi="宋体" w:eastAsia="宋体" w:cs="宋体"/>
          <w:color w:val="auto"/>
          <w:sz w:val="24"/>
          <w:szCs w:val="24"/>
          <w:highlight w:val="none"/>
        </w:rPr>
      </w:pPr>
    </w:p>
    <w:p w14:paraId="6611B915">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（1）投标人资格声明书（格式见附件）；</w:t>
      </w:r>
    </w:p>
    <w:p w14:paraId="0C9B9EC9">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（2）授权书（格式见附件）；   </w:t>
      </w:r>
    </w:p>
    <w:p w14:paraId="7C6A85FA">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（3）投标人为企业（包括合伙企业）的，应提供有效的“营业执照”；</w:t>
      </w:r>
    </w:p>
    <w:p w14:paraId="52ACEAD2">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投标人为事业单位的，应提供有效的“事业单位法人证书”；</w:t>
      </w:r>
    </w:p>
    <w:p w14:paraId="662D8FB3">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投标人是非企业机构的，应提供有效的“执业许可证”、“登记证书”等证明文件；</w:t>
      </w:r>
    </w:p>
    <w:p w14:paraId="5651CA7D">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投标人是个体工商户的，应提供有效的“个体工商户营业执照”；</w:t>
      </w:r>
    </w:p>
    <w:p w14:paraId="437603F8">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投标人是自然人的，应提供有效的自然人身份证明；</w:t>
      </w:r>
    </w:p>
    <w:p w14:paraId="25F0274A">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）中小企业声明函，残疾人福利性企业（格式见附件）；</w:t>
      </w:r>
    </w:p>
    <w:p w14:paraId="01C51051">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省级以上监狱管理局、戒毒管理局（含新疆生产建设兵团）出具的属于监狱企业的证明（如是）；</w:t>
      </w:r>
    </w:p>
    <w:p w14:paraId="2FE8607A">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）招标文件中要求的资信评审和资信评分的支持资料；</w:t>
      </w:r>
    </w:p>
    <w:p w14:paraId="2C502210">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）投标人认为需要提供的其他资信证明材料。</w:t>
      </w:r>
    </w:p>
    <w:p w14:paraId="2BA42F57">
      <w:pPr>
        <w:pageBreakBefore/>
        <w:spacing w:line="440" w:lineRule="exact"/>
        <w:jc w:val="center"/>
        <w:outlineLvl w:val="1"/>
        <w:rPr>
          <w:rFonts w:ascii="宋体" w:hAnsi="宋体" w:eastAsia="宋体" w:cs="宋体"/>
          <w:b/>
          <w:color w:val="auto"/>
          <w:sz w:val="24"/>
          <w:highlight w:val="none"/>
        </w:rPr>
      </w:pPr>
      <w:bookmarkStart w:id="210" w:name="_Toc8282"/>
      <w:bookmarkStart w:id="211" w:name="_Toc18881"/>
      <w:r>
        <w:rPr>
          <w:rFonts w:hint="eastAsia" w:ascii="宋体" w:hAnsi="宋体" w:eastAsia="宋体" w:cs="宋体"/>
          <w:b/>
          <w:color w:val="auto"/>
          <w:sz w:val="24"/>
          <w:highlight w:val="none"/>
        </w:rPr>
        <w:t>（1）投标人资格声明书</w:t>
      </w:r>
      <w:bookmarkEnd w:id="210"/>
      <w:bookmarkEnd w:id="211"/>
      <w:r>
        <w:rPr>
          <w:rFonts w:hint="eastAsia" w:ascii="宋体" w:hAnsi="宋体" w:eastAsia="宋体" w:cs="宋体"/>
          <w:b/>
          <w:color w:val="auto"/>
          <w:sz w:val="24"/>
          <w:highlight w:val="none"/>
        </w:rPr>
        <w:t xml:space="preserve"> </w:t>
      </w:r>
    </w:p>
    <w:p w14:paraId="0C57983E">
      <w:pPr>
        <w:pStyle w:val="14"/>
        <w:spacing w:line="440" w:lineRule="exact"/>
        <w:rPr>
          <w:rFonts w:ascii="宋体" w:hAnsi="宋体" w:cs="宋体"/>
          <w:color w:val="auto"/>
          <w:sz w:val="24"/>
          <w:szCs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采购人</w:t>
      </w:r>
    </w:p>
    <w:p w14:paraId="5F2EA7C6">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在参与本次项目投标中，我单位承诺：</w:t>
      </w:r>
    </w:p>
    <w:p w14:paraId="7D6AFE9E">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25E6524A">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8F68B34">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6B60BB96">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705ADA9">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（五）我单位不属于政府采购法律、行政法规规定的公益一类事业单位、或使用事业编制且由财政拨款保障的群团组织（仅适用于政府购买服务项目）； </w:t>
      </w:r>
    </w:p>
    <w:p w14:paraId="51BA5D1E">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（六）我单位不存在为采购项目提供整体设计、规范编制或者项目管理、监理、检测等服务后，再参加该采购项目的其他采购活动的情形（单一来源采购项目除外）；</w:t>
      </w:r>
    </w:p>
    <w:p w14:paraId="297547CA">
      <w:pPr>
        <w:widowControl/>
        <w:spacing w:line="440" w:lineRule="exact"/>
        <w:ind w:firstLine="480" w:firstLineChars="200"/>
        <w:jc w:val="left"/>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（七）与我单位存在单位负责人为同一人或者存在直接控股、管理关系的其他法人单位信息如下（如有，不论其是否参加同一合同项下的政府采购活动均须填写）：</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3548"/>
      </w:tblGrid>
      <w:tr w14:paraId="2F01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840" w:type="dxa"/>
          </w:tcPr>
          <w:p w14:paraId="505755CE">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序号</w:t>
            </w:r>
          </w:p>
        </w:tc>
        <w:tc>
          <w:tcPr>
            <w:tcW w:w="2841" w:type="dxa"/>
          </w:tcPr>
          <w:p w14:paraId="2C81F640">
            <w:pPr>
              <w:pStyle w:val="10"/>
              <w:keepNext w:val="0"/>
              <w:keepLines w:val="0"/>
              <w:pageBreakBefore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单位名称</w:t>
            </w:r>
          </w:p>
        </w:tc>
        <w:tc>
          <w:tcPr>
            <w:tcW w:w="3548" w:type="dxa"/>
          </w:tcPr>
          <w:p w14:paraId="22473735">
            <w:pPr>
              <w:pStyle w:val="10"/>
              <w:keepNext w:val="0"/>
              <w:keepLines w:val="0"/>
              <w:pageBreakBefore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相互关系</w:t>
            </w:r>
          </w:p>
        </w:tc>
      </w:tr>
      <w:tr w14:paraId="3A46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6AF405E">
            <w:pPr>
              <w:pStyle w:val="10"/>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1</w:t>
            </w:r>
          </w:p>
        </w:tc>
        <w:tc>
          <w:tcPr>
            <w:tcW w:w="2841" w:type="dxa"/>
          </w:tcPr>
          <w:p w14:paraId="429D755E">
            <w:pPr>
              <w:pStyle w:val="10"/>
              <w:spacing w:before="156" w:beforeLines="50" w:after="10" w:line="440" w:lineRule="exact"/>
              <w:jc w:val="center"/>
              <w:rPr>
                <w:rFonts w:ascii="宋体" w:hAnsi="宋体" w:eastAsia="宋体" w:cs="宋体"/>
                <w:color w:val="auto"/>
                <w:kern w:val="0"/>
                <w:sz w:val="24"/>
                <w:highlight w:val="none"/>
                <w:lang w:val="en-US" w:bidi="ar"/>
              </w:rPr>
            </w:pPr>
          </w:p>
        </w:tc>
        <w:tc>
          <w:tcPr>
            <w:tcW w:w="3548" w:type="dxa"/>
          </w:tcPr>
          <w:p w14:paraId="30F9A0F8">
            <w:pPr>
              <w:pStyle w:val="10"/>
              <w:spacing w:before="156" w:beforeLines="50" w:after="10" w:line="440" w:lineRule="exact"/>
              <w:jc w:val="center"/>
              <w:rPr>
                <w:rFonts w:ascii="宋体" w:hAnsi="宋体" w:eastAsia="宋体" w:cs="宋体"/>
                <w:color w:val="auto"/>
                <w:kern w:val="0"/>
                <w:sz w:val="24"/>
                <w:highlight w:val="none"/>
                <w:lang w:val="en-US" w:bidi="ar"/>
              </w:rPr>
            </w:pPr>
          </w:p>
        </w:tc>
      </w:tr>
      <w:tr w14:paraId="4623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9CA6060">
            <w:pPr>
              <w:pStyle w:val="10"/>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2</w:t>
            </w:r>
          </w:p>
        </w:tc>
        <w:tc>
          <w:tcPr>
            <w:tcW w:w="2841" w:type="dxa"/>
          </w:tcPr>
          <w:p w14:paraId="17548569">
            <w:pPr>
              <w:pStyle w:val="10"/>
              <w:spacing w:before="156" w:beforeLines="50" w:after="10" w:line="440" w:lineRule="exact"/>
              <w:jc w:val="center"/>
              <w:rPr>
                <w:rFonts w:ascii="宋体" w:hAnsi="宋体" w:eastAsia="宋体" w:cs="宋体"/>
                <w:color w:val="auto"/>
                <w:kern w:val="0"/>
                <w:sz w:val="24"/>
                <w:highlight w:val="none"/>
                <w:lang w:val="en-US" w:bidi="ar"/>
              </w:rPr>
            </w:pPr>
          </w:p>
        </w:tc>
        <w:tc>
          <w:tcPr>
            <w:tcW w:w="3548" w:type="dxa"/>
          </w:tcPr>
          <w:p w14:paraId="26688813">
            <w:pPr>
              <w:pStyle w:val="10"/>
              <w:spacing w:before="156" w:beforeLines="50" w:after="10" w:line="440" w:lineRule="exact"/>
              <w:jc w:val="center"/>
              <w:rPr>
                <w:rFonts w:ascii="宋体" w:hAnsi="宋体" w:eastAsia="宋体" w:cs="宋体"/>
                <w:color w:val="auto"/>
                <w:kern w:val="0"/>
                <w:sz w:val="24"/>
                <w:highlight w:val="none"/>
                <w:lang w:val="en-US" w:bidi="ar"/>
              </w:rPr>
            </w:pPr>
          </w:p>
        </w:tc>
      </w:tr>
    </w:tbl>
    <w:p w14:paraId="5475BF4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7198789E">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6B915C40">
      <w:pPr>
        <w:tabs>
          <w:tab w:val="left" w:pos="630"/>
        </w:tabs>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1127C948">
      <w:pPr>
        <w:spacing w:line="440" w:lineRule="exact"/>
        <w:rPr>
          <w:rFonts w:ascii="宋体" w:hAnsi="宋体" w:eastAsia="宋体" w:cs="宋体"/>
          <w:b/>
          <w:color w:val="auto"/>
          <w:sz w:val="24"/>
          <w:highlight w:val="none"/>
        </w:rPr>
      </w:pPr>
      <w:bookmarkStart w:id="212" w:name="_Toc11607"/>
      <w:r>
        <w:rPr>
          <w:rFonts w:hint="eastAsia" w:ascii="宋体" w:hAnsi="宋体" w:eastAsia="宋体" w:cs="宋体"/>
          <w:b/>
          <w:color w:val="auto"/>
          <w:sz w:val="24"/>
          <w:highlight w:val="none"/>
        </w:rPr>
        <w:br w:type="page"/>
      </w:r>
    </w:p>
    <w:p w14:paraId="253E2606">
      <w:pPr>
        <w:spacing w:line="440" w:lineRule="exact"/>
        <w:jc w:val="center"/>
        <w:outlineLvl w:val="1"/>
        <w:rPr>
          <w:rFonts w:ascii="宋体" w:hAnsi="宋体" w:eastAsia="宋体" w:cs="宋体"/>
          <w:b/>
          <w:color w:val="auto"/>
          <w:sz w:val="24"/>
          <w:highlight w:val="none"/>
        </w:rPr>
      </w:pPr>
      <w:bookmarkStart w:id="213" w:name="_Toc24583"/>
      <w:bookmarkStart w:id="214" w:name="_Toc15198"/>
      <w:r>
        <w:rPr>
          <w:rFonts w:hint="eastAsia" w:ascii="宋体" w:hAnsi="宋体" w:eastAsia="宋体" w:cs="宋体"/>
          <w:b/>
          <w:color w:val="auto"/>
          <w:sz w:val="24"/>
          <w:highlight w:val="none"/>
        </w:rPr>
        <w:t>（2）授权书</w:t>
      </w:r>
      <w:bookmarkEnd w:id="212"/>
      <w:bookmarkEnd w:id="213"/>
      <w:bookmarkEnd w:id="214"/>
    </w:p>
    <w:p w14:paraId="0F1AB091">
      <w:pPr>
        <w:pStyle w:val="13"/>
        <w:snapToGrid w:val="0"/>
        <w:spacing w:line="440" w:lineRule="exact"/>
        <w:ind w:firstLine="480" w:firstLineChars="200"/>
        <w:jc w:val="left"/>
        <w:rPr>
          <w:rFonts w:hAnsi="宋体" w:eastAsia="宋体" w:cs="宋体"/>
          <w:color w:val="auto"/>
          <w:sz w:val="24"/>
          <w:szCs w:val="28"/>
          <w:highlight w:val="none"/>
        </w:rPr>
      </w:pPr>
    </w:p>
    <w:p w14:paraId="2721BE01">
      <w:pPr>
        <w:spacing w:line="440" w:lineRule="exact"/>
        <w:ind w:firstLine="435"/>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本</w:t>
      </w:r>
      <w:r>
        <w:rPr>
          <w:rFonts w:hint="eastAsia" w:ascii="宋体" w:hAnsi="宋体" w:eastAsia="宋体" w:cs="宋体"/>
          <w:color w:val="auto"/>
          <w:sz w:val="24"/>
          <w:highlight w:val="none"/>
        </w:rPr>
        <w:t>授权</w:t>
      </w:r>
      <w:r>
        <w:rPr>
          <w:rFonts w:hint="eastAsia" w:ascii="宋体" w:hAnsi="宋体" w:eastAsia="宋体" w:cs="宋体"/>
          <w:color w:val="auto"/>
          <w:sz w:val="24"/>
          <w:szCs w:val="28"/>
          <w:highlight w:val="none"/>
        </w:rPr>
        <w:t>书声明：</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（投标人名称）授权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（投标人授权代表姓名）代表我方参加本项目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22B4990D">
      <w:pPr>
        <w:spacing w:line="440" w:lineRule="exact"/>
        <w:ind w:firstLine="435"/>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14:paraId="612D73E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szCs w:val="28"/>
          <w:highlight w:val="none"/>
        </w:rPr>
        <w:t>授权</w:t>
      </w:r>
      <w:r>
        <w:rPr>
          <w:rFonts w:hint="eastAsia" w:ascii="宋体" w:hAnsi="宋体" w:eastAsia="宋体" w:cs="宋体"/>
          <w:color w:val="auto"/>
          <w:sz w:val="24"/>
          <w:highlight w:val="none"/>
        </w:rPr>
        <w:t>代表身份证明扫描件：</w:t>
      </w:r>
    </w:p>
    <w:p w14:paraId="20F41E97">
      <w:pPr>
        <w:spacing w:line="440" w:lineRule="exact"/>
        <w:ind w:firstLine="435"/>
        <w:rPr>
          <w:rFonts w:ascii="宋体" w:hAnsi="宋体" w:eastAsia="宋体" w:cs="宋体"/>
          <w:color w:val="auto"/>
          <w:sz w:val="24"/>
          <w:highlight w:val="none"/>
        </w:rPr>
      </w:pPr>
    </w:p>
    <w:p w14:paraId="5E498361">
      <w:pPr>
        <w:spacing w:line="440" w:lineRule="exact"/>
        <w:ind w:firstLine="435"/>
        <w:rPr>
          <w:rFonts w:ascii="宋体" w:hAnsi="宋体" w:eastAsia="宋体" w:cs="宋体"/>
          <w:color w:val="auto"/>
          <w:sz w:val="24"/>
          <w:highlight w:val="none"/>
        </w:rPr>
      </w:pPr>
    </w:p>
    <w:p w14:paraId="3E82C206">
      <w:pPr>
        <w:spacing w:line="440" w:lineRule="exact"/>
        <w:ind w:firstLine="435"/>
        <w:rPr>
          <w:rFonts w:ascii="宋体" w:hAnsi="宋体" w:eastAsia="宋体" w:cs="宋体"/>
          <w:color w:val="auto"/>
          <w:sz w:val="24"/>
          <w:highlight w:val="none"/>
        </w:rPr>
      </w:pPr>
    </w:p>
    <w:p w14:paraId="72EE6D9B">
      <w:pPr>
        <w:spacing w:line="440" w:lineRule="exact"/>
        <w:ind w:firstLine="435"/>
        <w:rPr>
          <w:rFonts w:ascii="宋体" w:hAnsi="宋体" w:eastAsia="宋体" w:cs="宋体"/>
          <w:color w:val="auto"/>
          <w:sz w:val="24"/>
          <w:szCs w:val="28"/>
          <w:highlight w:val="none"/>
          <w:u w:val="single"/>
          <w:lang w:val="zh-CN"/>
        </w:rPr>
      </w:pPr>
      <w:r>
        <w:rPr>
          <w:rFonts w:hint="eastAsia" w:ascii="宋体" w:hAnsi="宋体" w:eastAsia="宋体" w:cs="宋体"/>
          <w:color w:val="auto"/>
          <w:sz w:val="24"/>
          <w:szCs w:val="28"/>
          <w:highlight w:val="none"/>
        </w:rPr>
        <w:t>授权代表联系方式：</w:t>
      </w:r>
      <w:r>
        <w:rPr>
          <w:rFonts w:hint="eastAsia" w:ascii="宋体" w:hAnsi="宋体" w:eastAsia="宋体" w:cs="宋体"/>
          <w:color w:val="auto"/>
          <w:sz w:val="24"/>
          <w:szCs w:val="28"/>
          <w:highlight w:val="none"/>
          <w:u w:val="single"/>
        </w:rPr>
        <w:t xml:space="preserve">          （请填写手机号码）</w:t>
      </w:r>
    </w:p>
    <w:p w14:paraId="569957B5">
      <w:pPr>
        <w:spacing w:line="440" w:lineRule="exact"/>
        <w:ind w:firstLine="435"/>
        <w:rPr>
          <w:rFonts w:ascii="宋体" w:hAnsi="宋体" w:eastAsia="宋体" w:cs="宋体"/>
          <w:color w:val="auto"/>
          <w:sz w:val="24"/>
          <w:szCs w:val="28"/>
          <w:highlight w:val="none"/>
          <w:lang w:val="zh-CN"/>
        </w:rPr>
      </w:pPr>
    </w:p>
    <w:p w14:paraId="0192DE5A">
      <w:pPr>
        <w:spacing w:line="440" w:lineRule="exact"/>
        <w:ind w:firstLine="435"/>
        <w:rPr>
          <w:rFonts w:ascii="宋体" w:hAnsi="宋体" w:eastAsia="宋体" w:cs="宋体"/>
          <w:color w:val="auto"/>
          <w:sz w:val="24"/>
          <w:szCs w:val="28"/>
          <w:highlight w:val="none"/>
        </w:rPr>
      </w:pPr>
      <w:r>
        <w:rPr>
          <w:rFonts w:hint="eastAsia" w:ascii="宋体" w:hAnsi="宋体" w:eastAsia="宋体" w:cs="宋体"/>
          <w:color w:val="auto"/>
          <w:sz w:val="24"/>
          <w:highlight w:val="none"/>
        </w:rPr>
        <w:t>特此</w:t>
      </w:r>
      <w:r>
        <w:rPr>
          <w:rFonts w:hint="eastAsia" w:ascii="宋体" w:hAnsi="宋体" w:eastAsia="宋体" w:cs="宋体"/>
          <w:color w:val="auto"/>
          <w:sz w:val="24"/>
          <w:szCs w:val="28"/>
          <w:highlight w:val="none"/>
        </w:rPr>
        <w:t>声明。</w:t>
      </w:r>
    </w:p>
    <w:p w14:paraId="4C2E7BDC">
      <w:pPr>
        <w:spacing w:line="440" w:lineRule="exact"/>
        <w:rPr>
          <w:rFonts w:ascii="宋体" w:hAnsi="宋体" w:eastAsia="宋体" w:cs="宋体"/>
          <w:color w:val="auto"/>
          <w:sz w:val="24"/>
          <w:szCs w:val="28"/>
          <w:highlight w:val="none"/>
        </w:rPr>
      </w:pPr>
    </w:p>
    <w:p w14:paraId="744A8DEA">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7199F133">
      <w:pPr>
        <w:tabs>
          <w:tab w:val="left" w:pos="630"/>
        </w:tabs>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F846FCE">
      <w:pPr>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注：</w:t>
      </w:r>
    </w:p>
    <w:p w14:paraId="2DF9950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1.本项目只允许有唯一的投标人授权代表，提供身份证明扫描件；</w:t>
      </w:r>
    </w:p>
    <w:p w14:paraId="4B4904A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2.法定代表人参加投标的无需提供授权书，提供身份证明扫描件。</w:t>
      </w:r>
    </w:p>
    <w:p w14:paraId="4435FF43">
      <w:pPr>
        <w:pageBreakBefore/>
        <w:spacing w:line="440" w:lineRule="exact"/>
        <w:jc w:val="center"/>
        <w:outlineLvl w:val="1"/>
        <w:rPr>
          <w:rFonts w:ascii="宋体" w:hAnsi="宋体" w:eastAsia="宋体" w:cs="宋体"/>
          <w:color w:val="auto"/>
          <w:sz w:val="24"/>
          <w:szCs w:val="24"/>
          <w:highlight w:val="none"/>
        </w:rPr>
      </w:pPr>
      <w:bookmarkStart w:id="215" w:name="_Toc31027"/>
      <w:bookmarkStart w:id="216" w:name="_Toc32226"/>
      <w:bookmarkStart w:id="217" w:name="_Toc30551"/>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w:t>
      </w:r>
      <w:bookmarkEnd w:id="215"/>
      <w:bookmarkEnd w:id="216"/>
      <w:bookmarkStart w:id="218" w:name="_Toc23068"/>
      <w:r>
        <w:rPr>
          <w:rFonts w:hint="eastAsia" w:ascii="宋体" w:hAnsi="宋体" w:eastAsia="宋体" w:cs="宋体"/>
          <w:b/>
          <w:color w:val="auto"/>
          <w:sz w:val="24"/>
          <w:highlight w:val="none"/>
        </w:rPr>
        <w:t>中小企业声明函</w:t>
      </w:r>
      <w:bookmarkEnd w:id="217"/>
      <w:bookmarkEnd w:id="218"/>
    </w:p>
    <w:p w14:paraId="2C5CA8C4">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lang w:val="zh-CN"/>
        </w:rPr>
        <w:t>单位</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lang w:val="zh-CN"/>
        </w:rPr>
        <w:t>）的（</w:t>
      </w:r>
      <w:r>
        <w:rPr>
          <w:rFonts w:hint="eastAsia" w:ascii="宋体" w:hAnsi="宋体" w:eastAsia="宋体" w:cs="宋体"/>
          <w:color w:val="auto"/>
          <w:sz w:val="24"/>
          <w:szCs w:val="24"/>
          <w:highlight w:val="none"/>
          <w:u w:val="single"/>
          <w:lang w:val="zh-CN"/>
        </w:rPr>
        <w:t>项目</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0247E9A6">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u w:val="single"/>
          <w:lang w:val="zh-CN"/>
        </w:rPr>
        <w:t xml:space="preserve"> （标的名称） </w:t>
      </w:r>
      <w:r>
        <w:rPr>
          <w:rFonts w:hint="eastAsia" w:ascii="宋体" w:hAnsi="宋体" w:eastAsia="宋体" w:cs="宋体"/>
          <w:color w:val="auto"/>
          <w:sz w:val="24"/>
          <w:szCs w:val="24"/>
          <w:highlight w:val="none"/>
          <w:lang w:val="zh-CN"/>
        </w:rPr>
        <w:t>，属于</w:t>
      </w:r>
      <w:r>
        <w:rPr>
          <w:rFonts w:hint="eastAsia" w:ascii="宋体" w:hAnsi="宋体" w:eastAsia="宋体" w:cs="宋体"/>
          <w:color w:val="auto"/>
          <w:sz w:val="24"/>
          <w:szCs w:val="24"/>
          <w:highlight w:val="none"/>
          <w:u w:val="single"/>
          <w:lang w:val="zh-CN"/>
        </w:rPr>
        <w:t>（采购文件中明确的所属行业）</w:t>
      </w:r>
      <w:r>
        <w:rPr>
          <w:rFonts w:hint="eastAsia" w:ascii="宋体" w:hAnsi="宋体" w:eastAsia="宋体" w:cs="宋体"/>
          <w:color w:val="auto"/>
          <w:sz w:val="24"/>
          <w:szCs w:val="24"/>
          <w:highlight w:val="none"/>
          <w:lang w:val="zh-CN"/>
        </w:rPr>
        <w:t>行业；承接企业为</w:t>
      </w:r>
      <w:r>
        <w:rPr>
          <w:rFonts w:hint="eastAsia" w:ascii="宋体" w:hAnsi="宋体" w:eastAsia="宋体" w:cs="宋体"/>
          <w:color w:val="auto"/>
          <w:sz w:val="24"/>
          <w:szCs w:val="24"/>
          <w:highlight w:val="none"/>
          <w:u w:val="single"/>
          <w:lang w:val="zh-CN"/>
        </w:rPr>
        <w:t>（企业名称）</w:t>
      </w:r>
      <w:r>
        <w:rPr>
          <w:rFonts w:hint="eastAsia" w:ascii="宋体" w:hAnsi="宋体" w:eastAsia="宋体" w:cs="宋体"/>
          <w:color w:val="auto"/>
          <w:sz w:val="24"/>
          <w:szCs w:val="24"/>
          <w:highlight w:val="none"/>
          <w:lang w:val="zh-CN"/>
        </w:rPr>
        <w:t>，从业人员</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人，营业收入为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万元，资产总额为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万元，属于</w:t>
      </w:r>
      <w:r>
        <w:rPr>
          <w:rFonts w:hint="eastAsia" w:ascii="宋体" w:hAnsi="宋体" w:eastAsia="宋体" w:cs="宋体"/>
          <w:color w:val="auto"/>
          <w:sz w:val="24"/>
          <w:szCs w:val="24"/>
          <w:highlight w:val="none"/>
          <w:u w:val="single"/>
          <w:lang w:val="zh-CN"/>
        </w:rPr>
        <w:t>（中型企业、小型企业、微型企业）</w:t>
      </w:r>
      <w:r>
        <w:rPr>
          <w:rFonts w:hint="eastAsia" w:ascii="宋体" w:hAnsi="宋体" w:eastAsia="宋体" w:cs="宋体"/>
          <w:color w:val="auto"/>
          <w:sz w:val="24"/>
          <w:szCs w:val="24"/>
          <w:highlight w:val="none"/>
          <w:lang w:val="zh-CN"/>
        </w:rPr>
        <w:t xml:space="preserve">； </w:t>
      </w:r>
    </w:p>
    <w:p w14:paraId="0EB2EA17">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u w:val="single"/>
          <w:lang w:val="zh-CN"/>
        </w:rPr>
        <w:t xml:space="preserve"> （标的名称） </w:t>
      </w:r>
      <w:r>
        <w:rPr>
          <w:rFonts w:hint="eastAsia" w:ascii="宋体" w:hAnsi="宋体" w:eastAsia="宋体" w:cs="宋体"/>
          <w:color w:val="auto"/>
          <w:sz w:val="24"/>
          <w:szCs w:val="24"/>
          <w:highlight w:val="none"/>
          <w:lang w:val="zh-CN"/>
        </w:rPr>
        <w:t>，属于</w:t>
      </w:r>
      <w:r>
        <w:rPr>
          <w:rFonts w:hint="eastAsia" w:ascii="宋体" w:hAnsi="宋体" w:eastAsia="宋体" w:cs="宋体"/>
          <w:color w:val="auto"/>
          <w:sz w:val="24"/>
          <w:szCs w:val="24"/>
          <w:highlight w:val="none"/>
          <w:u w:val="single"/>
          <w:lang w:val="zh-CN"/>
        </w:rPr>
        <w:t>（采购文件中明确的所属行业）</w:t>
      </w:r>
      <w:r>
        <w:rPr>
          <w:rFonts w:hint="eastAsia" w:ascii="宋体" w:hAnsi="宋体" w:eastAsia="宋体" w:cs="宋体"/>
          <w:color w:val="auto"/>
          <w:sz w:val="24"/>
          <w:szCs w:val="24"/>
          <w:highlight w:val="none"/>
          <w:lang w:val="zh-CN"/>
        </w:rPr>
        <w:t>行业；承接企业为</w:t>
      </w:r>
      <w:r>
        <w:rPr>
          <w:rFonts w:hint="eastAsia" w:ascii="宋体" w:hAnsi="宋体" w:eastAsia="宋体" w:cs="宋体"/>
          <w:color w:val="auto"/>
          <w:sz w:val="24"/>
          <w:szCs w:val="24"/>
          <w:highlight w:val="none"/>
          <w:u w:val="single"/>
          <w:lang w:val="zh-CN"/>
        </w:rPr>
        <w:t>（企业名称）</w:t>
      </w:r>
      <w:r>
        <w:rPr>
          <w:rFonts w:hint="eastAsia" w:ascii="宋体" w:hAnsi="宋体" w:eastAsia="宋体" w:cs="宋体"/>
          <w:color w:val="auto"/>
          <w:sz w:val="24"/>
          <w:szCs w:val="24"/>
          <w:highlight w:val="none"/>
          <w:lang w:val="zh-CN"/>
        </w:rPr>
        <w:t>，从业人员</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人，营业收入为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万元，资产总额为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万元，属于</w:t>
      </w:r>
      <w:r>
        <w:rPr>
          <w:rFonts w:hint="eastAsia" w:ascii="宋体" w:hAnsi="宋体" w:eastAsia="宋体" w:cs="宋体"/>
          <w:color w:val="auto"/>
          <w:sz w:val="24"/>
          <w:szCs w:val="24"/>
          <w:highlight w:val="none"/>
          <w:u w:val="single"/>
          <w:lang w:val="zh-CN"/>
        </w:rPr>
        <w:t>（中型企业、小型企业、微型企业）</w:t>
      </w:r>
      <w:r>
        <w:rPr>
          <w:rFonts w:hint="eastAsia" w:ascii="宋体" w:hAnsi="宋体" w:eastAsia="宋体" w:cs="宋体"/>
          <w:color w:val="auto"/>
          <w:sz w:val="24"/>
          <w:szCs w:val="24"/>
          <w:highlight w:val="none"/>
          <w:lang w:val="zh-CN"/>
        </w:rPr>
        <w:t xml:space="preserve">； </w:t>
      </w:r>
    </w:p>
    <w:p w14:paraId="4837AD8D">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w:t>
      </w:r>
    </w:p>
    <w:p w14:paraId="41D3B37E">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以上企业，不属于大企业的分支机构，不存在控股股东为大企业的情形，也不存在与大企业的负责人为同一人的情形。</w:t>
      </w:r>
    </w:p>
    <w:p w14:paraId="7459ABDD">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本企业对上述声明内容的真实性负责。如有虚假，将依法承担相应责任。 </w:t>
      </w:r>
    </w:p>
    <w:p w14:paraId="4376ECBA">
      <w:pPr>
        <w:spacing w:line="440" w:lineRule="exact"/>
        <w:ind w:firstLine="435"/>
        <w:rPr>
          <w:rFonts w:ascii="宋体" w:hAnsi="宋体" w:eastAsia="宋体" w:cs="宋体"/>
          <w:color w:val="auto"/>
          <w:sz w:val="24"/>
          <w:szCs w:val="24"/>
          <w:highlight w:val="none"/>
        </w:rPr>
      </w:pPr>
    </w:p>
    <w:p w14:paraId="21B113E0">
      <w:pPr>
        <w:spacing w:line="440" w:lineRule="exact"/>
        <w:ind w:firstLine="4228" w:firstLineChars="176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投标人电子签章：</w:t>
      </w:r>
      <w:r>
        <w:rPr>
          <w:rFonts w:hint="eastAsia" w:ascii="宋体" w:hAnsi="宋体" w:eastAsia="宋体" w:cs="宋体"/>
          <w:color w:val="auto"/>
          <w:sz w:val="24"/>
          <w:szCs w:val="24"/>
          <w:highlight w:val="none"/>
          <w:u w:val="single"/>
        </w:rPr>
        <w:t xml:space="preserve">             </w:t>
      </w:r>
    </w:p>
    <w:p w14:paraId="0988D2F5">
      <w:pPr>
        <w:tabs>
          <w:tab w:val="left" w:pos="4620"/>
        </w:tabs>
        <w:spacing w:line="440" w:lineRule="exact"/>
        <w:ind w:firstLine="4252" w:firstLineChars="177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p>
    <w:p w14:paraId="24C66DCA">
      <w:pPr>
        <w:tabs>
          <w:tab w:val="left" w:pos="4620"/>
        </w:tabs>
        <w:spacing w:line="440" w:lineRule="exact"/>
        <w:jc w:val="left"/>
        <w:rPr>
          <w:rFonts w:ascii="宋体" w:hAnsi="宋体" w:eastAsia="宋体" w:cs="宋体"/>
          <w:b/>
          <w:color w:val="auto"/>
          <w:szCs w:val="24"/>
          <w:highlight w:val="none"/>
        </w:rPr>
      </w:pPr>
      <w:r>
        <w:rPr>
          <w:rFonts w:hint="eastAsia" w:ascii="宋体" w:hAnsi="宋体" w:eastAsia="宋体" w:cs="宋体"/>
          <w:b/>
          <w:color w:val="auto"/>
          <w:szCs w:val="24"/>
          <w:highlight w:val="none"/>
        </w:rPr>
        <w:t>注：</w:t>
      </w:r>
    </w:p>
    <w:p w14:paraId="4621B4F3">
      <w:pPr>
        <w:tabs>
          <w:tab w:val="left" w:pos="4620"/>
        </w:tabs>
        <w:spacing w:line="440" w:lineRule="exact"/>
        <w:rPr>
          <w:rFonts w:ascii="宋体" w:hAnsi="宋体" w:eastAsia="宋体" w:cs="宋体"/>
          <w:color w:val="auto"/>
          <w:szCs w:val="24"/>
          <w:highlight w:val="none"/>
        </w:rPr>
      </w:pPr>
      <w:r>
        <w:rPr>
          <w:rFonts w:hint="eastAsia" w:ascii="宋体" w:hAnsi="宋体" w:eastAsia="宋体" w:cs="宋体"/>
          <w:color w:val="auto"/>
          <w:szCs w:val="24"/>
          <w:highlight w:val="none"/>
        </w:rPr>
        <w:t>1.从业人员、营业收入、资产总额填报上一年数据，无上一年数据的新成立企业可不填报。</w:t>
      </w:r>
    </w:p>
    <w:p w14:paraId="515528E0">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56057B47">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39127741">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377308D">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w:t>
      </w:r>
      <w:r>
        <w:rPr>
          <w:rFonts w:hint="eastAsia" w:ascii="宋体" w:hAnsi="宋体" w:eastAsia="宋体" w:cs="宋体"/>
          <w:b/>
          <w:bCs/>
          <w:color w:val="auto"/>
          <w:szCs w:val="21"/>
          <w:highlight w:val="none"/>
          <w:u w:val="single"/>
          <w:lang w:eastAsia="zh-CN"/>
        </w:rPr>
        <w:t>其他未列明行业</w:t>
      </w:r>
      <w:r>
        <w:rPr>
          <w:rFonts w:hint="eastAsia" w:ascii="宋体" w:hAnsi="宋体" w:eastAsia="宋体" w:cs="宋体"/>
          <w:b/>
          <w:bCs/>
          <w:color w:val="auto"/>
          <w:szCs w:val="21"/>
          <w:highlight w:val="none"/>
          <w:u w:val="single"/>
        </w:rPr>
        <w:t>）</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12225ECA">
      <w:pPr>
        <w:spacing w:line="440" w:lineRule="exact"/>
        <w:rPr>
          <w:rFonts w:ascii="宋体" w:hAnsi="宋体" w:eastAsia="宋体" w:cs="宋体"/>
          <w:b/>
          <w:color w:val="auto"/>
          <w:sz w:val="24"/>
          <w:highlight w:val="none"/>
        </w:rPr>
      </w:pPr>
      <w:bookmarkStart w:id="219" w:name="_Toc16713"/>
      <w:r>
        <w:rPr>
          <w:rFonts w:hint="eastAsia" w:ascii="宋体" w:hAnsi="宋体" w:eastAsia="宋体" w:cs="宋体"/>
          <w:b/>
          <w:color w:val="auto"/>
          <w:sz w:val="24"/>
          <w:highlight w:val="none"/>
        </w:rPr>
        <w:br w:type="page"/>
      </w:r>
    </w:p>
    <w:p w14:paraId="09581AAF">
      <w:pPr>
        <w:spacing w:line="440" w:lineRule="exact"/>
        <w:jc w:val="center"/>
        <w:outlineLvl w:val="1"/>
        <w:rPr>
          <w:rFonts w:ascii="宋体" w:hAnsi="宋体" w:eastAsia="宋体" w:cs="宋体"/>
          <w:b/>
          <w:color w:val="auto"/>
          <w:sz w:val="24"/>
          <w:highlight w:val="none"/>
        </w:rPr>
      </w:pPr>
      <w:bookmarkStart w:id="220" w:name="_Toc17315"/>
      <w:bookmarkStart w:id="221" w:name="_Toc21875"/>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5</w:t>
      </w:r>
      <w:r>
        <w:rPr>
          <w:rFonts w:hint="eastAsia" w:ascii="宋体" w:hAnsi="宋体" w:eastAsia="宋体" w:cs="宋体"/>
          <w:b/>
          <w:color w:val="auto"/>
          <w:sz w:val="24"/>
          <w:highlight w:val="none"/>
        </w:rPr>
        <w:t>）残疾人福利性单位声明函</w:t>
      </w:r>
      <w:bookmarkEnd w:id="219"/>
      <w:bookmarkEnd w:id="220"/>
      <w:bookmarkEnd w:id="221"/>
    </w:p>
    <w:p w14:paraId="3392E8AB">
      <w:pPr>
        <w:pStyle w:val="24"/>
        <w:autoSpaceDE w:val="0"/>
        <w:spacing w:before="0" w:after="120" w:afterAutospacing="0" w:line="360" w:lineRule="auto"/>
        <w:jc w:val="center"/>
        <w:rPr>
          <w:rFonts w:ascii="宋体" w:hAnsi="宋体" w:eastAsia="宋体" w:cs="宋体"/>
          <w:i/>
          <w:color w:val="auto"/>
          <w:kern w:val="2"/>
          <w:szCs w:val="24"/>
          <w:highlight w:val="none"/>
        </w:rPr>
      </w:pPr>
      <w:r>
        <w:rPr>
          <w:rFonts w:hint="eastAsia" w:ascii="宋体" w:hAnsi="宋体" w:eastAsia="宋体" w:cs="宋体"/>
          <w:i/>
          <w:color w:val="auto"/>
          <w:kern w:val="2"/>
          <w:szCs w:val="24"/>
          <w:highlight w:val="none"/>
          <w:lang w:bidi="ar"/>
        </w:rPr>
        <w:t>（非残疾人福利性单位投标，请删去“残疾人福利性单位声明函”）</w:t>
      </w:r>
    </w:p>
    <w:p w14:paraId="53B59347">
      <w:pPr>
        <w:spacing w:line="440" w:lineRule="exact"/>
        <w:ind w:firstLine="435"/>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w:t>
      </w:r>
      <w:r>
        <w:rPr>
          <w:rFonts w:hint="eastAsia" w:ascii="宋体" w:hAnsi="宋体" w:eastAsia="宋体" w:cs="宋体"/>
          <w:color w:val="auto"/>
          <w:sz w:val="24"/>
          <w:highlight w:val="none"/>
        </w:rPr>
        <w:t>郑重</w:t>
      </w:r>
      <w:r>
        <w:rPr>
          <w:rFonts w:hint="eastAsia" w:ascii="宋体" w:hAnsi="宋体" w:eastAsia="宋体" w:cs="宋体"/>
          <w:color w:val="auto"/>
          <w:spacing w:val="6"/>
          <w:sz w:val="24"/>
          <w:szCs w:val="24"/>
          <w:highlight w:val="none"/>
        </w:rPr>
        <w:t>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w:t>
      </w:r>
      <w:r>
        <w:rPr>
          <w:rFonts w:hint="eastAsia" w:ascii="宋体" w:hAnsi="宋体" w:eastAsia="宋体" w:cs="宋体"/>
          <w:bCs/>
          <w:color w:val="auto"/>
          <w:sz w:val="24"/>
          <w:szCs w:val="24"/>
          <w:highlight w:val="none"/>
        </w:rPr>
        <w:t>符合</w:t>
      </w:r>
      <w:r>
        <w:rPr>
          <w:rFonts w:hint="eastAsia" w:ascii="宋体" w:hAnsi="宋体" w:eastAsia="宋体" w:cs="宋体"/>
          <w:color w:val="auto"/>
          <w:spacing w:val="6"/>
          <w:sz w:val="24"/>
          <w:szCs w:val="24"/>
          <w:highlight w:val="none"/>
        </w:rPr>
        <w:t>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7D000A60">
      <w:pPr>
        <w:spacing w:line="440" w:lineRule="exact"/>
        <w:ind w:firstLine="435"/>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5E1C6E1D">
      <w:pPr>
        <w:spacing w:line="440" w:lineRule="exact"/>
        <w:ind w:firstLine="4228" w:firstLineChars="1762"/>
        <w:rPr>
          <w:rFonts w:ascii="宋体" w:hAnsi="宋体" w:eastAsia="宋体" w:cs="宋体"/>
          <w:color w:val="auto"/>
          <w:sz w:val="24"/>
          <w:szCs w:val="24"/>
          <w:highlight w:val="none"/>
        </w:rPr>
      </w:pPr>
    </w:p>
    <w:p w14:paraId="49118C04">
      <w:pPr>
        <w:spacing w:line="440" w:lineRule="exact"/>
        <w:ind w:firstLine="4228" w:firstLineChars="1762"/>
        <w:rPr>
          <w:rFonts w:ascii="宋体" w:hAnsi="宋体" w:eastAsia="宋体" w:cs="宋体"/>
          <w:color w:val="auto"/>
          <w:sz w:val="24"/>
          <w:szCs w:val="24"/>
          <w:highlight w:val="none"/>
        </w:rPr>
      </w:pPr>
    </w:p>
    <w:p w14:paraId="2EC98838">
      <w:pPr>
        <w:spacing w:line="440" w:lineRule="exact"/>
        <w:ind w:firstLine="4228" w:firstLineChars="176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投标人电子签章：</w:t>
      </w:r>
      <w:r>
        <w:rPr>
          <w:rFonts w:hint="eastAsia" w:ascii="宋体" w:hAnsi="宋体" w:eastAsia="宋体" w:cs="宋体"/>
          <w:color w:val="auto"/>
          <w:sz w:val="24"/>
          <w:szCs w:val="24"/>
          <w:highlight w:val="none"/>
          <w:u w:val="single"/>
        </w:rPr>
        <w:t xml:space="preserve">             </w:t>
      </w:r>
    </w:p>
    <w:p w14:paraId="7B2B3C39">
      <w:pPr>
        <w:tabs>
          <w:tab w:val="left" w:pos="4620"/>
        </w:tabs>
        <w:spacing w:line="440" w:lineRule="exact"/>
        <w:ind w:firstLine="4252" w:firstLineChars="177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p>
    <w:p w14:paraId="04173377">
      <w:pPr>
        <w:spacing w:line="440" w:lineRule="exact"/>
        <w:jc w:val="center"/>
        <w:outlineLvl w:val="0"/>
        <w:rPr>
          <w:rFonts w:hint="eastAsia" w:ascii="宋体" w:hAnsi="宋体" w:eastAsia="宋体" w:cs="宋体"/>
          <w:b/>
          <w:color w:val="auto"/>
          <w:sz w:val="28"/>
          <w:highlight w:val="none"/>
        </w:rPr>
      </w:pPr>
    </w:p>
    <w:p w14:paraId="5567CB04">
      <w:pPr>
        <w:spacing w:line="440" w:lineRule="exact"/>
        <w:jc w:val="center"/>
        <w:outlineLvl w:val="0"/>
        <w:rPr>
          <w:rFonts w:hint="eastAsia" w:ascii="宋体" w:hAnsi="宋体" w:eastAsia="宋体" w:cs="宋体"/>
          <w:b/>
          <w:color w:val="auto"/>
          <w:sz w:val="28"/>
          <w:highlight w:val="none"/>
        </w:rPr>
      </w:pPr>
    </w:p>
    <w:p w14:paraId="04FAF150">
      <w:pPr>
        <w:pageBreakBefore/>
        <w:rPr>
          <w:rFonts w:ascii="宋体" w:hAnsi="宋体" w:eastAsia="宋体" w:cs="宋体"/>
          <w:b/>
          <w:color w:val="auto"/>
          <w:sz w:val="28"/>
          <w:szCs w:val="28"/>
          <w:highlight w:val="none"/>
          <w:bdr w:val="single" w:color="000000" w:sz="4" w:space="0"/>
        </w:rPr>
      </w:pPr>
      <w:r>
        <w:rPr>
          <w:rFonts w:hint="eastAsia" w:ascii="宋体" w:hAnsi="宋体" w:eastAsia="宋体" w:cs="宋体"/>
          <w:b/>
          <w:color w:val="auto"/>
          <w:sz w:val="28"/>
          <w:szCs w:val="28"/>
          <w:highlight w:val="none"/>
        </w:rPr>
        <w:t>二、技术标格式文件</w:t>
      </w:r>
    </w:p>
    <w:p w14:paraId="741664C2">
      <w:pPr>
        <w:jc w:val="center"/>
        <w:rPr>
          <w:rFonts w:ascii="宋体" w:hAnsi="宋体" w:eastAsia="宋体" w:cs="宋体"/>
          <w:color w:val="auto"/>
          <w:sz w:val="20"/>
          <w:highlight w:val="none"/>
        </w:rPr>
      </w:pPr>
    </w:p>
    <w:p w14:paraId="146DAD4C">
      <w:pPr>
        <w:rPr>
          <w:rFonts w:ascii="宋体" w:hAnsi="宋体" w:eastAsia="宋体" w:cs="宋体"/>
          <w:color w:val="auto"/>
          <w:sz w:val="20"/>
          <w:highlight w:val="none"/>
        </w:rPr>
      </w:pPr>
    </w:p>
    <w:p w14:paraId="56514069">
      <w:pPr>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技术标</w:t>
      </w:r>
    </w:p>
    <w:p w14:paraId="0BF35AAA">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（投标文件二）</w:t>
      </w:r>
    </w:p>
    <w:p w14:paraId="7A246F6A">
      <w:pPr>
        <w:jc w:val="center"/>
        <w:rPr>
          <w:rFonts w:ascii="宋体" w:hAnsi="宋体" w:eastAsia="宋体" w:cs="宋体"/>
          <w:color w:val="auto"/>
          <w:sz w:val="44"/>
          <w:szCs w:val="44"/>
          <w:highlight w:val="none"/>
        </w:rPr>
      </w:pPr>
    </w:p>
    <w:p w14:paraId="0D0C3D27">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项目</w:t>
      </w:r>
    </w:p>
    <w:p w14:paraId="16C11972">
      <w:pPr>
        <w:jc w:val="center"/>
        <w:rPr>
          <w:rFonts w:ascii="宋体" w:hAnsi="宋体" w:eastAsia="宋体" w:cs="宋体"/>
          <w:color w:val="auto"/>
          <w:sz w:val="44"/>
          <w:szCs w:val="44"/>
          <w:highlight w:val="none"/>
        </w:rPr>
      </w:pP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u w:val="single"/>
        </w:rPr>
        <w:t xml:space="preserve">     </w:t>
      </w:r>
    </w:p>
    <w:p w14:paraId="443A71BF">
      <w:pPr>
        <w:rPr>
          <w:rFonts w:ascii="宋体" w:hAnsi="宋体" w:eastAsia="宋体" w:cs="宋体"/>
          <w:color w:val="auto"/>
          <w:sz w:val="28"/>
          <w:szCs w:val="28"/>
          <w:highlight w:val="none"/>
        </w:rPr>
      </w:pPr>
    </w:p>
    <w:p w14:paraId="6D0F72A7">
      <w:pPr>
        <w:rPr>
          <w:rFonts w:ascii="宋体" w:hAnsi="宋体" w:eastAsia="宋体" w:cs="宋体"/>
          <w:color w:val="auto"/>
          <w:sz w:val="28"/>
          <w:szCs w:val="28"/>
          <w:highlight w:val="none"/>
        </w:rPr>
      </w:pPr>
    </w:p>
    <w:p w14:paraId="7321FAC0">
      <w:pPr>
        <w:rPr>
          <w:rFonts w:ascii="宋体" w:hAnsi="宋体" w:eastAsia="宋体" w:cs="宋体"/>
          <w:color w:val="auto"/>
          <w:sz w:val="28"/>
          <w:szCs w:val="28"/>
          <w:highlight w:val="none"/>
        </w:rPr>
      </w:pPr>
    </w:p>
    <w:p w14:paraId="7D855C1F">
      <w:pPr>
        <w:rPr>
          <w:rFonts w:ascii="宋体" w:hAnsi="宋体" w:eastAsia="宋体" w:cs="宋体"/>
          <w:color w:val="auto"/>
          <w:sz w:val="28"/>
          <w:szCs w:val="28"/>
          <w:highlight w:val="none"/>
        </w:rPr>
      </w:pPr>
    </w:p>
    <w:p w14:paraId="4357DE31">
      <w:pPr>
        <w:rPr>
          <w:rFonts w:ascii="宋体" w:hAnsi="宋体" w:eastAsia="宋体" w:cs="宋体"/>
          <w:color w:val="auto"/>
          <w:sz w:val="28"/>
          <w:szCs w:val="28"/>
          <w:highlight w:val="none"/>
        </w:rPr>
      </w:pPr>
    </w:p>
    <w:p w14:paraId="565DE333">
      <w:pPr>
        <w:rPr>
          <w:rFonts w:ascii="宋体" w:hAnsi="宋体" w:eastAsia="宋体" w:cs="宋体"/>
          <w:color w:val="auto"/>
          <w:sz w:val="28"/>
          <w:szCs w:val="28"/>
          <w:highlight w:val="none"/>
        </w:rPr>
      </w:pPr>
    </w:p>
    <w:p w14:paraId="2D38D765">
      <w:pPr>
        <w:rPr>
          <w:rFonts w:ascii="宋体" w:hAnsi="宋体" w:eastAsia="宋体" w:cs="宋体"/>
          <w:color w:val="auto"/>
          <w:sz w:val="28"/>
          <w:szCs w:val="28"/>
          <w:highlight w:val="none"/>
        </w:rPr>
      </w:pPr>
    </w:p>
    <w:p w14:paraId="076583C3">
      <w:pPr>
        <w:jc w:val="center"/>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371FE69B">
      <w:pPr>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1DA9444E">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3563AD17">
      <w:pPr>
        <w:spacing w:line="720" w:lineRule="auto"/>
        <w:jc w:val="center"/>
        <w:rPr>
          <w:rFonts w:ascii="宋体" w:hAnsi="宋体" w:eastAsia="宋体" w:cs="宋体"/>
          <w:b/>
          <w:color w:val="auto"/>
          <w:sz w:val="36"/>
          <w:szCs w:val="36"/>
          <w:highlight w:val="none"/>
        </w:rPr>
      </w:pPr>
    </w:p>
    <w:p w14:paraId="39C9BACF">
      <w:pPr>
        <w:spacing w:line="400" w:lineRule="exact"/>
        <w:ind w:firstLine="4130" w:firstLineChars="935"/>
        <w:rPr>
          <w:rFonts w:ascii="宋体" w:hAnsi="宋体" w:eastAsia="宋体" w:cs="宋体"/>
          <w:b/>
          <w:color w:val="auto"/>
          <w:sz w:val="44"/>
          <w:szCs w:val="44"/>
          <w:highlight w:val="none"/>
        </w:rPr>
      </w:pPr>
    </w:p>
    <w:p w14:paraId="66821049">
      <w:pPr>
        <w:spacing w:line="400" w:lineRule="exact"/>
        <w:ind w:firstLine="4130" w:firstLineChars="935"/>
        <w:rPr>
          <w:rFonts w:ascii="宋体" w:hAnsi="宋体" w:eastAsia="宋体" w:cs="宋体"/>
          <w:b/>
          <w:color w:val="auto"/>
          <w:sz w:val="44"/>
          <w:szCs w:val="44"/>
          <w:highlight w:val="none"/>
        </w:rPr>
      </w:pPr>
    </w:p>
    <w:p w14:paraId="4DE53F04">
      <w:pPr>
        <w:pageBreakBefore/>
        <w:jc w:val="center"/>
        <w:rPr>
          <w:rFonts w:ascii="宋体" w:hAnsi="宋体" w:eastAsia="宋体" w:cs="宋体"/>
          <w:b/>
          <w:color w:val="auto"/>
          <w:sz w:val="44"/>
          <w:szCs w:val="44"/>
          <w:highlight w:val="none"/>
        </w:rPr>
      </w:pPr>
      <w:r>
        <w:rPr>
          <w:rFonts w:hint="eastAsia" w:ascii="宋体" w:hAnsi="宋体" w:eastAsia="宋体" w:cs="宋体"/>
          <w:b/>
          <w:color w:val="auto"/>
          <w:sz w:val="36"/>
          <w:szCs w:val="36"/>
          <w:highlight w:val="none"/>
        </w:rPr>
        <w:t>目   录</w:t>
      </w:r>
    </w:p>
    <w:p w14:paraId="2D208860">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（1）投标响应表（格式见附件）；</w:t>
      </w:r>
    </w:p>
    <w:p w14:paraId="0D726AD5">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）诚信履约承诺函（格式见附件）；</w:t>
      </w:r>
    </w:p>
    <w:p w14:paraId="34CF2DE8">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）招标文件中要求的技术标评审及技术标评分的支持资料；</w:t>
      </w:r>
    </w:p>
    <w:p w14:paraId="52C5AC96">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）投标人认为需要提供的其他技术证明材料（如有）。</w:t>
      </w:r>
    </w:p>
    <w:p w14:paraId="75BC7E46">
      <w:pPr>
        <w:pageBreakBefore/>
        <w:spacing w:line="440" w:lineRule="exact"/>
        <w:jc w:val="center"/>
        <w:outlineLvl w:val="1"/>
        <w:rPr>
          <w:rFonts w:ascii="宋体" w:hAnsi="宋体" w:eastAsia="宋体" w:cs="宋体"/>
          <w:b/>
          <w:color w:val="auto"/>
          <w:sz w:val="24"/>
          <w:highlight w:val="none"/>
        </w:rPr>
      </w:pPr>
      <w:bookmarkStart w:id="222" w:name="_Toc15209"/>
      <w:bookmarkStart w:id="223" w:name="_Toc5890"/>
      <w:r>
        <w:rPr>
          <w:rFonts w:hint="eastAsia" w:ascii="宋体" w:hAnsi="宋体" w:eastAsia="宋体" w:cs="宋体"/>
          <w:b/>
          <w:color w:val="auto"/>
          <w:sz w:val="24"/>
          <w:highlight w:val="none"/>
        </w:rPr>
        <w:t>（1）投标响应表</w:t>
      </w:r>
      <w:bookmarkEnd w:id="222"/>
      <w:bookmarkEnd w:id="223"/>
    </w:p>
    <w:p w14:paraId="1991A370">
      <w:pPr>
        <w:spacing w:line="440" w:lineRule="exact"/>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1.1商务响应表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2"/>
        <w:gridCol w:w="2806"/>
        <w:gridCol w:w="883"/>
      </w:tblGrid>
      <w:tr w14:paraId="339A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73780A00">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124" w:type="pct"/>
            <w:vAlign w:val="center"/>
          </w:tcPr>
          <w:p w14:paraId="0707ADD9">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1465" w:type="pct"/>
            <w:vAlign w:val="center"/>
          </w:tcPr>
          <w:p w14:paraId="3AFE31ED">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招标文件要求</w:t>
            </w:r>
          </w:p>
        </w:tc>
        <w:tc>
          <w:tcPr>
            <w:tcW w:w="1510" w:type="pct"/>
            <w:vAlign w:val="center"/>
          </w:tcPr>
          <w:p w14:paraId="78087AA3">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投标人承诺</w:t>
            </w:r>
          </w:p>
        </w:tc>
        <w:tc>
          <w:tcPr>
            <w:tcW w:w="475" w:type="pct"/>
            <w:vAlign w:val="center"/>
          </w:tcPr>
          <w:p w14:paraId="31D52D72">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122C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30A4817">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24" w:type="pct"/>
            <w:vAlign w:val="center"/>
          </w:tcPr>
          <w:p w14:paraId="5F800319">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1465" w:type="pct"/>
            <w:vAlign w:val="center"/>
          </w:tcPr>
          <w:p w14:paraId="03B26306">
            <w:pPr>
              <w:spacing w:line="440" w:lineRule="exact"/>
              <w:jc w:val="center"/>
              <w:rPr>
                <w:rFonts w:hint="eastAsia" w:ascii="宋体" w:hAnsi="宋体" w:eastAsia="宋体" w:cs="宋体"/>
                <w:color w:val="auto"/>
                <w:sz w:val="24"/>
                <w:highlight w:val="none"/>
              </w:rPr>
            </w:pPr>
          </w:p>
        </w:tc>
        <w:tc>
          <w:tcPr>
            <w:tcW w:w="1510" w:type="pct"/>
            <w:vAlign w:val="center"/>
          </w:tcPr>
          <w:p w14:paraId="056894EB">
            <w:pPr>
              <w:spacing w:line="440" w:lineRule="exact"/>
              <w:jc w:val="center"/>
              <w:rPr>
                <w:rFonts w:hint="eastAsia" w:ascii="宋体" w:hAnsi="宋体" w:eastAsia="宋体" w:cs="宋体"/>
                <w:color w:val="auto"/>
                <w:sz w:val="24"/>
                <w:highlight w:val="none"/>
              </w:rPr>
            </w:pPr>
          </w:p>
        </w:tc>
        <w:tc>
          <w:tcPr>
            <w:tcW w:w="475" w:type="pct"/>
            <w:vAlign w:val="center"/>
          </w:tcPr>
          <w:p w14:paraId="60C5821A">
            <w:pPr>
              <w:spacing w:line="440" w:lineRule="exact"/>
              <w:jc w:val="center"/>
              <w:rPr>
                <w:rFonts w:hint="eastAsia" w:ascii="宋体" w:hAnsi="宋体" w:eastAsia="宋体" w:cs="宋体"/>
                <w:color w:val="auto"/>
                <w:sz w:val="24"/>
                <w:highlight w:val="none"/>
              </w:rPr>
            </w:pPr>
          </w:p>
        </w:tc>
      </w:tr>
      <w:tr w14:paraId="7131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A28768F">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24" w:type="pct"/>
            <w:vAlign w:val="center"/>
          </w:tcPr>
          <w:p w14:paraId="35A142F6">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服务地点</w:t>
            </w:r>
          </w:p>
        </w:tc>
        <w:tc>
          <w:tcPr>
            <w:tcW w:w="1465" w:type="pct"/>
            <w:vAlign w:val="center"/>
          </w:tcPr>
          <w:p w14:paraId="51EBF488">
            <w:pPr>
              <w:spacing w:line="440" w:lineRule="exact"/>
              <w:jc w:val="center"/>
              <w:rPr>
                <w:rFonts w:hint="eastAsia" w:ascii="宋体" w:hAnsi="宋体" w:eastAsia="宋体" w:cs="宋体"/>
                <w:color w:val="auto"/>
                <w:sz w:val="24"/>
                <w:highlight w:val="none"/>
              </w:rPr>
            </w:pPr>
          </w:p>
        </w:tc>
        <w:tc>
          <w:tcPr>
            <w:tcW w:w="1510" w:type="pct"/>
            <w:vAlign w:val="center"/>
          </w:tcPr>
          <w:p w14:paraId="1B05E402">
            <w:pPr>
              <w:spacing w:line="440" w:lineRule="exact"/>
              <w:jc w:val="center"/>
              <w:rPr>
                <w:rFonts w:hint="eastAsia" w:ascii="宋体" w:hAnsi="宋体" w:eastAsia="宋体" w:cs="宋体"/>
                <w:color w:val="auto"/>
                <w:sz w:val="24"/>
                <w:highlight w:val="none"/>
              </w:rPr>
            </w:pPr>
          </w:p>
        </w:tc>
        <w:tc>
          <w:tcPr>
            <w:tcW w:w="475" w:type="pct"/>
            <w:vAlign w:val="center"/>
          </w:tcPr>
          <w:p w14:paraId="2F79D323">
            <w:pPr>
              <w:spacing w:line="440" w:lineRule="exact"/>
              <w:jc w:val="center"/>
              <w:rPr>
                <w:rFonts w:hint="eastAsia" w:ascii="宋体" w:hAnsi="宋体" w:eastAsia="宋体" w:cs="宋体"/>
                <w:color w:val="auto"/>
                <w:sz w:val="24"/>
                <w:highlight w:val="none"/>
              </w:rPr>
            </w:pPr>
          </w:p>
        </w:tc>
      </w:tr>
      <w:tr w14:paraId="53BE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BE83135">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24" w:type="pct"/>
            <w:vAlign w:val="center"/>
          </w:tcPr>
          <w:p w14:paraId="610BBC8A">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服务期限</w:t>
            </w:r>
          </w:p>
        </w:tc>
        <w:tc>
          <w:tcPr>
            <w:tcW w:w="1465" w:type="pct"/>
            <w:vAlign w:val="center"/>
          </w:tcPr>
          <w:p w14:paraId="543ADB6A">
            <w:pPr>
              <w:spacing w:line="440" w:lineRule="exact"/>
              <w:jc w:val="center"/>
              <w:rPr>
                <w:rFonts w:hint="eastAsia" w:ascii="宋体" w:hAnsi="宋体" w:eastAsia="宋体" w:cs="宋体"/>
                <w:color w:val="auto"/>
                <w:sz w:val="24"/>
                <w:highlight w:val="none"/>
              </w:rPr>
            </w:pPr>
          </w:p>
        </w:tc>
        <w:tc>
          <w:tcPr>
            <w:tcW w:w="1510" w:type="pct"/>
            <w:vAlign w:val="center"/>
          </w:tcPr>
          <w:p w14:paraId="5F4055A9">
            <w:pPr>
              <w:pStyle w:val="56"/>
              <w:spacing w:line="440" w:lineRule="exact"/>
              <w:jc w:val="center"/>
              <w:rPr>
                <w:rFonts w:hint="eastAsia" w:ascii="宋体" w:hAnsi="宋体" w:eastAsia="宋体" w:cs="宋体"/>
                <w:color w:val="auto"/>
                <w:highlight w:val="none"/>
              </w:rPr>
            </w:pPr>
          </w:p>
        </w:tc>
        <w:tc>
          <w:tcPr>
            <w:tcW w:w="475" w:type="pct"/>
            <w:vAlign w:val="center"/>
          </w:tcPr>
          <w:p w14:paraId="6FF9544A">
            <w:pPr>
              <w:spacing w:line="440" w:lineRule="exact"/>
              <w:jc w:val="center"/>
              <w:rPr>
                <w:rFonts w:hint="eastAsia" w:ascii="宋体" w:hAnsi="宋体" w:eastAsia="宋体" w:cs="宋体"/>
                <w:color w:val="auto"/>
                <w:sz w:val="24"/>
                <w:highlight w:val="none"/>
              </w:rPr>
            </w:pPr>
          </w:p>
        </w:tc>
      </w:tr>
      <w:tr w14:paraId="0AD7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85AFA7D">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124" w:type="pct"/>
            <w:vAlign w:val="center"/>
          </w:tcPr>
          <w:p w14:paraId="14A643BE">
            <w:pPr>
              <w:spacing w:line="440" w:lineRule="exact"/>
              <w:jc w:val="center"/>
              <w:rPr>
                <w:rFonts w:hint="eastAsia" w:ascii="宋体" w:hAnsi="宋体" w:eastAsia="宋体" w:cs="宋体"/>
                <w:color w:val="auto"/>
                <w:sz w:val="24"/>
                <w:highlight w:val="none"/>
              </w:rPr>
            </w:pPr>
          </w:p>
        </w:tc>
        <w:tc>
          <w:tcPr>
            <w:tcW w:w="1465" w:type="pct"/>
            <w:vAlign w:val="center"/>
          </w:tcPr>
          <w:p w14:paraId="69A14412">
            <w:pPr>
              <w:spacing w:line="440" w:lineRule="exact"/>
              <w:jc w:val="center"/>
              <w:rPr>
                <w:rFonts w:hint="eastAsia" w:ascii="宋体" w:hAnsi="宋体" w:eastAsia="宋体" w:cs="宋体"/>
                <w:color w:val="auto"/>
                <w:sz w:val="24"/>
                <w:highlight w:val="none"/>
              </w:rPr>
            </w:pPr>
          </w:p>
        </w:tc>
        <w:tc>
          <w:tcPr>
            <w:tcW w:w="1510" w:type="pct"/>
            <w:vAlign w:val="center"/>
          </w:tcPr>
          <w:p w14:paraId="5D2847D7">
            <w:pPr>
              <w:spacing w:line="440" w:lineRule="exact"/>
              <w:jc w:val="center"/>
              <w:rPr>
                <w:rFonts w:hint="eastAsia" w:ascii="宋体" w:hAnsi="宋体" w:eastAsia="宋体" w:cs="宋体"/>
                <w:color w:val="auto"/>
                <w:sz w:val="24"/>
                <w:highlight w:val="none"/>
              </w:rPr>
            </w:pPr>
          </w:p>
        </w:tc>
        <w:tc>
          <w:tcPr>
            <w:tcW w:w="475" w:type="pct"/>
            <w:vAlign w:val="center"/>
          </w:tcPr>
          <w:p w14:paraId="355A0845">
            <w:pPr>
              <w:spacing w:line="440" w:lineRule="exact"/>
              <w:jc w:val="center"/>
              <w:rPr>
                <w:rFonts w:hint="eastAsia" w:ascii="宋体" w:hAnsi="宋体" w:eastAsia="宋体" w:cs="宋体"/>
                <w:color w:val="auto"/>
                <w:sz w:val="24"/>
                <w:highlight w:val="none"/>
              </w:rPr>
            </w:pPr>
          </w:p>
        </w:tc>
      </w:tr>
    </w:tbl>
    <w:p w14:paraId="251AFA2C">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2620C14F">
      <w:pPr>
        <w:tabs>
          <w:tab w:val="left" w:pos="630"/>
        </w:tabs>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69C784F0">
      <w:pPr>
        <w:pStyle w:val="14"/>
        <w:spacing w:line="440" w:lineRule="exact"/>
        <w:jc w:val="center"/>
        <w:rPr>
          <w:rFonts w:ascii="宋体" w:hAnsi="宋体" w:cs="宋体"/>
          <w:color w:val="auto"/>
          <w:sz w:val="24"/>
          <w:highlight w:val="none"/>
        </w:rPr>
      </w:pPr>
      <w:r>
        <w:rPr>
          <w:rFonts w:hint="eastAsia" w:ascii="宋体" w:hAnsi="宋体" w:cs="宋体"/>
          <w:b w:val="0"/>
          <w:color w:val="auto"/>
          <w:sz w:val="24"/>
          <w:highlight w:val="none"/>
        </w:rPr>
        <w:br w:type="page"/>
      </w:r>
      <w:bookmarkStart w:id="224" w:name="_Toc26536"/>
      <w:bookmarkStart w:id="225" w:name="_Toc23860"/>
      <w:bookmarkStart w:id="226" w:name="_Hlk11701496"/>
      <w:r>
        <w:rPr>
          <w:rFonts w:hint="eastAsia" w:ascii="宋体" w:hAnsi="宋体" w:cs="宋体"/>
          <w:color w:val="auto"/>
          <w:sz w:val="24"/>
          <w:highlight w:val="none"/>
        </w:rPr>
        <w:t>（2）诚信履约承诺函</w:t>
      </w:r>
      <w:bookmarkEnd w:id="224"/>
      <w:bookmarkEnd w:id="225"/>
    </w:p>
    <w:p w14:paraId="47FCF174">
      <w:pPr>
        <w:spacing w:line="440" w:lineRule="exact"/>
        <w:rPr>
          <w:rFonts w:ascii="宋体" w:hAnsi="宋体" w:eastAsia="宋体" w:cs="宋体"/>
          <w:b/>
          <w:bCs/>
          <w:color w:val="auto"/>
          <w:sz w:val="24"/>
          <w:highlight w:val="none"/>
        </w:rPr>
      </w:pPr>
    </w:p>
    <w:p w14:paraId="78B10C09">
      <w:pPr>
        <w:spacing w:line="440" w:lineRule="exact"/>
        <w:rPr>
          <w:rFonts w:ascii="宋体" w:hAnsi="宋体" w:eastAsia="宋体" w:cs="宋体"/>
          <w:b/>
          <w:bCs/>
          <w:color w:val="auto"/>
          <w:sz w:val="24"/>
          <w:highlight w:val="none"/>
          <w:u w:val="single"/>
        </w:rPr>
      </w:pPr>
      <w:r>
        <w:rPr>
          <w:rFonts w:hint="eastAsia" w:ascii="宋体" w:hAnsi="宋体" w:eastAsia="宋体" w:cs="宋体"/>
          <w:b/>
          <w:bCs/>
          <w:color w:val="auto"/>
          <w:sz w:val="24"/>
          <w:highlight w:val="none"/>
        </w:rPr>
        <w:t>致：</w:t>
      </w:r>
      <w:r>
        <w:rPr>
          <w:rFonts w:hint="eastAsia" w:ascii="宋体" w:hAnsi="宋体" w:eastAsia="宋体" w:cs="宋体"/>
          <w:b/>
          <w:bCs/>
          <w:color w:val="auto"/>
          <w:sz w:val="24"/>
          <w:highlight w:val="none"/>
          <w:u w:val="single"/>
        </w:rPr>
        <w:t xml:space="preserve">            </w:t>
      </w:r>
      <w:r>
        <w:rPr>
          <w:rFonts w:hint="eastAsia" w:ascii="宋体" w:hAnsi="宋体" w:eastAsia="宋体" w:cs="宋体"/>
          <w:b/>
          <w:bCs/>
          <w:color w:val="auto"/>
          <w:sz w:val="24"/>
          <w:highlight w:val="none"/>
        </w:rPr>
        <w:t>采购人</w:t>
      </w:r>
    </w:p>
    <w:p w14:paraId="2781E4A9">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3FB5CD8E">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（1）中标或者成交后无正当理由拒不与采购人签订政府采购合同；</w:t>
      </w:r>
    </w:p>
    <w:p w14:paraId="244AF5EF">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（2）未按照采购文件确定的事项签订政府采购合同；</w:t>
      </w:r>
    </w:p>
    <w:p w14:paraId="6225CBC1">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（3）将政府采购合同转包；</w:t>
      </w:r>
    </w:p>
    <w:p w14:paraId="7A07559C">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（4）提供假冒伪劣产品；</w:t>
      </w:r>
    </w:p>
    <w:p w14:paraId="00D19F19">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（5）擅自变更、中止或者终止政府采购合同。</w:t>
      </w:r>
    </w:p>
    <w:p w14:paraId="74AD2295">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23AB7E6">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本承诺声明：</w:t>
      </w:r>
      <w:r>
        <w:rPr>
          <w:rFonts w:hint="eastAsia" w:ascii="宋体" w:hAnsi="宋体" w:eastAsia="宋体" w:cs="宋体"/>
          <w:bCs/>
          <w:color w:val="auto"/>
          <w:sz w:val="24"/>
          <w:highlight w:val="none"/>
          <w:u w:val="single"/>
        </w:rPr>
        <w:t xml:space="preserve">                   （投标人名称）</w:t>
      </w:r>
      <w:r>
        <w:rPr>
          <w:rFonts w:hint="eastAsia" w:ascii="宋体" w:hAnsi="宋体" w:eastAsia="宋体" w:cs="宋体"/>
          <w:bCs/>
          <w:color w:val="auto"/>
          <w:sz w:val="24"/>
          <w:highlight w:val="none"/>
        </w:rPr>
        <w:t>对本招标文件的相关要求完全响应，配备人员数量和要求不低于采购需求的要求。若有幸中标将严格按照以上承诺进行服务。</w:t>
      </w:r>
    </w:p>
    <w:p w14:paraId="446E64AE">
      <w:pPr>
        <w:spacing w:line="440" w:lineRule="exact"/>
        <w:rPr>
          <w:rFonts w:ascii="宋体" w:hAnsi="宋体" w:eastAsia="宋体" w:cs="宋体"/>
          <w:bCs/>
          <w:color w:val="auto"/>
          <w:sz w:val="24"/>
          <w:highlight w:val="none"/>
        </w:rPr>
      </w:pPr>
    </w:p>
    <w:p w14:paraId="6D75A70D">
      <w:pPr>
        <w:spacing w:line="440" w:lineRule="exact"/>
        <w:rPr>
          <w:rFonts w:ascii="宋体" w:hAnsi="宋体" w:eastAsia="宋体" w:cs="宋体"/>
          <w:bCs/>
          <w:color w:val="auto"/>
          <w:sz w:val="24"/>
          <w:highlight w:val="none"/>
        </w:rPr>
      </w:pPr>
    </w:p>
    <w:p w14:paraId="29BCBA74">
      <w:pPr>
        <w:spacing w:line="440" w:lineRule="exact"/>
        <w:ind w:firstLine="4320" w:firstLineChars="1800"/>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投标人电子签章：</w:t>
      </w:r>
      <w:r>
        <w:rPr>
          <w:rFonts w:hint="eastAsia" w:ascii="宋体" w:hAnsi="宋体" w:eastAsia="宋体" w:cs="宋体"/>
          <w:bCs/>
          <w:color w:val="auto"/>
          <w:sz w:val="24"/>
          <w:highlight w:val="none"/>
          <w:u w:val="single"/>
        </w:rPr>
        <w:t xml:space="preserve">             </w:t>
      </w:r>
    </w:p>
    <w:p w14:paraId="5B75BA7C">
      <w:pPr>
        <w:spacing w:line="440" w:lineRule="exact"/>
        <w:ind w:firstLine="4320" w:firstLineChars="1800"/>
        <w:rPr>
          <w:rFonts w:ascii="宋体" w:hAnsi="宋体" w:eastAsia="宋体" w:cs="宋体"/>
          <w:bCs/>
          <w:color w:val="auto"/>
          <w:sz w:val="24"/>
          <w:highlight w:val="none"/>
        </w:rPr>
      </w:pPr>
      <w:r>
        <w:rPr>
          <w:rFonts w:hint="eastAsia" w:ascii="宋体" w:hAnsi="宋体" w:eastAsia="宋体" w:cs="宋体"/>
          <w:bCs/>
          <w:color w:val="auto"/>
          <w:sz w:val="24"/>
          <w:highlight w:val="none"/>
        </w:rPr>
        <w:t>日          期：</w:t>
      </w:r>
      <w:r>
        <w:rPr>
          <w:rFonts w:hint="eastAsia" w:ascii="宋体" w:hAnsi="宋体" w:eastAsia="宋体" w:cs="宋体"/>
          <w:bCs/>
          <w:color w:val="auto"/>
          <w:sz w:val="24"/>
          <w:highlight w:val="none"/>
          <w:u w:val="single"/>
        </w:rPr>
        <w:t xml:space="preserve">             </w:t>
      </w:r>
    </w:p>
    <w:p w14:paraId="60EF3AA2">
      <w:pPr>
        <w:widowControl/>
        <w:spacing w:line="440" w:lineRule="exact"/>
        <w:jc w:val="left"/>
        <w:rPr>
          <w:rFonts w:ascii="宋体" w:hAnsi="宋体" w:eastAsia="宋体" w:cs="宋体"/>
          <w:color w:val="auto"/>
          <w:sz w:val="24"/>
          <w:highlight w:val="none"/>
        </w:rPr>
      </w:pPr>
      <w:r>
        <w:rPr>
          <w:rFonts w:hint="eastAsia" w:ascii="宋体" w:hAnsi="宋体" w:eastAsia="宋体" w:cs="宋体"/>
          <w:color w:val="auto"/>
          <w:sz w:val="24"/>
          <w:highlight w:val="none"/>
        </w:rPr>
        <w:br w:type="page"/>
      </w:r>
    </w:p>
    <w:bookmarkEnd w:id="226"/>
    <w:p w14:paraId="316A2FE4">
      <w:pPr>
        <w:pageBreakBefore/>
        <w:rPr>
          <w:rFonts w:ascii="宋体" w:hAnsi="宋体" w:eastAsia="宋体" w:cs="宋体"/>
          <w:b/>
          <w:color w:val="auto"/>
          <w:sz w:val="28"/>
          <w:szCs w:val="28"/>
          <w:highlight w:val="none"/>
          <w:bdr w:val="single" w:color="000000" w:sz="4" w:space="0"/>
        </w:rPr>
      </w:pPr>
      <w:r>
        <w:rPr>
          <w:rFonts w:hint="eastAsia" w:ascii="宋体" w:hAnsi="宋体" w:eastAsia="宋体" w:cs="宋体"/>
          <w:b/>
          <w:color w:val="auto"/>
          <w:sz w:val="28"/>
          <w:szCs w:val="28"/>
          <w:highlight w:val="none"/>
        </w:rPr>
        <w:t>三、商务标格式文件</w:t>
      </w:r>
    </w:p>
    <w:p w14:paraId="1570EBF6">
      <w:pPr>
        <w:jc w:val="center"/>
        <w:rPr>
          <w:rFonts w:ascii="宋体" w:hAnsi="宋体" w:eastAsia="宋体" w:cs="宋体"/>
          <w:color w:val="auto"/>
          <w:sz w:val="20"/>
          <w:highlight w:val="none"/>
        </w:rPr>
      </w:pPr>
    </w:p>
    <w:p w14:paraId="2921ECD6">
      <w:pPr>
        <w:rPr>
          <w:rFonts w:ascii="宋体" w:hAnsi="宋体" w:eastAsia="宋体" w:cs="宋体"/>
          <w:color w:val="auto"/>
          <w:sz w:val="20"/>
          <w:highlight w:val="none"/>
        </w:rPr>
      </w:pPr>
    </w:p>
    <w:p w14:paraId="28BC6089">
      <w:pPr>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商务标</w:t>
      </w:r>
    </w:p>
    <w:p w14:paraId="35F88AE7">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（投标文件三）</w:t>
      </w:r>
    </w:p>
    <w:p w14:paraId="20963E3D">
      <w:pPr>
        <w:jc w:val="center"/>
        <w:rPr>
          <w:rFonts w:ascii="宋体" w:hAnsi="宋体" w:eastAsia="宋体" w:cs="宋体"/>
          <w:color w:val="auto"/>
          <w:sz w:val="44"/>
          <w:szCs w:val="44"/>
          <w:highlight w:val="none"/>
        </w:rPr>
      </w:pPr>
    </w:p>
    <w:p w14:paraId="0F9B6909">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项目</w:t>
      </w:r>
    </w:p>
    <w:p w14:paraId="1A5101DA">
      <w:pPr>
        <w:jc w:val="center"/>
        <w:rPr>
          <w:rFonts w:ascii="宋体" w:hAnsi="宋体" w:eastAsia="宋体" w:cs="宋体"/>
          <w:color w:val="auto"/>
          <w:sz w:val="44"/>
          <w:szCs w:val="44"/>
          <w:highlight w:val="none"/>
        </w:rPr>
      </w:pP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u w:val="single"/>
        </w:rPr>
        <w:t xml:space="preserve">     </w:t>
      </w:r>
    </w:p>
    <w:p w14:paraId="23EC8BCB">
      <w:pPr>
        <w:rPr>
          <w:rFonts w:ascii="宋体" w:hAnsi="宋体" w:eastAsia="宋体" w:cs="宋体"/>
          <w:color w:val="auto"/>
          <w:sz w:val="28"/>
          <w:szCs w:val="28"/>
          <w:highlight w:val="none"/>
        </w:rPr>
      </w:pPr>
    </w:p>
    <w:p w14:paraId="4EB23702">
      <w:pPr>
        <w:rPr>
          <w:rFonts w:ascii="宋体" w:hAnsi="宋体" w:eastAsia="宋体" w:cs="宋体"/>
          <w:color w:val="auto"/>
          <w:sz w:val="28"/>
          <w:szCs w:val="28"/>
          <w:highlight w:val="none"/>
        </w:rPr>
      </w:pPr>
    </w:p>
    <w:p w14:paraId="3413612A">
      <w:pPr>
        <w:rPr>
          <w:rFonts w:ascii="宋体" w:hAnsi="宋体" w:eastAsia="宋体" w:cs="宋体"/>
          <w:color w:val="auto"/>
          <w:sz w:val="28"/>
          <w:szCs w:val="28"/>
          <w:highlight w:val="none"/>
        </w:rPr>
      </w:pPr>
    </w:p>
    <w:p w14:paraId="5217111C">
      <w:pPr>
        <w:rPr>
          <w:rFonts w:ascii="宋体" w:hAnsi="宋体" w:eastAsia="宋体" w:cs="宋体"/>
          <w:color w:val="auto"/>
          <w:sz w:val="28"/>
          <w:szCs w:val="28"/>
          <w:highlight w:val="none"/>
        </w:rPr>
      </w:pPr>
    </w:p>
    <w:p w14:paraId="33D8E641">
      <w:pPr>
        <w:rPr>
          <w:rFonts w:ascii="宋体" w:hAnsi="宋体" w:eastAsia="宋体" w:cs="宋体"/>
          <w:color w:val="auto"/>
          <w:sz w:val="28"/>
          <w:szCs w:val="28"/>
          <w:highlight w:val="none"/>
        </w:rPr>
      </w:pPr>
    </w:p>
    <w:p w14:paraId="3526C5EE">
      <w:pPr>
        <w:rPr>
          <w:rFonts w:ascii="宋体" w:hAnsi="宋体" w:eastAsia="宋体" w:cs="宋体"/>
          <w:color w:val="auto"/>
          <w:sz w:val="28"/>
          <w:szCs w:val="28"/>
          <w:highlight w:val="none"/>
        </w:rPr>
      </w:pPr>
    </w:p>
    <w:p w14:paraId="6F929589">
      <w:pPr>
        <w:rPr>
          <w:rFonts w:ascii="宋体" w:hAnsi="宋体" w:eastAsia="宋体" w:cs="宋体"/>
          <w:color w:val="auto"/>
          <w:sz w:val="28"/>
          <w:szCs w:val="28"/>
          <w:highlight w:val="none"/>
        </w:rPr>
      </w:pPr>
    </w:p>
    <w:p w14:paraId="074D9B85">
      <w:pPr>
        <w:jc w:val="center"/>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72E2625B">
      <w:pPr>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317982AA">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08B92D4D">
      <w:pPr>
        <w:spacing w:line="720" w:lineRule="auto"/>
        <w:jc w:val="center"/>
        <w:rPr>
          <w:rFonts w:ascii="宋体" w:hAnsi="宋体" w:eastAsia="宋体" w:cs="宋体"/>
          <w:b/>
          <w:color w:val="auto"/>
          <w:sz w:val="36"/>
          <w:szCs w:val="36"/>
          <w:highlight w:val="none"/>
        </w:rPr>
      </w:pPr>
    </w:p>
    <w:p w14:paraId="62DCD226">
      <w:pPr>
        <w:spacing w:line="400" w:lineRule="exact"/>
        <w:ind w:firstLine="4130" w:firstLineChars="935"/>
        <w:rPr>
          <w:rFonts w:ascii="宋体" w:hAnsi="宋体" w:eastAsia="宋体" w:cs="宋体"/>
          <w:b/>
          <w:color w:val="auto"/>
          <w:sz w:val="44"/>
          <w:szCs w:val="44"/>
          <w:highlight w:val="none"/>
        </w:rPr>
      </w:pPr>
    </w:p>
    <w:p w14:paraId="5D337A94">
      <w:pPr>
        <w:spacing w:line="400" w:lineRule="exact"/>
        <w:ind w:firstLine="4130" w:firstLineChars="935"/>
        <w:rPr>
          <w:rFonts w:ascii="宋体" w:hAnsi="宋体" w:eastAsia="宋体" w:cs="宋体"/>
          <w:b/>
          <w:color w:val="auto"/>
          <w:sz w:val="44"/>
          <w:szCs w:val="44"/>
          <w:highlight w:val="none"/>
        </w:rPr>
      </w:pPr>
    </w:p>
    <w:p w14:paraId="269FA40C">
      <w:pPr>
        <w:pageBreakBefore/>
        <w:jc w:val="center"/>
        <w:rPr>
          <w:rFonts w:ascii="宋体" w:hAnsi="宋体" w:eastAsia="宋体" w:cs="宋体"/>
          <w:b/>
          <w:color w:val="auto"/>
          <w:sz w:val="44"/>
          <w:szCs w:val="44"/>
          <w:highlight w:val="none"/>
        </w:rPr>
      </w:pPr>
      <w:r>
        <w:rPr>
          <w:rFonts w:hint="eastAsia" w:ascii="宋体" w:hAnsi="宋体" w:eastAsia="宋体" w:cs="宋体"/>
          <w:b/>
          <w:color w:val="auto"/>
          <w:sz w:val="36"/>
          <w:szCs w:val="36"/>
          <w:highlight w:val="none"/>
        </w:rPr>
        <w:t>目   录</w:t>
      </w:r>
    </w:p>
    <w:p w14:paraId="0E345AB4">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（1）开标一览表（格式见附件）；</w:t>
      </w:r>
    </w:p>
    <w:p w14:paraId="3CAE2B3A">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（2）投标函（格式见附件）；</w:t>
      </w:r>
    </w:p>
    <w:p w14:paraId="2365F7BB">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）招标文件商务评审中要求提供的其他相关资料；</w:t>
      </w:r>
    </w:p>
    <w:p w14:paraId="4516B528">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）投标人认为需要提供的其他材料。</w:t>
      </w:r>
    </w:p>
    <w:p w14:paraId="64F19ECA">
      <w:pPr>
        <w:spacing w:line="440" w:lineRule="exact"/>
        <w:rPr>
          <w:rFonts w:ascii="宋体" w:hAnsi="宋体" w:eastAsia="宋体" w:cs="宋体"/>
          <w:color w:val="auto"/>
          <w:sz w:val="24"/>
          <w:szCs w:val="24"/>
          <w:highlight w:val="none"/>
        </w:rPr>
      </w:pPr>
    </w:p>
    <w:p w14:paraId="7F7C740A">
      <w:pPr>
        <w:pageBreakBefore/>
        <w:spacing w:line="440" w:lineRule="exact"/>
        <w:jc w:val="center"/>
        <w:outlineLvl w:val="1"/>
        <w:rPr>
          <w:rFonts w:ascii="宋体" w:hAnsi="宋体" w:eastAsia="宋体" w:cs="宋体"/>
          <w:b/>
          <w:color w:val="auto"/>
          <w:sz w:val="24"/>
          <w:highlight w:val="none"/>
        </w:rPr>
      </w:pPr>
      <w:bookmarkStart w:id="227" w:name="_Toc28399"/>
      <w:r>
        <w:rPr>
          <w:rFonts w:hint="eastAsia" w:ascii="宋体" w:hAnsi="宋体" w:eastAsia="宋体" w:cs="宋体"/>
          <w:b/>
          <w:color w:val="auto"/>
          <w:sz w:val="24"/>
          <w:highlight w:val="none"/>
        </w:rPr>
        <w:t>（1）开标一览表</w:t>
      </w:r>
      <w:bookmarkEnd w:id="206"/>
      <w:bookmarkEnd w:id="207"/>
      <w:bookmarkEnd w:id="227"/>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6"/>
      </w:tblGrid>
      <w:tr w14:paraId="0B9E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1129C1A">
            <w:pPr>
              <w:widowControl/>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01BFF132">
            <w:pPr>
              <w:spacing w:line="440" w:lineRule="exact"/>
              <w:jc w:val="center"/>
              <w:rPr>
                <w:rFonts w:ascii="宋体" w:hAnsi="宋体" w:eastAsia="宋体" w:cs="宋体"/>
                <w:bCs/>
                <w:color w:val="auto"/>
                <w:sz w:val="24"/>
                <w:highlight w:val="none"/>
                <w:u w:val="single"/>
              </w:rPr>
            </w:pPr>
          </w:p>
        </w:tc>
      </w:tr>
      <w:tr w14:paraId="1931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52A7174A">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投标人全称</w:t>
            </w:r>
          </w:p>
        </w:tc>
        <w:tc>
          <w:tcPr>
            <w:tcW w:w="3648" w:type="pct"/>
            <w:tcBorders>
              <w:top w:val="nil"/>
            </w:tcBorders>
            <w:vAlign w:val="center"/>
          </w:tcPr>
          <w:p w14:paraId="291E768A">
            <w:pPr>
              <w:spacing w:line="440" w:lineRule="exact"/>
              <w:rPr>
                <w:rFonts w:ascii="宋体" w:hAnsi="宋体" w:eastAsia="宋体" w:cs="宋体"/>
                <w:color w:val="auto"/>
                <w:sz w:val="24"/>
                <w:highlight w:val="none"/>
              </w:rPr>
            </w:pPr>
          </w:p>
        </w:tc>
      </w:tr>
      <w:tr w14:paraId="3704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62FB06A">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投标范围</w:t>
            </w:r>
          </w:p>
        </w:tc>
        <w:tc>
          <w:tcPr>
            <w:tcW w:w="3648" w:type="pct"/>
            <w:tcBorders>
              <w:top w:val="nil"/>
            </w:tcBorders>
            <w:vAlign w:val="center"/>
          </w:tcPr>
          <w:p w14:paraId="43025E95">
            <w:pPr>
              <w:widowControl/>
              <w:spacing w:line="440" w:lineRule="exact"/>
              <w:rPr>
                <w:rFonts w:ascii="宋体" w:hAnsi="宋体" w:eastAsia="宋体" w:cs="宋体"/>
                <w:color w:val="auto"/>
                <w:sz w:val="24"/>
                <w:highlight w:val="none"/>
              </w:rPr>
            </w:pPr>
            <w:r>
              <w:rPr>
                <w:rFonts w:hint="eastAsia" w:ascii="宋体" w:hAnsi="宋体" w:eastAsia="宋体" w:cs="宋体"/>
                <w:color w:val="auto"/>
                <w:sz w:val="24"/>
                <w:szCs w:val="28"/>
                <w:highlight w:val="none"/>
              </w:rPr>
              <w:t>全部</w:t>
            </w:r>
          </w:p>
        </w:tc>
      </w:tr>
      <w:tr w14:paraId="21C7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jc w:val="center"/>
        </w:trPr>
        <w:tc>
          <w:tcPr>
            <w:tcW w:w="1352" w:type="pct"/>
            <w:tcBorders>
              <w:top w:val="nil"/>
            </w:tcBorders>
            <w:vAlign w:val="center"/>
          </w:tcPr>
          <w:p w14:paraId="19A442B1">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投标报价</w:t>
            </w:r>
          </w:p>
        </w:tc>
        <w:tc>
          <w:tcPr>
            <w:tcW w:w="3648" w:type="pct"/>
            <w:tcBorders>
              <w:top w:val="nil"/>
            </w:tcBorders>
            <w:vAlign w:val="center"/>
          </w:tcPr>
          <w:p w14:paraId="59245FC2">
            <w:pPr>
              <w:snapToGrid w:val="0"/>
              <w:spacing w:line="360" w:lineRule="auto"/>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每年</w:t>
            </w:r>
            <w:r>
              <w:rPr>
                <w:rFonts w:hint="eastAsia" w:ascii="宋体" w:hAnsi="宋体" w:eastAsia="宋体" w:cs="宋体"/>
                <w:bCs/>
                <w:color w:val="auto"/>
                <w:sz w:val="24"/>
                <w:szCs w:val="24"/>
                <w:highlight w:val="none"/>
                <w:u w:val="single"/>
              </w:rPr>
              <w:t xml:space="preserve">                    </w:t>
            </w:r>
          </w:p>
          <w:p w14:paraId="4DB4853C">
            <w:pPr>
              <w:spacing w:line="440" w:lineRule="exact"/>
              <w:ind w:right="-67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/年</w:t>
            </w:r>
          </w:p>
          <w:p w14:paraId="4CA4C3F0">
            <w:pPr>
              <w:spacing w:line="440" w:lineRule="exact"/>
              <w:ind w:right="-670"/>
              <w:rPr>
                <w:rFonts w:hint="eastAsia" w:ascii="宋体" w:hAnsi="宋体" w:eastAsia="宋体" w:cs="宋体"/>
                <w:bCs/>
                <w:color w:val="auto"/>
                <w:sz w:val="24"/>
                <w:szCs w:val="24"/>
                <w:highlight w:val="none"/>
                <w:u w:val="single"/>
                <w:lang w:val="en-US" w:eastAsia="zh-CN"/>
              </w:rPr>
            </w:pPr>
          </w:p>
          <w:p w14:paraId="42FEC4C8">
            <w:pPr>
              <w:spacing w:line="440" w:lineRule="exact"/>
              <w:ind w:right="-67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u w:val="single"/>
                <w:lang w:val="en-US" w:eastAsia="zh-CN"/>
              </w:rPr>
              <w:t>总价：</w:t>
            </w:r>
          </w:p>
          <w:p w14:paraId="350C3FCF">
            <w:pPr>
              <w:snapToGrid w:val="0"/>
              <w:spacing w:line="360" w:lineRule="auto"/>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1510847">
            <w:pPr>
              <w:spacing w:line="440" w:lineRule="exact"/>
              <w:ind w:right="-67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1A6D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76696F84">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其他</w:t>
            </w:r>
          </w:p>
        </w:tc>
        <w:tc>
          <w:tcPr>
            <w:tcW w:w="3648" w:type="pct"/>
            <w:tcBorders>
              <w:top w:val="nil"/>
            </w:tcBorders>
            <w:vAlign w:val="center"/>
          </w:tcPr>
          <w:p w14:paraId="3EAC4C9E">
            <w:pPr>
              <w:spacing w:line="440" w:lineRule="exact"/>
              <w:jc w:val="left"/>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highlight w:val="none"/>
                <w:lang w:val="en-US" w:eastAsia="zh-CN"/>
              </w:rPr>
              <w:t xml:space="preserve"> </w:t>
            </w:r>
          </w:p>
        </w:tc>
      </w:tr>
    </w:tbl>
    <w:p w14:paraId="322B72D3">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6F434A0A">
      <w:pPr>
        <w:tabs>
          <w:tab w:val="left" w:pos="630"/>
        </w:tabs>
        <w:spacing w:line="440" w:lineRule="exact"/>
        <w:ind w:firstLine="4800" w:firstLineChars="2000"/>
        <w:rPr>
          <w:rFonts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27908893">
      <w:pPr>
        <w:spacing w:line="440" w:lineRule="exact"/>
        <w:rPr>
          <w:rFonts w:ascii="宋体" w:hAnsi="宋体" w:eastAsia="宋体" w:cs="宋体"/>
          <w:b/>
          <w:color w:val="auto"/>
          <w:sz w:val="24"/>
          <w:highlight w:val="none"/>
        </w:rPr>
      </w:pPr>
      <w:r>
        <w:rPr>
          <w:rFonts w:hint="eastAsia" w:ascii="宋体" w:hAnsi="宋体" w:eastAsia="宋体" w:cs="宋体"/>
          <w:b/>
          <w:color w:val="auto"/>
          <w:sz w:val="24"/>
          <w:highlight w:val="none"/>
        </w:rPr>
        <w:t>注：</w:t>
      </w:r>
    </w:p>
    <w:p w14:paraId="03C93D5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1.此表用于开标唱标之用。</w:t>
      </w:r>
    </w:p>
    <w:p w14:paraId="5AC00AE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2.表中投标报价作为评审及定标依据。任何有选择或有条件的投标报价，或者表中某一包别填写多个报价，均为无效报价。</w:t>
      </w:r>
    </w:p>
    <w:p w14:paraId="2E71514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3.表中大写金额与小写金额不一致的，以大写金额为准。</w:t>
      </w:r>
      <w:r>
        <w:rPr>
          <w:rFonts w:hint="eastAsia" w:ascii="宋体" w:hAnsi="宋体" w:eastAsia="宋体" w:cs="宋体"/>
          <w:color w:val="auto"/>
          <w:sz w:val="24"/>
          <w:highlight w:val="none"/>
        </w:rPr>
        <w:br w:type="page"/>
      </w:r>
    </w:p>
    <w:p w14:paraId="0344EBE1">
      <w:pPr>
        <w:spacing w:line="440" w:lineRule="exact"/>
        <w:jc w:val="center"/>
        <w:outlineLvl w:val="1"/>
        <w:rPr>
          <w:rFonts w:ascii="宋体" w:hAnsi="宋体" w:eastAsia="宋体" w:cs="宋体"/>
          <w:b/>
          <w:color w:val="auto"/>
          <w:sz w:val="24"/>
          <w:highlight w:val="none"/>
        </w:rPr>
      </w:pPr>
      <w:bookmarkStart w:id="228" w:name="_Toc2234"/>
      <w:bookmarkStart w:id="229" w:name="_Toc6120"/>
      <w:bookmarkStart w:id="230" w:name="_Toc6441"/>
      <w:r>
        <w:rPr>
          <w:rFonts w:hint="eastAsia" w:ascii="宋体" w:hAnsi="宋体" w:eastAsia="宋体" w:cs="宋体"/>
          <w:b/>
          <w:color w:val="auto"/>
          <w:sz w:val="24"/>
          <w:highlight w:val="none"/>
        </w:rPr>
        <w:t>（2）投标函</w:t>
      </w:r>
      <w:bookmarkEnd w:id="228"/>
      <w:bookmarkEnd w:id="229"/>
      <w:bookmarkEnd w:id="230"/>
    </w:p>
    <w:p w14:paraId="28A7571A">
      <w:pPr>
        <w:pStyle w:val="14"/>
        <w:spacing w:line="440" w:lineRule="exact"/>
        <w:rPr>
          <w:rFonts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采购人</w:t>
      </w:r>
    </w:p>
    <w:p w14:paraId="3F2FEBE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根据贵方的招标公告和投标邀请，我方兹宣布同意如下：</w:t>
      </w:r>
    </w:p>
    <w:p w14:paraId="56529B0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17A03AA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2.我方已详细审核全部招标文件，包括招标文件附件及更正公告（如有），我方正式认可并遵守本次招标文件，并对招标文件各项条款、规定及要求均无异议。</w:t>
      </w:r>
    </w:p>
    <w:p w14:paraId="2EA8DD6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3.我方同意从招标文件规定的开标日期起遵循本招标文件，并在招标文件规定的投标有效期之前均具有约束力。</w:t>
      </w:r>
    </w:p>
    <w:p w14:paraId="4BC4010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7278A33D">
      <w:pPr>
        <w:spacing w:line="440" w:lineRule="exact"/>
        <w:ind w:firstLine="4800" w:firstLineChars="2000"/>
        <w:rPr>
          <w:rFonts w:ascii="宋体" w:hAnsi="宋体" w:eastAsia="宋体" w:cs="宋体"/>
          <w:color w:val="auto"/>
          <w:sz w:val="24"/>
          <w:highlight w:val="none"/>
        </w:rPr>
      </w:pPr>
    </w:p>
    <w:p w14:paraId="699B0EE3">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4A1560BD">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5B445987">
      <w:pPr>
        <w:widowControl/>
        <w:spacing w:line="440" w:lineRule="exact"/>
        <w:jc w:val="left"/>
        <w:rPr>
          <w:rFonts w:ascii="宋体" w:hAnsi="宋体" w:eastAsia="宋体" w:cs="宋体"/>
          <w:color w:val="auto"/>
          <w:sz w:val="24"/>
          <w:highlight w:val="none"/>
          <w:u w:val="single"/>
        </w:rPr>
      </w:pPr>
      <w:r>
        <w:rPr>
          <w:rFonts w:hint="eastAsia" w:ascii="宋体" w:hAnsi="宋体" w:eastAsia="宋体" w:cs="宋体"/>
          <w:color w:val="auto"/>
          <w:sz w:val="24"/>
          <w:highlight w:val="none"/>
          <w:u w:val="single"/>
        </w:rPr>
        <w:br w:type="page"/>
      </w:r>
    </w:p>
    <w:p w14:paraId="27D46E0F">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sz w:val="24"/>
          <w:lang w:val="en-US" w:eastAsia="zh-CN"/>
        </w:rPr>
      </w:pPr>
      <w:bookmarkStart w:id="231" w:name="_Toc25461"/>
      <w:bookmarkStart w:id="232" w:name="_Toc6435"/>
      <w:r>
        <w:rPr>
          <w:rFonts w:hint="eastAsia" w:asciiTheme="minorEastAsia" w:hAnsiTheme="minorEastAsia" w:eastAsiaTheme="minorEastAsia"/>
          <w:b/>
          <w:sz w:val="24"/>
          <w:lang w:val="en-US" w:eastAsia="zh-CN"/>
        </w:rPr>
        <w:t>（3）</w:t>
      </w:r>
      <w:r>
        <w:rPr>
          <w:rFonts w:hint="eastAsia" w:ascii="宋体" w:hAnsi="宋体" w:eastAsia="宋体" w:cs="@仿宋_GB2312"/>
          <w:b/>
          <w:sz w:val="24"/>
          <w:szCs w:val="20"/>
        </w:rPr>
        <w:t>关于符合本国产品标准的声明函</w:t>
      </w:r>
      <w:bookmarkEnd w:id="231"/>
    </w:p>
    <w:p w14:paraId="71F6D47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1.</w:t>
      </w:r>
      <w:r>
        <w:rPr>
          <w:rStyle w:val="35"/>
          <w:rFonts w:hint="eastAsia" w:ascii="宋体" w:hAnsi="宋体" w:eastAsia="宋体" w:cs="宋体"/>
          <w:i w:val="0"/>
          <w:iCs w:val="0"/>
          <w:caps w:val="0"/>
          <w:color w:val="auto"/>
          <w:spacing w:val="0"/>
          <w:sz w:val="24"/>
          <w:szCs w:val="24"/>
          <w:u w:val="single"/>
          <w:shd w:val="clear" w:color="auto" w:fill="FFFFFF"/>
          <w:vertAlign w:val="baseline"/>
        </w:rPr>
        <w:t>（产品名称1）</w:t>
      </w:r>
      <w:r>
        <w:rPr>
          <w:rStyle w:val="35"/>
          <w:rFonts w:hint="eastAsia" w:ascii="宋体" w:hAnsi="宋体" w:eastAsia="宋体" w:cs="宋体"/>
          <w:i w:val="0"/>
          <w:iCs w:val="0"/>
          <w:caps w:val="0"/>
          <w:color w:val="auto"/>
          <w:spacing w:val="0"/>
          <w:sz w:val="24"/>
          <w:szCs w:val="24"/>
          <w:u w:val="none"/>
          <w:shd w:val="clear" w:color="auto" w:fill="FFFFFF"/>
          <w:vertAlign w:val="superscript"/>
        </w:rPr>
        <w:t>1</w:t>
      </w:r>
      <w:r>
        <w:rPr>
          <w:rFonts w:hint="eastAsia" w:ascii="宋体" w:hAnsi="宋体" w:eastAsia="宋体" w:cs="宋体"/>
          <w:i w:val="0"/>
          <w:iCs w:val="0"/>
          <w:caps w:val="0"/>
          <w:color w:val="auto"/>
          <w:spacing w:val="0"/>
          <w:sz w:val="24"/>
          <w:szCs w:val="24"/>
          <w:u w:val="none"/>
          <w:shd w:val="clear" w:color="auto" w:fill="FFFFFF"/>
          <w:vertAlign w:val="baseline"/>
        </w:rPr>
        <w:t>，生产厂为</w:t>
      </w:r>
      <w:r>
        <w:rPr>
          <w:rStyle w:val="35"/>
          <w:rFonts w:hint="eastAsia" w:ascii="宋体" w:hAnsi="宋体" w:eastAsia="宋体" w:cs="宋体"/>
          <w:i w:val="0"/>
          <w:iCs w:val="0"/>
          <w:caps w:val="0"/>
          <w:color w:val="auto"/>
          <w:spacing w:val="0"/>
          <w:sz w:val="24"/>
          <w:szCs w:val="24"/>
          <w:u w:val="single"/>
          <w:shd w:val="clear" w:color="auto" w:fill="FFFFFF"/>
          <w:vertAlign w:val="baseline"/>
        </w:rPr>
        <w:t>（厂名）</w:t>
      </w:r>
      <w:r>
        <w:rPr>
          <w:rStyle w:val="35"/>
          <w:rFonts w:hint="eastAsia" w:ascii="宋体" w:hAnsi="宋体" w:eastAsia="宋体" w:cs="宋体"/>
          <w:i w:val="0"/>
          <w:iCs w:val="0"/>
          <w:caps w:val="0"/>
          <w:color w:val="auto"/>
          <w:spacing w:val="0"/>
          <w:sz w:val="24"/>
          <w:szCs w:val="24"/>
          <w:u w:val="none"/>
          <w:shd w:val="clear" w:color="auto" w:fill="FFFFFF"/>
          <w:vertAlign w:val="superscript"/>
        </w:rPr>
        <w:t>2</w:t>
      </w:r>
      <w:r>
        <w:rPr>
          <w:rFonts w:hint="eastAsia" w:ascii="宋体" w:hAnsi="宋体" w:eastAsia="宋体" w:cs="宋体"/>
          <w:i w:val="0"/>
          <w:iCs w:val="0"/>
          <w:caps w:val="0"/>
          <w:color w:val="auto"/>
          <w:spacing w:val="0"/>
          <w:sz w:val="24"/>
          <w:szCs w:val="24"/>
          <w:u w:val="none"/>
          <w:shd w:val="clear" w:color="auto" w:fill="FFFFFF"/>
          <w:vertAlign w:val="baseline"/>
        </w:rPr>
        <w:t>，厂址为</w:t>
      </w:r>
      <w:r>
        <w:rPr>
          <w:rStyle w:val="35"/>
          <w:rFonts w:hint="eastAsia" w:ascii="宋体" w:hAnsi="宋体" w:eastAsia="宋体" w:cs="宋体"/>
          <w:i w:val="0"/>
          <w:iCs w:val="0"/>
          <w:caps w:val="0"/>
          <w:color w:val="auto"/>
          <w:spacing w:val="0"/>
          <w:sz w:val="24"/>
          <w:szCs w:val="24"/>
          <w:u w:val="single"/>
          <w:shd w:val="clear" w:color="auto" w:fill="FFFFFF"/>
          <w:vertAlign w:val="baseline"/>
        </w:rPr>
        <w:t>（生产厂址）</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的中国境内生产的组件成本占比≥</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在中国境内生产。</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在中国境内完成。</w:t>
      </w:r>
    </w:p>
    <w:p w14:paraId="31ED8C2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2.</w:t>
      </w:r>
      <w:r>
        <w:rPr>
          <w:rStyle w:val="35"/>
          <w:rFonts w:hint="eastAsia" w:ascii="宋体" w:hAnsi="宋体" w:eastAsia="宋体" w:cs="宋体"/>
          <w:i w:val="0"/>
          <w:iCs w:val="0"/>
          <w:caps w:val="0"/>
          <w:color w:val="auto"/>
          <w:spacing w:val="0"/>
          <w:sz w:val="24"/>
          <w:szCs w:val="24"/>
          <w:u w:val="single"/>
          <w:shd w:val="clear" w:color="auto" w:fill="FFFFFF"/>
          <w:vertAlign w:val="baseline"/>
        </w:rPr>
        <w:t>（产品名称2）</w:t>
      </w:r>
      <w:r>
        <w:rPr>
          <w:rFonts w:hint="eastAsia" w:ascii="宋体" w:hAnsi="宋体" w:eastAsia="宋体" w:cs="宋体"/>
          <w:i w:val="0"/>
          <w:iCs w:val="0"/>
          <w:caps w:val="0"/>
          <w:color w:val="auto"/>
          <w:spacing w:val="0"/>
          <w:sz w:val="24"/>
          <w:szCs w:val="24"/>
          <w:u w:val="none"/>
          <w:shd w:val="clear" w:color="auto" w:fill="FFFFFF"/>
          <w:vertAlign w:val="baseline"/>
        </w:rPr>
        <w:t>，生产厂为</w:t>
      </w:r>
      <w:r>
        <w:rPr>
          <w:rStyle w:val="35"/>
          <w:rFonts w:hint="eastAsia" w:ascii="宋体" w:hAnsi="宋体" w:eastAsia="宋体" w:cs="宋体"/>
          <w:i w:val="0"/>
          <w:iCs w:val="0"/>
          <w:caps w:val="0"/>
          <w:color w:val="auto"/>
          <w:spacing w:val="0"/>
          <w:sz w:val="24"/>
          <w:szCs w:val="24"/>
          <w:u w:val="single"/>
          <w:shd w:val="clear" w:color="auto" w:fill="FFFFFF"/>
          <w:vertAlign w:val="baseline"/>
        </w:rPr>
        <w:t>（厂名）</w:t>
      </w:r>
      <w:r>
        <w:rPr>
          <w:rFonts w:hint="eastAsia" w:ascii="宋体" w:hAnsi="宋体" w:eastAsia="宋体" w:cs="宋体"/>
          <w:i w:val="0"/>
          <w:iCs w:val="0"/>
          <w:caps w:val="0"/>
          <w:color w:val="auto"/>
          <w:spacing w:val="0"/>
          <w:sz w:val="24"/>
          <w:szCs w:val="24"/>
          <w:u w:val="none"/>
          <w:shd w:val="clear" w:color="auto" w:fill="FFFFFF"/>
          <w:vertAlign w:val="baseline"/>
        </w:rPr>
        <w:t>，厂址为</w:t>
      </w:r>
      <w:r>
        <w:rPr>
          <w:rStyle w:val="35"/>
          <w:rFonts w:hint="eastAsia" w:ascii="宋体" w:hAnsi="宋体" w:eastAsia="宋体" w:cs="宋体"/>
          <w:i w:val="0"/>
          <w:iCs w:val="0"/>
          <w:caps w:val="0"/>
          <w:color w:val="auto"/>
          <w:spacing w:val="0"/>
          <w:sz w:val="24"/>
          <w:szCs w:val="24"/>
          <w:u w:val="single"/>
          <w:shd w:val="clear" w:color="auto" w:fill="FFFFFF"/>
          <w:vertAlign w:val="baseline"/>
        </w:rPr>
        <w:t>（生产厂址）</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的中国境内生产的组件成本占比≥</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在中国境内生产。</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在中国境内完成。</w:t>
      </w:r>
    </w:p>
    <w:p w14:paraId="7190735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w:t>
      </w:r>
    </w:p>
    <w:p w14:paraId="59B25A0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sz w:val="24"/>
          <w:szCs w:val="24"/>
          <w:u w:val="single"/>
        </w:rPr>
      </w:pPr>
      <w:r>
        <w:rPr>
          <w:rFonts w:hint="eastAsia" w:ascii="宋体" w:hAnsi="宋体" w:eastAsia="宋体"/>
          <w:sz w:val="24"/>
          <w:szCs w:val="24"/>
        </w:rPr>
        <w:t>投标人</w:t>
      </w:r>
      <w:r>
        <w:rPr>
          <w:rFonts w:ascii="宋体" w:hAnsi="宋体" w:eastAsia="宋体"/>
          <w:sz w:val="24"/>
          <w:szCs w:val="24"/>
        </w:rPr>
        <w:t>电子签章</w:t>
      </w:r>
      <w:r>
        <w:rPr>
          <w:rFonts w:hint="eastAsia" w:ascii="宋体" w:hAnsi="宋体" w:eastAsia="宋体"/>
          <w:sz w:val="24"/>
          <w:szCs w:val="24"/>
        </w:rPr>
        <w:t>：</w:t>
      </w:r>
      <w:r>
        <w:rPr>
          <w:rFonts w:ascii="宋体" w:hAnsi="宋体" w:eastAsia="宋体"/>
          <w:sz w:val="24"/>
          <w:szCs w:val="24"/>
          <w:u w:val="single"/>
        </w:rPr>
        <w:t xml:space="preserve">             </w:t>
      </w:r>
    </w:p>
    <w:p w14:paraId="33233788">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u w:val="none"/>
          <w:shd w:val="clear" w:color="auto" w:fill="FFFFFF"/>
          <w:vertAlign w:val="baseline"/>
        </w:rPr>
      </w:pPr>
      <w:r>
        <w:rPr>
          <w:rFonts w:hint="eastAsia" w:ascii="宋体" w:hAnsi="宋体" w:eastAsia="宋体"/>
          <w:sz w:val="24"/>
          <w:szCs w:val="24"/>
        </w:rPr>
        <w:t>日</w:t>
      </w:r>
      <w:r>
        <w:rPr>
          <w:rFonts w:ascii="宋体" w:hAnsi="宋体" w:eastAsia="宋体"/>
          <w:sz w:val="24"/>
          <w:szCs w:val="24"/>
        </w:rPr>
        <w:t xml:space="preserve">      </w:t>
      </w:r>
      <w:r>
        <w:rPr>
          <w:rFonts w:hint="eastAsia" w:ascii="宋体" w:hAnsi="宋体" w:eastAsia="宋体"/>
          <w:sz w:val="24"/>
          <w:szCs w:val="24"/>
        </w:rPr>
        <w:t xml:space="preserve">    期：</w:t>
      </w:r>
      <w:r>
        <w:rPr>
          <w:rFonts w:ascii="宋体" w:hAnsi="宋体" w:eastAsia="宋体"/>
          <w:sz w:val="24"/>
          <w:szCs w:val="24"/>
          <w:u w:val="single"/>
        </w:rPr>
        <w:t xml:space="preserve">             </w:t>
      </w:r>
    </w:p>
    <w:p w14:paraId="7283C02E">
      <w:pPr>
        <w:tabs>
          <w:tab w:val="left" w:pos="4620"/>
        </w:tabs>
        <w:spacing w:line="360" w:lineRule="auto"/>
        <w:jc w:val="left"/>
        <w:rPr>
          <w:rFonts w:hint="eastAsia" w:ascii="宋体" w:hAnsi="宋体" w:eastAsia="宋体"/>
          <w:b w:val="0"/>
          <w:bCs/>
          <w:szCs w:val="24"/>
          <w:lang w:eastAsia="zh-CN"/>
        </w:rPr>
      </w:pPr>
      <w:r>
        <w:rPr>
          <w:rFonts w:hint="eastAsia" w:ascii="宋体" w:hAnsi="宋体" w:eastAsia="宋体" w:cs="Times New Roman"/>
          <w:b/>
          <w:szCs w:val="24"/>
          <w:lang w:val="en-US" w:eastAsia="zh-CN"/>
        </w:rPr>
        <w:t>注：</w:t>
      </w:r>
    </w:p>
    <w:p w14:paraId="5114D191">
      <w:pPr>
        <w:tabs>
          <w:tab w:val="left" w:pos="4620"/>
        </w:tabs>
        <w:spacing w:line="360" w:lineRule="auto"/>
        <w:jc w:val="left"/>
        <w:rPr>
          <w:rFonts w:hint="eastAsia" w:ascii="宋体" w:hAnsi="宋体" w:eastAsia="宋体"/>
          <w:b w:val="0"/>
          <w:bCs/>
          <w:szCs w:val="24"/>
          <w:lang w:eastAsia="zh-CN"/>
        </w:rPr>
      </w:pPr>
      <w:r>
        <w:rPr>
          <w:rFonts w:hint="eastAsia" w:ascii="宋体" w:hAnsi="宋体" w:eastAsia="宋体"/>
          <w:b w:val="0"/>
          <w:bCs/>
          <w:szCs w:val="24"/>
          <w:lang w:eastAsia="zh-CN"/>
        </w:rPr>
        <w:t>1.产品如有型号，请在“产品名称”栏一并填写。</w:t>
      </w:r>
    </w:p>
    <w:p w14:paraId="3B3A64A6">
      <w:pPr>
        <w:tabs>
          <w:tab w:val="left" w:pos="4620"/>
        </w:tabs>
        <w:spacing w:line="360" w:lineRule="auto"/>
        <w:jc w:val="left"/>
        <w:rPr>
          <w:rFonts w:hint="eastAsia" w:ascii="宋体" w:hAnsi="宋体" w:eastAsia="宋体"/>
          <w:b w:val="0"/>
          <w:bCs/>
          <w:szCs w:val="24"/>
          <w:lang w:eastAsia="zh-CN"/>
        </w:rPr>
      </w:pPr>
      <w:r>
        <w:rPr>
          <w:rFonts w:hint="eastAsia" w:ascii="宋体" w:hAnsi="宋体" w:eastAsia="宋体"/>
          <w:b w:val="0"/>
          <w:bCs/>
          <w:szCs w:val="24"/>
          <w:lang w:eastAsia="zh-CN"/>
        </w:rPr>
        <w:t>2.生产厂名与厂址应与生产厂营业执照载明的相关信息保持一致。</w:t>
      </w:r>
    </w:p>
    <w:p w14:paraId="19816030">
      <w:pPr>
        <w:tabs>
          <w:tab w:val="left" w:pos="4620"/>
        </w:tabs>
        <w:spacing w:line="360" w:lineRule="auto"/>
        <w:jc w:val="left"/>
        <w:rPr>
          <w:rFonts w:hint="eastAsia" w:ascii="宋体" w:hAnsi="宋体" w:eastAsia="宋体" w:cs="Times New Roman"/>
          <w:b w:val="0"/>
          <w:bCs/>
          <w:szCs w:val="24"/>
          <w:lang w:val="en-US" w:eastAsia="zh-CN"/>
        </w:rPr>
      </w:pPr>
      <w:r>
        <w:rPr>
          <w:rFonts w:hint="eastAsia" w:ascii="宋体" w:hAnsi="宋体" w:eastAsia="宋体" w:cs="Times New Roman"/>
          <w:b w:val="0"/>
          <w:bCs/>
          <w:szCs w:val="24"/>
          <w:lang w:val="en-US" w:eastAsia="zh-CN"/>
        </w:rPr>
        <w:t>3.上述声明函中标注</w:t>
      </w:r>
      <w:r>
        <w:rPr>
          <w:rFonts w:hint="eastAsia" w:ascii="宋体" w:hAnsi="宋体" w:eastAsia="宋体" w:cs="Times New Roman"/>
          <w:b w:val="0"/>
          <w:bCs/>
          <w:szCs w:val="24"/>
          <w:u w:val="single"/>
          <w:lang w:val="en-US" w:eastAsia="zh-CN"/>
        </w:rPr>
        <w:t xml:space="preserve">  /  </w:t>
      </w:r>
      <w:r>
        <w:rPr>
          <w:rFonts w:hint="eastAsia" w:ascii="宋体" w:hAnsi="宋体" w:eastAsia="宋体" w:cs="Times New Roman"/>
          <w:b w:val="0"/>
          <w:bCs/>
          <w:szCs w:val="24"/>
          <w:lang w:val="en-US" w:eastAsia="zh-CN"/>
        </w:rPr>
        <w:t>的，无需填写。</w:t>
      </w:r>
    </w:p>
    <w:p w14:paraId="2F2A5335">
      <w:pPr>
        <w:tabs>
          <w:tab w:val="left" w:pos="4620"/>
        </w:tabs>
        <w:spacing w:line="360" w:lineRule="auto"/>
        <w:jc w:val="left"/>
        <w:rPr>
          <w:rFonts w:hint="default" w:ascii="宋体" w:hAnsi="宋体" w:eastAsia="宋体" w:cs="Times New Roman"/>
          <w:b w:val="0"/>
          <w:bCs/>
          <w:szCs w:val="24"/>
          <w:lang w:val="en-US" w:eastAsia="zh-CN"/>
        </w:rPr>
      </w:pPr>
      <w:r>
        <w:rPr>
          <w:rFonts w:hint="eastAsia" w:ascii="宋体" w:hAnsi="宋体" w:eastAsia="宋体" w:cs="Times New Roman"/>
          <w:b w:val="0"/>
          <w:bCs/>
          <w:sz w:val="21"/>
          <w:szCs w:val="21"/>
          <w:highlight w:val="none"/>
          <w:lang w:val="en-US" w:eastAsia="zh-CN"/>
        </w:rPr>
        <w:t>4.投标人应当结合“五、投标分项报价表-货物部分”相关信息进行填写。</w:t>
      </w:r>
    </w:p>
    <w:p w14:paraId="2B00D708">
      <w:pPr>
        <w:spacing w:line="360" w:lineRule="auto"/>
        <w:jc w:val="center"/>
        <w:outlineLvl w:val="9"/>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sz w:val="21"/>
          <w:szCs w:val="21"/>
          <w:highlight w:val="none"/>
          <w:lang w:eastAsia="zh-CN"/>
        </w:rPr>
        <w:t>国办发〔2025〕34号）</w:t>
      </w:r>
      <w:r>
        <w:rPr>
          <w:rFonts w:hint="eastAsia" w:ascii="宋体" w:hAnsi="宋体" w:eastAsia="宋体" w:cs="Times New Roman"/>
          <w:b w:val="0"/>
          <w:bCs/>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sz w:val="21"/>
          <w:szCs w:val="21"/>
          <w:highlight w:val="none"/>
          <w:lang w:eastAsia="zh-CN"/>
        </w:rPr>
        <w:t>中国境内生产</w:t>
      </w:r>
      <w:r>
        <w:rPr>
          <w:rFonts w:hint="eastAsia" w:ascii="宋体" w:hAnsi="宋体" w:eastAsia="宋体" w:cs="Times New Roman"/>
          <w:b w:val="0"/>
          <w:bCs/>
          <w:sz w:val="21"/>
          <w:szCs w:val="21"/>
          <w:highlight w:val="none"/>
          <w:lang w:val="en-US" w:eastAsia="zh-CN"/>
        </w:rPr>
        <w:t>的产品</w:t>
      </w:r>
      <w:r>
        <w:rPr>
          <w:rFonts w:hint="eastAsia" w:ascii="宋体" w:hAnsi="宋体" w:eastAsia="宋体" w:cs="Times New Roman"/>
          <w:b w:val="0"/>
          <w:bCs/>
          <w:sz w:val="21"/>
          <w:szCs w:val="21"/>
          <w:highlight w:val="none"/>
          <w:lang w:eastAsia="zh-CN"/>
        </w:rPr>
        <w:t>，即在中华人民共和国关境内实现从原材料、组件到产品的属性改变。</w:t>
      </w:r>
      <w:r>
        <w:rPr>
          <w:rFonts w:hint="eastAsia" w:ascii="宋体" w:hAnsi="宋体" w:eastAsia="宋体" w:cs="Times New Roman"/>
          <w:b w:val="0"/>
          <w:bCs/>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w:t>
      </w:r>
    </w:p>
    <w:p w14:paraId="73A07190">
      <w:pPr>
        <w:spacing w:line="360" w:lineRule="auto"/>
        <w:jc w:val="both"/>
        <w:outlineLvl w:val="9"/>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产品，矿与矿物，电力、城市燃气、蒸汽和热水、水，食品、饮料和烟草原料，无形资产。</w:t>
      </w:r>
    </w:p>
    <w:p w14:paraId="0D59BDDA">
      <w:pPr>
        <w:spacing w:line="440" w:lineRule="exact"/>
        <w:jc w:val="center"/>
        <w:outlineLvl w:val="0"/>
        <w:rPr>
          <w:rFonts w:ascii="宋体" w:hAnsi="宋体" w:eastAsia="宋体" w:cs="宋体"/>
          <w:b/>
          <w:bCs/>
          <w:color w:val="auto"/>
          <w:sz w:val="28"/>
          <w:highlight w:val="none"/>
        </w:rPr>
      </w:pPr>
      <w:bookmarkStart w:id="233" w:name="_Toc3552"/>
      <w:r>
        <w:rPr>
          <w:rFonts w:hint="eastAsia" w:ascii="宋体" w:hAnsi="宋体" w:eastAsia="宋体" w:cs="宋体"/>
          <w:b/>
          <w:color w:val="auto"/>
          <w:sz w:val="28"/>
          <w:highlight w:val="none"/>
        </w:rPr>
        <w:t>第七章</w:t>
      </w:r>
      <w:r>
        <w:rPr>
          <w:rFonts w:hint="eastAsia" w:ascii="宋体" w:hAnsi="宋体" w:eastAsia="宋体" w:cs="宋体"/>
          <w:b/>
          <w:bCs/>
          <w:color w:val="auto"/>
          <w:sz w:val="28"/>
          <w:highlight w:val="none"/>
        </w:rPr>
        <w:t xml:space="preserve">  政府采购</w:t>
      </w:r>
      <w:r>
        <w:rPr>
          <w:rFonts w:hint="eastAsia" w:ascii="宋体" w:hAnsi="宋体" w:eastAsia="宋体" w:cs="宋体"/>
          <w:b/>
          <w:color w:val="auto"/>
          <w:sz w:val="28"/>
          <w:highlight w:val="none"/>
        </w:rPr>
        <w:t>供应</w:t>
      </w:r>
      <w:r>
        <w:rPr>
          <w:rFonts w:hint="eastAsia" w:ascii="宋体" w:hAnsi="宋体" w:eastAsia="宋体" w:cs="宋体"/>
          <w:b/>
          <w:bCs/>
          <w:color w:val="auto"/>
          <w:sz w:val="28"/>
          <w:highlight w:val="none"/>
        </w:rPr>
        <w:t>商询问函和质疑函范本</w:t>
      </w:r>
      <w:bookmarkEnd w:id="232"/>
      <w:bookmarkEnd w:id="233"/>
    </w:p>
    <w:p w14:paraId="16A0CFE7">
      <w:pPr>
        <w:spacing w:line="440" w:lineRule="exact"/>
        <w:jc w:val="center"/>
        <w:outlineLvl w:val="1"/>
        <w:rPr>
          <w:rFonts w:ascii="宋体" w:hAnsi="宋体" w:eastAsia="宋体" w:cs="宋体"/>
          <w:b/>
          <w:bCs/>
          <w:color w:val="auto"/>
          <w:sz w:val="32"/>
          <w:szCs w:val="44"/>
          <w:highlight w:val="none"/>
        </w:rPr>
      </w:pPr>
      <w:bookmarkStart w:id="234" w:name="_Toc6955"/>
      <w:bookmarkStart w:id="235" w:name="_Toc27159"/>
      <w:bookmarkStart w:id="236" w:name="_Toc26872"/>
      <w:r>
        <w:rPr>
          <w:rFonts w:hint="eastAsia" w:ascii="宋体" w:hAnsi="宋体" w:eastAsia="宋体" w:cs="宋体"/>
          <w:b/>
          <w:bCs/>
          <w:color w:val="auto"/>
          <w:sz w:val="32"/>
          <w:szCs w:val="44"/>
          <w:highlight w:val="none"/>
        </w:rPr>
        <w:t>询问函范本</w:t>
      </w:r>
      <w:bookmarkEnd w:id="234"/>
      <w:bookmarkEnd w:id="235"/>
      <w:bookmarkEnd w:id="236"/>
    </w:p>
    <w:p w14:paraId="676FB704">
      <w:pPr>
        <w:adjustRightInd w:val="0"/>
        <w:snapToGrid w:val="0"/>
        <w:spacing w:line="440" w:lineRule="exact"/>
        <w:ind w:firstLine="480" w:firstLineChars="200"/>
        <w:jc w:val="center"/>
        <w:rPr>
          <w:rFonts w:ascii="宋体" w:hAnsi="宋体" w:eastAsia="宋体" w:cs="宋体"/>
          <w:b/>
          <w:bCs/>
          <w:color w:val="auto"/>
          <w:sz w:val="32"/>
          <w:szCs w:val="44"/>
          <w:highlight w:val="none"/>
        </w:rPr>
      </w:pPr>
      <w:r>
        <w:rPr>
          <w:rFonts w:hint="eastAsia" w:ascii="宋体" w:hAnsi="宋体" w:eastAsia="宋体" w:cs="宋体"/>
          <w:i/>
          <w:iCs/>
          <w:color w:val="auto"/>
          <w:sz w:val="24"/>
          <w:szCs w:val="24"/>
          <w:highlight w:val="none"/>
        </w:rPr>
        <w:t>（如为对采购文件或采购程序的询问或疑问，请按询问函范本或电子交易系统中网上询问格式附件进行提交）</w:t>
      </w:r>
    </w:p>
    <w:p w14:paraId="4E4774C2">
      <w:pPr>
        <w:adjustRightInd w:val="0"/>
        <w:snapToGrid w:val="0"/>
        <w:spacing w:line="440" w:lineRule="exact"/>
        <w:rPr>
          <w:rFonts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致：采购人</w:t>
      </w:r>
    </w:p>
    <w:p w14:paraId="1A96A70A">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我单位拟参与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i/>
          <w:iCs/>
          <w:color w:val="auto"/>
          <w:sz w:val="24"/>
          <w:szCs w:val="24"/>
          <w:highlight w:val="none"/>
        </w:rPr>
        <w:t>项目名称、编号</w:t>
      </w:r>
      <w:r>
        <w:rPr>
          <w:rFonts w:hint="eastAsia" w:ascii="宋体" w:hAnsi="宋体" w:eastAsia="宋体" w:cs="宋体"/>
          <w:color w:val="auto"/>
          <w:sz w:val="24"/>
          <w:szCs w:val="24"/>
          <w:highlight w:val="none"/>
        </w:rPr>
        <w:t>）的采购活动，现有以下内容(或条款)存在疑问(或无法理解)，特提出询问。</w:t>
      </w:r>
    </w:p>
    <w:p w14:paraId="4B2E6C2C">
      <w:pPr>
        <w:adjustRightInd w:val="0"/>
        <w:snapToGrid w:val="0"/>
        <w:spacing w:line="440" w:lineRule="exact"/>
        <w:ind w:firstLine="480" w:firstLineChars="200"/>
        <w:rPr>
          <w:rFonts w:ascii="宋体" w:hAnsi="宋体" w:eastAsia="宋体" w:cs="宋体"/>
          <w:color w:val="auto"/>
          <w:sz w:val="24"/>
          <w:szCs w:val="24"/>
          <w:highlight w:val="none"/>
        </w:rPr>
      </w:pPr>
      <w:bookmarkStart w:id="237" w:name="_Toc13899"/>
      <w:r>
        <w:rPr>
          <w:rFonts w:hint="eastAsia" w:ascii="宋体" w:hAnsi="宋体" w:eastAsia="宋体" w:cs="宋体"/>
          <w:color w:val="auto"/>
          <w:sz w:val="24"/>
          <w:szCs w:val="24"/>
          <w:highlight w:val="none"/>
        </w:rPr>
        <w:t>一、(事项一)</w:t>
      </w:r>
      <w:bookmarkEnd w:id="237"/>
    </w:p>
    <w:p w14:paraId="277A2F9A">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1、(内容或条款)</w:t>
      </w:r>
    </w:p>
    <w:p w14:paraId="79CB4550">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2、(说明疑问或无法理解原因)</w:t>
      </w:r>
    </w:p>
    <w:p w14:paraId="5FF6BD22">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3、(建议)</w:t>
      </w:r>
    </w:p>
    <w:p w14:paraId="6106753A">
      <w:pPr>
        <w:adjustRightInd w:val="0"/>
        <w:snapToGrid w:val="0"/>
        <w:spacing w:line="440" w:lineRule="exact"/>
        <w:ind w:firstLine="480" w:firstLineChars="200"/>
        <w:rPr>
          <w:rFonts w:ascii="宋体" w:hAnsi="宋体" w:eastAsia="宋体" w:cs="宋体"/>
          <w:color w:val="auto"/>
          <w:sz w:val="24"/>
          <w:szCs w:val="24"/>
          <w:highlight w:val="none"/>
        </w:rPr>
      </w:pPr>
      <w:bookmarkStart w:id="238" w:name="_Toc3352"/>
      <w:r>
        <w:rPr>
          <w:rFonts w:hint="eastAsia" w:ascii="宋体" w:hAnsi="宋体" w:eastAsia="宋体" w:cs="宋体"/>
          <w:color w:val="auto"/>
          <w:sz w:val="24"/>
          <w:szCs w:val="24"/>
          <w:highlight w:val="none"/>
        </w:rPr>
        <w:t>二、(事项二)</w:t>
      </w:r>
      <w:bookmarkEnd w:id="238"/>
    </w:p>
    <w:p w14:paraId="52F222C7">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01FCEDD5">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随附相关证明材料如下： </w:t>
      </w:r>
    </w:p>
    <w:p w14:paraId="607927ED">
      <w:pPr>
        <w:spacing w:line="440" w:lineRule="exact"/>
        <w:ind w:firstLine="4228" w:firstLineChars="1762"/>
        <w:rPr>
          <w:rFonts w:ascii="宋体" w:hAnsi="宋体" w:eastAsia="宋体" w:cs="宋体"/>
          <w:color w:val="auto"/>
          <w:sz w:val="24"/>
          <w:highlight w:val="none"/>
          <w:u w:val="single"/>
        </w:rPr>
      </w:pPr>
      <w:r>
        <w:rPr>
          <w:rFonts w:hint="eastAsia" w:ascii="宋体" w:hAnsi="宋体" w:eastAsia="宋体" w:cs="宋体"/>
          <w:color w:val="auto"/>
          <w:sz w:val="24"/>
          <w:highlight w:val="none"/>
        </w:rPr>
        <w:t>联 系 人：</w:t>
      </w:r>
      <w:r>
        <w:rPr>
          <w:rFonts w:hint="eastAsia" w:ascii="宋体" w:hAnsi="宋体" w:eastAsia="宋体" w:cs="宋体"/>
          <w:color w:val="auto"/>
          <w:sz w:val="24"/>
          <w:highlight w:val="none"/>
          <w:u w:val="single"/>
        </w:rPr>
        <w:t xml:space="preserve">              </w:t>
      </w:r>
    </w:p>
    <w:p w14:paraId="09B2E706">
      <w:pPr>
        <w:spacing w:line="440" w:lineRule="exact"/>
        <w:ind w:firstLine="4228" w:firstLineChars="1762"/>
        <w:rPr>
          <w:rFonts w:ascii="宋体" w:hAnsi="宋体" w:eastAsia="宋体" w:cs="宋体"/>
          <w:color w:val="auto"/>
          <w:sz w:val="24"/>
          <w:highlight w:val="none"/>
          <w:u w:val="singl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rPr>
        <w:t xml:space="preserve">              </w:t>
      </w:r>
    </w:p>
    <w:p w14:paraId="7FDA55DE">
      <w:pPr>
        <w:tabs>
          <w:tab w:val="left" w:pos="630"/>
        </w:tabs>
        <w:spacing w:line="440" w:lineRule="exact"/>
        <w:ind w:firstLine="4228" w:firstLineChars="1762"/>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244D6E9">
      <w:pPr>
        <w:spacing w:line="440" w:lineRule="exact"/>
        <w:rPr>
          <w:rFonts w:ascii="宋体" w:hAnsi="宋体" w:eastAsia="宋体" w:cs="宋体"/>
          <w:b/>
          <w:bCs/>
          <w:color w:val="auto"/>
          <w:sz w:val="32"/>
          <w:szCs w:val="44"/>
          <w:highlight w:val="none"/>
        </w:rPr>
      </w:pPr>
      <w:r>
        <w:rPr>
          <w:rFonts w:hint="eastAsia" w:ascii="宋体" w:hAnsi="宋体" w:eastAsia="宋体" w:cs="宋体"/>
          <w:b/>
          <w:bCs/>
          <w:color w:val="auto"/>
          <w:sz w:val="32"/>
          <w:szCs w:val="44"/>
          <w:highlight w:val="none"/>
        </w:rPr>
        <w:br w:type="page"/>
      </w:r>
    </w:p>
    <w:p w14:paraId="1034779F">
      <w:pPr>
        <w:spacing w:line="440" w:lineRule="exact"/>
        <w:jc w:val="center"/>
        <w:outlineLvl w:val="1"/>
        <w:rPr>
          <w:rFonts w:ascii="宋体" w:hAnsi="宋体" w:eastAsia="宋体" w:cs="宋体"/>
          <w:b/>
          <w:bCs/>
          <w:color w:val="auto"/>
          <w:sz w:val="32"/>
          <w:szCs w:val="44"/>
          <w:highlight w:val="none"/>
        </w:rPr>
      </w:pPr>
      <w:bookmarkStart w:id="239" w:name="_Toc857"/>
      <w:bookmarkStart w:id="240" w:name="_Toc406"/>
      <w:bookmarkStart w:id="241" w:name="_Toc1575"/>
      <w:r>
        <w:rPr>
          <w:rFonts w:hint="eastAsia" w:ascii="宋体" w:hAnsi="宋体" w:eastAsia="宋体" w:cs="宋体"/>
          <w:b/>
          <w:bCs/>
          <w:color w:val="auto"/>
          <w:sz w:val="32"/>
          <w:szCs w:val="44"/>
          <w:highlight w:val="none"/>
        </w:rPr>
        <w:t>质疑函范本</w:t>
      </w:r>
      <w:bookmarkEnd w:id="239"/>
      <w:bookmarkEnd w:id="240"/>
      <w:bookmarkEnd w:id="241"/>
    </w:p>
    <w:p w14:paraId="6B84C395">
      <w:pPr>
        <w:adjustRightInd w:val="0"/>
        <w:snapToGrid w:val="0"/>
        <w:spacing w:before="312" w:beforeLines="100" w:line="440" w:lineRule="exact"/>
        <w:rPr>
          <w:rFonts w:ascii="宋体" w:hAnsi="宋体" w:eastAsia="宋体" w:cs="宋体"/>
          <w:b/>
          <w:bCs/>
          <w:color w:val="auto"/>
          <w:sz w:val="24"/>
          <w:szCs w:val="24"/>
          <w:highlight w:val="none"/>
        </w:rPr>
      </w:pPr>
      <w:bookmarkStart w:id="242" w:name="_Toc21381"/>
      <w:r>
        <w:rPr>
          <w:rFonts w:hint="eastAsia" w:ascii="宋体" w:hAnsi="宋体" w:eastAsia="宋体" w:cs="宋体"/>
          <w:b/>
          <w:bCs/>
          <w:color w:val="auto"/>
          <w:sz w:val="24"/>
          <w:szCs w:val="24"/>
          <w:highlight w:val="none"/>
        </w:rPr>
        <w:t>一、质疑供应商基本信息</w:t>
      </w:r>
      <w:bookmarkEnd w:id="242"/>
    </w:p>
    <w:p w14:paraId="3028DC8A">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质疑供应商：</w:t>
      </w:r>
      <w:r>
        <w:rPr>
          <w:rFonts w:hint="eastAsia" w:ascii="宋体" w:hAnsi="宋体" w:eastAsia="宋体" w:cs="宋体"/>
          <w:color w:val="auto"/>
          <w:sz w:val="24"/>
          <w:szCs w:val="24"/>
          <w:highlight w:val="none"/>
          <w:u w:val="dotted"/>
        </w:rPr>
        <w:t xml:space="preserve">                                        </w:t>
      </w:r>
    </w:p>
    <w:p w14:paraId="3F500A33">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463CB334">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59B9D3A8">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u w:val="dotted"/>
        </w:rPr>
        <w:t xml:space="preserve">                                          </w:t>
      </w:r>
    </w:p>
    <w:p w14:paraId="107B5BEC">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 xml:space="preserve"> </w:t>
      </w:r>
    </w:p>
    <w:p w14:paraId="6C196064">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071F1821">
      <w:pPr>
        <w:adjustRightInd w:val="0"/>
        <w:snapToGrid w:val="0"/>
        <w:spacing w:line="440" w:lineRule="exact"/>
        <w:rPr>
          <w:rFonts w:ascii="宋体" w:hAnsi="宋体" w:eastAsia="宋体" w:cs="宋体"/>
          <w:b/>
          <w:bCs/>
          <w:color w:val="auto"/>
          <w:sz w:val="24"/>
          <w:szCs w:val="24"/>
          <w:highlight w:val="none"/>
        </w:rPr>
      </w:pPr>
      <w:bookmarkStart w:id="243" w:name="_Toc28415"/>
      <w:r>
        <w:rPr>
          <w:rFonts w:hint="eastAsia" w:ascii="宋体" w:hAnsi="宋体" w:eastAsia="宋体" w:cs="宋体"/>
          <w:b/>
          <w:bCs/>
          <w:color w:val="auto"/>
          <w:sz w:val="24"/>
          <w:szCs w:val="24"/>
          <w:highlight w:val="none"/>
        </w:rPr>
        <w:t>二、质疑项目基本情况</w:t>
      </w:r>
      <w:bookmarkEnd w:id="243"/>
    </w:p>
    <w:p w14:paraId="4948BB97">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r>
        <w:rPr>
          <w:rFonts w:hint="eastAsia" w:ascii="宋体" w:hAnsi="宋体" w:eastAsia="宋体" w:cs="宋体"/>
          <w:color w:val="auto"/>
          <w:sz w:val="24"/>
          <w:szCs w:val="24"/>
          <w:highlight w:val="none"/>
          <w:u w:val="dotted"/>
        </w:rPr>
        <w:t xml:space="preserve">                                      </w:t>
      </w:r>
    </w:p>
    <w:p w14:paraId="4F569847">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包号：</w:t>
      </w:r>
      <w:r>
        <w:rPr>
          <w:rFonts w:hint="eastAsia" w:ascii="宋体" w:hAnsi="宋体" w:eastAsia="宋体" w:cs="宋体"/>
          <w:color w:val="auto"/>
          <w:sz w:val="24"/>
          <w:szCs w:val="24"/>
          <w:highlight w:val="none"/>
          <w:u w:val="dotted"/>
        </w:rPr>
        <w:t xml:space="preserve">                 </w:t>
      </w:r>
    </w:p>
    <w:p w14:paraId="25E37F36">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采购人名称：</w:t>
      </w:r>
      <w:r>
        <w:rPr>
          <w:rFonts w:hint="eastAsia" w:ascii="宋体" w:hAnsi="宋体" w:eastAsia="宋体" w:cs="宋体"/>
          <w:color w:val="auto"/>
          <w:sz w:val="24"/>
          <w:szCs w:val="24"/>
          <w:highlight w:val="none"/>
          <w:u w:val="dotted"/>
        </w:rPr>
        <w:t xml:space="preserve">                                         </w:t>
      </w:r>
    </w:p>
    <w:p w14:paraId="102BFF98">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采购文件获取日期：</w:t>
      </w:r>
      <w:r>
        <w:rPr>
          <w:rFonts w:hint="eastAsia" w:ascii="宋体" w:hAnsi="宋体" w:eastAsia="宋体" w:cs="宋体"/>
          <w:color w:val="auto"/>
          <w:sz w:val="24"/>
          <w:szCs w:val="24"/>
          <w:highlight w:val="none"/>
          <w:u w:val="dotted"/>
        </w:rPr>
        <w:t xml:space="preserve">                                           </w:t>
      </w:r>
    </w:p>
    <w:p w14:paraId="07EEDA84">
      <w:pPr>
        <w:adjustRightInd w:val="0"/>
        <w:snapToGrid w:val="0"/>
        <w:spacing w:line="440" w:lineRule="exact"/>
        <w:rPr>
          <w:rFonts w:ascii="宋体" w:hAnsi="宋体" w:eastAsia="宋体" w:cs="宋体"/>
          <w:b/>
          <w:bCs/>
          <w:color w:val="auto"/>
          <w:sz w:val="24"/>
          <w:szCs w:val="24"/>
          <w:highlight w:val="none"/>
        </w:rPr>
      </w:pPr>
      <w:bookmarkStart w:id="244" w:name="_Toc19014"/>
      <w:r>
        <w:rPr>
          <w:rFonts w:hint="eastAsia" w:ascii="宋体" w:hAnsi="宋体" w:eastAsia="宋体" w:cs="宋体"/>
          <w:b/>
          <w:bCs/>
          <w:color w:val="auto"/>
          <w:sz w:val="24"/>
          <w:szCs w:val="24"/>
          <w:highlight w:val="none"/>
        </w:rPr>
        <w:t>三、质疑事项具体内容</w:t>
      </w:r>
      <w:bookmarkEnd w:id="244"/>
    </w:p>
    <w:p w14:paraId="0C3ADE58">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质疑事项1：</w:t>
      </w:r>
      <w:r>
        <w:rPr>
          <w:rFonts w:hint="eastAsia" w:ascii="宋体" w:hAnsi="宋体" w:eastAsia="宋体" w:cs="宋体"/>
          <w:color w:val="auto"/>
          <w:sz w:val="24"/>
          <w:szCs w:val="24"/>
          <w:highlight w:val="none"/>
          <w:u w:val="dotted"/>
        </w:rPr>
        <w:t xml:space="preserve">                                         </w:t>
      </w:r>
    </w:p>
    <w:p w14:paraId="10F7542D">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事实依据：</w:t>
      </w:r>
      <w:r>
        <w:rPr>
          <w:rFonts w:hint="eastAsia" w:ascii="宋体" w:hAnsi="宋体" w:eastAsia="宋体" w:cs="宋体"/>
          <w:color w:val="auto"/>
          <w:sz w:val="24"/>
          <w:szCs w:val="24"/>
          <w:highlight w:val="none"/>
          <w:u w:val="dotted"/>
        </w:rPr>
        <w:t xml:space="preserve">                                          </w:t>
      </w:r>
    </w:p>
    <w:p w14:paraId="0E0EFCBD">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dotted"/>
        </w:rPr>
        <w:t xml:space="preserve">                                                       </w:t>
      </w:r>
    </w:p>
    <w:p w14:paraId="01FB61B7">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dotted"/>
        </w:rPr>
        <w:t xml:space="preserve">                                          </w:t>
      </w:r>
    </w:p>
    <w:p w14:paraId="6591C271">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u w:val="dotted"/>
        </w:rPr>
        <w:t xml:space="preserve">                                                     </w:t>
      </w:r>
    </w:p>
    <w:p w14:paraId="70598BE0">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6599AB49">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3B11539">
      <w:pPr>
        <w:adjustRightInd w:val="0"/>
        <w:snapToGrid w:val="0"/>
        <w:spacing w:line="440" w:lineRule="exact"/>
        <w:rPr>
          <w:rFonts w:ascii="宋体" w:hAnsi="宋体" w:eastAsia="宋体" w:cs="宋体"/>
          <w:b/>
          <w:bCs/>
          <w:color w:val="auto"/>
          <w:sz w:val="24"/>
          <w:szCs w:val="24"/>
          <w:highlight w:val="none"/>
        </w:rPr>
      </w:pPr>
      <w:bookmarkStart w:id="245" w:name="_Toc17919"/>
      <w:r>
        <w:rPr>
          <w:rFonts w:hint="eastAsia" w:ascii="宋体" w:hAnsi="宋体" w:eastAsia="宋体" w:cs="宋体"/>
          <w:b/>
          <w:bCs/>
          <w:color w:val="auto"/>
          <w:sz w:val="24"/>
          <w:szCs w:val="24"/>
          <w:highlight w:val="none"/>
        </w:rPr>
        <w:t>四、与质疑事项相关的质疑请求</w:t>
      </w:r>
      <w:bookmarkEnd w:id="245"/>
    </w:p>
    <w:p w14:paraId="0908BCE2">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请求：</w:t>
      </w:r>
      <w:r>
        <w:rPr>
          <w:rFonts w:hint="eastAsia" w:ascii="宋体" w:hAnsi="宋体" w:eastAsia="宋体" w:cs="宋体"/>
          <w:color w:val="auto"/>
          <w:sz w:val="24"/>
          <w:szCs w:val="24"/>
          <w:highlight w:val="none"/>
          <w:u w:val="dotted"/>
        </w:rPr>
        <w:t xml:space="preserve">                                               </w:t>
      </w:r>
    </w:p>
    <w:p w14:paraId="00503E3B">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签字(签章)：                   公章：                      </w:t>
      </w:r>
    </w:p>
    <w:p w14:paraId="3AB7F6AD">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p>
    <w:p w14:paraId="20A4C3F8">
      <w:pPr>
        <w:widowControl/>
        <w:spacing w:line="440" w:lineRule="exact"/>
        <w:jc w:val="left"/>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784C0F0">
      <w:pPr>
        <w:spacing w:line="440" w:lineRule="exact"/>
        <w:outlineLvl w:val="0"/>
        <w:rPr>
          <w:rFonts w:ascii="宋体" w:hAnsi="宋体" w:eastAsia="宋体" w:cs="宋体"/>
          <w:b/>
          <w:color w:val="auto"/>
          <w:sz w:val="28"/>
          <w:szCs w:val="32"/>
          <w:highlight w:val="none"/>
        </w:rPr>
      </w:pPr>
      <w:bookmarkStart w:id="246" w:name="_Toc22239"/>
      <w:bookmarkStart w:id="247" w:name="_Toc20289"/>
      <w:bookmarkStart w:id="248" w:name="_Toc9754"/>
      <w:r>
        <w:rPr>
          <w:rFonts w:hint="eastAsia" w:ascii="宋体" w:hAnsi="宋体" w:eastAsia="宋体" w:cs="宋体"/>
          <w:b/>
          <w:color w:val="auto"/>
          <w:sz w:val="28"/>
          <w:szCs w:val="32"/>
          <w:highlight w:val="none"/>
        </w:rPr>
        <w:t>质疑函制作说明：</w:t>
      </w:r>
      <w:bookmarkEnd w:id="246"/>
      <w:bookmarkEnd w:id="247"/>
      <w:bookmarkEnd w:id="248"/>
    </w:p>
    <w:p w14:paraId="3C55F49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1.供应商提出质疑时，应提交质疑函和必要的证明材料。</w:t>
      </w:r>
    </w:p>
    <w:p w14:paraId="4F2AF05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2D3F79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3.质疑供应商若对项目的某一分包进行质疑，质疑函中应列明具体分包号。</w:t>
      </w:r>
    </w:p>
    <w:p w14:paraId="27EC532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4.质疑函的质疑事项应具体、明确，并有必要的事实依据和法律依据。</w:t>
      </w:r>
    </w:p>
    <w:p w14:paraId="4ECDB3E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5.质疑函的质疑请求应与质疑事项相关。</w:t>
      </w:r>
    </w:p>
    <w:p w14:paraId="59E9DE3C">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2312FEB3">
      <w:pPr>
        <w:spacing w:line="440" w:lineRule="exact"/>
        <w:ind w:firstLine="435"/>
        <w:rPr>
          <w:rFonts w:hint="eastAsia" w:ascii="宋体" w:hAnsi="宋体" w:eastAsia="宋体" w:cs="宋体"/>
          <w:color w:val="auto"/>
          <w:sz w:val="24"/>
          <w:highlight w:val="none"/>
        </w:rPr>
      </w:pPr>
    </w:p>
    <w:p w14:paraId="17E92300">
      <w:pPr>
        <w:spacing w:line="440" w:lineRule="exact"/>
        <w:ind w:firstLine="435"/>
        <w:rPr>
          <w:rFonts w:hint="eastAsia" w:ascii="宋体" w:hAnsi="宋体" w:eastAsia="宋体" w:cs="宋体"/>
          <w:color w:val="auto"/>
          <w:sz w:val="24"/>
          <w:highlight w:val="none"/>
        </w:rPr>
      </w:pPr>
    </w:p>
    <w:p w14:paraId="298425D3">
      <w:pPr>
        <w:spacing w:line="440" w:lineRule="exact"/>
        <w:ind w:firstLine="435"/>
        <w:rPr>
          <w:rFonts w:hint="eastAsia" w:ascii="宋体" w:hAnsi="宋体" w:eastAsia="宋体" w:cs="宋体"/>
          <w:color w:val="auto"/>
          <w:sz w:val="24"/>
          <w:highlight w:val="none"/>
        </w:rPr>
      </w:pPr>
    </w:p>
    <w:p w14:paraId="02B28AC0">
      <w:pPr>
        <w:spacing w:line="440" w:lineRule="exact"/>
        <w:ind w:firstLine="435"/>
        <w:rPr>
          <w:rFonts w:hint="eastAsia" w:ascii="宋体" w:hAnsi="宋体" w:eastAsia="宋体" w:cs="宋体"/>
          <w:color w:val="auto"/>
          <w:sz w:val="24"/>
          <w:highlight w:val="none"/>
        </w:rPr>
      </w:pPr>
    </w:p>
    <w:p w14:paraId="775BE02F">
      <w:pPr>
        <w:spacing w:line="440" w:lineRule="exact"/>
        <w:ind w:firstLine="435"/>
        <w:rPr>
          <w:rFonts w:hint="eastAsia" w:ascii="宋体" w:hAnsi="宋体" w:eastAsia="宋体" w:cs="宋体"/>
          <w:color w:val="auto"/>
          <w:sz w:val="24"/>
          <w:highlight w:val="none"/>
        </w:rPr>
      </w:pPr>
    </w:p>
    <w:p w14:paraId="539CD8C1">
      <w:pPr>
        <w:spacing w:line="440" w:lineRule="exact"/>
        <w:ind w:firstLine="435"/>
        <w:rPr>
          <w:rFonts w:hint="eastAsia" w:ascii="宋体" w:hAnsi="宋体" w:eastAsia="宋体" w:cs="宋体"/>
          <w:color w:val="auto"/>
          <w:sz w:val="24"/>
          <w:highlight w:val="none"/>
        </w:rPr>
      </w:pPr>
    </w:p>
    <w:p w14:paraId="0ED2C97C">
      <w:pPr>
        <w:spacing w:line="440" w:lineRule="exact"/>
        <w:ind w:firstLine="435"/>
        <w:rPr>
          <w:rFonts w:hint="eastAsia" w:ascii="宋体" w:hAnsi="宋体" w:eastAsia="宋体" w:cs="宋体"/>
          <w:color w:val="auto"/>
          <w:sz w:val="24"/>
          <w:highlight w:val="none"/>
        </w:rPr>
      </w:pPr>
    </w:p>
    <w:p w14:paraId="2FCEA785">
      <w:pPr>
        <w:spacing w:line="440" w:lineRule="exact"/>
        <w:ind w:firstLine="435"/>
        <w:rPr>
          <w:rFonts w:hint="eastAsia" w:ascii="宋体" w:hAnsi="宋体" w:eastAsia="宋体" w:cs="宋体"/>
          <w:color w:val="auto"/>
          <w:sz w:val="24"/>
          <w:highlight w:val="none"/>
        </w:rPr>
      </w:pPr>
    </w:p>
    <w:p w14:paraId="231405E1">
      <w:pPr>
        <w:spacing w:line="440" w:lineRule="exact"/>
        <w:ind w:firstLine="435"/>
        <w:rPr>
          <w:rFonts w:hint="eastAsia" w:ascii="宋体" w:hAnsi="宋体" w:eastAsia="宋体" w:cs="宋体"/>
          <w:color w:val="auto"/>
          <w:sz w:val="24"/>
          <w:highlight w:val="none"/>
        </w:rPr>
      </w:pPr>
    </w:p>
    <w:p w14:paraId="7855D4D7">
      <w:pPr>
        <w:spacing w:line="440" w:lineRule="exact"/>
        <w:ind w:firstLine="435"/>
        <w:rPr>
          <w:rFonts w:hint="eastAsia" w:ascii="宋体" w:hAnsi="宋体" w:eastAsia="宋体" w:cs="宋体"/>
          <w:color w:val="auto"/>
          <w:sz w:val="24"/>
          <w:highlight w:val="none"/>
        </w:rPr>
      </w:pPr>
    </w:p>
    <w:p w14:paraId="16D8580D">
      <w:pPr>
        <w:spacing w:line="440" w:lineRule="exact"/>
        <w:ind w:firstLine="435"/>
        <w:rPr>
          <w:rFonts w:hint="eastAsia" w:ascii="宋体" w:hAnsi="宋体" w:eastAsia="宋体" w:cs="宋体"/>
          <w:color w:val="auto"/>
          <w:sz w:val="24"/>
          <w:highlight w:val="none"/>
        </w:rPr>
      </w:pPr>
    </w:p>
    <w:p w14:paraId="3F130F95">
      <w:pPr>
        <w:spacing w:line="440" w:lineRule="exact"/>
        <w:ind w:firstLine="435"/>
        <w:rPr>
          <w:rFonts w:hint="eastAsia" w:ascii="宋体" w:hAnsi="宋体" w:eastAsia="宋体" w:cs="宋体"/>
          <w:color w:val="auto"/>
          <w:sz w:val="24"/>
          <w:highlight w:val="none"/>
        </w:rPr>
      </w:pPr>
    </w:p>
    <w:p w14:paraId="420788B8">
      <w:pPr>
        <w:spacing w:line="440" w:lineRule="exact"/>
        <w:ind w:firstLine="435"/>
        <w:rPr>
          <w:rFonts w:hint="eastAsia" w:ascii="宋体" w:hAnsi="宋体" w:eastAsia="宋体" w:cs="宋体"/>
          <w:color w:val="auto"/>
          <w:sz w:val="24"/>
          <w:highlight w:val="none"/>
        </w:rPr>
      </w:pPr>
    </w:p>
    <w:p w14:paraId="0D08C40E">
      <w:pPr>
        <w:spacing w:line="440" w:lineRule="exact"/>
        <w:ind w:firstLine="435"/>
        <w:rPr>
          <w:rFonts w:hint="eastAsia" w:ascii="宋体" w:hAnsi="宋体" w:eastAsia="宋体" w:cs="宋体"/>
          <w:color w:val="auto"/>
          <w:sz w:val="24"/>
          <w:highlight w:val="none"/>
        </w:rPr>
      </w:pPr>
    </w:p>
    <w:p w14:paraId="165C4F34">
      <w:pPr>
        <w:spacing w:line="440" w:lineRule="exact"/>
        <w:ind w:firstLine="435"/>
        <w:rPr>
          <w:rFonts w:hint="eastAsia" w:ascii="宋体" w:hAnsi="宋体" w:eastAsia="宋体" w:cs="宋体"/>
          <w:color w:val="auto"/>
          <w:sz w:val="24"/>
          <w:highlight w:val="none"/>
        </w:rPr>
      </w:pPr>
    </w:p>
    <w:p w14:paraId="526A117D">
      <w:pPr>
        <w:rPr>
          <w:rFonts w:hint="eastAsia"/>
          <w:color w:val="auto"/>
          <w:highlight w:val="none"/>
        </w:rPr>
      </w:pPr>
      <w:bookmarkStart w:id="249" w:name="OLE_LINK7"/>
      <w:bookmarkStart w:id="250" w:name="OLE_LINK24"/>
      <w:bookmarkStart w:id="251" w:name="OLE_LINK25"/>
    </w:p>
    <w:p w14:paraId="50D8D6FD">
      <w:pPr>
        <w:rPr>
          <w:rFonts w:hint="eastAsia"/>
          <w:color w:val="auto"/>
          <w:highlight w:val="none"/>
        </w:rPr>
      </w:pPr>
    </w:p>
    <w:p w14:paraId="63173B9A">
      <w:pPr>
        <w:rPr>
          <w:rFonts w:hint="eastAsia"/>
          <w:color w:val="auto"/>
          <w:highlight w:val="none"/>
        </w:rPr>
      </w:pPr>
    </w:p>
    <w:p w14:paraId="05F38F1B">
      <w:pPr>
        <w:rPr>
          <w:rFonts w:hint="eastAsia"/>
          <w:color w:val="auto"/>
          <w:highlight w:val="none"/>
        </w:rPr>
      </w:pPr>
    </w:p>
    <w:p w14:paraId="44C87E22">
      <w:pPr>
        <w:rPr>
          <w:rFonts w:hint="eastAsia"/>
          <w:color w:val="auto"/>
          <w:highlight w:val="none"/>
        </w:rPr>
      </w:pPr>
    </w:p>
    <w:p w14:paraId="43DD1591">
      <w:pPr>
        <w:rPr>
          <w:rFonts w:hint="eastAsia"/>
          <w:color w:val="auto"/>
          <w:highlight w:val="none"/>
        </w:rPr>
      </w:pPr>
    </w:p>
    <w:bookmarkEnd w:id="249"/>
    <w:bookmarkEnd w:id="250"/>
    <w:bookmarkEnd w:id="251"/>
    <w:p w14:paraId="4D352811">
      <w:pPr>
        <w:spacing w:line="440" w:lineRule="exact"/>
        <w:ind w:firstLine="435"/>
        <w:rPr>
          <w:rFonts w:ascii="宋体" w:hAnsi="宋体" w:eastAsia="宋体" w:cs="宋体"/>
          <w:color w:val="auto"/>
          <w:sz w:val="24"/>
          <w:highlight w:val="none"/>
        </w:rPr>
      </w:pPr>
    </w:p>
    <w:sectPr>
      <w:headerReference r:id="rId6" w:type="default"/>
      <w:footerReference r:id="rId7" w:type="default"/>
      <w:pgSz w:w="11905" w:h="16838"/>
      <w:pgMar w:top="1417" w:right="1417" w:bottom="1417" w:left="1417" w:header="850" w:footer="992" w:gutter="0"/>
      <w:pgNumType w:fmt="decimal" w:start="1"/>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68C93">
    <w:pPr>
      <w:pStyle w:val="17"/>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03A60">
    <w:pPr>
      <w:pStyle w:val="17"/>
      <w:jc w:val="center"/>
      <w:rPr>
        <w:rFonts w:asciiTheme="minorEastAsia" w:hAnsiTheme="minorEastAsia" w:eastAsiaTheme="minorEastAsia"/>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737CA">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E27C4D">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E27C4D">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p w14:paraId="3EF03C92">
    <w:pPr>
      <w:pStyle w:val="19"/>
      <w:pBdr>
        <w:bottom w:val="none" w:color="auto" w:sz="0" w:space="1"/>
      </w:pBdr>
      <w:jc w:val="left"/>
      <w:rPr>
        <w:rFonts w:asciiTheme="minorEastAsia" w:hAnsiTheme="minorEastAsia" w:eastAsiaTheme="minor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3AE7C">
    <w:pPr>
      <w:pStyle w:val="19"/>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chineseCountingThousand"/>
      <w:pStyle w:val="26"/>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A064A37"/>
    <w:multiLevelType w:val="singleLevel"/>
    <w:tmpl w:val="2A064A37"/>
    <w:lvl w:ilvl="0" w:tentative="0">
      <w:start w:val="3"/>
      <w:numFmt w:val="chineseCounting"/>
      <w:suff w:val="space"/>
      <w:lvlText w:val="第%1章"/>
      <w:lvlJc w:val="left"/>
      <w:rPr>
        <w:rFonts w:hint="eastAsia"/>
      </w:rPr>
    </w:lvl>
  </w:abstractNum>
  <w:abstractNum w:abstractNumId="2">
    <w:nsid w:val="39442EAC"/>
    <w:multiLevelType w:val="singleLevel"/>
    <w:tmpl w:val="39442EAC"/>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D7404"/>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546"/>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1695E"/>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668E"/>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679A1"/>
    <w:rsid w:val="009701DC"/>
    <w:rsid w:val="009715D8"/>
    <w:rsid w:val="0097649F"/>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117EA"/>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6606E"/>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30D5"/>
    <w:rsid w:val="00C35561"/>
    <w:rsid w:val="00C4202A"/>
    <w:rsid w:val="00C4211F"/>
    <w:rsid w:val="00C46A36"/>
    <w:rsid w:val="00C47037"/>
    <w:rsid w:val="00C51AE3"/>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17C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34106F"/>
    <w:rsid w:val="01A12229"/>
    <w:rsid w:val="01D11354"/>
    <w:rsid w:val="01D45E49"/>
    <w:rsid w:val="0214602E"/>
    <w:rsid w:val="029D518A"/>
    <w:rsid w:val="02F81730"/>
    <w:rsid w:val="03486B27"/>
    <w:rsid w:val="03B375A3"/>
    <w:rsid w:val="040A094E"/>
    <w:rsid w:val="04E36C96"/>
    <w:rsid w:val="053814D9"/>
    <w:rsid w:val="056800F4"/>
    <w:rsid w:val="056F201D"/>
    <w:rsid w:val="05B664D4"/>
    <w:rsid w:val="05FB6A6A"/>
    <w:rsid w:val="062D3EC0"/>
    <w:rsid w:val="07076C01"/>
    <w:rsid w:val="071C12AC"/>
    <w:rsid w:val="074E231E"/>
    <w:rsid w:val="07A934B3"/>
    <w:rsid w:val="0875502E"/>
    <w:rsid w:val="08B15E54"/>
    <w:rsid w:val="09523172"/>
    <w:rsid w:val="0980799C"/>
    <w:rsid w:val="09963808"/>
    <w:rsid w:val="0A0F6376"/>
    <w:rsid w:val="0A353CEA"/>
    <w:rsid w:val="0A6A18DB"/>
    <w:rsid w:val="0AEF3828"/>
    <w:rsid w:val="0BBB665B"/>
    <w:rsid w:val="0C896324"/>
    <w:rsid w:val="0CB7664E"/>
    <w:rsid w:val="0D317716"/>
    <w:rsid w:val="0DA31EC5"/>
    <w:rsid w:val="0E621AC6"/>
    <w:rsid w:val="0E816EC5"/>
    <w:rsid w:val="0EEA6FC1"/>
    <w:rsid w:val="0F6A7A80"/>
    <w:rsid w:val="0F954485"/>
    <w:rsid w:val="0FAF6340"/>
    <w:rsid w:val="0FB63A2F"/>
    <w:rsid w:val="0FBF344F"/>
    <w:rsid w:val="0FE73DD3"/>
    <w:rsid w:val="10505F32"/>
    <w:rsid w:val="105A27E6"/>
    <w:rsid w:val="10635C65"/>
    <w:rsid w:val="1143223B"/>
    <w:rsid w:val="119B0711"/>
    <w:rsid w:val="12197477"/>
    <w:rsid w:val="12BE27B4"/>
    <w:rsid w:val="132E0DA8"/>
    <w:rsid w:val="13587E2C"/>
    <w:rsid w:val="13E82EB6"/>
    <w:rsid w:val="140D4952"/>
    <w:rsid w:val="141D7BEE"/>
    <w:rsid w:val="1466407E"/>
    <w:rsid w:val="14834E28"/>
    <w:rsid w:val="148E7D65"/>
    <w:rsid w:val="151D4243"/>
    <w:rsid w:val="15231BF9"/>
    <w:rsid w:val="154643A5"/>
    <w:rsid w:val="1590464C"/>
    <w:rsid w:val="179F5278"/>
    <w:rsid w:val="180712E0"/>
    <w:rsid w:val="187E27B0"/>
    <w:rsid w:val="199316DA"/>
    <w:rsid w:val="19E46234"/>
    <w:rsid w:val="1A2D3F82"/>
    <w:rsid w:val="1A3B68AA"/>
    <w:rsid w:val="1A3E1C1E"/>
    <w:rsid w:val="1A421543"/>
    <w:rsid w:val="1A5D65DB"/>
    <w:rsid w:val="1C074BB1"/>
    <w:rsid w:val="1C141836"/>
    <w:rsid w:val="1C142257"/>
    <w:rsid w:val="1C4404E1"/>
    <w:rsid w:val="1CA84E54"/>
    <w:rsid w:val="1D8C6075"/>
    <w:rsid w:val="1E6B6A14"/>
    <w:rsid w:val="1EB21086"/>
    <w:rsid w:val="1EC50CBF"/>
    <w:rsid w:val="1F032B8E"/>
    <w:rsid w:val="1F427A37"/>
    <w:rsid w:val="1F977814"/>
    <w:rsid w:val="1FF06854"/>
    <w:rsid w:val="20550D9A"/>
    <w:rsid w:val="20EC1861"/>
    <w:rsid w:val="21714B53"/>
    <w:rsid w:val="218E2416"/>
    <w:rsid w:val="21ED03F1"/>
    <w:rsid w:val="22230105"/>
    <w:rsid w:val="22574D18"/>
    <w:rsid w:val="226915FE"/>
    <w:rsid w:val="22E14C32"/>
    <w:rsid w:val="24B97929"/>
    <w:rsid w:val="2520252D"/>
    <w:rsid w:val="25AD2E5D"/>
    <w:rsid w:val="25AD3091"/>
    <w:rsid w:val="26163BC1"/>
    <w:rsid w:val="26265AE3"/>
    <w:rsid w:val="26B26E88"/>
    <w:rsid w:val="26F12F1E"/>
    <w:rsid w:val="27BB0F9C"/>
    <w:rsid w:val="285F40CA"/>
    <w:rsid w:val="28C01ECB"/>
    <w:rsid w:val="28EC3ECC"/>
    <w:rsid w:val="28FB1523"/>
    <w:rsid w:val="293D30D7"/>
    <w:rsid w:val="298855DE"/>
    <w:rsid w:val="29BF71E3"/>
    <w:rsid w:val="2A127B63"/>
    <w:rsid w:val="2A3D2278"/>
    <w:rsid w:val="2A5B3A9D"/>
    <w:rsid w:val="2AAA4765"/>
    <w:rsid w:val="2AC21606"/>
    <w:rsid w:val="2AF63C5E"/>
    <w:rsid w:val="2B7E7608"/>
    <w:rsid w:val="2B7F04E9"/>
    <w:rsid w:val="2BC67260"/>
    <w:rsid w:val="2C305555"/>
    <w:rsid w:val="2C41160C"/>
    <w:rsid w:val="2C9A21B9"/>
    <w:rsid w:val="2CE20523"/>
    <w:rsid w:val="2D3B69F6"/>
    <w:rsid w:val="2D496D68"/>
    <w:rsid w:val="2D7050C6"/>
    <w:rsid w:val="2D79508C"/>
    <w:rsid w:val="2D8B2178"/>
    <w:rsid w:val="2DC54B24"/>
    <w:rsid w:val="2DDD0E97"/>
    <w:rsid w:val="2E46293F"/>
    <w:rsid w:val="2E6672CB"/>
    <w:rsid w:val="2E7A48DE"/>
    <w:rsid w:val="2EDC3ED8"/>
    <w:rsid w:val="2F2D046C"/>
    <w:rsid w:val="2F6351B4"/>
    <w:rsid w:val="2FCF199E"/>
    <w:rsid w:val="301D1F6F"/>
    <w:rsid w:val="30483E83"/>
    <w:rsid w:val="309D65AA"/>
    <w:rsid w:val="309E7FC3"/>
    <w:rsid w:val="30AA0E97"/>
    <w:rsid w:val="31015251"/>
    <w:rsid w:val="32185C90"/>
    <w:rsid w:val="32CD7A3A"/>
    <w:rsid w:val="334E4CD8"/>
    <w:rsid w:val="343C0775"/>
    <w:rsid w:val="34AA76A9"/>
    <w:rsid w:val="356C50EC"/>
    <w:rsid w:val="35A61FCC"/>
    <w:rsid w:val="361108CD"/>
    <w:rsid w:val="36BF486C"/>
    <w:rsid w:val="36DD4088"/>
    <w:rsid w:val="36FC6885"/>
    <w:rsid w:val="3700166C"/>
    <w:rsid w:val="3727617F"/>
    <w:rsid w:val="375969FE"/>
    <w:rsid w:val="376375A7"/>
    <w:rsid w:val="377F9CB1"/>
    <w:rsid w:val="37A96328"/>
    <w:rsid w:val="37CA01F4"/>
    <w:rsid w:val="381755BC"/>
    <w:rsid w:val="38694EE9"/>
    <w:rsid w:val="38BE15C5"/>
    <w:rsid w:val="39916AD1"/>
    <w:rsid w:val="3AB60810"/>
    <w:rsid w:val="3B365CC9"/>
    <w:rsid w:val="3B9A7B88"/>
    <w:rsid w:val="3BC114FF"/>
    <w:rsid w:val="3C2660C6"/>
    <w:rsid w:val="3C2C5CCA"/>
    <w:rsid w:val="3CA8600C"/>
    <w:rsid w:val="3D0E5EC3"/>
    <w:rsid w:val="3D2C7AC8"/>
    <w:rsid w:val="3D5879F6"/>
    <w:rsid w:val="3D855D12"/>
    <w:rsid w:val="3D8B42FF"/>
    <w:rsid w:val="3D8C02DD"/>
    <w:rsid w:val="3DC20089"/>
    <w:rsid w:val="3DF36A6E"/>
    <w:rsid w:val="3F1138E1"/>
    <w:rsid w:val="3F792F1E"/>
    <w:rsid w:val="400836BA"/>
    <w:rsid w:val="40490124"/>
    <w:rsid w:val="407A0C30"/>
    <w:rsid w:val="40824826"/>
    <w:rsid w:val="40E63923"/>
    <w:rsid w:val="41025C26"/>
    <w:rsid w:val="41E239F1"/>
    <w:rsid w:val="42B443F4"/>
    <w:rsid w:val="42F43FD4"/>
    <w:rsid w:val="43A91E5B"/>
    <w:rsid w:val="44BC3308"/>
    <w:rsid w:val="45BA48DB"/>
    <w:rsid w:val="463A3650"/>
    <w:rsid w:val="464F1EB3"/>
    <w:rsid w:val="469F0116"/>
    <w:rsid w:val="4721358B"/>
    <w:rsid w:val="475259B7"/>
    <w:rsid w:val="478D252F"/>
    <w:rsid w:val="478D31C9"/>
    <w:rsid w:val="4828582E"/>
    <w:rsid w:val="48831CF9"/>
    <w:rsid w:val="49A165B8"/>
    <w:rsid w:val="49B1408D"/>
    <w:rsid w:val="4A7C5BA6"/>
    <w:rsid w:val="4A7D4FD2"/>
    <w:rsid w:val="4A89557F"/>
    <w:rsid w:val="4A913C9A"/>
    <w:rsid w:val="4ACC05C3"/>
    <w:rsid w:val="4AE22D2F"/>
    <w:rsid w:val="4B1F70AC"/>
    <w:rsid w:val="4B240F94"/>
    <w:rsid w:val="4B386AE5"/>
    <w:rsid w:val="4B7C781B"/>
    <w:rsid w:val="4BA75287"/>
    <w:rsid w:val="4BAD0FCB"/>
    <w:rsid w:val="4BED70D6"/>
    <w:rsid w:val="4BEFD602"/>
    <w:rsid w:val="4C3C565C"/>
    <w:rsid w:val="4C9D6703"/>
    <w:rsid w:val="4CCC79C7"/>
    <w:rsid w:val="4D6C5E8D"/>
    <w:rsid w:val="4D7555C7"/>
    <w:rsid w:val="4DBF8A7C"/>
    <w:rsid w:val="4EAE6DA0"/>
    <w:rsid w:val="4EC00CDC"/>
    <w:rsid w:val="4FB505E5"/>
    <w:rsid w:val="4FBF4192"/>
    <w:rsid w:val="4FD037EF"/>
    <w:rsid w:val="5016514B"/>
    <w:rsid w:val="502857C7"/>
    <w:rsid w:val="50476D3D"/>
    <w:rsid w:val="511659A4"/>
    <w:rsid w:val="51CB1C78"/>
    <w:rsid w:val="51FD6A51"/>
    <w:rsid w:val="526B680A"/>
    <w:rsid w:val="5281669A"/>
    <w:rsid w:val="528A10B1"/>
    <w:rsid w:val="53150D15"/>
    <w:rsid w:val="5352083E"/>
    <w:rsid w:val="541A5D30"/>
    <w:rsid w:val="553E632F"/>
    <w:rsid w:val="555D5527"/>
    <w:rsid w:val="55800ED8"/>
    <w:rsid w:val="55F068CD"/>
    <w:rsid w:val="566C3136"/>
    <w:rsid w:val="568D04F2"/>
    <w:rsid w:val="5776D6E2"/>
    <w:rsid w:val="588D6DD7"/>
    <w:rsid w:val="59971F55"/>
    <w:rsid w:val="59DF66A0"/>
    <w:rsid w:val="5A526582"/>
    <w:rsid w:val="5A5F5C77"/>
    <w:rsid w:val="5B504D56"/>
    <w:rsid w:val="5B894880"/>
    <w:rsid w:val="5BBE39CD"/>
    <w:rsid w:val="5BC11A60"/>
    <w:rsid w:val="5C7A4D54"/>
    <w:rsid w:val="5CD23B73"/>
    <w:rsid w:val="5D54408D"/>
    <w:rsid w:val="5E723A11"/>
    <w:rsid w:val="5EE25574"/>
    <w:rsid w:val="5F127819"/>
    <w:rsid w:val="5F1E27A5"/>
    <w:rsid w:val="5F63752A"/>
    <w:rsid w:val="5FFF9092"/>
    <w:rsid w:val="60D8248E"/>
    <w:rsid w:val="60F1503F"/>
    <w:rsid w:val="61025188"/>
    <w:rsid w:val="61057D5F"/>
    <w:rsid w:val="61382A7C"/>
    <w:rsid w:val="614D4977"/>
    <w:rsid w:val="621F24F8"/>
    <w:rsid w:val="6296133A"/>
    <w:rsid w:val="63C60FC0"/>
    <w:rsid w:val="641A2BDD"/>
    <w:rsid w:val="64BA3D7A"/>
    <w:rsid w:val="64F179BC"/>
    <w:rsid w:val="65110C71"/>
    <w:rsid w:val="65C94C55"/>
    <w:rsid w:val="65D17CDB"/>
    <w:rsid w:val="665704D3"/>
    <w:rsid w:val="666F4D79"/>
    <w:rsid w:val="673148E2"/>
    <w:rsid w:val="675445CD"/>
    <w:rsid w:val="678A45E2"/>
    <w:rsid w:val="67C065A4"/>
    <w:rsid w:val="67D359C9"/>
    <w:rsid w:val="67EF7D97"/>
    <w:rsid w:val="681072A7"/>
    <w:rsid w:val="68784E48"/>
    <w:rsid w:val="68FE36DD"/>
    <w:rsid w:val="69443D85"/>
    <w:rsid w:val="694E60FC"/>
    <w:rsid w:val="69EF4042"/>
    <w:rsid w:val="6A641533"/>
    <w:rsid w:val="6A7E619C"/>
    <w:rsid w:val="6AB563C0"/>
    <w:rsid w:val="6AE65B91"/>
    <w:rsid w:val="6AF13082"/>
    <w:rsid w:val="6B613B46"/>
    <w:rsid w:val="6B67689F"/>
    <w:rsid w:val="6B6842A1"/>
    <w:rsid w:val="6B69396E"/>
    <w:rsid w:val="6C0438FE"/>
    <w:rsid w:val="6C304B0A"/>
    <w:rsid w:val="6C410A63"/>
    <w:rsid w:val="6C675CE6"/>
    <w:rsid w:val="6CB82330"/>
    <w:rsid w:val="6CEF35AF"/>
    <w:rsid w:val="6D4F4321"/>
    <w:rsid w:val="6D73512C"/>
    <w:rsid w:val="6DFF7360"/>
    <w:rsid w:val="6E7A5F73"/>
    <w:rsid w:val="6F2E3798"/>
    <w:rsid w:val="6FCB61BB"/>
    <w:rsid w:val="6FD74228"/>
    <w:rsid w:val="70160F82"/>
    <w:rsid w:val="704F2141"/>
    <w:rsid w:val="70FE5EDF"/>
    <w:rsid w:val="711000FB"/>
    <w:rsid w:val="7150636D"/>
    <w:rsid w:val="71633091"/>
    <w:rsid w:val="719D61FD"/>
    <w:rsid w:val="72985845"/>
    <w:rsid w:val="72B56DCF"/>
    <w:rsid w:val="72D67313"/>
    <w:rsid w:val="72D978CD"/>
    <w:rsid w:val="72DC2DFE"/>
    <w:rsid w:val="72F31639"/>
    <w:rsid w:val="73081CA5"/>
    <w:rsid w:val="73EA63C4"/>
    <w:rsid w:val="74545B7C"/>
    <w:rsid w:val="7487762D"/>
    <w:rsid w:val="749F2380"/>
    <w:rsid w:val="75385498"/>
    <w:rsid w:val="756E3706"/>
    <w:rsid w:val="75D17871"/>
    <w:rsid w:val="769962BD"/>
    <w:rsid w:val="76BC207F"/>
    <w:rsid w:val="76EB4904"/>
    <w:rsid w:val="77466953"/>
    <w:rsid w:val="777378F5"/>
    <w:rsid w:val="777A2D3C"/>
    <w:rsid w:val="78537BEA"/>
    <w:rsid w:val="79074B81"/>
    <w:rsid w:val="794F0939"/>
    <w:rsid w:val="79840FEC"/>
    <w:rsid w:val="79855D4E"/>
    <w:rsid w:val="79AC6330"/>
    <w:rsid w:val="79AF0FCA"/>
    <w:rsid w:val="79EF2560"/>
    <w:rsid w:val="79FF823E"/>
    <w:rsid w:val="7A857CD9"/>
    <w:rsid w:val="7AF9279C"/>
    <w:rsid w:val="7B1A0118"/>
    <w:rsid w:val="7C072E2B"/>
    <w:rsid w:val="7C717B9C"/>
    <w:rsid w:val="7CA919FA"/>
    <w:rsid w:val="7CC51958"/>
    <w:rsid w:val="7CEC40B6"/>
    <w:rsid w:val="7D5E2685"/>
    <w:rsid w:val="7DAC6239"/>
    <w:rsid w:val="7E222935"/>
    <w:rsid w:val="7E2552FF"/>
    <w:rsid w:val="7E2936C3"/>
    <w:rsid w:val="7E2E365C"/>
    <w:rsid w:val="7E610E09"/>
    <w:rsid w:val="7E6411B9"/>
    <w:rsid w:val="7EBA2479"/>
    <w:rsid w:val="7EBD1097"/>
    <w:rsid w:val="7F106D78"/>
    <w:rsid w:val="7F3D1A40"/>
    <w:rsid w:val="8ACE95AB"/>
    <w:rsid w:val="BBFF6D10"/>
    <w:rsid w:val="BDBFB82D"/>
    <w:rsid w:val="BEF6340B"/>
    <w:rsid w:val="CB9A1F6B"/>
    <w:rsid w:val="D7AA2CEE"/>
    <w:rsid w:val="D7FEABA1"/>
    <w:rsid w:val="DFA72B9B"/>
    <w:rsid w:val="E73FB003"/>
    <w:rsid w:val="E7FD6DD3"/>
    <w:rsid w:val="E9E7D538"/>
    <w:rsid w:val="F3F7F738"/>
    <w:rsid w:val="F5BE0A47"/>
    <w:rsid w:val="F77F5654"/>
    <w:rsid w:val="FE8F2AE4"/>
    <w:rsid w:val="FEF1B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3"/>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5"/>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70"/>
    <w:qFormat/>
    <w:uiPriority w:val="0"/>
    <w:pPr>
      <w:keepNext/>
      <w:keepLines/>
      <w:spacing w:before="280" w:after="290" w:line="376" w:lineRule="auto"/>
      <w:outlineLvl w:val="3"/>
    </w:pPr>
    <w:rPr>
      <w:b/>
      <w:bCs/>
      <w:sz w:val="28"/>
      <w:szCs w:val="28"/>
    </w:rPr>
  </w:style>
  <w:style w:type="paragraph" w:styleId="6">
    <w:name w:val="heading 9"/>
    <w:basedOn w:val="1"/>
    <w:next w:val="1"/>
    <w:qFormat/>
    <w:uiPriority w:val="0"/>
    <w:pPr>
      <w:keepNext/>
      <w:keepLines/>
      <w:widowControl/>
      <w:tabs>
        <w:tab w:val="left" w:pos="1584"/>
      </w:tabs>
      <w:spacing w:before="240" w:after="64" w:line="316" w:lineRule="auto"/>
      <w:ind w:left="1584" w:hanging="1584"/>
      <w:jc w:val="left"/>
      <w:outlineLvl w:val="8"/>
    </w:pPr>
    <w:rPr>
      <w:rFonts w:ascii="Arial" w:hAnsi="Arial" w:eastAsia="黑体"/>
      <w:sz w:val="21"/>
      <w:szCs w:val="21"/>
      <w:lang w:val="en-US" w:eastAsia="zh-CN" w:bidi="ar-SA"/>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jc w:val="left"/>
    </w:pPr>
    <w:rPr>
      <w:sz w:val="18"/>
      <w:szCs w:val="18"/>
    </w:rPr>
  </w:style>
  <w:style w:type="paragraph" w:styleId="8">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62"/>
    <w:qFormat/>
    <w:uiPriority w:val="0"/>
    <w:pPr>
      <w:jc w:val="left"/>
    </w:pPr>
    <w:rPr>
      <w:rFonts w:ascii="Arial" w:hAnsi="Arial" w:eastAsia="黑体" w:cs="Arial"/>
    </w:rPr>
  </w:style>
  <w:style w:type="paragraph" w:styleId="10">
    <w:name w:val="Body Text"/>
    <w:basedOn w:val="1"/>
    <w:qFormat/>
    <w:uiPriority w:val="0"/>
    <w:pPr>
      <w:spacing w:after="120"/>
    </w:pPr>
    <w:rPr>
      <w:rFonts w:ascii="@微软简标宋" w:hAnsi="@微软简标宋" w:eastAsia="@微软简标宋" w:cs="@微软简标宋"/>
      <w:szCs w:val="24"/>
      <w:lang w:val="zh-CN"/>
    </w:rPr>
  </w:style>
  <w:style w:type="paragraph" w:styleId="11">
    <w:name w:val="Body Text Indent"/>
    <w:basedOn w:val="1"/>
    <w:qFormat/>
    <w:uiPriority w:val="0"/>
    <w:pPr>
      <w:spacing w:after="120"/>
      <w:ind w:left="420" w:leftChars="200"/>
    </w:pPr>
    <w:rPr>
      <w:szCs w:val="24"/>
    </w:rPr>
  </w:style>
  <w:style w:type="paragraph" w:styleId="12">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52"/>
    <w:qFormat/>
    <w:uiPriority w:val="99"/>
    <w:rPr>
      <w:rFonts w:ascii="宋体" w:hAnsi="Courier New" w:eastAsiaTheme="minorEastAsia" w:cstheme="minorBidi"/>
      <w:szCs w:val="22"/>
    </w:rPr>
  </w:style>
  <w:style w:type="paragraph" w:styleId="14">
    <w:name w:val="Date"/>
    <w:basedOn w:val="1"/>
    <w:next w:val="1"/>
    <w:link w:val="59"/>
    <w:qFormat/>
    <w:uiPriority w:val="0"/>
    <w:rPr>
      <w:rFonts w:ascii="Arial" w:hAnsi="Arial" w:eastAsia="宋体" w:cs="Arial"/>
      <w:b/>
      <w:sz w:val="28"/>
    </w:rPr>
  </w:style>
  <w:style w:type="paragraph" w:styleId="15">
    <w:name w:val="Body Text Indent 2"/>
    <w:basedOn w:val="1"/>
    <w:next w:val="1"/>
    <w:qFormat/>
    <w:uiPriority w:val="0"/>
    <w:pPr>
      <w:spacing w:after="120" w:line="480" w:lineRule="auto"/>
      <w:ind w:left="420" w:leftChars="200"/>
    </w:pPr>
  </w:style>
  <w:style w:type="paragraph" w:styleId="16">
    <w:name w:val="Balloon Text"/>
    <w:basedOn w:val="1"/>
    <w:link w:val="46"/>
    <w:semiHidden/>
    <w:unhideWhenUsed/>
    <w:qFormat/>
    <w:uiPriority w:val="99"/>
    <w:rPr>
      <w:sz w:val="18"/>
      <w:szCs w:val="18"/>
    </w:rPr>
  </w:style>
  <w:style w:type="paragraph" w:styleId="17">
    <w:name w:val="footer"/>
    <w:basedOn w:val="1"/>
    <w:link w:val="51"/>
    <w:unhideWhenUsed/>
    <w:qFormat/>
    <w:uiPriority w:val="99"/>
    <w:pPr>
      <w:tabs>
        <w:tab w:val="center" w:pos="4153"/>
        <w:tab w:val="right" w:pos="8306"/>
      </w:tabs>
      <w:snapToGrid w:val="0"/>
      <w:jc w:val="left"/>
    </w:pPr>
    <w:rPr>
      <w:sz w:val="18"/>
      <w:szCs w:val="18"/>
    </w:rPr>
  </w:style>
  <w:style w:type="paragraph" w:styleId="18">
    <w:name w:val="envelope return"/>
    <w:basedOn w:val="1"/>
    <w:next w:val="7"/>
    <w:qFormat/>
    <w:uiPriority w:val="0"/>
    <w:pPr>
      <w:snapToGrid w:val="0"/>
    </w:pPr>
    <w:rPr>
      <w:rFonts w:ascii="Arial" w:hAnsi="Arial"/>
    </w:rPr>
  </w:style>
  <w:style w:type="paragraph" w:styleId="19">
    <w:name w:val="header"/>
    <w:basedOn w:val="1"/>
    <w:link w:val="5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List"/>
    <w:basedOn w:val="1"/>
    <w:next w:val="1"/>
    <w:qFormat/>
    <w:uiPriority w:val="0"/>
    <w:pPr>
      <w:ind w:left="420" w:hanging="420"/>
    </w:pPr>
    <w:rPr>
      <w:rFonts w:ascii="Arial" w:hAnsi="Arial" w:eastAsia="楷体_GB2312"/>
      <w:sz w:val="28"/>
    </w:rPr>
  </w:style>
  <w:style w:type="paragraph" w:styleId="22">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4">
    <w:name w:val="Normal (Web)"/>
    <w:basedOn w:val="1"/>
    <w:qFormat/>
    <w:uiPriority w:val="0"/>
    <w:pPr>
      <w:spacing w:before="100" w:beforeAutospacing="1" w:after="100" w:afterAutospacing="1"/>
      <w:jc w:val="left"/>
    </w:pPr>
    <w:rPr>
      <w:rFonts w:cs="Times New Roman"/>
      <w:kern w:val="0"/>
      <w:sz w:val="24"/>
    </w:rPr>
  </w:style>
  <w:style w:type="paragraph" w:styleId="25">
    <w:name w:val="index 1"/>
    <w:basedOn w:val="1"/>
    <w:next w:val="1"/>
    <w:qFormat/>
    <w:uiPriority w:val="0"/>
    <w:pPr>
      <w:jc w:val="center"/>
    </w:pPr>
    <w:rPr>
      <w:rFonts w:ascii="Arial" w:hAnsi="Arial" w:eastAsia="Arial" w:cs="Arial"/>
      <w:b/>
      <w:bCs/>
      <w:sz w:val="28"/>
    </w:rPr>
  </w:style>
  <w:style w:type="paragraph" w:styleId="26">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7">
    <w:name w:val="annotation subject"/>
    <w:basedOn w:val="9"/>
    <w:next w:val="9"/>
    <w:link w:val="73"/>
    <w:semiHidden/>
    <w:unhideWhenUsed/>
    <w:qFormat/>
    <w:uiPriority w:val="99"/>
    <w:rPr>
      <w:rFonts w:ascii="@仿宋_GB2312" w:hAnsi="@仿宋_GB2312" w:eastAsia="@仿宋_GB2312" w:cs="@仿宋_GB2312"/>
      <w:b/>
      <w:bCs/>
    </w:rPr>
  </w:style>
  <w:style w:type="paragraph" w:styleId="28">
    <w:name w:val="Body Text First Indent"/>
    <w:basedOn w:val="10"/>
    <w:unhideWhenUsed/>
    <w:qFormat/>
    <w:uiPriority w:val="99"/>
    <w:pPr>
      <w:ind w:firstLine="420" w:firstLineChars="100"/>
    </w:pPr>
  </w:style>
  <w:style w:type="paragraph" w:styleId="29">
    <w:name w:val="Body Text First Indent 2"/>
    <w:basedOn w:val="11"/>
    <w:next w:val="1"/>
    <w:qFormat/>
    <w:uiPriority w:val="0"/>
    <w:pPr>
      <w:ind w:firstLine="420" w:firstLineChars="200"/>
    </w:pPr>
    <w:rPr>
      <w:rFonts w:ascii="Times New Roman" w:hAnsi="Times New Roman" w:cs="Times New Roman"/>
      <w:szCs w:val="21"/>
    </w:rPr>
  </w:style>
  <w:style w:type="table" w:styleId="31">
    <w:name w:val="Table Grid"/>
    <w:basedOn w:val="30"/>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qFormat/>
    <w:uiPriority w:val="0"/>
    <w:rPr>
      <w:b/>
      <w:bCs/>
    </w:rPr>
  </w:style>
  <w:style w:type="character" w:styleId="34">
    <w:name w:val="FollowedHyperlink"/>
    <w:basedOn w:val="32"/>
    <w:semiHidden/>
    <w:unhideWhenUsed/>
    <w:qFormat/>
    <w:uiPriority w:val="99"/>
    <w:rPr>
      <w:color w:val="5C5C5C"/>
      <w:u w:val="none"/>
    </w:rPr>
  </w:style>
  <w:style w:type="character" w:styleId="35">
    <w:name w:val="Emphasis"/>
    <w:basedOn w:val="32"/>
    <w:qFormat/>
    <w:uiPriority w:val="20"/>
    <w:rPr>
      <w:b/>
      <w:bCs/>
    </w:rPr>
  </w:style>
  <w:style w:type="character" w:styleId="36">
    <w:name w:val="HTML Definition"/>
    <w:basedOn w:val="32"/>
    <w:semiHidden/>
    <w:unhideWhenUsed/>
    <w:qFormat/>
    <w:uiPriority w:val="99"/>
  </w:style>
  <w:style w:type="character" w:styleId="37">
    <w:name w:val="HTML Typewriter"/>
    <w:basedOn w:val="32"/>
    <w:semiHidden/>
    <w:unhideWhenUsed/>
    <w:qFormat/>
    <w:uiPriority w:val="99"/>
    <w:rPr>
      <w:rFonts w:hint="default" w:ascii="monospace" w:hAnsi="monospace" w:eastAsia="monospace" w:cs="monospace"/>
      <w:sz w:val="20"/>
    </w:rPr>
  </w:style>
  <w:style w:type="character" w:styleId="38">
    <w:name w:val="HTML Acronym"/>
    <w:basedOn w:val="32"/>
    <w:semiHidden/>
    <w:unhideWhenUsed/>
    <w:qFormat/>
    <w:uiPriority w:val="99"/>
    <w:rPr>
      <w:color w:val="5C5C5C"/>
      <w:sz w:val="19"/>
      <w:szCs w:val="19"/>
      <w:u w:val="none"/>
      <w:bdr w:val="single" w:color="D6D6D6" w:sz="2" w:space="0"/>
      <w:shd w:val="clear" w:fill="FFFFFF"/>
    </w:rPr>
  </w:style>
  <w:style w:type="character" w:styleId="39">
    <w:name w:val="HTML Variable"/>
    <w:basedOn w:val="32"/>
    <w:semiHidden/>
    <w:unhideWhenUsed/>
    <w:qFormat/>
    <w:uiPriority w:val="99"/>
  </w:style>
  <w:style w:type="character" w:styleId="40">
    <w:name w:val="Hyperlink"/>
    <w:basedOn w:val="32"/>
    <w:unhideWhenUsed/>
    <w:qFormat/>
    <w:uiPriority w:val="99"/>
    <w:rPr>
      <w:color w:val="0000FF" w:themeColor="hyperlink"/>
      <w:u w:val="single"/>
      <w14:textFill>
        <w14:solidFill>
          <w14:schemeClr w14:val="hlink"/>
        </w14:solidFill>
      </w14:textFill>
    </w:rPr>
  </w:style>
  <w:style w:type="character" w:styleId="41">
    <w:name w:val="HTML Code"/>
    <w:basedOn w:val="32"/>
    <w:semiHidden/>
    <w:unhideWhenUsed/>
    <w:qFormat/>
    <w:uiPriority w:val="99"/>
    <w:rPr>
      <w:rFonts w:hint="default" w:ascii="monospace" w:hAnsi="monospace" w:eastAsia="monospace" w:cs="monospace"/>
      <w:sz w:val="20"/>
    </w:rPr>
  </w:style>
  <w:style w:type="character" w:styleId="42">
    <w:name w:val="annotation reference"/>
    <w:basedOn w:val="32"/>
    <w:semiHidden/>
    <w:unhideWhenUsed/>
    <w:qFormat/>
    <w:uiPriority w:val="99"/>
    <w:rPr>
      <w:sz w:val="21"/>
      <w:szCs w:val="21"/>
    </w:rPr>
  </w:style>
  <w:style w:type="character" w:styleId="43">
    <w:name w:val="HTML Cite"/>
    <w:basedOn w:val="32"/>
    <w:semiHidden/>
    <w:unhideWhenUsed/>
    <w:qFormat/>
    <w:uiPriority w:val="99"/>
  </w:style>
  <w:style w:type="character" w:styleId="44">
    <w:name w:val="HTML Keyboard"/>
    <w:basedOn w:val="32"/>
    <w:semiHidden/>
    <w:unhideWhenUsed/>
    <w:qFormat/>
    <w:uiPriority w:val="99"/>
    <w:rPr>
      <w:rFonts w:ascii="monospace" w:hAnsi="monospace" w:eastAsia="monospace" w:cs="monospace"/>
      <w:sz w:val="20"/>
    </w:rPr>
  </w:style>
  <w:style w:type="character" w:styleId="45">
    <w:name w:val="HTML Sample"/>
    <w:basedOn w:val="32"/>
    <w:semiHidden/>
    <w:unhideWhenUsed/>
    <w:qFormat/>
    <w:uiPriority w:val="99"/>
    <w:rPr>
      <w:rFonts w:hint="default" w:ascii="monospace" w:hAnsi="monospace" w:eastAsia="monospace" w:cs="monospace"/>
    </w:rPr>
  </w:style>
  <w:style w:type="character" w:customStyle="1" w:styleId="46">
    <w:name w:val="批注框文本 Char"/>
    <w:basedOn w:val="32"/>
    <w:link w:val="16"/>
    <w:semiHidden/>
    <w:qFormat/>
    <w:uiPriority w:val="99"/>
    <w:rPr>
      <w:rFonts w:ascii="@仿宋_GB2312" w:hAnsi="@仿宋_GB2312" w:eastAsia="@仿宋_GB2312" w:cs="@仿宋_GB2312"/>
      <w:sz w:val="18"/>
      <w:szCs w:val="18"/>
    </w:rPr>
  </w:style>
  <w:style w:type="paragraph" w:customStyle="1" w:styleId="47">
    <w:name w:val="正文（缩进）"/>
    <w:basedOn w:val="1"/>
    <w:qFormat/>
    <w:uiPriority w:val="0"/>
    <w:pPr>
      <w:widowControl/>
      <w:spacing w:before="156" w:after="156"/>
      <w:ind w:firstLine="480" w:firstLineChars="200"/>
      <w:jc w:val="left"/>
    </w:pPr>
    <w:rPr>
      <w:kern w:val="0"/>
      <w:sz w:val="24"/>
      <w:szCs w:val="24"/>
    </w:rPr>
  </w:style>
  <w:style w:type="paragraph" w:customStyle="1" w:styleId="48">
    <w:name w:val="xl31"/>
    <w:basedOn w:val="1"/>
    <w:qFormat/>
    <w:uiPriority w:val="0"/>
    <w:pPr>
      <w:widowControl/>
      <w:spacing w:before="100" w:beforeAutospacing="1" w:after="100" w:afterAutospacing="1"/>
      <w:jc w:val="center"/>
    </w:pPr>
    <w:rPr>
      <w:b/>
      <w:bCs/>
      <w:kern w:val="0"/>
      <w:sz w:val="28"/>
      <w:szCs w:val="28"/>
    </w:rPr>
  </w:style>
  <w:style w:type="paragraph" w:customStyle="1" w:styleId="49">
    <w:name w:val="D&amp;L"/>
    <w:basedOn w:val="19"/>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50">
    <w:name w:val="页眉 Char"/>
    <w:basedOn w:val="32"/>
    <w:link w:val="19"/>
    <w:qFormat/>
    <w:uiPriority w:val="99"/>
    <w:rPr>
      <w:rFonts w:ascii="@仿宋_GB2312" w:hAnsi="@仿宋_GB2312" w:eastAsia="@仿宋_GB2312" w:cs="@仿宋_GB2312"/>
      <w:sz w:val="18"/>
      <w:szCs w:val="18"/>
    </w:rPr>
  </w:style>
  <w:style w:type="character" w:customStyle="1" w:styleId="51">
    <w:name w:val="页脚 Char"/>
    <w:basedOn w:val="32"/>
    <w:link w:val="17"/>
    <w:qFormat/>
    <w:uiPriority w:val="99"/>
    <w:rPr>
      <w:rFonts w:ascii="@仿宋_GB2312" w:hAnsi="@仿宋_GB2312" w:eastAsia="@仿宋_GB2312" w:cs="@仿宋_GB2312"/>
      <w:sz w:val="18"/>
      <w:szCs w:val="18"/>
    </w:rPr>
  </w:style>
  <w:style w:type="character" w:customStyle="1" w:styleId="52">
    <w:name w:val="纯文本 Char"/>
    <w:link w:val="13"/>
    <w:qFormat/>
    <w:uiPriority w:val="0"/>
    <w:rPr>
      <w:rFonts w:ascii="宋体" w:hAnsi="Courier New"/>
    </w:rPr>
  </w:style>
  <w:style w:type="character" w:customStyle="1" w:styleId="53">
    <w:name w:val="纯文本 字符1"/>
    <w:basedOn w:val="32"/>
    <w:semiHidden/>
    <w:qFormat/>
    <w:uiPriority w:val="99"/>
    <w:rPr>
      <w:rFonts w:hAnsi="Courier New" w:cs="Courier New" w:asciiTheme="minorEastAsia"/>
      <w:szCs w:val="20"/>
    </w:rPr>
  </w:style>
  <w:style w:type="character" w:customStyle="1" w:styleId="54">
    <w:name w:val="未处理的提及1"/>
    <w:basedOn w:val="32"/>
    <w:semiHidden/>
    <w:unhideWhenUsed/>
    <w:qFormat/>
    <w:uiPriority w:val="99"/>
    <w:rPr>
      <w:color w:val="605E5C"/>
      <w:shd w:val="clear" w:color="auto" w:fill="E1DFDD"/>
    </w:rPr>
  </w:style>
  <w:style w:type="paragraph" w:styleId="55">
    <w:name w:val="List Paragraph"/>
    <w:basedOn w:val="1"/>
    <w:qFormat/>
    <w:uiPriority w:val="34"/>
    <w:pPr>
      <w:ind w:firstLine="420" w:firstLineChars="200"/>
    </w:pPr>
  </w:style>
  <w:style w:type="paragraph" w:customStyle="1" w:styleId="56">
    <w:name w:val="Char Char Char Char Char Char Char1 Char"/>
    <w:basedOn w:val="1"/>
    <w:qFormat/>
    <w:uiPriority w:val="0"/>
    <w:rPr>
      <w:rFonts w:ascii="Arial" w:hAnsi="Arial" w:eastAsia="宋体" w:cs="Arial"/>
      <w:sz w:val="24"/>
    </w:rPr>
  </w:style>
  <w:style w:type="table" w:customStyle="1" w:styleId="57">
    <w:name w:val="网格表 1 浅色1"/>
    <w:basedOn w:val="30"/>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8">
    <w:name w:val="日期 字符"/>
    <w:basedOn w:val="32"/>
    <w:semiHidden/>
    <w:qFormat/>
    <w:uiPriority w:val="99"/>
    <w:rPr>
      <w:rFonts w:ascii="@仿宋_GB2312" w:hAnsi="@仿宋_GB2312" w:eastAsia="@仿宋_GB2312" w:cs="@仿宋_GB2312"/>
      <w:szCs w:val="20"/>
    </w:rPr>
  </w:style>
  <w:style w:type="character" w:customStyle="1" w:styleId="59">
    <w:name w:val="日期 Char"/>
    <w:link w:val="14"/>
    <w:qFormat/>
    <w:uiPriority w:val="0"/>
    <w:rPr>
      <w:rFonts w:ascii="Arial" w:hAnsi="Arial" w:eastAsia="宋体" w:cs="Arial"/>
      <w:b/>
      <w:sz w:val="28"/>
      <w:szCs w:val="20"/>
    </w:rPr>
  </w:style>
  <w:style w:type="character" w:customStyle="1" w:styleId="60">
    <w:name w:val="纯文本 Char1"/>
    <w:qFormat/>
    <w:locked/>
    <w:uiPriority w:val="99"/>
    <w:rPr>
      <w:rFonts w:ascii="Arial" w:hAnsi="Arial" w:eastAsia="Arial"/>
      <w:kern w:val="2"/>
      <w:sz w:val="21"/>
      <w:lang w:val="en-US" w:eastAsia="zh-CN" w:bidi="ar-SA"/>
    </w:rPr>
  </w:style>
  <w:style w:type="character" w:customStyle="1" w:styleId="61">
    <w:name w:val="批注文字 Char"/>
    <w:basedOn w:val="32"/>
    <w:semiHidden/>
    <w:qFormat/>
    <w:uiPriority w:val="99"/>
    <w:rPr>
      <w:rFonts w:ascii="@仿宋_GB2312" w:hAnsi="@仿宋_GB2312" w:eastAsia="@仿宋_GB2312" w:cs="@仿宋_GB2312"/>
      <w:szCs w:val="20"/>
    </w:rPr>
  </w:style>
  <w:style w:type="character" w:customStyle="1" w:styleId="62">
    <w:name w:val="批注文字 Char1"/>
    <w:link w:val="9"/>
    <w:qFormat/>
    <w:uiPriority w:val="0"/>
    <w:rPr>
      <w:rFonts w:ascii="Arial" w:hAnsi="Arial" w:eastAsia="黑体" w:cs="Arial"/>
      <w:szCs w:val="20"/>
    </w:rPr>
  </w:style>
  <w:style w:type="character" w:customStyle="1" w:styleId="63">
    <w:name w:val="标题 1 Char"/>
    <w:basedOn w:val="32"/>
    <w:link w:val="2"/>
    <w:qFormat/>
    <w:uiPriority w:val="9"/>
    <w:rPr>
      <w:rFonts w:ascii="@仿宋_GB2312" w:hAnsi="@仿宋_GB2312" w:eastAsia="@仿宋_GB2312" w:cs="@仿宋_GB2312"/>
      <w:b/>
      <w:bCs/>
      <w:kern w:val="44"/>
      <w:sz w:val="44"/>
      <w:szCs w:val="44"/>
    </w:rPr>
  </w:style>
  <w:style w:type="paragraph" w:customStyle="1" w:styleId="6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5">
    <w:name w:val="标题 3 Char"/>
    <w:basedOn w:val="32"/>
    <w:link w:val="4"/>
    <w:semiHidden/>
    <w:qFormat/>
    <w:uiPriority w:val="9"/>
    <w:rPr>
      <w:rFonts w:ascii="@仿宋_GB2312" w:hAnsi="@仿宋_GB2312" w:eastAsia="@仿宋_GB2312" w:cs="@仿宋_GB2312"/>
      <w:b/>
      <w:bCs/>
      <w:sz w:val="32"/>
      <w:szCs w:val="32"/>
    </w:rPr>
  </w:style>
  <w:style w:type="character" w:customStyle="1" w:styleId="66">
    <w:name w:val="fontstyle01"/>
    <w:basedOn w:val="32"/>
    <w:qFormat/>
    <w:uiPriority w:val="0"/>
    <w:rPr>
      <w:rFonts w:hint="eastAsia" w:ascii="宋体" w:hAnsi="宋体" w:eastAsia="宋体"/>
      <w:color w:val="000000"/>
      <w:sz w:val="22"/>
      <w:szCs w:val="22"/>
    </w:rPr>
  </w:style>
  <w:style w:type="character" w:customStyle="1" w:styleId="67">
    <w:name w:val="fontstyle21"/>
    <w:basedOn w:val="32"/>
    <w:qFormat/>
    <w:uiPriority w:val="0"/>
    <w:rPr>
      <w:rFonts w:hint="default" w:ascii="TimesNewRomanPSMT" w:hAnsi="TimesNewRomanPSMT"/>
      <w:color w:val="000000"/>
      <w:sz w:val="22"/>
      <w:szCs w:val="22"/>
    </w:rPr>
  </w:style>
  <w:style w:type="character" w:customStyle="1" w:styleId="68">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9">
    <w:name w:val="标题 4 字符"/>
    <w:basedOn w:val="32"/>
    <w:semiHidden/>
    <w:qFormat/>
    <w:uiPriority w:val="9"/>
    <w:rPr>
      <w:rFonts w:asciiTheme="majorHAnsi" w:hAnsiTheme="majorHAnsi" w:eastAsiaTheme="majorEastAsia" w:cstheme="majorBidi"/>
      <w:b/>
      <w:bCs/>
      <w:sz w:val="28"/>
      <w:szCs w:val="28"/>
    </w:rPr>
  </w:style>
  <w:style w:type="character" w:customStyle="1" w:styleId="70">
    <w:name w:val="标题 4 Char1"/>
    <w:link w:val="5"/>
    <w:qFormat/>
    <w:uiPriority w:val="0"/>
    <w:rPr>
      <w:rFonts w:ascii="@仿宋_GB2312" w:hAnsi="@仿宋_GB2312" w:eastAsia="@仿宋_GB2312" w:cs="@仿宋_GB2312"/>
      <w:b/>
      <w:bCs/>
      <w:sz w:val="28"/>
      <w:szCs w:val="28"/>
    </w:rPr>
  </w:style>
  <w:style w:type="character" w:customStyle="1" w:styleId="71">
    <w:name w:val="标题 4 Char"/>
    <w:qFormat/>
    <w:uiPriority w:val="0"/>
    <w:rPr>
      <w:rFonts w:ascii="Arial" w:hAnsi="Arial" w:eastAsia="Arial"/>
      <w:b/>
      <w:bCs/>
      <w:kern w:val="2"/>
      <w:sz w:val="28"/>
      <w:szCs w:val="28"/>
      <w:lang w:val="en-US" w:eastAsia="zh-CN" w:bidi="ar-SA"/>
    </w:rPr>
  </w:style>
  <w:style w:type="table" w:customStyle="1" w:styleId="72">
    <w:name w:val="网格型1"/>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3">
    <w:name w:val="批注主题 Char"/>
    <w:basedOn w:val="62"/>
    <w:link w:val="27"/>
    <w:semiHidden/>
    <w:qFormat/>
    <w:uiPriority w:val="99"/>
    <w:rPr>
      <w:rFonts w:ascii="@仿宋_GB2312" w:hAnsi="@仿宋_GB2312" w:eastAsia="@仿宋_GB2312" w:cs="@仿宋_GB2312"/>
      <w:b/>
      <w:bCs/>
      <w:szCs w:val="20"/>
    </w:rPr>
  </w:style>
  <w:style w:type="table" w:customStyle="1" w:styleId="74">
    <w:name w:val="Table Normal"/>
    <w:semiHidden/>
    <w:unhideWhenUsed/>
    <w:qFormat/>
    <w:uiPriority w:val="0"/>
    <w:tblPr>
      <w:tblCellMar>
        <w:top w:w="0" w:type="dxa"/>
        <w:left w:w="0" w:type="dxa"/>
        <w:bottom w:w="0" w:type="dxa"/>
        <w:right w:w="0" w:type="dxa"/>
      </w:tblCellMar>
    </w:tblPr>
  </w:style>
  <w:style w:type="paragraph" w:customStyle="1" w:styleId="75">
    <w:name w:val="Table Text"/>
    <w:basedOn w:val="1"/>
    <w:semiHidden/>
    <w:qFormat/>
    <w:uiPriority w:val="0"/>
    <w:rPr>
      <w:rFonts w:ascii="Arial" w:hAnsi="Arial" w:eastAsia="Arial" w:cs="Arial"/>
      <w:szCs w:val="21"/>
      <w:lang w:eastAsia="en-US"/>
    </w:rPr>
  </w:style>
  <w:style w:type="paragraph" w:customStyle="1" w:styleId="76">
    <w:name w:val="Table Paragraph"/>
    <w:basedOn w:val="1"/>
    <w:qFormat/>
    <w:uiPriority w:val="0"/>
    <w:rPr>
      <w:rFonts w:ascii="宋体" w:hAnsi="宋体" w:eastAsia="宋体" w:cs="宋体"/>
      <w:lang w:val="zh-CN" w:bidi="zh-CN"/>
    </w:rPr>
  </w:style>
  <w:style w:type="paragraph" w:customStyle="1" w:styleId="77">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 w:type="paragraph" w:customStyle="1" w:styleId="7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character" w:customStyle="1" w:styleId="79">
    <w:name w:val="hover"/>
    <w:basedOn w:val="32"/>
    <w:qFormat/>
    <w:uiPriority w:val="0"/>
    <w:rPr>
      <w:color w:val="2590EB"/>
    </w:rPr>
  </w:style>
  <w:style w:type="character" w:customStyle="1" w:styleId="80">
    <w:name w:val="hover1"/>
    <w:basedOn w:val="32"/>
    <w:qFormat/>
    <w:uiPriority w:val="0"/>
    <w:rPr>
      <w:color w:val="2590EB"/>
    </w:rPr>
  </w:style>
  <w:style w:type="character" w:customStyle="1" w:styleId="81">
    <w:name w:val="hover2"/>
    <w:basedOn w:val="32"/>
    <w:qFormat/>
    <w:uiPriority w:val="0"/>
  </w:style>
  <w:style w:type="character" w:customStyle="1" w:styleId="82">
    <w:name w:val="hover3"/>
    <w:basedOn w:val="32"/>
    <w:qFormat/>
    <w:uiPriority w:val="0"/>
    <w:rPr>
      <w:color w:val="2590EB"/>
      <w:shd w:val="clear" w:color="auto" w:fill="E9F4FD"/>
    </w:rPr>
  </w:style>
  <w:style w:type="character" w:customStyle="1" w:styleId="83">
    <w:name w:val="layui-this"/>
    <w:basedOn w:val="32"/>
    <w:qFormat/>
    <w:uiPriority w:val="0"/>
    <w:rPr>
      <w:bdr w:val="single" w:color="EEEEEE" w:sz="6" w:space="0"/>
      <w:shd w:val="clear" w:fill="FFFFFF"/>
    </w:rPr>
  </w:style>
  <w:style w:type="character" w:customStyle="1" w:styleId="84">
    <w:name w:val="first-child"/>
    <w:basedOn w:val="32"/>
    <w:qFormat/>
    <w:uiPriority w:val="0"/>
  </w:style>
  <w:style w:type="character" w:customStyle="1" w:styleId="85">
    <w:name w:val="mini-outputtext1"/>
    <w:basedOn w:val="32"/>
    <w:qFormat/>
    <w:uiPriority w:val="0"/>
  </w:style>
  <w:style w:type="character" w:customStyle="1" w:styleId="86">
    <w:name w:val="hover4"/>
    <w:basedOn w:val="32"/>
    <w:qFormat/>
    <w:uiPriority w:val="0"/>
    <w:rPr>
      <w:color w:val="2590EB"/>
      <w:shd w:val="clear" w:fill="E9F4FD"/>
    </w:rPr>
  </w:style>
  <w:style w:type="paragraph" w:customStyle="1" w:styleId="87">
    <w:name w:val="Body Text First Indent 21"/>
    <w:basedOn w:val="88"/>
    <w:next w:val="1"/>
    <w:qFormat/>
    <w:uiPriority w:val="0"/>
    <w:pPr>
      <w:ind w:left="420" w:firstLine="420" w:firstLineChars="200"/>
    </w:pPr>
  </w:style>
  <w:style w:type="paragraph" w:customStyle="1" w:styleId="88">
    <w:name w:val="Body Text Indent1"/>
    <w:basedOn w:val="1"/>
    <w:next w:val="89"/>
    <w:qFormat/>
    <w:uiPriority w:val="0"/>
    <w:pPr>
      <w:spacing w:after="120" w:afterLines="0"/>
      <w:ind w:left="200" w:leftChars="200"/>
    </w:pPr>
  </w:style>
  <w:style w:type="paragraph" w:customStyle="1" w:styleId="89">
    <w:name w:val="envelope return1"/>
    <w:basedOn w:val="1"/>
    <w:next w:val="26"/>
    <w:qFormat/>
    <w:uiPriority w:val="0"/>
    <w:pPr>
      <w:snapToGrid w:val="0"/>
    </w:pPr>
    <w:rPr>
      <w:rFonts w:ascii="Arial" w:hAnsi="Arial"/>
    </w:rPr>
  </w:style>
  <w:style w:type="paragraph" w:customStyle="1" w:styleId="90">
    <w:name w:val="正文 New"/>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91">
    <w:name w:val="Body text|1"/>
    <w:basedOn w:val="1"/>
    <w:autoRedefine/>
    <w:qFormat/>
    <w:uiPriority w:val="0"/>
    <w:pPr>
      <w:widowControl w:val="0"/>
      <w:shd w:val="clear" w:color="auto" w:fill="auto"/>
      <w:spacing w:line="480" w:lineRule="auto"/>
    </w:pPr>
    <w:rPr>
      <w:rFonts w:ascii="宋体" w:hAnsi="宋体" w:eastAsia="宋体" w:cs="宋体"/>
      <w:sz w:val="22"/>
      <w:szCs w:val="22"/>
      <w:u w:val="none"/>
      <w:shd w:val="clear" w:color="auto" w:fill="auto"/>
      <w:lang w:val="zh-TW" w:eastAsia="zh-TW" w:bidi="zh-TW"/>
    </w:rPr>
  </w:style>
  <w:style w:type="paragraph" w:customStyle="1" w:styleId="92">
    <w:name w:val="正文1"/>
    <w:qFormat/>
    <w:uiPriority w:val="0"/>
    <w:pPr>
      <w:spacing w:after="0" w:line="360" w:lineRule="auto"/>
      <w:ind w:firstLine="420"/>
      <w:jc w:val="both"/>
    </w:pPr>
    <w:rPr>
      <w:rFonts w:ascii="仿宋_GB2312" w:hAnsi="仿宋_GB2312" w:eastAsia="仿宋_GB2312" w:cstheme="minorBidi"/>
      <w:sz w:val="28"/>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59</Pages>
  <Words>109</Words>
  <Characters>138</Characters>
  <Lines>363</Lines>
  <Paragraphs>102</Paragraphs>
  <TotalTime>19</TotalTime>
  <ScaleCrop>false</ScaleCrop>
  <LinksUpToDate>false</LinksUpToDate>
  <CharactersWithSpaces>140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2025-03-13T09:47:00Z</dcterms:created>
  <dc:creator>Anakin</dc:creator>
  <cp:lastModifiedBy>NTKO</cp:lastModifiedBy>
  <cp:lastPrinted>2026-01-02T08:17:00Z</cp:lastPrinted>
  <dcterms:modified xsi:type="dcterms:W3CDTF">2026-11-03T01:26:03Z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6CA52D85449A4ADDBAFDCC65A842CDCF_13</vt:lpwstr>
  </property>
  <property fmtid="{D5CDD505-2E9C-101B-9397-08002B2CF9AE}" pid="4" name="KSOTemplateDocerSaveRecord">
    <vt:lpwstr>eyJoZGlkIjoiMzhjNmJjMWRlNjg5ZWUwZTJhZGRlZDVjNzc5ZjE4YzAiLCJ1c2VySWQiOiI0MDkyMjI1MTkifQ==</vt:lpwstr>
  </property>
</Properties>
</file>