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C0E78A1">
      <w:pPr>
        <w:keepNext w:val="0"/>
        <w:keepLines w:val="0"/>
        <w:pageBreakBefore w:val="0"/>
        <w:widowControl/>
        <w:kinsoku/>
        <w:wordWrap/>
        <w:overflowPunct/>
        <w:topLinePunct w:val="0"/>
        <w:autoSpaceDE/>
        <w:autoSpaceDN/>
        <w:bidi w:val="0"/>
        <w:adjustRightInd/>
        <w:snapToGrid/>
        <w:spacing w:before="157" w:beforeLines="50" w:after="157" w:afterLines="50" w:line="360" w:lineRule="auto"/>
        <w:ind w:right="0" w:rightChars="0"/>
        <w:jc w:val="both"/>
        <w:textAlignment w:val="baseline"/>
        <w:rPr>
          <w:rFonts w:hint="eastAsia"/>
          <w:color w:val="auto"/>
          <w:sz w:val="44"/>
          <w:szCs w:val="44"/>
          <w:highlight w:val="none"/>
        </w:rPr>
      </w:pPr>
      <w:bookmarkStart w:id="225" w:name="_GoBack"/>
    </w:p>
    <w:p w14:paraId="7D757B08">
      <w:pPr>
        <w:widowControl/>
        <w:spacing w:line="400" w:lineRule="atLeast"/>
        <w:jc w:val="center"/>
        <w:textAlignment w:val="baseline"/>
        <w:rPr>
          <w:rFonts w:hint="eastAsia" w:ascii="宋体" w:hAnsi="宋体" w:eastAsia="宋体" w:cs="Times New Roman"/>
          <w:b/>
          <w:bCs/>
          <w:color w:val="auto"/>
          <w:spacing w:val="-10"/>
          <w:kern w:val="0"/>
          <w:sz w:val="52"/>
          <w:szCs w:val="52"/>
          <w:highlight w:val="none"/>
          <w:lang w:val="en-US" w:eastAsia="zh-CN"/>
        </w:rPr>
      </w:pPr>
      <w:r>
        <w:rPr>
          <w:rFonts w:hint="eastAsia" w:ascii="宋体" w:hAnsi="宋体" w:eastAsia="宋体" w:cs="Times New Roman"/>
          <w:b/>
          <w:bCs/>
          <w:color w:val="auto"/>
          <w:spacing w:val="-10"/>
          <w:kern w:val="0"/>
          <w:sz w:val="52"/>
          <w:szCs w:val="52"/>
          <w:highlight w:val="none"/>
          <w:lang w:val="en-US" w:eastAsia="zh-CN"/>
        </w:rPr>
        <w:t>2026年滁州市就业创业政策及公共就业服务宣传项目（二次）</w:t>
      </w:r>
    </w:p>
    <w:p w14:paraId="675464EE">
      <w:pPr>
        <w:pageBreakBefore w:val="0"/>
        <w:widowControl/>
        <w:kinsoku/>
        <w:topLinePunct w:val="0"/>
        <w:bidi w:val="0"/>
        <w:spacing w:line="360" w:lineRule="auto"/>
        <w:ind w:left="0" w:leftChars="0" w:right="0" w:rightChars="0" w:firstLine="1124" w:firstLineChars="200"/>
        <w:jc w:val="center"/>
        <w:textAlignment w:val="baseline"/>
        <w:rPr>
          <w:rFonts w:hint="eastAsia" w:ascii="宋体" w:hAnsi="宋体" w:cs="宋体"/>
          <w:b/>
          <w:color w:val="auto"/>
          <w:kern w:val="0"/>
          <w:sz w:val="56"/>
          <w:szCs w:val="56"/>
          <w:highlight w:val="none"/>
        </w:rPr>
      </w:pPr>
    </w:p>
    <w:p w14:paraId="34BF9BE2">
      <w:pPr>
        <w:widowControl/>
        <w:spacing w:line="400" w:lineRule="atLeast"/>
        <w:jc w:val="center"/>
        <w:textAlignment w:val="baseline"/>
        <w:rPr>
          <w:rFonts w:hint="eastAsia" w:ascii="宋体" w:hAnsi="宋体" w:eastAsia="宋体" w:cs="宋体"/>
          <w:b/>
          <w:bCs/>
          <w:color w:val="auto"/>
          <w:kern w:val="0"/>
          <w:sz w:val="98"/>
          <w:szCs w:val="98"/>
          <w:highlight w:val="none"/>
          <w:lang w:eastAsia="zh-CN"/>
        </w:rPr>
      </w:pPr>
    </w:p>
    <w:p w14:paraId="1B6B9C48">
      <w:pPr>
        <w:widowControl/>
        <w:spacing w:line="400" w:lineRule="atLeast"/>
        <w:jc w:val="center"/>
        <w:textAlignment w:val="baseline"/>
        <w:rPr>
          <w:rFonts w:hint="eastAsia" w:ascii="宋体" w:hAnsi="宋体" w:eastAsia="宋体" w:cs="宋体"/>
          <w:b/>
          <w:bCs/>
          <w:color w:val="auto"/>
          <w:kern w:val="0"/>
          <w:sz w:val="98"/>
          <w:szCs w:val="98"/>
          <w:highlight w:val="none"/>
        </w:rPr>
      </w:pPr>
      <w:r>
        <w:rPr>
          <w:rFonts w:hint="eastAsia" w:ascii="宋体" w:hAnsi="宋体" w:eastAsia="宋体" w:cs="宋体"/>
          <w:b/>
          <w:bCs/>
          <w:color w:val="auto"/>
          <w:kern w:val="0"/>
          <w:sz w:val="98"/>
          <w:szCs w:val="98"/>
          <w:highlight w:val="none"/>
          <w:lang w:eastAsia="zh-CN"/>
        </w:rPr>
        <w:t>竞争性谈判</w:t>
      </w:r>
      <w:r>
        <w:rPr>
          <w:rFonts w:hint="eastAsia" w:ascii="宋体" w:hAnsi="宋体" w:eastAsia="宋体" w:cs="宋体"/>
          <w:b/>
          <w:bCs/>
          <w:color w:val="auto"/>
          <w:kern w:val="0"/>
          <w:sz w:val="98"/>
          <w:szCs w:val="98"/>
          <w:highlight w:val="none"/>
        </w:rPr>
        <w:t>文件</w:t>
      </w:r>
    </w:p>
    <w:p w14:paraId="52C092DD">
      <w:pPr>
        <w:pStyle w:val="84"/>
        <w:pageBreakBefore w:val="0"/>
        <w:kinsoku/>
        <w:topLinePunct w:val="0"/>
        <w:bidi w:val="0"/>
        <w:ind w:left="0" w:leftChars="0" w:right="0" w:rightChars="0" w:firstLine="420" w:firstLineChars="200"/>
        <w:rPr>
          <w:rFonts w:hint="eastAsia"/>
          <w:color w:val="auto"/>
          <w:highlight w:val="none"/>
        </w:rPr>
      </w:pPr>
    </w:p>
    <w:p w14:paraId="4B04400C">
      <w:pPr>
        <w:widowControl/>
        <w:spacing w:line="480" w:lineRule="exact"/>
        <w:jc w:val="center"/>
        <w:textAlignment w:val="baseline"/>
        <w:rPr>
          <w:rFonts w:hint="eastAsia" w:ascii="宋体" w:hAnsi="宋体" w:eastAsia="宋体" w:cs="宋体"/>
          <w:color w:val="auto"/>
          <w:kern w:val="0"/>
          <w:sz w:val="32"/>
          <w:highlight w:val="none"/>
          <w:u w:val="none"/>
          <w:lang w:val="en-US" w:eastAsia="zh-CN"/>
        </w:rPr>
      </w:pPr>
      <w:r>
        <w:rPr>
          <w:rFonts w:hint="eastAsia" w:ascii="宋体" w:hAnsi="宋体" w:eastAsia="宋体" w:cs="宋体"/>
          <w:color w:val="auto"/>
          <w:kern w:val="0"/>
          <w:sz w:val="32"/>
          <w:highlight w:val="none"/>
          <w:u w:val="none"/>
          <w:lang w:val="en-US" w:eastAsia="zh-CN"/>
        </w:rPr>
        <w:t xml:space="preserve">项目编号：HXJY1110001061052001001     </w:t>
      </w:r>
    </w:p>
    <w:p w14:paraId="1B48C6A2">
      <w:pPr>
        <w:pageBreakBefore w:val="0"/>
        <w:kinsoku/>
        <w:topLinePunct w:val="0"/>
        <w:bidi w:val="0"/>
        <w:spacing w:line="480" w:lineRule="exact"/>
        <w:ind w:left="0" w:leftChars="0" w:right="0" w:rightChars="0" w:firstLine="643" w:firstLineChars="200"/>
        <w:jc w:val="center"/>
        <w:rPr>
          <w:rFonts w:hint="eastAsia" w:ascii="宋体" w:hAnsi="宋体" w:cs="宋体"/>
          <w:b/>
          <w:color w:val="auto"/>
          <w:sz w:val="32"/>
          <w:highlight w:val="none"/>
        </w:rPr>
      </w:pPr>
    </w:p>
    <w:p w14:paraId="1A590D9D">
      <w:pPr>
        <w:pageBreakBefore w:val="0"/>
        <w:kinsoku/>
        <w:topLinePunct w:val="0"/>
        <w:bidi w:val="0"/>
        <w:spacing w:line="480" w:lineRule="exact"/>
        <w:ind w:left="0" w:leftChars="0" w:right="0" w:rightChars="0" w:firstLine="643" w:firstLineChars="200"/>
        <w:rPr>
          <w:rFonts w:hint="eastAsia" w:ascii="宋体" w:hAnsi="宋体" w:cs="宋体"/>
          <w:b/>
          <w:color w:val="auto"/>
          <w:sz w:val="32"/>
          <w:highlight w:val="none"/>
        </w:rPr>
      </w:pPr>
    </w:p>
    <w:p w14:paraId="410C4F69">
      <w:pPr>
        <w:pageBreakBefore w:val="0"/>
        <w:kinsoku/>
        <w:topLinePunct w:val="0"/>
        <w:bidi w:val="0"/>
        <w:spacing w:line="480" w:lineRule="exact"/>
        <w:ind w:right="0" w:rightChars="0"/>
        <w:rPr>
          <w:rFonts w:hint="eastAsia" w:ascii="宋体" w:hAnsi="宋体" w:cs="宋体"/>
          <w:b/>
          <w:color w:val="auto"/>
          <w:sz w:val="32"/>
          <w:highlight w:val="none"/>
        </w:rPr>
      </w:pPr>
    </w:p>
    <w:p w14:paraId="061B9694">
      <w:pPr>
        <w:pStyle w:val="6"/>
        <w:pageBreakBefore w:val="0"/>
        <w:kinsoku/>
        <w:topLinePunct w:val="0"/>
        <w:bidi w:val="0"/>
        <w:ind w:left="0" w:leftChars="0" w:right="0" w:rightChars="0" w:firstLine="643" w:firstLineChars="200"/>
        <w:rPr>
          <w:rFonts w:hint="eastAsia"/>
          <w:color w:val="auto"/>
          <w:szCs w:val="24"/>
          <w:highlight w:val="none"/>
        </w:rPr>
      </w:pPr>
    </w:p>
    <w:p w14:paraId="2F6F8788">
      <w:pPr>
        <w:pageBreakBefore w:val="0"/>
        <w:kinsoku/>
        <w:topLinePunct w:val="0"/>
        <w:bidi w:val="0"/>
        <w:spacing w:line="480" w:lineRule="exact"/>
        <w:ind w:left="0" w:leftChars="0" w:right="0" w:rightChars="0" w:firstLine="643" w:firstLineChars="200"/>
        <w:rPr>
          <w:rFonts w:hint="eastAsia" w:ascii="宋体" w:hAnsi="宋体" w:cs="宋体"/>
          <w:b/>
          <w:color w:val="auto"/>
          <w:sz w:val="32"/>
          <w:highlight w:val="none"/>
        </w:rPr>
      </w:pPr>
    </w:p>
    <w:p w14:paraId="09C92FAD">
      <w:pPr>
        <w:pageBreakBefore w:val="0"/>
        <w:kinsoku/>
        <w:topLinePunct w:val="0"/>
        <w:bidi w:val="0"/>
        <w:spacing w:line="800" w:lineRule="exact"/>
        <w:ind w:right="0" w:rightChars="0" w:firstLine="560" w:firstLineChars="200"/>
        <w:rPr>
          <w:rFonts w:hint="eastAsia" w:asciiTheme="majorEastAsia" w:hAnsiTheme="majorEastAsia" w:eastAsiaTheme="majorEastAsia" w:cstheme="majorEastAsia"/>
          <w:b w:val="0"/>
          <w:bCs/>
          <w:color w:val="auto"/>
          <w:sz w:val="28"/>
          <w:szCs w:val="28"/>
          <w:highlight w:val="none"/>
          <w:u w:val="single"/>
        </w:rPr>
      </w:pPr>
      <w:r>
        <w:rPr>
          <w:rFonts w:hint="eastAsia" w:asciiTheme="majorEastAsia" w:hAnsiTheme="majorEastAsia" w:eastAsiaTheme="majorEastAsia" w:cstheme="majorEastAsia"/>
          <w:b w:val="0"/>
          <w:bCs/>
          <w:color w:val="auto"/>
          <w:sz w:val="28"/>
          <w:szCs w:val="28"/>
          <w:highlight w:val="none"/>
        </w:rPr>
        <w:t xml:space="preserve">采  </w:t>
      </w:r>
      <w:r>
        <w:rPr>
          <w:rFonts w:hint="eastAsia" w:asciiTheme="majorEastAsia" w:hAnsiTheme="majorEastAsia" w:eastAsiaTheme="majorEastAsia" w:cstheme="majorEastAsia"/>
          <w:b w:val="0"/>
          <w:bCs/>
          <w:color w:val="auto"/>
          <w:sz w:val="28"/>
          <w:szCs w:val="28"/>
          <w:highlight w:val="none"/>
          <w:lang w:val="en-US" w:eastAsia="zh-CN"/>
        </w:rPr>
        <w:t xml:space="preserve"> </w:t>
      </w:r>
      <w:r>
        <w:rPr>
          <w:rFonts w:hint="eastAsia" w:asciiTheme="majorEastAsia" w:hAnsiTheme="majorEastAsia" w:eastAsiaTheme="majorEastAsia" w:cstheme="majorEastAsia"/>
          <w:b w:val="0"/>
          <w:bCs/>
          <w:color w:val="auto"/>
          <w:sz w:val="28"/>
          <w:szCs w:val="28"/>
          <w:highlight w:val="none"/>
        </w:rPr>
        <w:t xml:space="preserve">购 </w:t>
      </w:r>
      <w:r>
        <w:rPr>
          <w:rFonts w:hint="eastAsia" w:asciiTheme="majorEastAsia" w:hAnsiTheme="majorEastAsia" w:eastAsiaTheme="majorEastAsia" w:cstheme="majorEastAsia"/>
          <w:b w:val="0"/>
          <w:bCs/>
          <w:color w:val="auto"/>
          <w:sz w:val="28"/>
          <w:szCs w:val="28"/>
          <w:highlight w:val="none"/>
          <w:lang w:val="en-US" w:eastAsia="zh-CN"/>
        </w:rPr>
        <w:t xml:space="preserve"> </w:t>
      </w:r>
      <w:r>
        <w:rPr>
          <w:rFonts w:hint="eastAsia" w:asciiTheme="majorEastAsia" w:hAnsiTheme="majorEastAsia" w:eastAsiaTheme="majorEastAsia" w:cstheme="majorEastAsia"/>
          <w:b w:val="0"/>
          <w:bCs/>
          <w:color w:val="auto"/>
          <w:sz w:val="28"/>
          <w:szCs w:val="28"/>
          <w:highlight w:val="none"/>
        </w:rPr>
        <w:t>人 ：</w:t>
      </w:r>
      <w:r>
        <w:rPr>
          <w:rFonts w:hint="eastAsia" w:asciiTheme="majorEastAsia" w:hAnsiTheme="majorEastAsia" w:eastAsiaTheme="majorEastAsia" w:cstheme="majorEastAsia"/>
          <w:b w:val="0"/>
          <w:bCs/>
          <w:color w:val="auto"/>
          <w:sz w:val="28"/>
          <w:szCs w:val="28"/>
          <w:highlight w:val="none"/>
          <w:u w:val="single"/>
        </w:rPr>
        <w:t xml:space="preserve">  </w:t>
      </w:r>
      <w:r>
        <w:rPr>
          <w:rFonts w:hint="eastAsia" w:asciiTheme="majorEastAsia" w:hAnsiTheme="majorEastAsia" w:eastAsiaTheme="majorEastAsia" w:cstheme="majorEastAsia"/>
          <w:b w:val="0"/>
          <w:bCs/>
          <w:color w:val="auto"/>
          <w:sz w:val="28"/>
          <w:szCs w:val="28"/>
          <w:highlight w:val="none"/>
          <w:u w:val="single"/>
          <w:lang w:val="en-US" w:eastAsia="zh-CN"/>
        </w:rPr>
        <w:t xml:space="preserve">  滁州市人力资源和社会保障局</w:t>
      </w:r>
      <w:r>
        <w:rPr>
          <w:rFonts w:hint="eastAsia" w:asciiTheme="majorEastAsia" w:hAnsiTheme="majorEastAsia" w:eastAsiaTheme="majorEastAsia" w:cstheme="majorEastAsia"/>
          <w:b w:val="0"/>
          <w:bCs/>
          <w:color w:val="auto"/>
          <w:sz w:val="28"/>
          <w:szCs w:val="28"/>
          <w:highlight w:val="none"/>
          <w:u w:val="single"/>
        </w:rPr>
        <w:t xml:space="preserve"> </w:t>
      </w:r>
      <w:r>
        <w:rPr>
          <w:rFonts w:hint="eastAsia" w:asciiTheme="majorEastAsia" w:hAnsiTheme="majorEastAsia" w:eastAsiaTheme="majorEastAsia" w:cstheme="majorEastAsia"/>
          <w:b w:val="0"/>
          <w:bCs/>
          <w:color w:val="auto"/>
          <w:sz w:val="28"/>
          <w:szCs w:val="28"/>
          <w:highlight w:val="none"/>
          <w:u w:val="single"/>
          <w:lang w:val="en-US" w:eastAsia="zh-CN"/>
        </w:rPr>
        <w:t xml:space="preserve">  </w:t>
      </w:r>
      <w:r>
        <w:rPr>
          <w:rFonts w:hint="eastAsia" w:asciiTheme="majorEastAsia" w:hAnsiTheme="majorEastAsia" w:eastAsiaTheme="majorEastAsia" w:cstheme="majorEastAsia"/>
          <w:b w:val="0"/>
          <w:bCs/>
          <w:color w:val="auto"/>
          <w:sz w:val="28"/>
          <w:szCs w:val="28"/>
          <w:highlight w:val="none"/>
          <w:u w:val="single"/>
        </w:rPr>
        <w:t>（盖章）</w:t>
      </w:r>
    </w:p>
    <w:p w14:paraId="0073E898">
      <w:pPr>
        <w:pageBreakBefore w:val="0"/>
        <w:kinsoku/>
        <w:topLinePunct w:val="0"/>
        <w:bidi w:val="0"/>
        <w:spacing w:line="1000" w:lineRule="exact"/>
        <w:ind w:left="0" w:leftChars="0" w:right="0" w:rightChars="0" w:firstLine="560" w:firstLineChars="200"/>
        <w:jc w:val="left"/>
        <w:rPr>
          <w:rFonts w:hint="eastAsia" w:asciiTheme="majorEastAsia" w:hAnsiTheme="majorEastAsia" w:eastAsiaTheme="majorEastAsia" w:cstheme="majorEastAsia"/>
          <w:b w:val="0"/>
          <w:bCs/>
          <w:color w:val="auto"/>
          <w:sz w:val="28"/>
          <w:szCs w:val="28"/>
          <w:highlight w:val="none"/>
          <w:u w:val="thick"/>
        </w:rPr>
      </w:pPr>
      <w:r>
        <w:rPr>
          <w:rFonts w:hint="eastAsia" w:asciiTheme="majorEastAsia" w:hAnsiTheme="majorEastAsia" w:eastAsiaTheme="majorEastAsia" w:cstheme="majorEastAsia"/>
          <w:b w:val="0"/>
          <w:bCs/>
          <w:color w:val="auto"/>
          <w:sz w:val="28"/>
          <w:szCs w:val="28"/>
          <w:highlight w:val="none"/>
        </w:rPr>
        <w:t>采购代理机构：</w:t>
      </w:r>
      <w:r>
        <w:rPr>
          <w:rFonts w:hint="eastAsia" w:asciiTheme="majorEastAsia" w:hAnsiTheme="majorEastAsia" w:eastAsiaTheme="majorEastAsia" w:cstheme="majorEastAsia"/>
          <w:b w:val="0"/>
          <w:bCs/>
          <w:color w:val="auto"/>
          <w:sz w:val="28"/>
          <w:szCs w:val="28"/>
          <w:highlight w:val="none"/>
          <w:u w:val="single"/>
        </w:rPr>
        <w:t xml:space="preserve">  滁州市城投工程咨询管理有限公司 （盖章）</w:t>
      </w:r>
    </w:p>
    <w:p w14:paraId="1C29A03B">
      <w:pPr>
        <w:pageBreakBefore w:val="0"/>
        <w:kinsoku/>
        <w:topLinePunct w:val="0"/>
        <w:bidi w:val="0"/>
        <w:spacing w:line="560" w:lineRule="exact"/>
        <w:ind w:left="0" w:leftChars="0" w:right="0" w:rightChars="0" w:firstLine="480" w:firstLineChars="200"/>
        <w:rPr>
          <w:rFonts w:hint="eastAsia" w:asciiTheme="majorEastAsia" w:hAnsiTheme="majorEastAsia" w:eastAsiaTheme="majorEastAsia" w:cstheme="majorEastAsia"/>
          <w:b w:val="0"/>
          <w:bCs/>
          <w:color w:val="auto"/>
          <w:spacing w:val="-20"/>
          <w:sz w:val="28"/>
          <w:szCs w:val="28"/>
          <w:highlight w:val="none"/>
          <w:u w:val="thick"/>
        </w:rPr>
      </w:pPr>
    </w:p>
    <w:p w14:paraId="27055920">
      <w:pPr>
        <w:pageBreakBefore w:val="0"/>
        <w:kinsoku/>
        <w:topLinePunct w:val="0"/>
        <w:bidi w:val="0"/>
        <w:spacing w:line="560" w:lineRule="exact"/>
        <w:ind w:left="0" w:leftChars="0" w:right="0" w:rightChars="0" w:firstLine="480" w:firstLineChars="200"/>
        <w:rPr>
          <w:rFonts w:hint="eastAsia" w:asciiTheme="majorEastAsia" w:hAnsiTheme="majorEastAsia" w:eastAsiaTheme="majorEastAsia" w:cstheme="majorEastAsia"/>
          <w:b/>
          <w:color w:val="auto"/>
          <w:spacing w:val="20"/>
          <w:sz w:val="28"/>
          <w:szCs w:val="28"/>
          <w:highlight w:val="none"/>
          <w:u w:val="single"/>
        </w:rPr>
      </w:pPr>
      <w:r>
        <w:rPr>
          <w:rFonts w:hint="eastAsia" w:asciiTheme="majorEastAsia" w:hAnsiTheme="majorEastAsia" w:eastAsiaTheme="majorEastAsia" w:cstheme="majorEastAsia"/>
          <w:b w:val="0"/>
          <w:bCs/>
          <w:color w:val="auto"/>
          <w:spacing w:val="-20"/>
          <w:sz w:val="28"/>
          <w:szCs w:val="28"/>
          <w:highlight w:val="none"/>
        </w:rPr>
        <w:t xml:space="preserve"> 发 布 日 期</w:t>
      </w:r>
      <w:r>
        <w:rPr>
          <w:rFonts w:hint="eastAsia" w:asciiTheme="majorEastAsia" w:hAnsiTheme="majorEastAsia" w:eastAsiaTheme="majorEastAsia" w:cstheme="majorEastAsia"/>
          <w:b w:val="0"/>
          <w:bCs/>
          <w:color w:val="auto"/>
          <w:spacing w:val="-20"/>
          <w:sz w:val="28"/>
          <w:szCs w:val="28"/>
          <w:highlight w:val="none"/>
          <w:lang w:val="en-US" w:eastAsia="zh-CN"/>
        </w:rPr>
        <w:t xml:space="preserve">   </w:t>
      </w:r>
      <w:r>
        <w:rPr>
          <w:rFonts w:hint="eastAsia" w:asciiTheme="majorEastAsia" w:hAnsiTheme="majorEastAsia" w:eastAsiaTheme="majorEastAsia" w:cstheme="majorEastAsia"/>
          <w:b w:val="0"/>
          <w:bCs/>
          <w:color w:val="auto"/>
          <w:spacing w:val="-20"/>
          <w:sz w:val="28"/>
          <w:szCs w:val="28"/>
          <w:highlight w:val="none"/>
        </w:rPr>
        <w:t>：</w:t>
      </w:r>
      <w:r>
        <w:rPr>
          <w:rFonts w:hint="eastAsia" w:asciiTheme="majorEastAsia" w:hAnsiTheme="majorEastAsia" w:eastAsiaTheme="majorEastAsia" w:cstheme="majorEastAsia"/>
          <w:b w:val="0"/>
          <w:bCs/>
          <w:color w:val="auto"/>
          <w:sz w:val="28"/>
          <w:szCs w:val="28"/>
          <w:highlight w:val="none"/>
          <w:u w:val="single"/>
        </w:rPr>
        <w:t xml:space="preserve">        </w:t>
      </w:r>
      <w:r>
        <w:rPr>
          <w:rFonts w:hint="eastAsia" w:asciiTheme="majorEastAsia" w:hAnsiTheme="majorEastAsia" w:eastAsiaTheme="majorEastAsia" w:cstheme="majorEastAsia"/>
          <w:b w:val="0"/>
          <w:bCs/>
          <w:color w:val="auto"/>
          <w:sz w:val="28"/>
          <w:szCs w:val="28"/>
          <w:highlight w:val="none"/>
          <w:u w:val="single"/>
          <w:lang w:val="en-US" w:eastAsia="zh-CN"/>
        </w:rPr>
        <w:t xml:space="preserve">   </w:t>
      </w:r>
      <w:r>
        <w:rPr>
          <w:rFonts w:hint="eastAsia" w:asciiTheme="majorEastAsia" w:hAnsiTheme="majorEastAsia" w:eastAsiaTheme="majorEastAsia" w:cstheme="majorEastAsia"/>
          <w:b w:val="0"/>
          <w:bCs/>
          <w:color w:val="auto"/>
          <w:sz w:val="28"/>
          <w:szCs w:val="28"/>
          <w:highlight w:val="none"/>
          <w:u w:val="single"/>
        </w:rPr>
        <w:t xml:space="preserve"> 202</w:t>
      </w:r>
      <w:r>
        <w:rPr>
          <w:rFonts w:hint="eastAsia" w:asciiTheme="majorEastAsia" w:hAnsiTheme="majorEastAsia" w:eastAsiaTheme="majorEastAsia" w:cstheme="majorEastAsia"/>
          <w:b w:val="0"/>
          <w:bCs/>
          <w:color w:val="auto"/>
          <w:sz w:val="28"/>
          <w:szCs w:val="28"/>
          <w:highlight w:val="none"/>
          <w:u w:val="single"/>
          <w:lang w:val="en-US" w:eastAsia="zh-CN"/>
        </w:rPr>
        <w:t>6</w:t>
      </w:r>
      <w:r>
        <w:rPr>
          <w:rFonts w:hint="eastAsia" w:asciiTheme="majorEastAsia" w:hAnsiTheme="majorEastAsia" w:eastAsiaTheme="majorEastAsia" w:cstheme="majorEastAsia"/>
          <w:b w:val="0"/>
          <w:bCs/>
          <w:color w:val="auto"/>
          <w:sz w:val="28"/>
          <w:szCs w:val="28"/>
          <w:highlight w:val="none"/>
          <w:u w:val="single"/>
        </w:rPr>
        <w:t>年</w:t>
      </w:r>
      <w:r>
        <w:rPr>
          <w:rFonts w:hint="eastAsia" w:asciiTheme="majorEastAsia" w:hAnsiTheme="majorEastAsia" w:eastAsiaTheme="majorEastAsia" w:cstheme="majorEastAsia"/>
          <w:b w:val="0"/>
          <w:bCs/>
          <w:color w:val="auto"/>
          <w:sz w:val="28"/>
          <w:szCs w:val="28"/>
          <w:highlight w:val="none"/>
          <w:u w:val="single"/>
          <w:lang w:val="en-US" w:eastAsia="zh-CN"/>
        </w:rPr>
        <w:t>9</w:t>
      </w:r>
      <w:r>
        <w:rPr>
          <w:rFonts w:hint="eastAsia" w:asciiTheme="majorEastAsia" w:hAnsiTheme="majorEastAsia" w:eastAsiaTheme="majorEastAsia" w:cstheme="majorEastAsia"/>
          <w:b w:val="0"/>
          <w:bCs/>
          <w:color w:val="auto"/>
          <w:sz w:val="28"/>
          <w:szCs w:val="28"/>
          <w:highlight w:val="none"/>
          <w:u w:val="single"/>
        </w:rPr>
        <w:t xml:space="preserve">月                 </w:t>
      </w:r>
      <w:r>
        <w:rPr>
          <w:rFonts w:hint="eastAsia" w:asciiTheme="majorEastAsia" w:hAnsiTheme="majorEastAsia" w:eastAsiaTheme="majorEastAsia" w:cstheme="majorEastAsia"/>
          <w:b/>
          <w:color w:val="auto"/>
          <w:spacing w:val="-20"/>
          <w:sz w:val="28"/>
          <w:szCs w:val="28"/>
          <w:highlight w:val="none"/>
          <w:u w:val="single"/>
        </w:rPr>
        <w:t xml:space="preserve"> </w:t>
      </w:r>
    </w:p>
    <w:p w14:paraId="29C5263B">
      <w:pPr>
        <w:pStyle w:val="28"/>
        <w:pageBreakBefore w:val="0"/>
        <w:kinsoku/>
        <w:topLinePunct w:val="0"/>
        <w:bidi w:val="0"/>
        <w:ind w:left="0" w:leftChars="0" w:right="0" w:rightChars="0" w:firstLine="560" w:firstLineChars="200"/>
        <w:rPr>
          <w:rFonts w:hint="eastAsia" w:asciiTheme="majorEastAsia" w:hAnsiTheme="majorEastAsia" w:eastAsiaTheme="majorEastAsia" w:cstheme="majorEastAsia"/>
          <w:color w:val="auto"/>
          <w:sz w:val="28"/>
          <w:szCs w:val="28"/>
          <w:highlight w:val="none"/>
        </w:rPr>
      </w:pPr>
    </w:p>
    <w:p w14:paraId="7AC4B998">
      <w:pPr>
        <w:tabs>
          <w:tab w:val="left" w:pos="2410"/>
        </w:tabs>
        <w:autoSpaceDE w:val="0"/>
        <w:autoSpaceDN w:val="0"/>
        <w:adjustRightInd w:val="0"/>
        <w:snapToGrid w:val="0"/>
        <w:spacing w:line="360" w:lineRule="auto"/>
        <w:jc w:val="center"/>
        <w:rPr>
          <w:rFonts w:hint="eastAsia" w:ascii="宋体" w:hAnsi="宋体" w:eastAsia="宋体"/>
          <w:b/>
          <w:color w:val="auto"/>
          <w:sz w:val="28"/>
          <w:highlight w:val="none"/>
        </w:rPr>
      </w:pPr>
    </w:p>
    <w:p w14:paraId="2C7356CF">
      <w:pPr>
        <w:tabs>
          <w:tab w:val="left" w:pos="2410"/>
        </w:tabs>
        <w:autoSpaceDE w:val="0"/>
        <w:autoSpaceDN w:val="0"/>
        <w:adjustRightInd w:val="0"/>
        <w:snapToGrid w:val="0"/>
        <w:spacing w:line="360" w:lineRule="auto"/>
        <w:jc w:val="center"/>
        <w:rPr>
          <w:rFonts w:hint="eastAsia" w:ascii="宋体" w:hAnsi="宋体" w:eastAsia="宋体"/>
          <w:b/>
          <w:color w:val="auto"/>
          <w:sz w:val="28"/>
          <w:highlight w:val="none"/>
        </w:rPr>
      </w:pPr>
    </w:p>
    <w:p w14:paraId="459496B7">
      <w:pPr>
        <w:pStyle w:val="28"/>
        <w:rPr>
          <w:rFonts w:hint="eastAsia" w:ascii="宋体" w:hAnsi="宋体" w:eastAsia="宋体"/>
          <w:b/>
          <w:color w:val="auto"/>
          <w:sz w:val="28"/>
          <w:highlight w:val="none"/>
        </w:rPr>
      </w:pPr>
    </w:p>
    <w:p w14:paraId="64F6EBCB">
      <w:pPr>
        <w:rPr>
          <w:rFonts w:hint="eastAsia"/>
          <w:color w:val="auto"/>
          <w:highlight w:val="none"/>
        </w:rPr>
      </w:pPr>
    </w:p>
    <w:p w14:paraId="558A60A1">
      <w:pPr>
        <w:rPr>
          <w:rFonts w:hint="eastAsia"/>
          <w:color w:val="auto"/>
          <w:highlight w:val="none"/>
        </w:rPr>
      </w:pPr>
    </w:p>
    <w:p w14:paraId="1DA538E9">
      <w:pPr>
        <w:tabs>
          <w:tab w:val="left" w:pos="2410"/>
        </w:tabs>
        <w:autoSpaceDE w:val="0"/>
        <w:autoSpaceDN w:val="0"/>
        <w:adjustRightInd w:val="0"/>
        <w:snapToGrid w:val="0"/>
        <w:spacing w:line="360" w:lineRule="auto"/>
        <w:jc w:val="center"/>
        <w:rPr>
          <w:rFonts w:hint="eastAsia" w:ascii="宋体" w:hAnsi="宋体" w:eastAsia="宋体"/>
          <w:b/>
          <w:color w:val="auto"/>
          <w:sz w:val="28"/>
          <w:highlight w:val="none"/>
        </w:rPr>
      </w:pPr>
      <w:r>
        <w:rPr>
          <w:rFonts w:hint="eastAsia" w:ascii="宋体" w:hAnsi="宋体" w:eastAsia="宋体"/>
          <w:b/>
          <w:color w:val="auto"/>
          <w:sz w:val="28"/>
          <w:highlight w:val="none"/>
        </w:rPr>
        <w:t>目  录</w:t>
      </w:r>
    </w:p>
    <w:p w14:paraId="4B147BED">
      <w:pPr>
        <w:pStyle w:val="2"/>
        <w:rPr>
          <w:rFonts w:hint="eastAsia" w:ascii="宋体" w:hAnsi="宋体" w:eastAsia="宋体"/>
          <w:b/>
          <w:color w:val="auto"/>
          <w:sz w:val="28"/>
          <w:highlight w:val="none"/>
        </w:rPr>
      </w:pPr>
    </w:p>
    <w:p w14:paraId="61D130AA">
      <w:pPr>
        <w:pStyle w:val="2"/>
        <w:rPr>
          <w:rFonts w:hint="eastAsia" w:ascii="宋体" w:hAnsi="宋体" w:eastAsia="宋体"/>
          <w:b/>
          <w:color w:val="auto"/>
          <w:sz w:val="28"/>
          <w:highlight w:val="none"/>
        </w:rPr>
      </w:pPr>
    </w:p>
    <w:p w14:paraId="69DE8FD2">
      <w:pPr>
        <w:pStyle w:val="22"/>
        <w:keepNext w:val="0"/>
        <w:keepLines w:val="0"/>
        <w:pageBreakBefore w:val="0"/>
        <w:widowControl/>
        <w:tabs>
          <w:tab w:val="right" w:leader="dot" w:pos="8279"/>
        </w:tabs>
        <w:kinsoku/>
        <w:wordWrap/>
        <w:overflowPunct/>
        <w:topLinePunct w:val="0"/>
        <w:autoSpaceDE/>
        <w:autoSpaceDN/>
        <w:bidi w:val="0"/>
        <w:adjustRightInd/>
        <w:snapToGrid/>
        <w:spacing w:after="0" w:line="700" w:lineRule="exact"/>
        <w:textAlignment w:val="auto"/>
        <w:rPr>
          <w:rFonts w:hint="eastAsia" w:ascii="宋体" w:hAnsi="宋体" w:eastAsia="宋体" w:cs="宋体"/>
          <w:color w:val="auto"/>
          <w:highlight w:val="none"/>
        </w:rPr>
      </w:pPr>
      <w:r>
        <w:rPr>
          <w:rFonts w:hint="eastAsia" w:ascii="宋体" w:hAnsi="宋体" w:eastAsia="宋体" w:cs="宋体"/>
          <w:b/>
          <w:bCs/>
          <w:color w:val="auto"/>
          <w:sz w:val="24"/>
          <w:szCs w:val="24"/>
          <w:highlight w:val="none"/>
        </w:rPr>
        <w:fldChar w:fldCharType="begin"/>
      </w:r>
      <w:r>
        <w:rPr>
          <w:rFonts w:hint="eastAsia" w:ascii="宋体" w:hAnsi="宋体" w:eastAsia="宋体" w:cs="宋体"/>
          <w:b/>
          <w:bCs/>
          <w:color w:val="auto"/>
          <w:sz w:val="24"/>
          <w:szCs w:val="24"/>
          <w:highlight w:val="none"/>
        </w:rPr>
        <w:instrText xml:space="preserve"> TOC \o "1-2" \h \z \u </w:instrText>
      </w:r>
      <w:r>
        <w:rPr>
          <w:rFonts w:hint="eastAsia" w:ascii="宋体" w:hAnsi="宋体" w:eastAsia="宋体" w:cs="宋体"/>
          <w:b/>
          <w:bCs/>
          <w:color w:val="auto"/>
          <w:sz w:val="24"/>
          <w:szCs w:val="24"/>
          <w:highlight w:val="none"/>
        </w:rPr>
        <w:fldChar w:fldCharType="separate"/>
      </w:r>
      <w:r>
        <w:rPr>
          <w:rFonts w:hint="eastAsia" w:ascii="宋体" w:hAnsi="宋体" w:eastAsia="宋体" w:cs="宋体"/>
          <w:bCs/>
          <w:color w:val="auto"/>
          <w:szCs w:val="24"/>
          <w:highlight w:val="none"/>
        </w:rPr>
        <w:fldChar w:fldCharType="begin"/>
      </w:r>
      <w:r>
        <w:rPr>
          <w:rFonts w:hint="eastAsia" w:ascii="宋体" w:hAnsi="宋体" w:eastAsia="宋体" w:cs="宋体"/>
          <w:bCs/>
          <w:color w:val="auto"/>
          <w:szCs w:val="24"/>
          <w:highlight w:val="none"/>
        </w:rPr>
        <w:instrText xml:space="preserve"> HYPERLINK \l _Toc21914 </w:instrText>
      </w:r>
      <w:r>
        <w:rPr>
          <w:rFonts w:hint="eastAsia" w:ascii="宋体" w:hAnsi="宋体" w:eastAsia="宋体" w:cs="宋体"/>
          <w:bCs/>
          <w:color w:val="auto"/>
          <w:szCs w:val="24"/>
          <w:highlight w:val="none"/>
        </w:rPr>
        <w:fldChar w:fldCharType="separate"/>
      </w:r>
      <w:r>
        <w:rPr>
          <w:rFonts w:hint="eastAsia" w:ascii="宋体" w:hAnsi="宋体" w:eastAsia="宋体" w:cs="宋体"/>
          <w:color w:val="auto"/>
          <w:highlight w:val="none"/>
        </w:rPr>
        <w:t>第一章  谈判邀请</w:t>
      </w:r>
      <w:r>
        <w:rPr>
          <w:rFonts w:hint="eastAsia" w:ascii="宋体" w:hAnsi="宋体" w:eastAsia="宋体" w:cs="宋体"/>
          <w:color w:val="auto"/>
          <w:highlight w:val="none"/>
        </w:rPr>
        <w:tab/>
      </w:r>
      <w:r>
        <w:rPr>
          <w:rFonts w:hint="eastAsia" w:ascii="宋体" w:hAnsi="宋体" w:eastAsia="宋体" w:cs="宋体"/>
          <w:color w:val="auto"/>
          <w:highlight w:val="none"/>
          <w:lang w:val="en-US" w:eastAsia="zh-CN"/>
        </w:rPr>
        <w:t>3</w:t>
      </w:r>
      <w:r>
        <w:rPr>
          <w:rFonts w:hint="eastAsia" w:ascii="宋体" w:hAnsi="宋体" w:eastAsia="宋体" w:cs="宋体"/>
          <w:bCs/>
          <w:color w:val="auto"/>
          <w:szCs w:val="24"/>
          <w:highlight w:val="none"/>
        </w:rPr>
        <w:fldChar w:fldCharType="end"/>
      </w:r>
    </w:p>
    <w:p w14:paraId="1F0A2F4E">
      <w:pPr>
        <w:pStyle w:val="22"/>
        <w:keepNext w:val="0"/>
        <w:keepLines w:val="0"/>
        <w:pageBreakBefore w:val="0"/>
        <w:widowControl/>
        <w:tabs>
          <w:tab w:val="right" w:leader="dot" w:pos="8279"/>
        </w:tabs>
        <w:kinsoku/>
        <w:wordWrap/>
        <w:overflowPunct/>
        <w:topLinePunct w:val="0"/>
        <w:autoSpaceDE/>
        <w:autoSpaceDN/>
        <w:bidi w:val="0"/>
        <w:adjustRightInd/>
        <w:snapToGrid/>
        <w:spacing w:after="0" w:line="700" w:lineRule="exact"/>
        <w:textAlignment w:val="auto"/>
        <w:rPr>
          <w:rFonts w:hint="eastAsia" w:ascii="宋体" w:hAnsi="宋体" w:eastAsia="宋体" w:cs="宋体"/>
          <w:color w:val="auto"/>
          <w:highlight w:val="none"/>
        </w:rPr>
      </w:pPr>
      <w:r>
        <w:rPr>
          <w:rFonts w:hint="eastAsia" w:ascii="宋体" w:hAnsi="宋体" w:eastAsia="宋体" w:cs="宋体"/>
          <w:bCs/>
          <w:color w:val="auto"/>
          <w:szCs w:val="24"/>
          <w:highlight w:val="none"/>
        </w:rPr>
        <w:fldChar w:fldCharType="begin"/>
      </w:r>
      <w:r>
        <w:rPr>
          <w:rFonts w:hint="eastAsia" w:ascii="宋体" w:hAnsi="宋体" w:eastAsia="宋体" w:cs="宋体"/>
          <w:bCs/>
          <w:color w:val="auto"/>
          <w:szCs w:val="24"/>
          <w:highlight w:val="none"/>
        </w:rPr>
        <w:instrText xml:space="preserve"> HYPERLINK \l _Toc5721 </w:instrText>
      </w:r>
      <w:r>
        <w:rPr>
          <w:rFonts w:hint="eastAsia" w:ascii="宋体" w:hAnsi="宋体" w:eastAsia="宋体" w:cs="宋体"/>
          <w:bCs/>
          <w:color w:val="auto"/>
          <w:szCs w:val="24"/>
          <w:highlight w:val="none"/>
        </w:rPr>
        <w:fldChar w:fldCharType="separate"/>
      </w:r>
      <w:r>
        <w:rPr>
          <w:rFonts w:hint="eastAsia" w:ascii="宋体" w:hAnsi="宋体" w:eastAsia="宋体" w:cs="宋体"/>
          <w:color w:val="auto"/>
          <w:highlight w:val="none"/>
        </w:rPr>
        <w:t>第二章  供应商须知</w:t>
      </w:r>
      <w:r>
        <w:rPr>
          <w:rFonts w:hint="eastAsia" w:ascii="宋体" w:hAnsi="宋体" w:eastAsia="宋体" w:cs="宋体"/>
          <w:color w:val="auto"/>
          <w:highlight w:val="none"/>
        </w:rPr>
        <w:tab/>
      </w:r>
      <w:r>
        <w:rPr>
          <w:rFonts w:hint="eastAsia" w:ascii="宋体" w:hAnsi="宋体" w:eastAsia="宋体" w:cs="宋体"/>
          <w:color w:val="auto"/>
          <w:highlight w:val="none"/>
          <w:lang w:val="en-US" w:eastAsia="zh-CN"/>
        </w:rPr>
        <w:t>8</w:t>
      </w:r>
      <w:r>
        <w:rPr>
          <w:rFonts w:hint="eastAsia" w:ascii="宋体" w:hAnsi="宋体" w:eastAsia="宋体" w:cs="宋体"/>
          <w:bCs/>
          <w:color w:val="auto"/>
          <w:szCs w:val="24"/>
          <w:highlight w:val="none"/>
        </w:rPr>
        <w:fldChar w:fldCharType="end"/>
      </w:r>
    </w:p>
    <w:p w14:paraId="625DD243">
      <w:pPr>
        <w:pStyle w:val="22"/>
        <w:keepNext w:val="0"/>
        <w:keepLines w:val="0"/>
        <w:pageBreakBefore w:val="0"/>
        <w:widowControl/>
        <w:tabs>
          <w:tab w:val="right" w:leader="dot" w:pos="8279"/>
        </w:tabs>
        <w:kinsoku/>
        <w:wordWrap/>
        <w:overflowPunct/>
        <w:topLinePunct w:val="0"/>
        <w:autoSpaceDE/>
        <w:autoSpaceDN/>
        <w:bidi w:val="0"/>
        <w:adjustRightInd/>
        <w:snapToGrid/>
        <w:spacing w:after="0" w:line="700" w:lineRule="exact"/>
        <w:textAlignment w:val="auto"/>
        <w:rPr>
          <w:rFonts w:hint="eastAsia" w:ascii="宋体" w:hAnsi="宋体" w:eastAsia="宋体" w:cs="宋体"/>
          <w:color w:val="auto"/>
          <w:highlight w:val="none"/>
        </w:rPr>
      </w:pPr>
      <w:r>
        <w:rPr>
          <w:rFonts w:hint="eastAsia" w:ascii="宋体" w:hAnsi="宋体" w:eastAsia="宋体" w:cs="宋体"/>
          <w:bCs/>
          <w:color w:val="auto"/>
          <w:szCs w:val="24"/>
          <w:highlight w:val="none"/>
        </w:rPr>
        <w:fldChar w:fldCharType="begin"/>
      </w:r>
      <w:r>
        <w:rPr>
          <w:rFonts w:hint="eastAsia" w:ascii="宋体" w:hAnsi="宋体" w:eastAsia="宋体" w:cs="宋体"/>
          <w:bCs/>
          <w:color w:val="auto"/>
          <w:szCs w:val="24"/>
          <w:highlight w:val="none"/>
        </w:rPr>
        <w:instrText xml:space="preserve"> HYPERLINK \l _Toc12846 </w:instrText>
      </w:r>
      <w:r>
        <w:rPr>
          <w:rFonts w:hint="eastAsia" w:ascii="宋体" w:hAnsi="宋体" w:eastAsia="宋体" w:cs="宋体"/>
          <w:bCs/>
          <w:color w:val="auto"/>
          <w:szCs w:val="24"/>
          <w:highlight w:val="none"/>
        </w:rPr>
        <w:fldChar w:fldCharType="separate"/>
      </w:r>
      <w:r>
        <w:rPr>
          <w:rFonts w:hint="eastAsia" w:ascii="宋体" w:hAnsi="宋体" w:eastAsia="宋体" w:cs="宋体"/>
          <w:color w:val="auto"/>
          <w:highlight w:val="none"/>
        </w:rPr>
        <w:t>第三章  采购需求</w:t>
      </w:r>
      <w:r>
        <w:rPr>
          <w:rFonts w:hint="eastAsia" w:ascii="宋体" w:hAnsi="宋体" w:eastAsia="宋体" w:cs="宋体"/>
          <w:color w:val="auto"/>
          <w:highlight w:val="none"/>
        </w:rPr>
        <w:tab/>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PAGEREF _Toc12846 \h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lang w:val="en-US" w:eastAsia="zh-CN"/>
        </w:rPr>
        <w:t>18</w:t>
      </w:r>
      <w:r>
        <w:rPr>
          <w:rFonts w:hint="eastAsia" w:ascii="宋体" w:hAnsi="宋体" w:eastAsia="宋体" w:cs="宋体"/>
          <w:color w:val="auto"/>
          <w:highlight w:val="none"/>
        </w:rPr>
        <w:fldChar w:fldCharType="end"/>
      </w:r>
      <w:r>
        <w:rPr>
          <w:rFonts w:hint="eastAsia" w:ascii="宋体" w:hAnsi="宋体" w:eastAsia="宋体" w:cs="宋体"/>
          <w:bCs/>
          <w:color w:val="auto"/>
          <w:szCs w:val="24"/>
          <w:highlight w:val="none"/>
        </w:rPr>
        <w:fldChar w:fldCharType="end"/>
      </w:r>
    </w:p>
    <w:p w14:paraId="6636BFD1">
      <w:pPr>
        <w:pStyle w:val="22"/>
        <w:keepNext w:val="0"/>
        <w:keepLines w:val="0"/>
        <w:pageBreakBefore w:val="0"/>
        <w:widowControl/>
        <w:tabs>
          <w:tab w:val="right" w:leader="dot" w:pos="8279"/>
        </w:tabs>
        <w:kinsoku/>
        <w:wordWrap/>
        <w:overflowPunct/>
        <w:topLinePunct w:val="0"/>
        <w:autoSpaceDE/>
        <w:autoSpaceDN/>
        <w:bidi w:val="0"/>
        <w:adjustRightInd/>
        <w:snapToGrid/>
        <w:spacing w:after="0" w:line="700" w:lineRule="exact"/>
        <w:textAlignment w:val="auto"/>
        <w:rPr>
          <w:rFonts w:hint="eastAsia" w:ascii="宋体" w:hAnsi="宋体" w:eastAsia="宋体" w:cs="宋体"/>
          <w:color w:val="auto"/>
          <w:highlight w:val="none"/>
          <w:lang w:val="en-US" w:eastAsia="zh-CN"/>
        </w:rPr>
      </w:pPr>
      <w:r>
        <w:rPr>
          <w:rFonts w:hint="eastAsia" w:ascii="宋体" w:hAnsi="宋体" w:eastAsia="宋体" w:cs="宋体"/>
          <w:bCs/>
          <w:color w:val="auto"/>
          <w:szCs w:val="24"/>
          <w:highlight w:val="none"/>
        </w:rPr>
        <w:fldChar w:fldCharType="begin"/>
      </w:r>
      <w:r>
        <w:rPr>
          <w:rFonts w:hint="eastAsia" w:ascii="宋体" w:hAnsi="宋体" w:eastAsia="宋体" w:cs="宋体"/>
          <w:bCs/>
          <w:color w:val="auto"/>
          <w:szCs w:val="24"/>
          <w:highlight w:val="none"/>
        </w:rPr>
        <w:instrText xml:space="preserve"> HYPERLINK \l _Toc23236 </w:instrText>
      </w:r>
      <w:r>
        <w:rPr>
          <w:rFonts w:hint="eastAsia" w:ascii="宋体" w:hAnsi="宋体" w:eastAsia="宋体" w:cs="宋体"/>
          <w:bCs/>
          <w:color w:val="auto"/>
          <w:szCs w:val="24"/>
          <w:highlight w:val="none"/>
        </w:rPr>
        <w:fldChar w:fldCharType="separate"/>
      </w:r>
      <w:r>
        <w:rPr>
          <w:rFonts w:hint="eastAsia" w:ascii="宋体" w:hAnsi="宋体" w:eastAsia="宋体" w:cs="宋体"/>
          <w:color w:val="auto"/>
          <w:highlight w:val="none"/>
        </w:rPr>
        <w:t>第四章  评审方法和标准</w:t>
      </w:r>
      <w:r>
        <w:rPr>
          <w:rFonts w:hint="eastAsia" w:ascii="宋体" w:hAnsi="宋体" w:eastAsia="宋体" w:cs="宋体"/>
          <w:color w:val="auto"/>
          <w:highlight w:val="none"/>
        </w:rPr>
        <w:tab/>
      </w:r>
      <w:r>
        <w:rPr>
          <w:rFonts w:hint="eastAsia" w:ascii="宋体" w:hAnsi="宋体" w:eastAsia="宋体" w:cs="宋体"/>
          <w:color w:val="auto"/>
          <w:highlight w:val="none"/>
          <w:lang w:val="en-US" w:eastAsia="zh-CN"/>
        </w:rPr>
        <w:t>2</w:t>
      </w:r>
      <w:r>
        <w:rPr>
          <w:rFonts w:hint="eastAsia" w:ascii="宋体" w:hAnsi="宋体" w:eastAsia="宋体" w:cs="宋体"/>
          <w:bCs/>
          <w:color w:val="auto"/>
          <w:szCs w:val="24"/>
          <w:highlight w:val="none"/>
        </w:rPr>
        <w:fldChar w:fldCharType="end"/>
      </w:r>
      <w:r>
        <w:rPr>
          <w:rFonts w:hint="eastAsia" w:ascii="宋体" w:hAnsi="宋体" w:eastAsia="宋体" w:cs="宋体"/>
          <w:bCs/>
          <w:color w:val="auto"/>
          <w:szCs w:val="24"/>
          <w:highlight w:val="none"/>
          <w:lang w:val="en-US" w:eastAsia="zh-CN"/>
        </w:rPr>
        <w:t>0</w:t>
      </w:r>
    </w:p>
    <w:p w14:paraId="3A07B96F">
      <w:pPr>
        <w:pStyle w:val="22"/>
        <w:keepNext w:val="0"/>
        <w:keepLines w:val="0"/>
        <w:pageBreakBefore w:val="0"/>
        <w:widowControl/>
        <w:tabs>
          <w:tab w:val="right" w:leader="dot" w:pos="8279"/>
        </w:tabs>
        <w:kinsoku/>
        <w:wordWrap/>
        <w:overflowPunct/>
        <w:topLinePunct w:val="0"/>
        <w:autoSpaceDE/>
        <w:autoSpaceDN/>
        <w:bidi w:val="0"/>
        <w:adjustRightInd/>
        <w:snapToGrid/>
        <w:spacing w:after="0" w:line="700" w:lineRule="exact"/>
        <w:textAlignment w:val="auto"/>
        <w:rPr>
          <w:rFonts w:hint="eastAsia" w:ascii="宋体" w:hAnsi="宋体" w:eastAsia="宋体" w:cs="宋体"/>
          <w:color w:val="auto"/>
          <w:highlight w:val="none"/>
          <w:lang w:val="en-US" w:eastAsia="zh-CN"/>
        </w:rPr>
      </w:pPr>
      <w:r>
        <w:rPr>
          <w:rFonts w:hint="eastAsia" w:ascii="宋体" w:hAnsi="宋体" w:eastAsia="宋体" w:cs="宋体"/>
          <w:bCs/>
          <w:color w:val="auto"/>
          <w:szCs w:val="24"/>
          <w:highlight w:val="none"/>
        </w:rPr>
        <w:fldChar w:fldCharType="begin"/>
      </w:r>
      <w:r>
        <w:rPr>
          <w:rFonts w:hint="eastAsia" w:ascii="宋体" w:hAnsi="宋体" w:eastAsia="宋体" w:cs="宋体"/>
          <w:bCs/>
          <w:color w:val="auto"/>
          <w:szCs w:val="24"/>
          <w:highlight w:val="none"/>
        </w:rPr>
        <w:instrText xml:space="preserve"> HYPERLINK \l _Toc27310 </w:instrText>
      </w:r>
      <w:r>
        <w:rPr>
          <w:rFonts w:hint="eastAsia" w:ascii="宋体" w:hAnsi="宋体" w:eastAsia="宋体" w:cs="宋体"/>
          <w:bCs/>
          <w:color w:val="auto"/>
          <w:szCs w:val="24"/>
          <w:highlight w:val="none"/>
        </w:rPr>
        <w:fldChar w:fldCharType="separate"/>
      </w:r>
      <w:r>
        <w:rPr>
          <w:rFonts w:hint="eastAsia" w:ascii="宋体" w:hAnsi="宋体" w:eastAsia="宋体" w:cs="宋体"/>
          <w:color w:val="auto"/>
          <w:highlight w:val="none"/>
        </w:rPr>
        <w:t>第五章  政府采购合同</w:t>
      </w:r>
      <w:r>
        <w:rPr>
          <w:rFonts w:hint="eastAsia" w:ascii="宋体" w:hAnsi="宋体" w:eastAsia="宋体" w:cs="宋体"/>
          <w:color w:val="auto"/>
          <w:highlight w:val="none"/>
        </w:rPr>
        <w:tab/>
      </w:r>
      <w:r>
        <w:rPr>
          <w:rFonts w:hint="eastAsia" w:ascii="宋体" w:hAnsi="宋体" w:eastAsia="宋体" w:cs="宋体"/>
          <w:color w:val="auto"/>
          <w:highlight w:val="none"/>
          <w:lang w:val="en-US" w:eastAsia="zh-CN"/>
        </w:rPr>
        <w:t>2</w:t>
      </w:r>
      <w:r>
        <w:rPr>
          <w:rFonts w:hint="eastAsia" w:ascii="宋体" w:hAnsi="宋体" w:eastAsia="宋体" w:cs="宋体"/>
          <w:bCs/>
          <w:color w:val="auto"/>
          <w:szCs w:val="24"/>
          <w:highlight w:val="none"/>
        </w:rPr>
        <w:fldChar w:fldCharType="end"/>
      </w:r>
      <w:r>
        <w:rPr>
          <w:rFonts w:hint="eastAsia" w:ascii="宋体" w:hAnsi="宋体" w:eastAsia="宋体" w:cs="宋体"/>
          <w:bCs/>
          <w:color w:val="auto"/>
          <w:szCs w:val="24"/>
          <w:highlight w:val="none"/>
          <w:lang w:val="en-US" w:eastAsia="zh-CN"/>
        </w:rPr>
        <w:t>4</w:t>
      </w:r>
    </w:p>
    <w:p w14:paraId="4A5E42A8">
      <w:pPr>
        <w:pStyle w:val="22"/>
        <w:keepNext w:val="0"/>
        <w:keepLines w:val="0"/>
        <w:pageBreakBefore w:val="0"/>
        <w:widowControl/>
        <w:tabs>
          <w:tab w:val="right" w:leader="dot" w:pos="8279"/>
        </w:tabs>
        <w:kinsoku/>
        <w:wordWrap/>
        <w:overflowPunct/>
        <w:topLinePunct w:val="0"/>
        <w:autoSpaceDE/>
        <w:autoSpaceDN/>
        <w:bidi w:val="0"/>
        <w:adjustRightInd/>
        <w:snapToGrid/>
        <w:spacing w:after="0" w:line="700" w:lineRule="exact"/>
        <w:textAlignment w:val="auto"/>
        <w:rPr>
          <w:rFonts w:hint="eastAsia" w:ascii="宋体" w:hAnsi="宋体" w:eastAsia="宋体" w:cs="宋体"/>
          <w:color w:val="auto"/>
          <w:highlight w:val="none"/>
          <w:lang w:val="en-US" w:eastAsia="zh-CN"/>
        </w:rPr>
      </w:pPr>
      <w:r>
        <w:rPr>
          <w:rFonts w:hint="eastAsia" w:ascii="宋体" w:hAnsi="宋体" w:eastAsia="宋体" w:cs="宋体"/>
          <w:bCs/>
          <w:color w:val="auto"/>
          <w:szCs w:val="24"/>
          <w:highlight w:val="none"/>
        </w:rPr>
        <w:fldChar w:fldCharType="begin"/>
      </w:r>
      <w:r>
        <w:rPr>
          <w:rFonts w:hint="eastAsia" w:ascii="宋体" w:hAnsi="宋体" w:eastAsia="宋体" w:cs="宋体"/>
          <w:bCs/>
          <w:color w:val="auto"/>
          <w:szCs w:val="24"/>
          <w:highlight w:val="none"/>
        </w:rPr>
        <w:instrText xml:space="preserve"> HYPERLINK \l _Toc29374 </w:instrText>
      </w:r>
      <w:r>
        <w:rPr>
          <w:rFonts w:hint="eastAsia" w:ascii="宋体" w:hAnsi="宋体" w:eastAsia="宋体" w:cs="宋体"/>
          <w:bCs/>
          <w:color w:val="auto"/>
          <w:szCs w:val="24"/>
          <w:highlight w:val="none"/>
        </w:rPr>
        <w:fldChar w:fldCharType="separate"/>
      </w:r>
      <w:r>
        <w:rPr>
          <w:rFonts w:hint="eastAsia" w:ascii="宋体" w:hAnsi="宋体" w:eastAsia="宋体" w:cs="宋体"/>
          <w:color w:val="auto"/>
          <w:highlight w:val="none"/>
        </w:rPr>
        <w:t>第六章  响应文件格式</w:t>
      </w:r>
      <w:r>
        <w:rPr>
          <w:rFonts w:hint="eastAsia" w:ascii="宋体" w:hAnsi="宋体" w:eastAsia="宋体" w:cs="宋体"/>
          <w:color w:val="auto"/>
          <w:highlight w:val="none"/>
        </w:rPr>
        <w:tab/>
      </w:r>
      <w:r>
        <w:rPr>
          <w:rFonts w:hint="eastAsia" w:ascii="宋体" w:hAnsi="宋体" w:eastAsia="宋体" w:cs="宋体"/>
          <w:color w:val="auto"/>
          <w:highlight w:val="none"/>
          <w:lang w:val="en-US" w:eastAsia="zh-CN"/>
        </w:rPr>
        <w:t>3</w:t>
      </w:r>
      <w:r>
        <w:rPr>
          <w:rFonts w:hint="eastAsia" w:ascii="宋体" w:hAnsi="宋体" w:eastAsia="宋体" w:cs="宋体"/>
          <w:bCs/>
          <w:color w:val="auto"/>
          <w:szCs w:val="24"/>
          <w:highlight w:val="none"/>
        </w:rPr>
        <w:fldChar w:fldCharType="end"/>
      </w:r>
      <w:r>
        <w:rPr>
          <w:rFonts w:hint="eastAsia" w:ascii="宋体" w:hAnsi="宋体" w:eastAsia="宋体" w:cs="宋体"/>
          <w:bCs/>
          <w:color w:val="auto"/>
          <w:szCs w:val="24"/>
          <w:highlight w:val="none"/>
          <w:lang w:val="en-US" w:eastAsia="zh-CN"/>
        </w:rPr>
        <w:t>3</w:t>
      </w:r>
    </w:p>
    <w:p w14:paraId="1F3BF413">
      <w:pPr>
        <w:pStyle w:val="22"/>
        <w:keepNext w:val="0"/>
        <w:keepLines w:val="0"/>
        <w:pageBreakBefore w:val="0"/>
        <w:widowControl/>
        <w:tabs>
          <w:tab w:val="right" w:leader="dot" w:pos="8279"/>
        </w:tabs>
        <w:kinsoku/>
        <w:wordWrap/>
        <w:overflowPunct/>
        <w:topLinePunct w:val="0"/>
        <w:autoSpaceDE/>
        <w:autoSpaceDN/>
        <w:bidi w:val="0"/>
        <w:adjustRightInd/>
        <w:snapToGrid/>
        <w:spacing w:after="0" w:line="700" w:lineRule="exact"/>
        <w:textAlignment w:val="auto"/>
        <w:rPr>
          <w:rFonts w:hint="eastAsia" w:ascii="宋体" w:hAnsi="宋体" w:eastAsia="宋体" w:cs="宋体"/>
          <w:color w:val="auto"/>
          <w:highlight w:val="none"/>
          <w:lang w:val="en-US" w:eastAsia="zh-CN"/>
        </w:rPr>
      </w:pPr>
      <w:r>
        <w:rPr>
          <w:rFonts w:hint="eastAsia" w:ascii="宋体" w:hAnsi="宋体" w:eastAsia="宋体" w:cs="宋体"/>
          <w:bCs/>
          <w:color w:val="auto"/>
          <w:szCs w:val="24"/>
          <w:highlight w:val="none"/>
        </w:rPr>
        <w:fldChar w:fldCharType="begin"/>
      </w:r>
      <w:r>
        <w:rPr>
          <w:rFonts w:hint="eastAsia" w:ascii="宋体" w:hAnsi="宋体" w:eastAsia="宋体" w:cs="宋体"/>
          <w:bCs/>
          <w:color w:val="auto"/>
          <w:szCs w:val="24"/>
          <w:highlight w:val="none"/>
        </w:rPr>
        <w:instrText xml:space="preserve"> HYPERLINK \l _Toc19945 </w:instrText>
      </w:r>
      <w:r>
        <w:rPr>
          <w:rFonts w:hint="eastAsia" w:ascii="宋体" w:hAnsi="宋体" w:eastAsia="宋体" w:cs="宋体"/>
          <w:bCs/>
          <w:color w:val="auto"/>
          <w:szCs w:val="24"/>
          <w:highlight w:val="none"/>
        </w:rPr>
        <w:fldChar w:fldCharType="separate"/>
      </w:r>
      <w:r>
        <w:rPr>
          <w:rFonts w:hint="eastAsia" w:ascii="宋体" w:hAnsi="宋体" w:eastAsia="宋体" w:cs="宋体"/>
          <w:bCs/>
          <w:color w:val="auto"/>
          <w:highlight w:val="none"/>
        </w:rPr>
        <w:t>第</w:t>
      </w:r>
      <w:r>
        <w:rPr>
          <w:rFonts w:hint="eastAsia" w:ascii="宋体" w:hAnsi="宋体" w:eastAsia="宋体" w:cs="宋体"/>
          <w:bCs/>
          <w:color w:val="auto"/>
          <w:highlight w:val="none"/>
          <w:lang w:val="en-US" w:eastAsia="zh-CN"/>
        </w:rPr>
        <w:t>七</w:t>
      </w:r>
      <w:r>
        <w:rPr>
          <w:rFonts w:hint="eastAsia" w:ascii="宋体" w:hAnsi="宋体" w:eastAsia="宋体" w:cs="宋体"/>
          <w:bCs/>
          <w:color w:val="auto"/>
          <w:highlight w:val="none"/>
        </w:rPr>
        <w:t>章  政府采购</w:t>
      </w:r>
      <w:r>
        <w:rPr>
          <w:rFonts w:hint="eastAsia" w:ascii="宋体" w:hAnsi="宋体" w:eastAsia="宋体" w:cs="宋体"/>
          <w:color w:val="auto"/>
          <w:highlight w:val="none"/>
        </w:rPr>
        <w:t>供应</w:t>
      </w:r>
      <w:r>
        <w:rPr>
          <w:rFonts w:hint="eastAsia" w:ascii="宋体" w:hAnsi="宋体" w:eastAsia="宋体" w:cs="宋体"/>
          <w:bCs/>
          <w:color w:val="auto"/>
          <w:highlight w:val="none"/>
        </w:rPr>
        <w:t>商询问函和质疑函范本</w:t>
      </w:r>
      <w:r>
        <w:rPr>
          <w:rFonts w:hint="eastAsia" w:ascii="宋体" w:hAnsi="宋体" w:eastAsia="宋体" w:cs="宋体"/>
          <w:color w:val="auto"/>
          <w:highlight w:val="none"/>
        </w:rPr>
        <w:tab/>
      </w:r>
      <w:r>
        <w:rPr>
          <w:rFonts w:hint="eastAsia" w:ascii="宋体" w:hAnsi="宋体" w:eastAsia="宋体" w:cs="宋体"/>
          <w:color w:val="auto"/>
          <w:highlight w:val="none"/>
          <w:lang w:val="en-US" w:eastAsia="zh-CN"/>
        </w:rPr>
        <w:t>4</w:t>
      </w:r>
      <w:r>
        <w:rPr>
          <w:rFonts w:hint="eastAsia" w:ascii="宋体" w:hAnsi="宋体" w:eastAsia="宋体" w:cs="宋体"/>
          <w:bCs/>
          <w:color w:val="auto"/>
          <w:szCs w:val="24"/>
          <w:highlight w:val="none"/>
        </w:rPr>
        <w:fldChar w:fldCharType="end"/>
      </w:r>
      <w:r>
        <w:rPr>
          <w:rFonts w:hint="eastAsia" w:ascii="宋体" w:hAnsi="宋体" w:eastAsia="宋体" w:cs="宋体"/>
          <w:bCs/>
          <w:color w:val="auto"/>
          <w:szCs w:val="24"/>
          <w:highlight w:val="none"/>
          <w:lang w:val="en-US" w:eastAsia="zh-CN"/>
        </w:rPr>
        <w:t>4</w:t>
      </w:r>
    </w:p>
    <w:p w14:paraId="2BD706B4">
      <w:pPr>
        <w:pStyle w:val="23"/>
        <w:keepNext w:val="0"/>
        <w:keepLines w:val="0"/>
        <w:pageBreakBefore w:val="0"/>
        <w:widowControl/>
        <w:tabs>
          <w:tab w:val="right" w:leader="dot" w:pos="8296"/>
        </w:tabs>
        <w:kinsoku/>
        <w:wordWrap/>
        <w:overflowPunct/>
        <w:topLinePunct w:val="0"/>
        <w:autoSpaceDE/>
        <w:autoSpaceDN/>
        <w:bidi w:val="0"/>
        <w:adjustRightInd/>
        <w:snapToGrid/>
        <w:spacing w:after="0" w:line="700" w:lineRule="exact"/>
        <w:textAlignment w:val="auto"/>
        <w:rPr>
          <w:rFonts w:asciiTheme="minorEastAsia" w:hAnsiTheme="minorEastAsia"/>
          <w:b/>
          <w:color w:val="auto"/>
          <w:sz w:val="32"/>
          <w:highlight w:val="none"/>
        </w:rPr>
      </w:pPr>
      <w:r>
        <w:rPr>
          <w:rFonts w:hint="eastAsia" w:ascii="宋体" w:hAnsi="宋体" w:eastAsia="宋体" w:cs="宋体"/>
          <w:bCs/>
          <w:color w:val="auto"/>
          <w:szCs w:val="24"/>
          <w:highlight w:val="none"/>
        </w:rPr>
        <w:fldChar w:fldCharType="end"/>
      </w:r>
    </w:p>
    <w:p w14:paraId="62B83D16">
      <w:pPr>
        <w:spacing w:line="360" w:lineRule="auto"/>
        <w:jc w:val="center"/>
        <w:outlineLvl w:val="1"/>
        <w:rPr>
          <w:rFonts w:asciiTheme="minorEastAsia" w:hAnsiTheme="minorEastAsia" w:eastAsiaTheme="minorEastAsia"/>
          <w:b/>
          <w:color w:val="auto"/>
          <w:sz w:val="28"/>
          <w:highlight w:val="none"/>
        </w:rPr>
        <w:sectPr>
          <w:headerReference r:id="rId3" w:type="default"/>
          <w:footerReference r:id="rId4" w:type="default"/>
          <w:pgSz w:w="11905" w:h="16838"/>
          <w:pgMar w:top="1270" w:right="1417" w:bottom="1270" w:left="1417" w:header="851" w:footer="992" w:gutter="0"/>
          <w:cols w:space="0" w:num="1"/>
          <w:rtlGutter w:val="0"/>
          <w:docGrid w:type="lines" w:linePitch="318" w:charSpace="0"/>
        </w:sectPr>
      </w:pPr>
    </w:p>
    <w:p w14:paraId="78BF970C">
      <w:pPr>
        <w:spacing w:line="360" w:lineRule="auto"/>
        <w:jc w:val="center"/>
        <w:outlineLvl w:val="0"/>
        <w:rPr>
          <w:rFonts w:asciiTheme="minorEastAsia" w:hAnsiTheme="minorEastAsia" w:eastAsiaTheme="minorEastAsia"/>
          <w:b/>
          <w:color w:val="auto"/>
          <w:sz w:val="28"/>
          <w:highlight w:val="none"/>
        </w:rPr>
      </w:pPr>
      <w:bookmarkStart w:id="0" w:name="_Toc21914"/>
      <w:r>
        <w:rPr>
          <w:rFonts w:hint="eastAsia" w:asciiTheme="minorEastAsia" w:hAnsiTheme="minorEastAsia" w:eastAsiaTheme="minorEastAsia"/>
          <w:b/>
          <w:color w:val="auto"/>
          <w:sz w:val="28"/>
          <w:highlight w:val="none"/>
        </w:rPr>
        <w:t xml:space="preserve">第一章 </w:t>
      </w:r>
      <w:r>
        <w:rPr>
          <w:rFonts w:asciiTheme="minorEastAsia" w:hAnsiTheme="minorEastAsia" w:eastAsiaTheme="minorEastAsia"/>
          <w:b/>
          <w:color w:val="auto"/>
          <w:sz w:val="28"/>
          <w:highlight w:val="none"/>
        </w:rPr>
        <w:t xml:space="preserve"> </w:t>
      </w:r>
      <w:r>
        <w:rPr>
          <w:rFonts w:hint="eastAsia" w:asciiTheme="minorEastAsia" w:hAnsiTheme="minorEastAsia" w:eastAsiaTheme="minorEastAsia"/>
          <w:b/>
          <w:color w:val="auto"/>
          <w:sz w:val="28"/>
          <w:highlight w:val="none"/>
        </w:rPr>
        <w:t>谈判邀请</w:t>
      </w:r>
      <w:bookmarkEnd w:id="0"/>
    </w:p>
    <w:p w14:paraId="4DA47029">
      <w:pPr>
        <w:autoSpaceDE w:val="0"/>
        <w:autoSpaceDN w:val="0"/>
        <w:adjustRightInd w:val="0"/>
        <w:spacing w:line="480" w:lineRule="exact"/>
        <w:ind w:firstLine="439" w:firstLineChars="182"/>
        <w:jc w:val="left"/>
        <w:rPr>
          <w:rFonts w:ascii="宋体" w:hAnsi="宋体" w:eastAsia="宋体"/>
          <w:b/>
          <w:bCs/>
          <w:color w:val="auto"/>
          <w:sz w:val="24"/>
          <w:szCs w:val="18"/>
          <w:highlight w:val="none"/>
        </w:rPr>
      </w:pPr>
      <w:bookmarkStart w:id="1" w:name="_Toc7340"/>
      <w:bookmarkStart w:id="2" w:name="_Toc21967"/>
      <w:r>
        <w:rPr>
          <w:rFonts w:hint="eastAsia" w:ascii="宋体" w:hAnsi="宋体" w:eastAsia="宋体"/>
          <w:b/>
          <w:bCs/>
          <w:color w:val="auto"/>
          <w:sz w:val="24"/>
          <w:szCs w:val="18"/>
          <w:highlight w:val="none"/>
        </w:rPr>
        <w:t>项目概况</w:t>
      </w:r>
    </w:p>
    <w:p w14:paraId="35A61024">
      <w:pPr>
        <w:keepNext w:val="0"/>
        <w:keepLines w:val="0"/>
        <w:pageBreakBefore w:val="0"/>
        <w:widowControl w:val="0"/>
        <w:kinsoku/>
        <w:wordWrap w:val="0"/>
        <w:overflowPunct/>
        <w:topLinePunct w:val="0"/>
        <w:autoSpaceDE/>
        <w:autoSpaceDN/>
        <w:bidi w:val="0"/>
        <w:adjustRightInd/>
        <w:snapToGrid/>
        <w:spacing w:line="360" w:lineRule="auto"/>
        <w:ind w:firstLine="437"/>
        <w:textAlignment w:val="auto"/>
        <w:outlineLvl w:val="1"/>
        <w:rPr>
          <w:rFonts w:hint="eastAsia" w:ascii="宋体" w:hAnsi="宋体" w:eastAsia="宋体"/>
          <w:b/>
          <w:bCs/>
          <w:color w:val="auto"/>
          <w:sz w:val="24"/>
          <w:szCs w:val="18"/>
          <w:highlight w:val="none"/>
        </w:rPr>
      </w:pPr>
      <w:r>
        <w:rPr>
          <w:rFonts w:hint="eastAsia" w:ascii="宋体" w:hAnsi="宋体" w:eastAsia="宋体"/>
          <w:color w:val="auto"/>
          <w:sz w:val="24"/>
          <w:szCs w:val="18"/>
          <w:highlight w:val="none"/>
          <w:u w:val="single"/>
          <w:lang w:val="en-US" w:eastAsia="zh-CN"/>
        </w:rPr>
        <w:t>2026年滁州市就业创业政策及公共就业服务宣传项目（二次）</w:t>
      </w:r>
      <w:r>
        <w:rPr>
          <w:rFonts w:hint="eastAsia" w:ascii="宋体" w:hAnsi="宋体" w:eastAsia="宋体"/>
          <w:color w:val="auto"/>
          <w:sz w:val="24"/>
          <w:szCs w:val="18"/>
          <w:highlight w:val="none"/>
        </w:rPr>
        <w:t>的潜在供应商应在</w:t>
      </w:r>
      <w:r>
        <w:rPr>
          <w:rFonts w:hint="eastAsia" w:ascii="宋体" w:hAnsi="宋体" w:eastAsia="宋体"/>
          <w:color w:val="auto"/>
          <w:sz w:val="24"/>
          <w:szCs w:val="18"/>
          <w:highlight w:val="none"/>
          <w:u w:val="single"/>
          <w:lang w:val="en-US" w:eastAsia="zh-CN"/>
        </w:rPr>
        <w:t>滁州市城投工程咨询管理有限公司官网（https://www.czctgczx.com/）</w:t>
      </w:r>
      <w:r>
        <w:rPr>
          <w:rFonts w:hint="eastAsia" w:ascii="宋体" w:hAnsi="宋体" w:eastAsia="宋体"/>
          <w:color w:val="auto"/>
          <w:sz w:val="24"/>
          <w:szCs w:val="18"/>
          <w:highlight w:val="none"/>
        </w:rPr>
        <w:t>获取采购文件，并于202</w:t>
      </w:r>
      <w:r>
        <w:rPr>
          <w:rFonts w:hint="eastAsia" w:ascii="宋体" w:hAnsi="宋体" w:eastAsia="宋体"/>
          <w:color w:val="auto"/>
          <w:sz w:val="24"/>
          <w:szCs w:val="18"/>
          <w:highlight w:val="none"/>
          <w:lang w:val="en-US" w:eastAsia="zh-CN"/>
        </w:rPr>
        <w:t>6</w:t>
      </w:r>
      <w:r>
        <w:rPr>
          <w:rFonts w:hint="eastAsia" w:ascii="宋体" w:hAnsi="宋体" w:eastAsia="宋体"/>
          <w:color w:val="auto"/>
          <w:sz w:val="24"/>
          <w:szCs w:val="18"/>
          <w:highlight w:val="none"/>
        </w:rPr>
        <w:t>年</w:t>
      </w:r>
      <w:r>
        <w:rPr>
          <w:rFonts w:hint="eastAsia" w:ascii="宋体" w:hAnsi="宋体" w:eastAsia="宋体"/>
          <w:color w:val="auto"/>
          <w:sz w:val="24"/>
          <w:szCs w:val="18"/>
          <w:highlight w:val="none"/>
          <w:lang w:val="en-US" w:eastAsia="zh-CN"/>
        </w:rPr>
        <w:t>9</w:t>
      </w:r>
      <w:r>
        <w:rPr>
          <w:rFonts w:hint="eastAsia" w:ascii="宋体" w:hAnsi="宋体" w:eastAsia="宋体"/>
          <w:color w:val="auto"/>
          <w:sz w:val="24"/>
          <w:szCs w:val="18"/>
          <w:highlight w:val="none"/>
        </w:rPr>
        <w:t>月</w:t>
      </w:r>
      <w:r>
        <w:rPr>
          <w:rFonts w:hint="eastAsia" w:ascii="宋体" w:hAnsi="宋体" w:eastAsia="宋体"/>
          <w:color w:val="auto"/>
          <w:sz w:val="24"/>
          <w:szCs w:val="18"/>
          <w:highlight w:val="none"/>
          <w:lang w:val="en-US" w:eastAsia="zh-CN"/>
        </w:rPr>
        <w:t>8</w:t>
      </w:r>
      <w:r>
        <w:rPr>
          <w:rFonts w:hint="eastAsia" w:ascii="宋体" w:hAnsi="宋体" w:eastAsia="宋体"/>
          <w:color w:val="auto"/>
          <w:sz w:val="24"/>
          <w:szCs w:val="18"/>
          <w:highlight w:val="none"/>
        </w:rPr>
        <w:t>日</w:t>
      </w:r>
      <w:r>
        <w:rPr>
          <w:rFonts w:hint="eastAsia" w:ascii="宋体" w:hAnsi="宋体" w:eastAsia="宋体"/>
          <w:color w:val="auto"/>
          <w:sz w:val="24"/>
          <w:szCs w:val="18"/>
          <w:highlight w:val="none"/>
          <w:lang w:val="en-US" w:eastAsia="zh-CN"/>
        </w:rPr>
        <w:t>09</w:t>
      </w:r>
      <w:r>
        <w:rPr>
          <w:rFonts w:hint="eastAsia" w:ascii="宋体" w:hAnsi="宋体" w:eastAsia="宋体"/>
          <w:color w:val="auto"/>
          <w:sz w:val="24"/>
          <w:szCs w:val="18"/>
          <w:highlight w:val="none"/>
        </w:rPr>
        <w:t>点00分（北京时间）前递交响应文件。</w:t>
      </w:r>
    </w:p>
    <w:p w14:paraId="33CEDFAD">
      <w:pPr>
        <w:spacing w:line="360" w:lineRule="auto"/>
        <w:ind w:firstLine="435"/>
        <w:outlineLvl w:val="1"/>
        <w:rPr>
          <w:rFonts w:ascii="宋体" w:hAnsi="宋体" w:eastAsia="宋体"/>
          <w:b/>
          <w:bCs/>
          <w:color w:val="auto"/>
          <w:sz w:val="24"/>
          <w:szCs w:val="18"/>
          <w:highlight w:val="none"/>
        </w:rPr>
      </w:pPr>
      <w:r>
        <w:rPr>
          <w:rFonts w:hint="eastAsia" w:ascii="宋体" w:hAnsi="宋体" w:eastAsia="宋体"/>
          <w:b/>
          <w:bCs/>
          <w:color w:val="auto"/>
          <w:sz w:val="24"/>
          <w:szCs w:val="18"/>
          <w:highlight w:val="none"/>
        </w:rPr>
        <w:t>一、项目名称及内容</w:t>
      </w:r>
      <w:bookmarkEnd w:id="1"/>
      <w:bookmarkEnd w:id="2"/>
    </w:p>
    <w:p w14:paraId="1EA65D3E">
      <w:pPr>
        <w:spacing w:line="480" w:lineRule="exact"/>
        <w:ind w:firstLine="435"/>
        <w:rPr>
          <w:rFonts w:hint="default"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rPr>
        <w:t>项目编号：</w:t>
      </w:r>
      <w:r>
        <w:rPr>
          <w:rFonts w:hint="eastAsia" w:asciiTheme="minorEastAsia" w:hAnsiTheme="minorEastAsia" w:eastAsiaTheme="minorEastAsia"/>
          <w:color w:val="auto"/>
          <w:sz w:val="24"/>
          <w:highlight w:val="none"/>
          <w:lang w:val="en-US" w:eastAsia="zh-CN"/>
        </w:rPr>
        <w:t xml:space="preserve">HXJY1110001061052001001   </w:t>
      </w:r>
    </w:p>
    <w:p w14:paraId="3C31C8FB">
      <w:pPr>
        <w:autoSpaceDE w:val="0"/>
        <w:autoSpaceDN w:val="0"/>
        <w:adjustRightInd w:val="0"/>
        <w:spacing w:line="480" w:lineRule="exact"/>
        <w:ind w:firstLine="436" w:firstLineChars="182"/>
        <w:jc w:val="left"/>
        <w:rPr>
          <w:rFonts w:hint="eastAsia" w:ascii="宋体" w:hAnsi="宋体" w:eastAsia="宋体"/>
          <w:color w:val="auto"/>
          <w:sz w:val="24"/>
          <w:szCs w:val="18"/>
          <w:highlight w:val="none"/>
          <w:lang w:eastAsia="zh-CN"/>
        </w:rPr>
      </w:pPr>
      <w:r>
        <w:rPr>
          <w:rFonts w:hint="eastAsia" w:asciiTheme="minorEastAsia" w:hAnsiTheme="minorEastAsia" w:eastAsiaTheme="minorEastAsia"/>
          <w:color w:val="auto"/>
          <w:sz w:val="24"/>
          <w:highlight w:val="none"/>
        </w:rPr>
        <w:t>项目名称：</w:t>
      </w:r>
      <w:r>
        <w:rPr>
          <w:rFonts w:hint="eastAsia" w:asciiTheme="minorEastAsia" w:hAnsiTheme="minorEastAsia" w:eastAsiaTheme="minorEastAsia"/>
          <w:color w:val="auto"/>
          <w:sz w:val="24"/>
          <w:highlight w:val="none"/>
          <w:lang w:val="en-US" w:eastAsia="zh-CN"/>
        </w:rPr>
        <w:t>2026年滁州市就业创业政策及公共就业服务宣传项目（二次）</w:t>
      </w:r>
    </w:p>
    <w:p w14:paraId="39087830">
      <w:pPr>
        <w:spacing w:line="480" w:lineRule="exact"/>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采购方式：竞争性谈判</w:t>
      </w:r>
    </w:p>
    <w:p w14:paraId="1A3F5257">
      <w:pPr>
        <w:spacing w:line="480" w:lineRule="exact"/>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预算金额：</w:t>
      </w:r>
      <w:r>
        <w:rPr>
          <w:rFonts w:hint="eastAsia" w:asciiTheme="minorEastAsia" w:hAnsiTheme="minorEastAsia" w:eastAsiaTheme="minorEastAsia"/>
          <w:color w:val="auto"/>
          <w:sz w:val="24"/>
          <w:highlight w:val="none"/>
          <w:lang w:val="en-US" w:eastAsia="zh-CN"/>
        </w:rPr>
        <w:t>26</w:t>
      </w:r>
      <w:r>
        <w:rPr>
          <w:rFonts w:hint="eastAsia" w:asciiTheme="minorEastAsia" w:hAnsiTheme="minorEastAsia" w:eastAsiaTheme="minorEastAsia"/>
          <w:color w:val="auto"/>
          <w:sz w:val="24"/>
          <w:highlight w:val="none"/>
        </w:rPr>
        <w:t>万元</w:t>
      </w:r>
    </w:p>
    <w:p w14:paraId="2AD6B17C">
      <w:pPr>
        <w:spacing w:line="480" w:lineRule="exact"/>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最高限价：</w:t>
      </w:r>
      <w:r>
        <w:rPr>
          <w:rFonts w:hint="eastAsia" w:ascii="宋体" w:hAnsi="宋体" w:eastAsia="宋体"/>
          <w:color w:val="auto"/>
          <w:sz w:val="24"/>
          <w:szCs w:val="18"/>
          <w:highlight w:val="none"/>
          <w:lang w:val="en-US" w:eastAsia="zh-CN"/>
        </w:rPr>
        <w:t>本项目设置最高限价260000元</w:t>
      </w:r>
      <w:r>
        <w:rPr>
          <w:rFonts w:hint="eastAsia" w:ascii="宋体" w:hAnsi="宋体" w:eastAsia="宋体"/>
          <w:color w:val="auto"/>
          <w:sz w:val="24"/>
          <w:szCs w:val="18"/>
          <w:highlight w:val="none"/>
        </w:rPr>
        <w:t>，</w:t>
      </w:r>
      <w:r>
        <w:rPr>
          <w:rFonts w:hint="eastAsia" w:ascii="宋体" w:hAnsi="宋体" w:eastAsia="宋体"/>
          <w:color w:val="auto"/>
          <w:sz w:val="24"/>
          <w:szCs w:val="18"/>
          <w:highlight w:val="none"/>
          <w:lang w:val="en-US" w:eastAsia="zh-CN"/>
        </w:rPr>
        <w:t>响应</w:t>
      </w:r>
      <w:r>
        <w:rPr>
          <w:rFonts w:hint="eastAsia" w:ascii="宋体" w:hAnsi="宋体" w:eastAsia="宋体"/>
          <w:color w:val="auto"/>
          <w:sz w:val="24"/>
          <w:szCs w:val="18"/>
          <w:highlight w:val="none"/>
        </w:rPr>
        <w:t>报价不得高于最高限价，否则按无效响应处理。</w:t>
      </w:r>
    </w:p>
    <w:p w14:paraId="2E65DEC8">
      <w:pPr>
        <w:spacing w:line="480" w:lineRule="exact"/>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采购需求：</w:t>
      </w:r>
      <w:r>
        <w:rPr>
          <w:rFonts w:hint="eastAsia" w:asciiTheme="minorEastAsia" w:hAnsiTheme="minorEastAsia" w:eastAsiaTheme="minorEastAsia"/>
          <w:color w:val="auto"/>
          <w:sz w:val="24"/>
          <w:highlight w:val="none"/>
          <w:lang w:val="en-US" w:eastAsia="zh-CN"/>
        </w:rPr>
        <w:t>见采购需求。</w:t>
      </w:r>
    </w:p>
    <w:p w14:paraId="5EDF987E">
      <w:pPr>
        <w:spacing w:line="480" w:lineRule="exact"/>
        <w:ind w:firstLine="435"/>
        <w:rPr>
          <w:rFonts w:eastAsia="宋体" w:asciiTheme="minorEastAsia" w:hAnsiTheme="minorEastAsia"/>
          <w:color w:val="auto"/>
          <w:sz w:val="24"/>
          <w:highlight w:val="none"/>
        </w:rPr>
      </w:pPr>
      <w:r>
        <w:rPr>
          <w:rFonts w:hint="eastAsia" w:asciiTheme="minorEastAsia" w:hAnsiTheme="minorEastAsia" w:eastAsiaTheme="minorEastAsia"/>
          <w:color w:val="auto"/>
          <w:sz w:val="24"/>
          <w:highlight w:val="none"/>
        </w:rPr>
        <w:t>合同履行期限：</w:t>
      </w:r>
      <w:r>
        <w:rPr>
          <w:rFonts w:hint="eastAsia" w:asciiTheme="minorEastAsia" w:hAnsiTheme="minorEastAsia" w:eastAsiaTheme="minorEastAsia"/>
          <w:color w:val="auto"/>
          <w:sz w:val="24"/>
          <w:highlight w:val="none"/>
          <w:lang w:val="en-US" w:eastAsia="zh-CN"/>
        </w:rPr>
        <w:t>一年</w:t>
      </w:r>
      <w:r>
        <w:rPr>
          <w:rFonts w:hint="eastAsia" w:ascii="宋体" w:hAnsi="宋体" w:eastAsia="宋体" w:cs="宋体"/>
          <w:color w:val="auto"/>
          <w:sz w:val="24"/>
          <w:szCs w:val="24"/>
          <w:highlight w:val="none"/>
        </w:rPr>
        <w:t>。</w:t>
      </w:r>
    </w:p>
    <w:p w14:paraId="37204915">
      <w:pPr>
        <w:autoSpaceDE w:val="0"/>
        <w:autoSpaceDN w:val="0"/>
        <w:adjustRightInd w:val="0"/>
        <w:spacing w:line="360" w:lineRule="auto"/>
        <w:ind w:firstLine="436" w:firstLineChars="182"/>
        <w:jc w:val="left"/>
        <w:rPr>
          <w:rFonts w:ascii="宋体" w:hAnsi="宋体" w:eastAsia="宋体"/>
          <w:color w:val="auto"/>
          <w:sz w:val="24"/>
          <w:szCs w:val="18"/>
          <w:highlight w:val="none"/>
        </w:rPr>
      </w:pPr>
      <w:r>
        <w:rPr>
          <w:rFonts w:hint="eastAsia" w:asciiTheme="minorEastAsia" w:hAnsiTheme="minorEastAsia" w:eastAsiaTheme="minorEastAsia"/>
          <w:color w:val="auto"/>
          <w:sz w:val="24"/>
          <w:highlight w:val="none"/>
        </w:rPr>
        <w:t>本项目不接受联合体。</w:t>
      </w:r>
    </w:p>
    <w:p w14:paraId="10AB0910">
      <w:pPr>
        <w:spacing w:line="360" w:lineRule="auto"/>
        <w:ind w:firstLine="435"/>
        <w:outlineLvl w:val="1"/>
        <w:rPr>
          <w:rFonts w:ascii="宋体" w:hAnsi="宋体" w:eastAsia="宋体"/>
          <w:b/>
          <w:bCs/>
          <w:color w:val="auto"/>
          <w:sz w:val="24"/>
          <w:szCs w:val="18"/>
          <w:highlight w:val="none"/>
        </w:rPr>
      </w:pPr>
      <w:bookmarkStart w:id="3" w:name="_Toc10226"/>
      <w:bookmarkStart w:id="4" w:name="_Toc9766"/>
      <w:r>
        <w:rPr>
          <w:rFonts w:hint="eastAsia" w:ascii="宋体" w:hAnsi="宋体" w:eastAsia="宋体"/>
          <w:b/>
          <w:bCs/>
          <w:color w:val="auto"/>
          <w:sz w:val="24"/>
          <w:szCs w:val="18"/>
          <w:highlight w:val="none"/>
        </w:rPr>
        <w:t>二</w:t>
      </w:r>
      <w:r>
        <w:rPr>
          <w:rFonts w:hint="eastAsia" w:asciiTheme="minorEastAsia" w:hAnsiTheme="minorEastAsia" w:eastAsiaTheme="minorEastAsia"/>
          <w:b/>
          <w:color w:val="auto"/>
          <w:sz w:val="24"/>
          <w:highlight w:val="none"/>
        </w:rPr>
        <w:t>、</w:t>
      </w:r>
      <w:bookmarkEnd w:id="3"/>
      <w:r>
        <w:rPr>
          <w:rFonts w:hint="eastAsia" w:ascii="宋体" w:hAnsi="宋体" w:eastAsia="宋体"/>
          <w:b/>
          <w:bCs/>
          <w:color w:val="auto"/>
          <w:sz w:val="24"/>
          <w:szCs w:val="18"/>
          <w:highlight w:val="none"/>
        </w:rPr>
        <w:t>申请人的资格要求</w:t>
      </w:r>
      <w:bookmarkEnd w:id="4"/>
    </w:p>
    <w:p w14:paraId="317E634B">
      <w:pPr>
        <w:keepNext w:val="0"/>
        <w:keepLines w:val="0"/>
        <w:pageBreakBefore w:val="0"/>
        <w:widowControl w:val="0"/>
        <w:kinsoku/>
        <w:wordWrap/>
        <w:overflowPunct/>
        <w:topLinePunct w:val="0"/>
        <w:autoSpaceDE/>
        <w:autoSpaceDN/>
        <w:bidi w:val="0"/>
        <w:adjustRightInd/>
        <w:snapToGrid/>
        <w:spacing w:line="460" w:lineRule="exact"/>
        <w:ind w:firstLine="437"/>
        <w:textAlignment w:val="auto"/>
        <w:outlineLvl w:val="9"/>
        <w:rPr>
          <w:rFonts w:hint="eastAsia" w:ascii="宋体" w:hAnsi="宋体" w:eastAsiaTheme="minorEastAsia"/>
          <w:b/>
          <w:bCs/>
          <w:color w:val="auto"/>
          <w:sz w:val="24"/>
          <w:szCs w:val="18"/>
          <w:highlight w:val="none"/>
          <w:lang w:eastAsia="zh-CN"/>
        </w:rPr>
      </w:pPr>
      <w:r>
        <w:rPr>
          <w:rFonts w:hint="eastAsia" w:asciiTheme="minorEastAsia" w:hAnsiTheme="minorEastAsia" w:eastAsiaTheme="minorEastAsia"/>
          <w:color w:val="auto"/>
          <w:sz w:val="24"/>
          <w:highlight w:val="none"/>
        </w:rPr>
        <w:t>1.满足《中华人民共和国政府采购法》第二十二条规定</w:t>
      </w:r>
      <w:bookmarkStart w:id="5" w:name="_Toc4607"/>
      <w:bookmarkStart w:id="6" w:name="_Toc31469"/>
      <w:r>
        <w:rPr>
          <w:rFonts w:hint="eastAsia" w:asciiTheme="minorEastAsia" w:hAnsiTheme="minorEastAsia" w:eastAsiaTheme="minorEastAsia"/>
          <w:color w:val="auto"/>
          <w:sz w:val="24"/>
          <w:highlight w:val="none"/>
          <w:lang w:eastAsia="zh-CN"/>
        </w:rPr>
        <w:t>。</w:t>
      </w:r>
    </w:p>
    <w:p w14:paraId="551F470A">
      <w:pPr>
        <w:spacing w:line="360" w:lineRule="auto"/>
        <w:ind w:firstLine="435"/>
        <w:outlineLvl w:val="1"/>
        <w:rPr>
          <w:rFonts w:ascii="宋体" w:hAnsi="宋体" w:eastAsia="宋体"/>
          <w:b/>
          <w:bCs/>
          <w:color w:val="auto"/>
          <w:sz w:val="24"/>
          <w:szCs w:val="18"/>
          <w:highlight w:val="none"/>
        </w:rPr>
      </w:pPr>
      <w:r>
        <w:rPr>
          <w:rFonts w:hint="eastAsia" w:ascii="宋体" w:hAnsi="宋体" w:eastAsia="宋体"/>
          <w:b/>
          <w:bCs/>
          <w:color w:val="auto"/>
          <w:sz w:val="24"/>
          <w:szCs w:val="18"/>
          <w:highlight w:val="none"/>
        </w:rPr>
        <w:t>三</w:t>
      </w:r>
      <w:r>
        <w:rPr>
          <w:rFonts w:hint="eastAsia" w:asciiTheme="minorEastAsia" w:hAnsiTheme="minorEastAsia" w:eastAsiaTheme="minorEastAsia"/>
          <w:b/>
          <w:color w:val="auto"/>
          <w:sz w:val="24"/>
          <w:highlight w:val="none"/>
        </w:rPr>
        <w:t>、</w:t>
      </w:r>
      <w:bookmarkEnd w:id="5"/>
      <w:r>
        <w:rPr>
          <w:rFonts w:hint="eastAsia" w:asciiTheme="minorEastAsia" w:hAnsiTheme="minorEastAsia" w:eastAsiaTheme="minorEastAsia"/>
          <w:b/>
          <w:color w:val="auto"/>
          <w:sz w:val="24"/>
          <w:highlight w:val="none"/>
        </w:rPr>
        <w:t>获取采购文件</w:t>
      </w:r>
      <w:bookmarkEnd w:id="6"/>
    </w:p>
    <w:p w14:paraId="7181F4AC">
      <w:pPr>
        <w:keepNext w:val="0"/>
        <w:keepLines w:val="0"/>
        <w:pageBreakBefore w:val="0"/>
        <w:widowControl w:val="0"/>
        <w:kinsoku/>
        <w:wordWrap/>
        <w:overflowPunct/>
        <w:topLinePunct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u w:val="none"/>
        </w:rPr>
      </w:pPr>
      <w:r>
        <w:rPr>
          <w:rFonts w:hint="eastAsia" w:asciiTheme="minorEastAsia" w:hAnsiTheme="minorEastAsia" w:eastAsiaTheme="minorEastAsia" w:cstheme="minorEastAsia"/>
          <w:color w:val="auto"/>
          <w:sz w:val="24"/>
          <w:szCs w:val="24"/>
          <w:highlight w:val="none"/>
        </w:rPr>
        <w:t>时间：</w:t>
      </w:r>
      <w:r>
        <w:rPr>
          <w:rFonts w:hint="eastAsia" w:asciiTheme="minorEastAsia" w:hAnsiTheme="minorEastAsia" w:eastAsiaTheme="minorEastAsia" w:cstheme="minorEastAsia"/>
          <w:color w:val="auto"/>
          <w:sz w:val="24"/>
          <w:szCs w:val="24"/>
          <w:highlight w:val="none"/>
          <w:u w:val="single"/>
          <w:lang w:val="en-US" w:eastAsia="zh-CN"/>
        </w:rPr>
        <w:t>2026</w:t>
      </w:r>
      <w:r>
        <w:rPr>
          <w:rFonts w:hint="eastAsia" w:asciiTheme="minorEastAsia" w:hAnsiTheme="minorEastAsia" w:eastAsiaTheme="minorEastAsia" w:cstheme="minorEastAsia"/>
          <w:color w:val="auto"/>
          <w:sz w:val="24"/>
          <w:szCs w:val="24"/>
          <w:highlight w:val="none"/>
          <w:u w:val="none"/>
        </w:rPr>
        <w:t>年</w:t>
      </w:r>
      <w:r>
        <w:rPr>
          <w:rFonts w:hint="eastAsia" w:asciiTheme="minorEastAsia" w:hAnsiTheme="minorEastAsia" w:eastAsiaTheme="minorEastAsia" w:cstheme="minorEastAsia"/>
          <w:color w:val="auto"/>
          <w:sz w:val="24"/>
          <w:szCs w:val="24"/>
          <w:highlight w:val="none"/>
          <w:u w:val="single"/>
          <w:lang w:val="en-US" w:eastAsia="zh-CN"/>
        </w:rPr>
        <w:t>9</w:t>
      </w:r>
      <w:r>
        <w:rPr>
          <w:rFonts w:hint="eastAsia" w:asciiTheme="minorEastAsia" w:hAnsiTheme="minorEastAsia" w:eastAsiaTheme="minorEastAsia" w:cstheme="minorEastAsia"/>
          <w:color w:val="auto"/>
          <w:sz w:val="24"/>
          <w:szCs w:val="24"/>
          <w:highlight w:val="none"/>
          <w:u w:val="none"/>
        </w:rPr>
        <w:t>月</w:t>
      </w:r>
      <w:r>
        <w:rPr>
          <w:rFonts w:hint="eastAsia" w:asciiTheme="minorEastAsia" w:hAnsiTheme="minorEastAsia" w:eastAsiaTheme="minorEastAsia" w:cstheme="minorEastAsia"/>
          <w:color w:val="auto"/>
          <w:sz w:val="24"/>
          <w:szCs w:val="24"/>
          <w:highlight w:val="none"/>
          <w:u w:val="single"/>
          <w:lang w:val="en-US" w:eastAsia="zh-CN"/>
        </w:rPr>
        <w:t>2</w:t>
      </w:r>
      <w:r>
        <w:rPr>
          <w:rFonts w:hint="eastAsia" w:asciiTheme="minorEastAsia" w:hAnsiTheme="minorEastAsia" w:eastAsiaTheme="minorEastAsia" w:cstheme="minorEastAsia"/>
          <w:color w:val="auto"/>
          <w:sz w:val="24"/>
          <w:szCs w:val="24"/>
          <w:highlight w:val="none"/>
          <w:u w:val="none"/>
        </w:rPr>
        <w:t>日</w:t>
      </w:r>
      <w:r>
        <w:rPr>
          <w:rFonts w:hint="eastAsia" w:asciiTheme="minorEastAsia" w:hAnsiTheme="minorEastAsia" w:eastAsiaTheme="minorEastAsia" w:cstheme="minorEastAsia"/>
          <w:color w:val="auto"/>
          <w:sz w:val="24"/>
          <w:szCs w:val="24"/>
          <w:highlight w:val="none"/>
        </w:rPr>
        <w:t>至</w:t>
      </w:r>
      <w:r>
        <w:rPr>
          <w:rFonts w:hint="eastAsia" w:asciiTheme="minorEastAsia" w:hAnsiTheme="minorEastAsia" w:eastAsiaTheme="minorEastAsia" w:cstheme="minorEastAsia"/>
          <w:color w:val="auto"/>
          <w:sz w:val="24"/>
          <w:szCs w:val="24"/>
          <w:highlight w:val="none"/>
          <w:u w:val="single"/>
          <w:lang w:val="en-US" w:eastAsia="zh-CN"/>
        </w:rPr>
        <w:t>2026</w:t>
      </w:r>
      <w:r>
        <w:rPr>
          <w:rFonts w:hint="eastAsia" w:asciiTheme="minorEastAsia" w:hAnsiTheme="minorEastAsia" w:eastAsiaTheme="minorEastAsia" w:cstheme="minorEastAsia"/>
          <w:color w:val="auto"/>
          <w:sz w:val="24"/>
          <w:szCs w:val="24"/>
          <w:highlight w:val="none"/>
          <w:u w:val="none"/>
        </w:rPr>
        <w:t>年</w:t>
      </w:r>
      <w:r>
        <w:rPr>
          <w:rFonts w:hint="eastAsia" w:asciiTheme="minorEastAsia" w:hAnsiTheme="minorEastAsia" w:eastAsiaTheme="minorEastAsia" w:cstheme="minorEastAsia"/>
          <w:color w:val="auto"/>
          <w:sz w:val="24"/>
          <w:szCs w:val="24"/>
          <w:highlight w:val="none"/>
          <w:u w:val="single"/>
          <w:lang w:val="en-US" w:eastAsia="zh-CN"/>
        </w:rPr>
        <w:t>9</w:t>
      </w:r>
      <w:r>
        <w:rPr>
          <w:rFonts w:hint="eastAsia" w:asciiTheme="minorEastAsia" w:hAnsiTheme="minorEastAsia" w:eastAsiaTheme="minorEastAsia" w:cstheme="minorEastAsia"/>
          <w:color w:val="auto"/>
          <w:sz w:val="24"/>
          <w:szCs w:val="24"/>
          <w:highlight w:val="none"/>
          <w:u w:val="none"/>
        </w:rPr>
        <w:t>月</w:t>
      </w:r>
      <w:r>
        <w:rPr>
          <w:rFonts w:hint="eastAsia" w:asciiTheme="minorEastAsia" w:hAnsiTheme="minorEastAsia" w:eastAsiaTheme="minorEastAsia" w:cstheme="minorEastAsia"/>
          <w:color w:val="auto"/>
          <w:sz w:val="24"/>
          <w:szCs w:val="24"/>
          <w:highlight w:val="none"/>
          <w:u w:val="single"/>
          <w:lang w:val="en-US" w:eastAsia="zh-CN"/>
        </w:rPr>
        <w:t>8</w:t>
      </w:r>
      <w:r>
        <w:rPr>
          <w:rFonts w:hint="eastAsia" w:asciiTheme="minorEastAsia" w:hAnsiTheme="minorEastAsia" w:eastAsiaTheme="minorEastAsia" w:cstheme="minorEastAsia"/>
          <w:color w:val="auto"/>
          <w:sz w:val="24"/>
          <w:szCs w:val="24"/>
          <w:highlight w:val="none"/>
          <w:u w:val="none"/>
        </w:rPr>
        <w:t>日</w:t>
      </w:r>
    </w:p>
    <w:p w14:paraId="100BCE86">
      <w:pPr>
        <w:keepNext w:val="0"/>
        <w:keepLines w:val="0"/>
        <w:pageBreakBefore w:val="0"/>
        <w:widowControl w:val="0"/>
        <w:kinsoku/>
        <w:wordWrap/>
        <w:overflowPunct/>
        <w:topLinePunct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地点：</w:t>
      </w:r>
      <w:r>
        <w:rPr>
          <w:rFonts w:hint="eastAsia" w:asciiTheme="minorEastAsia" w:hAnsiTheme="minorEastAsia" w:eastAsiaTheme="minorEastAsia" w:cstheme="minorEastAsia"/>
          <w:color w:val="auto"/>
          <w:sz w:val="24"/>
          <w:szCs w:val="24"/>
          <w:highlight w:val="none"/>
          <w:lang w:val="en-US" w:eastAsia="zh-CN"/>
        </w:rPr>
        <w:t>滁州市城投工程咨询管理有限公司官网（https://www.czctgczx.com/）</w:t>
      </w:r>
    </w:p>
    <w:p w14:paraId="7F09462E">
      <w:pPr>
        <w:keepNext w:val="0"/>
        <w:keepLines w:val="0"/>
        <w:pageBreakBefore w:val="0"/>
        <w:widowControl w:val="0"/>
        <w:kinsoku/>
        <w:wordWrap/>
        <w:overflowPunct/>
        <w:topLinePunct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方式：</w:t>
      </w:r>
      <w:r>
        <w:rPr>
          <w:rFonts w:hint="eastAsia" w:asciiTheme="minorEastAsia" w:hAnsiTheme="minorEastAsia" w:eastAsiaTheme="minorEastAsia" w:cstheme="minorEastAsia"/>
          <w:color w:val="auto"/>
          <w:sz w:val="24"/>
          <w:szCs w:val="24"/>
          <w:highlight w:val="none"/>
          <w:lang w:eastAsia="zh-CN"/>
        </w:rPr>
        <w:t>（</w:t>
      </w:r>
      <w:r>
        <w:rPr>
          <w:rFonts w:hint="eastAsia" w:asciiTheme="minorEastAsia" w:hAnsiTheme="minorEastAsia" w:eastAsiaTheme="minorEastAsia" w:cstheme="minorEastAsia"/>
          <w:color w:val="auto"/>
          <w:sz w:val="24"/>
          <w:szCs w:val="24"/>
          <w:highlight w:val="none"/>
          <w:lang w:val="en-US" w:eastAsia="zh-CN"/>
        </w:rPr>
        <w:t>1</w:t>
      </w:r>
      <w:r>
        <w:rPr>
          <w:rFonts w:hint="eastAsia" w:asciiTheme="minorEastAsia" w:hAnsiTheme="minorEastAsia" w:eastAsiaTheme="minorEastAsia" w:cstheme="minorEastAsia"/>
          <w:color w:val="auto"/>
          <w:sz w:val="24"/>
          <w:szCs w:val="24"/>
          <w:highlight w:val="none"/>
          <w:lang w:eastAsia="zh-CN"/>
        </w:rPr>
        <w:t>）</w:t>
      </w:r>
      <w:r>
        <w:rPr>
          <w:rFonts w:hint="eastAsia" w:asciiTheme="minorEastAsia" w:hAnsiTheme="minorEastAsia" w:eastAsiaTheme="minorEastAsia" w:cstheme="minorEastAsia"/>
          <w:color w:val="auto"/>
          <w:sz w:val="24"/>
          <w:szCs w:val="24"/>
          <w:highlight w:val="none"/>
        </w:rPr>
        <w:t>供应商须登录新点电子交易平台【滁州专区】查询、获取采购文件。首次登录办理入库手续，办理入库不收取任何费用。新点电子招投标统一认证平台使用相关问题（如系统登录、信息登记、录入及提交、数字证书关联等）请拨打服务电话：</w:t>
      </w:r>
      <w:r>
        <w:rPr>
          <w:rFonts w:hint="eastAsia" w:asciiTheme="minorEastAsia" w:hAnsiTheme="minorEastAsia" w:eastAsiaTheme="minorEastAsia" w:cstheme="minorEastAsia"/>
          <w:color w:val="auto"/>
          <w:sz w:val="24"/>
          <w:szCs w:val="24"/>
          <w:highlight w:val="none"/>
          <w:lang w:val="en-US" w:eastAsia="zh-CN"/>
        </w:rPr>
        <w:t>0512-58151515</w:t>
      </w:r>
      <w:r>
        <w:rPr>
          <w:rFonts w:hint="eastAsia" w:asciiTheme="minorEastAsia" w:hAnsiTheme="minorEastAsia" w:eastAsiaTheme="minorEastAsia" w:cstheme="minorEastAsia"/>
          <w:color w:val="auto"/>
          <w:sz w:val="24"/>
          <w:szCs w:val="24"/>
          <w:highlight w:val="none"/>
        </w:rPr>
        <w:t>（工作日）。  </w:t>
      </w:r>
    </w:p>
    <w:p w14:paraId="081F6FDE">
      <w:pPr>
        <w:keepNext w:val="0"/>
        <w:keepLines w:val="0"/>
        <w:pageBreakBefore w:val="0"/>
        <w:widowControl w:val="0"/>
        <w:numPr>
          <w:ilvl w:val="0"/>
          <w:numId w:val="2"/>
        </w:numPr>
        <w:kinsoku/>
        <w:wordWrap/>
        <w:overflowPunct/>
        <w:topLinePunct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供应商登录新点电子交易平台【滁州专区】获取采购文件及其它资料（含澄清和补充说明等）。如在采购文件获取过程中遇到系统问题，请拨打技术支持服务热线</w:t>
      </w:r>
      <w:r>
        <w:rPr>
          <w:rFonts w:hint="eastAsia" w:asciiTheme="minorEastAsia" w:hAnsiTheme="minorEastAsia" w:eastAsiaTheme="minorEastAsia" w:cstheme="minorEastAsia"/>
          <w:color w:val="auto"/>
          <w:sz w:val="24"/>
          <w:szCs w:val="24"/>
          <w:highlight w:val="none"/>
          <w:lang w:val="en-US" w:eastAsia="zh-CN"/>
        </w:rPr>
        <w:t>0512-58151515</w:t>
      </w:r>
      <w:r>
        <w:rPr>
          <w:rFonts w:hint="eastAsia" w:asciiTheme="minorEastAsia" w:hAnsiTheme="minorEastAsia" w:eastAsiaTheme="minorEastAsia" w:cstheme="minorEastAsia"/>
          <w:color w:val="auto"/>
          <w:sz w:val="24"/>
          <w:szCs w:val="24"/>
          <w:highlight w:val="none"/>
        </w:rPr>
        <w:t>或者网站首页在线客服。</w:t>
      </w:r>
    </w:p>
    <w:p w14:paraId="6B0A7D0B">
      <w:pPr>
        <w:keepNext w:val="0"/>
        <w:keepLines w:val="0"/>
        <w:pageBreakBefore w:val="0"/>
        <w:widowControl w:val="0"/>
        <w:numPr>
          <w:ilvl w:val="0"/>
          <w:numId w:val="0"/>
        </w:numPr>
        <w:kinsoku/>
        <w:wordWrap/>
        <w:overflowPunct/>
        <w:topLinePunct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售价：0元</w:t>
      </w:r>
    </w:p>
    <w:p w14:paraId="3BDE39B2">
      <w:pPr>
        <w:spacing w:line="360" w:lineRule="auto"/>
        <w:ind w:firstLine="435"/>
        <w:outlineLvl w:val="1"/>
        <w:rPr>
          <w:rFonts w:ascii="宋体" w:hAnsi="宋体" w:eastAsia="宋体"/>
          <w:b/>
          <w:bCs/>
          <w:color w:val="auto"/>
          <w:sz w:val="24"/>
          <w:szCs w:val="18"/>
          <w:highlight w:val="none"/>
        </w:rPr>
      </w:pPr>
      <w:bookmarkStart w:id="7" w:name="_Toc19753"/>
      <w:bookmarkStart w:id="8" w:name="_Toc16674"/>
      <w:r>
        <w:rPr>
          <w:rFonts w:hint="eastAsia" w:ascii="宋体" w:hAnsi="宋体" w:eastAsia="宋体"/>
          <w:b/>
          <w:bCs/>
          <w:color w:val="auto"/>
          <w:sz w:val="24"/>
          <w:szCs w:val="18"/>
          <w:highlight w:val="none"/>
        </w:rPr>
        <w:t>四</w:t>
      </w:r>
      <w:r>
        <w:rPr>
          <w:rFonts w:hint="eastAsia" w:asciiTheme="minorEastAsia" w:hAnsiTheme="minorEastAsia" w:eastAsiaTheme="minorEastAsia"/>
          <w:b/>
          <w:color w:val="auto"/>
          <w:sz w:val="24"/>
          <w:highlight w:val="none"/>
        </w:rPr>
        <w:t>、</w:t>
      </w:r>
      <w:bookmarkEnd w:id="7"/>
      <w:r>
        <w:rPr>
          <w:rFonts w:hint="eastAsia" w:ascii="宋体" w:hAnsi="宋体" w:eastAsia="宋体"/>
          <w:b/>
          <w:bCs/>
          <w:color w:val="auto"/>
          <w:sz w:val="24"/>
          <w:highlight w:val="none"/>
        </w:rPr>
        <w:t>响应文件提交</w:t>
      </w:r>
      <w:bookmarkEnd w:id="8"/>
    </w:p>
    <w:p w14:paraId="445FE31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sz w:val="24"/>
          <w:szCs w:val="24"/>
          <w:highlight w:val="none"/>
          <w:u w:val="none"/>
        </w:rPr>
      </w:pPr>
      <w:r>
        <w:rPr>
          <w:rFonts w:hint="eastAsia" w:asciiTheme="minorEastAsia" w:hAnsiTheme="minorEastAsia" w:eastAsiaTheme="minorEastAsia" w:cstheme="minorEastAsia"/>
          <w:bCs/>
          <w:color w:val="auto"/>
          <w:sz w:val="24"/>
          <w:szCs w:val="24"/>
          <w:highlight w:val="none"/>
          <w:u w:val="none"/>
        </w:rPr>
        <w:t>截止时间：</w:t>
      </w:r>
      <w:r>
        <w:rPr>
          <w:rFonts w:hint="eastAsia" w:asciiTheme="minorEastAsia" w:hAnsiTheme="minorEastAsia" w:eastAsiaTheme="minorEastAsia" w:cstheme="minorEastAsia"/>
          <w:b/>
          <w:bCs w:val="0"/>
          <w:color w:val="auto"/>
          <w:sz w:val="24"/>
          <w:szCs w:val="24"/>
          <w:highlight w:val="none"/>
          <w:u w:val="single"/>
          <w:lang w:val="en-US" w:eastAsia="zh-CN"/>
        </w:rPr>
        <w:t>2026</w:t>
      </w:r>
      <w:r>
        <w:rPr>
          <w:rFonts w:hint="eastAsia" w:asciiTheme="minorEastAsia" w:hAnsiTheme="minorEastAsia" w:eastAsiaTheme="minorEastAsia" w:cstheme="minorEastAsia"/>
          <w:b/>
          <w:bCs w:val="0"/>
          <w:color w:val="auto"/>
          <w:sz w:val="24"/>
          <w:szCs w:val="24"/>
          <w:highlight w:val="none"/>
          <w:u w:val="none"/>
        </w:rPr>
        <w:t>年</w:t>
      </w:r>
      <w:r>
        <w:rPr>
          <w:rFonts w:hint="eastAsia" w:asciiTheme="minorEastAsia" w:hAnsiTheme="minorEastAsia" w:eastAsiaTheme="minorEastAsia" w:cstheme="minorEastAsia"/>
          <w:b/>
          <w:bCs w:val="0"/>
          <w:color w:val="auto"/>
          <w:sz w:val="24"/>
          <w:szCs w:val="24"/>
          <w:highlight w:val="none"/>
          <w:u w:val="single"/>
          <w:lang w:val="en-US" w:eastAsia="zh-CN"/>
        </w:rPr>
        <w:t>9</w:t>
      </w:r>
      <w:r>
        <w:rPr>
          <w:rFonts w:hint="eastAsia" w:asciiTheme="minorEastAsia" w:hAnsiTheme="minorEastAsia" w:eastAsiaTheme="minorEastAsia" w:cstheme="minorEastAsia"/>
          <w:b/>
          <w:bCs w:val="0"/>
          <w:color w:val="auto"/>
          <w:sz w:val="24"/>
          <w:szCs w:val="24"/>
          <w:highlight w:val="none"/>
          <w:u w:val="none"/>
        </w:rPr>
        <w:t>月</w:t>
      </w:r>
      <w:r>
        <w:rPr>
          <w:rFonts w:hint="eastAsia" w:asciiTheme="minorEastAsia" w:hAnsiTheme="minorEastAsia" w:eastAsiaTheme="minorEastAsia" w:cstheme="minorEastAsia"/>
          <w:b/>
          <w:bCs w:val="0"/>
          <w:color w:val="auto"/>
          <w:sz w:val="24"/>
          <w:szCs w:val="24"/>
          <w:highlight w:val="none"/>
          <w:u w:val="single"/>
          <w:lang w:val="en-US" w:eastAsia="zh-CN"/>
        </w:rPr>
        <w:t>8</w:t>
      </w:r>
      <w:r>
        <w:rPr>
          <w:rFonts w:hint="eastAsia" w:asciiTheme="minorEastAsia" w:hAnsiTheme="minorEastAsia" w:eastAsiaTheme="minorEastAsia" w:cstheme="minorEastAsia"/>
          <w:b/>
          <w:bCs w:val="0"/>
          <w:color w:val="auto"/>
          <w:sz w:val="24"/>
          <w:szCs w:val="24"/>
          <w:highlight w:val="none"/>
          <w:u w:val="none"/>
        </w:rPr>
        <w:t>日</w:t>
      </w:r>
      <w:r>
        <w:rPr>
          <w:rFonts w:hint="eastAsia" w:asciiTheme="minorEastAsia" w:hAnsiTheme="minorEastAsia" w:eastAsiaTheme="minorEastAsia" w:cstheme="minorEastAsia"/>
          <w:b/>
          <w:bCs w:val="0"/>
          <w:color w:val="auto"/>
          <w:sz w:val="24"/>
          <w:szCs w:val="24"/>
          <w:highlight w:val="none"/>
          <w:u w:val="single"/>
          <w:lang w:val="en-US" w:eastAsia="zh-CN"/>
        </w:rPr>
        <w:t>09</w:t>
      </w:r>
      <w:r>
        <w:rPr>
          <w:rFonts w:hint="eastAsia" w:asciiTheme="minorEastAsia" w:hAnsiTheme="minorEastAsia" w:eastAsiaTheme="minorEastAsia" w:cstheme="minorEastAsia"/>
          <w:b/>
          <w:bCs w:val="0"/>
          <w:color w:val="auto"/>
          <w:sz w:val="24"/>
          <w:szCs w:val="24"/>
          <w:highlight w:val="none"/>
          <w:u w:val="none"/>
        </w:rPr>
        <w:t>点</w:t>
      </w:r>
      <w:r>
        <w:rPr>
          <w:rFonts w:hint="eastAsia" w:asciiTheme="minorEastAsia" w:hAnsiTheme="minorEastAsia" w:eastAsiaTheme="minorEastAsia" w:cstheme="minorEastAsia"/>
          <w:b/>
          <w:bCs w:val="0"/>
          <w:color w:val="auto"/>
          <w:sz w:val="24"/>
          <w:szCs w:val="24"/>
          <w:highlight w:val="none"/>
          <w:u w:val="single"/>
          <w:lang w:val="en-US" w:eastAsia="zh-CN"/>
        </w:rPr>
        <w:t>00</w:t>
      </w:r>
      <w:r>
        <w:rPr>
          <w:rFonts w:hint="eastAsia" w:asciiTheme="minorEastAsia" w:hAnsiTheme="minorEastAsia" w:eastAsiaTheme="minorEastAsia" w:cstheme="minorEastAsia"/>
          <w:b/>
          <w:bCs w:val="0"/>
          <w:color w:val="auto"/>
          <w:sz w:val="24"/>
          <w:szCs w:val="24"/>
          <w:highlight w:val="none"/>
          <w:u w:val="none"/>
        </w:rPr>
        <w:t>分</w:t>
      </w:r>
      <w:r>
        <w:rPr>
          <w:rFonts w:hint="eastAsia" w:asciiTheme="minorEastAsia" w:hAnsiTheme="minorEastAsia" w:eastAsiaTheme="minorEastAsia" w:cstheme="minorEastAsia"/>
          <w:bCs/>
          <w:color w:val="auto"/>
          <w:sz w:val="24"/>
          <w:szCs w:val="24"/>
          <w:highlight w:val="none"/>
        </w:rPr>
        <w:t>（北京时间）</w:t>
      </w:r>
      <w:r>
        <w:rPr>
          <w:rFonts w:hint="eastAsia" w:asciiTheme="minorEastAsia" w:hAnsiTheme="minorEastAsia" w:eastAsiaTheme="minorEastAsia" w:cstheme="minorEastAsia"/>
          <w:color w:val="auto"/>
          <w:sz w:val="24"/>
          <w:szCs w:val="24"/>
          <w:highlight w:val="none"/>
        </w:rPr>
        <w:t>（从谈判文件开始发出之日起至供应商提交首次响应文件截止之日止不得少于3个工作日）</w:t>
      </w:r>
    </w:p>
    <w:p w14:paraId="33DC184D">
      <w:pPr>
        <w:keepNext w:val="0"/>
        <w:keepLines w:val="0"/>
        <w:pageBreakBefore w:val="0"/>
        <w:widowControl w:val="0"/>
        <w:kinsoku/>
        <w:wordWrap w:val="0"/>
        <w:overflowPunct/>
        <w:topLinePunct w:val="0"/>
        <w:autoSpaceDE/>
        <w:autoSpaceDN/>
        <w:bidi w:val="0"/>
        <w:adjustRightInd/>
        <w:snapToGrid/>
        <w:spacing w:line="360" w:lineRule="auto"/>
        <w:ind w:firstLine="437"/>
        <w:textAlignment w:val="auto"/>
        <w:rPr>
          <w:rFonts w:hint="default" w:ascii="宋体" w:hAnsi="宋体" w:eastAsiaTheme="minorEastAsia"/>
          <w:color w:val="auto"/>
          <w:sz w:val="24"/>
          <w:szCs w:val="18"/>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递交方式</w:t>
      </w:r>
      <w:r>
        <w:rPr>
          <w:rFonts w:hint="eastAsia" w:asciiTheme="minorEastAsia" w:hAnsiTheme="minorEastAsia" w:eastAsiaTheme="minorEastAsia" w:cstheme="minorEastAsia"/>
          <w:color w:val="auto"/>
          <w:sz w:val="24"/>
          <w:szCs w:val="24"/>
          <w:highlight w:val="none"/>
        </w:rPr>
        <w:t>：本项目仅接受供应商提交首次响应文件截止之日前登录新点电子交易平台【滁州专区】（https://www.etrading.cn/BREpointSSO/login/oauth2login?regioncode=DQ_ChuZhou）交易系统递交的加密电子响应文件</w:t>
      </w:r>
    </w:p>
    <w:p w14:paraId="3062808E">
      <w:pPr>
        <w:spacing w:line="360" w:lineRule="auto"/>
        <w:ind w:firstLine="435"/>
        <w:outlineLvl w:val="1"/>
        <w:rPr>
          <w:rFonts w:ascii="宋体" w:hAnsi="宋体" w:eastAsia="宋体"/>
          <w:b/>
          <w:bCs/>
          <w:color w:val="auto"/>
          <w:sz w:val="24"/>
          <w:szCs w:val="18"/>
          <w:highlight w:val="none"/>
        </w:rPr>
      </w:pPr>
      <w:bookmarkStart w:id="9" w:name="_Toc8953"/>
      <w:bookmarkStart w:id="10" w:name="_Toc7959"/>
      <w:r>
        <w:rPr>
          <w:rFonts w:hint="eastAsia" w:ascii="宋体" w:hAnsi="宋体" w:eastAsia="宋体"/>
          <w:b/>
          <w:bCs/>
          <w:color w:val="auto"/>
          <w:sz w:val="24"/>
          <w:szCs w:val="18"/>
          <w:highlight w:val="none"/>
        </w:rPr>
        <w:t>五</w:t>
      </w:r>
      <w:r>
        <w:rPr>
          <w:rFonts w:hint="eastAsia" w:asciiTheme="minorEastAsia" w:hAnsiTheme="minorEastAsia" w:eastAsiaTheme="minorEastAsia"/>
          <w:b/>
          <w:color w:val="auto"/>
          <w:sz w:val="24"/>
          <w:highlight w:val="none"/>
        </w:rPr>
        <w:t>、</w:t>
      </w:r>
      <w:bookmarkEnd w:id="9"/>
      <w:r>
        <w:rPr>
          <w:rFonts w:hint="eastAsia" w:ascii="宋体" w:hAnsi="宋体" w:eastAsia="宋体"/>
          <w:b/>
          <w:bCs/>
          <w:color w:val="auto"/>
          <w:sz w:val="24"/>
          <w:highlight w:val="none"/>
        </w:rPr>
        <w:t>开启</w:t>
      </w:r>
      <w:bookmarkEnd w:id="10"/>
    </w:p>
    <w:p w14:paraId="52752B4A">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u w:val="none"/>
        </w:rPr>
        <w:t>时间：</w:t>
      </w:r>
      <w:r>
        <w:rPr>
          <w:rFonts w:hint="eastAsia" w:asciiTheme="minorEastAsia" w:hAnsiTheme="minorEastAsia" w:eastAsiaTheme="minorEastAsia" w:cstheme="minorEastAsia"/>
          <w:b/>
          <w:bCs w:val="0"/>
          <w:color w:val="auto"/>
          <w:sz w:val="24"/>
          <w:szCs w:val="24"/>
          <w:highlight w:val="none"/>
          <w:u w:val="single"/>
          <w:lang w:val="en-US" w:eastAsia="zh-CN"/>
        </w:rPr>
        <w:t>2026</w:t>
      </w:r>
      <w:r>
        <w:rPr>
          <w:rFonts w:hint="eastAsia" w:asciiTheme="minorEastAsia" w:hAnsiTheme="minorEastAsia" w:eastAsiaTheme="minorEastAsia" w:cstheme="minorEastAsia"/>
          <w:b/>
          <w:bCs w:val="0"/>
          <w:color w:val="auto"/>
          <w:sz w:val="24"/>
          <w:szCs w:val="24"/>
          <w:highlight w:val="none"/>
          <w:u w:val="none"/>
        </w:rPr>
        <w:t>年</w:t>
      </w:r>
      <w:r>
        <w:rPr>
          <w:rFonts w:hint="eastAsia" w:asciiTheme="minorEastAsia" w:hAnsiTheme="minorEastAsia" w:eastAsiaTheme="minorEastAsia" w:cstheme="minorEastAsia"/>
          <w:b/>
          <w:bCs w:val="0"/>
          <w:color w:val="auto"/>
          <w:sz w:val="24"/>
          <w:szCs w:val="24"/>
          <w:highlight w:val="none"/>
          <w:u w:val="single"/>
          <w:lang w:val="en-US" w:eastAsia="zh-CN"/>
        </w:rPr>
        <w:t>9</w:t>
      </w:r>
      <w:r>
        <w:rPr>
          <w:rFonts w:hint="eastAsia" w:asciiTheme="minorEastAsia" w:hAnsiTheme="minorEastAsia" w:eastAsiaTheme="minorEastAsia" w:cstheme="minorEastAsia"/>
          <w:b/>
          <w:bCs w:val="0"/>
          <w:color w:val="auto"/>
          <w:sz w:val="24"/>
          <w:szCs w:val="24"/>
          <w:highlight w:val="none"/>
          <w:u w:val="none"/>
        </w:rPr>
        <w:t>月</w:t>
      </w:r>
      <w:r>
        <w:rPr>
          <w:rFonts w:hint="eastAsia" w:asciiTheme="minorEastAsia" w:hAnsiTheme="minorEastAsia" w:eastAsiaTheme="minorEastAsia" w:cstheme="minorEastAsia"/>
          <w:b/>
          <w:bCs w:val="0"/>
          <w:color w:val="auto"/>
          <w:sz w:val="24"/>
          <w:szCs w:val="24"/>
          <w:highlight w:val="none"/>
          <w:u w:val="single"/>
          <w:lang w:val="en-US" w:eastAsia="zh-CN"/>
        </w:rPr>
        <w:t>8</w:t>
      </w:r>
      <w:r>
        <w:rPr>
          <w:rFonts w:hint="eastAsia" w:asciiTheme="minorEastAsia" w:hAnsiTheme="minorEastAsia" w:eastAsiaTheme="minorEastAsia" w:cstheme="minorEastAsia"/>
          <w:b/>
          <w:bCs w:val="0"/>
          <w:color w:val="auto"/>
          <w:sz w:val="24"/>
          <w:szCs w:val="24"/>
          <w:highlight w:val="none"/>
          <w:u w:val="none"/>
        </w:rPr>
        <w:t>日</w:t>
      </w:r>
      <w:r>
        <w:rPr>
          <w:rFonts w:hint="eastAsia" w:asciiTheme="minorEastAsia" w:hAnsiTheme="minorEastAsia" w:eastAsiaTheme="minorEastAsia" w:cstheme="minorEastAsia"/>
          <w:b/>
          <w:bCs w:val="0"/>
          <w:color w:val="auto"/>
          <w:sz w:val="24"/>
          <w:szCs w:val="24"/>
          <w:highlight w:val="none"/>
          <w:u w:val="single"/>
          <w:lang w:val="en-US" w:eastAsia="zh-CN"/>
        </w:rPr>
        <w:t>09</w:t>
      </w:r>
      <w:r>
        <w:rPr>
          <w:rFonts w:hint="eastAsia" w:asciiTheme="minorEastAsia" w:hAnsiTheme="minorEastAsia" w:eastAsiaTheme="minorEastAsia" w:cstheme="minorEastAsia"/>
          <w:b/>
          <w:bCs w:val="0"/>
          <w:color w:val="auto"/>
          <w:sz w:val="24"/>
          <w:szCs w:val="24"/>
          <w:highlight w:val="none"/>
          <w:u w:val="none"/>
        </w:rPr>
        <w:t>点</w:t>
      </w:r>
      <w:r>
        <w:rPr>
          <w:rFonts w:hint="eastAsia" w:asciiTheme="minorEastAsia" w:hAnsiTheme="minorEastAsia" w:eastAsiaTheme="minorEastAsia" w:cstheme="minorEastAsia"/>
          <w:b/>
          <w:bCs w:val="0"/>
          <w:color w:val="auto"/>
          <w:sz w:val="24"/>
          <w:szCs w:val="24"/>
          <w:highlight w:val="none"/>
          <w:u w:val="single"/>
          <w:lang w:val="en-US" w:eastAsia="zh-CN"/>
        </w:rPr>
        <w:t>00</w:t>
      </w:r>
      <w:r>
        <w:rPr>
          <w:rFonts w:hint="eastAsia" w:asciiTheme="minorEastAsia" w:hAnsiTheme="minorEastAsia" w:eastAsiaTheme="minorEastAsia" w:cstheme="minorEastAsia"/>
          <w:b/>
          <w:bCs w:val="0"/>
          <w:color w:val="auto"/>
          <w:sz w:val="24"/>
          <w:szCs w:val="24"/>
          <w:highlight w:val="none"/>
          <w:u w:val="none"/>
        </w:rPr>
        <w:t>分</w:t>
      </w:r>
      <w:r>
        <w:rPr>
          <w:rFonts w:hint="eastAsia" w:asciiTheme="minorEastAsia" w:hAnsiTheme="minorEastAsia" w:eastAsiaTheme="minorEastAsia" w:cstheme="minorEastAsia"/>
          <w:bCs/>
          <w:color w:val="auto"/>
          <w:sz w:val="24"/>
          <w:szCs w:val="24"/>
          <w:highlight w:val="none"/>
        </w:rPr>
        <w:t>（北京时间）</w:t>
      </w:r>
    </w:p>
    <w:p w14:paraId="41640CAD">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ascii="宋体" w:hAnsi="宋体" w:eastAsia="宋体"/>
          <w:color w:val="auto"/>
          <w:sz w:val="24"/>
          <w:szCs w:val="18"/>
          <w:highlight w:val="none"/>
        </w:rPr>
      </w:pPr>
      <w:r>
        <w:rPr>
          <w:rFonts w:hint="eastAsia" w:asciiTheme="minorEastAsia" w:hAnsiTheme="minorEastAsia" w:eastAsiaTheme="minorEastAsia" w:cstheme="minorEastAsia"/>
          <w:color w:val="auto"/>
          <w:sz w:val="24"/>
          <w:szCs w:val="24"/>
          <w:highlight w:val="none"/>
        </w:rPr>
        <w:t>地点：采用不见面开启，供应商登录滁州市城投工程咨询</w:t>
      </w:r>
      <w:r>
        <w:rPr>
          <w:rFonts w:hint="eastAsia" w:asciiTheme="minorEastAsia" w:hAnsiTheme="minorEastAsia" w:eastAsiaTheme="minorEastAsia" w:cstheme="minorEastAsia"/>
          <w:color w:val="auto"/>
          <w:sz w:val="24"/>
          <w:szCs w:val="24"/>
          <w:highlight w:val="none"/>
          <w:lang w:val="en-US" w:eastAsia="zh-CN"/>
        </w:rPr>
        <w:t>管理</w:t>
      </w:r>
      <w:r>
        <w:rPr>
          <w:rFonts w:hint="eastAsia" w:asciiTheme="minorEastAsia" w:hAnsiTheme="minorEastAsia" w:eastAsiaTheme="minorEastAsia" w:cstheme="minorEastAsia"/>
          <w:color w:val="auto"/>
          <w:sz w:val="24"/>
          <w:szCs w:val="24"/>
          <w:highlight w:val="none"/>
        </w:rPr>
        <w:t>有限公司不见面开标系统参与网上开标（网址：</w:t>
      </w:r>
      <w:r>
        <w:rPr>
          <w:rFonts w:hint="eastAsia" w:asciiTheme="minorEastAsia" w:hAnsiTheme="minorEastAsia" w:eastAsiaTheme="minorEastAsia" w:cstheme="minorEastAsia"/>
          <w:color w:val="auto"/>
          <w:sz w:val="24"/>
          <w:szCs w:val="24"/>
          <w:highlight w:val="none"/>
        </w:rPr>
        <w:fldChar w:fldCharType="begin"/>
      </w:r>
      <w:r>
        <w:rPr>
          <w:rFonts w:hint="eastAsia" w:asciiTheme="minorEastAsia" w:hAnsiTheme="minorEastAsia" w:eastAsiaTheme="minorEastAsia" w:cstheme="minorEastAsia"/>
          <w:color w:val="auto"/>
          <w:sz w:val="24"/>
          <w:szCs w:val="24"/>
          <w:highlight w:val="none"/>
        </w:rPr>
        <w:instrText xml:space="preserve"> HYPERLINK "http://js.etrading.cn/EpointBidOpening/bidopeninghallaction/hall/login）。" </w:instrText>
      </w:r>
      <w:r>
        <w:rPr>
          <w:rFonts w:hint="eastAsia" w:asciiTheme="minorEastAsia" w:hAnsiTheme="minorEastAsia" w:eastAsiaTheme="minorEastAsia" w:cstheme="minorEastAsia"/>
          <w:color w:val="auto"/>
          <w:sz w:val="24"/>
          <w:szCs w:val="24"/>
          <w:highlight w:val="none"/>
        </w:rPr>
        <w:fldChar w:fldCharType="separate"/>
      </w:r>
      <w:r>
        <w:rPr>
          <w:rFonts w:hint="eastAsia" w:asciiTheme="minorEastAsia" w:hAnsiTheme="minorEastAsia" w:eastAsiaTheme="minorEastAsia" w:cstheme="minorEastAsia"/>
          <w:color w:val="auto"/>
          <w:sz w:val="24"/>
          <w:szCs w:val="24"/>
          <w:highlight w:val="none"/>
        </w:rPr>
        <w:t>http://js.etrading.cn/EpointBidOpening/bidopeninghallaction/hall/login）。</w:t>
      </w:r>
      <w:r>
        <w:rPr>
          <w:rFonts w:hint="eastAsia" w:asciiTheme="minorEastAsia" w:hAnsiTheme="minorEastAsia" w:eastAsiaTheme="minorEastAsia" w:cstheme="minorEastAsia"/>
          <w:color w:val="auto"/>
          <w:sz w:val="24"/>
          <w:szCs w:val="24"/>
          <w:highlight w:val="none"/>
        </w:rPr>
        <w:fldChar w:fldCharType="end"/>
      </w:r>
    </w:p>
    <w:p w14:paraId="5E972291">
      <w:pPr>
        <w:keepNext w:val="0"/>
        <w:keepLines w:val="0"/>
        <w:pageBreakBefore w:val="0"/>
        <w:widowControl w:val="0"/>
        <w:kinsoku/>
        <w:wordWrap/>
        <w:overflowPunct/>
        <w:topLinePunct w:val="0"/>
        <w:autoSpaceDE/>
        <w:autoSpaceDN/>
        <w:bidi w:val="0"/>
        <w:adjustRightInd/>
        <w:snapToGrid/>
        <w:spacing w:line="360" w:lineRule="auto"/>
        <w:ind w:firstLine="437"/>
        <w:textAlignment w:val="auto"/>
        <w:outlineLvl w:val="1"/>
        <w:rPr>
          <w:rFonts w:hint="eastAsia" w:ascii="宋体" w:hAnsi="宋体" w:eastAsia="宋体"/>
          <w:b/>
          <w:bCs/>
          <w:color w:val="auto"/>
          <w:sz w:val="24"/>
          <w:szCs w:val="18"/>
          <w:highlight w:val="none"/>
        </w:rPr>
      </w:pPr>
      <w:bookmarkStart w:id="11" w:name="_Toc14575"/>
      <w:bookmarkStart w:id="12" w:name="_Toc16203"/>
      <w:r>
        <w:rPr>
          <w:rFonts w:hint="eastAsia" w:ascii="宋体" w:hAnsi="宋体" w:eastAsia="宋体"/>
          <w:b/>
          <w:bCs/>
          <w:color w:val="auto"/>
          <w:sz w:val="24"/>
          <w:szCs w:val="18"/>
          <w:highlight w:val="none"/>
          <w:lang w:val="en-US" w:eastAsia="zh-CN"/>
        </w:rPr>
        <w:t>六</w:t>
      </w:r>
      <w:r>
        <w:rPr>
          <w:rFonts w:hint="eastAsia" w:ascii="宋体" w:hAnsi="宋体" w:eastAsia="宋体"/>
          <w:b/>
          <w:bCs/>
          <w:color w:val="auto"/>
          <w:sz w:val="24"/>
          <w:szCs w:val="18"/>
          <w:highlight w:val="none"/>
        </w:rPr>
        <w:t>、公告期限</w:t>
      </w:r>
      <w:bookmarkEnd w:id="11"/>
    </w:p>
    <w:p w14:paraId="7B75C629">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highlight w:val="none"/>
          <w:u w:val="none"/>
        </w:rPr>
      </w:pPr>
      <w:r>
        <w:rPr>
          <w:rFonts w:hint="eastAsia" w:asciiTheme="minorEastAsia" w:hAnsiTheme="minorEastAsia" w:eastAsiaTheme="minorEastAsia" w:cstheme="minorEastAsia"/>
          <w:bCs/>
          <w:color w:val="auto"/>
          <w:sz w:val="24"/>
          <w:szCs w:val="24"/>
          <w:highlight w:val="none"/>
          <w:u w:val="none"/>
        </w:rPr>
        <w:t>自本公告发布之日起3个工作日。</w:t>
      </w:r>
    </w:p>
    <w:p w14:paraId="03749FBE">
      <w:pPr>
        <w:spacing w:line="480" w:lineRule="exact"/>
        <w:ind w:firstLine="437"/>
        <w:outlineLvl w:val="1"/>
        <w:rPr>
          <w:rFonts w:ascii="宋体" w:hAnsi="宋体" w:eastAsia="宋体"/>
          <w:b/>
          <w:bCs/>
          <w:color w:val="auto"/>
          <w:sz w:val="24"/>
          <w:szCs w:val="18"/>
          <w:highlight w:val="none"/>
        </w:rPr>
      </w:pPr>
      <w:bookmarkStart w:id="13" w:name="_Toc35393626"/>
      <w:bookmarkStart w:id="14" w:name="_Toc35393795"/>
      <w:bookmarkStart w:id="15" w:name="_Toc10195"/>
      <w:bookmarkStart w:id="16" w:name="_Toc7755"/>
      <w:r>
        <w:rPr>
          <w:rFonts w:hint="eastAsia" w:ascii="宋体" w:hAnsi="宋体" w:eastAsia="宋体"/>
          <w:b/>
          <w:bCs/>
          <w:color w:val="auto"/>
          <w:sz w:val="24"/>
          <w:szCs w:val="18"/>
          <w:highlight w:val="none"/>
        </w:rPr>
        <w:t>七、保证金金额及缴纳账户</w:t>
      </w:r>
    </w:p>
    <w:p w14:paraId="43B9E2D5">
      <w:pPr>
        <w:adjustRightInd w:val="0"/>
        <w:snapToGrid w:val="0"/>
        <w:spacing w:line="480" w:lineRule="exact"/>
        <w:ind w:firstLine="480" w:firstLineChars="200"/>
        <w:rPr>
          <w:rFonts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是否要求供应商提交保证金：不要求。</w:t>
      </w:r>
    </w:p>
    <w:p w14:paraId="7F0F6DFF">
      <w:pPr>
        <w:spacing w:line="360" w:lineRule="auto"/>
        <w:ind w:firstLine="435"/>
        <w:outlineLvl w:val="1"/>
        <w:rPr>
          <w:rFonts w:ascii="宋体" w:hAnsi="宋体" w:eastAsia="宋体"/>
          <w:b/>
          <w:bCs/>
          <w:color w:val="auto"/>
          <w:sz w:val="24"/>
          <w:szCs w:val="18"/>
          <w:highlight w:val="none"/>
        </w:rPr>
      </w:pPr>
      <w:r>
        <w:rPr>
          <w:rFonts w:hint="eastAsia" w:ascii="宋体" w:hAnsi="宋体" w:eastAsia="宋体"/>
          <w:b/>
          <w:bCs/>
          <w:color w:val="auto"/>
          <w:sz w:val="24"/>
          <w:szCs w:val="18"/>
          <w:highlight w:val="none"/>
        </w:rPr>
        <w:t>八</w:t>
      </w:r>
      <w:bookmarkEnd w:id="13"/>
      <w:bookmarkEnd w:id="14"/>
      <w:bookmarkEnd w:id="15"/>
      <w:r>
        <w:rPr>
          <w:rFonts w:hint="eastAsia" w:ascii="宋体" w:hAnsi="宋体" w:eastAsia="宋体"/>
          <w:b/>
          <w:bCs/>
          <w:color w:val="auto"/>
          <w:sz w:val="24"/>
          <w:szCs w:val="18"/>
          <w:highlight w:val="none"/>
          <w:lang w:val="en-US" w:eastAsia="zh-CN"/>
        </w:rPr>
        <w:t>、</w:t>
      </w:r>
      <w:bookmarkEnd w:id="12"/>
      <w:r>
        <w:rPr>
          <w:rFonts w:hint="eastAsia" w:ascii="宋体" w:hAnsi="宋体" w:eastAsia="宋体"/>
          <w:b/>
          <w:bCs/>
          <w:color w:val="auto"/>
          <w:sz w:val="24"/>
          <w:szCs w:val="18"/>
          <w:highlight w:val="none"/>
          <w:lang w:val="en-US" w:eastAsia="zh-CN"/>
        </w:rPr>
        <w:t>凡对本次采购提出询问，请按以下方式联系</w:t>
      </w:r>
      <w:bookmarkEnd w:id="16"/>
    </w:p>
    <w:p w14:paraId="24B295BC">
      <w:pPr>
        <w:spacing w:line="360" w:lineRule="auto"/>
        <w:ind w:firstLine="435"/>
        <w:outlineLvl w:val="2"/>
        <w:rPr>
          <w:rFonts w:ascii="宋体" w:hAnsi="宋体" w:eastAsia="宋体"/>
          <w:color w:val="auto"/>
          <w:sz w:val="24"/>
          <w:szCs w:val="18"/>
          <w:highlight w:val="none"/>
        </w:rPr>
      </w:pPr>
      <w:r>
        <w:rPr>
          <w:rFonts w:hint="eastAsia" w:ascii="宋体" w:hAnsi="宋体" w:eastAsia="宋体"/>
          <w:color w:val="auto"/>
          <w:sz w:val="24"/>
          <w:szCs w:val="18"/>
          <w:highlight w:val="none"/>
        </w:rPr>
        <w:t>1.采购人</w:t>
      </w:r>
      <w:r>
        <w:rPr>
          <w:rFonts w:hint="eastAsia" w:ascii="宋体" w:hAnsi="宋体" w:eastAsia="宋体"/>
          <w:color w:val="auto"/>
          <w:sz w:val="24"/>
          <w:szCs w:val="18"/>
          <w:highlight w:val="none"/>
          <w:lang w:val="en-US" w:eastAsia="zh-CN"/>
        </w:rPr>
        <w:t>信息</w:t>
      </w:r>
    </w:p>
    <w:p w14:paraId="7D1F8213">
      <w:pPr>
        <w:spacing w:line="360" w:lineRule="auto"/>
        <w:ind w:firstLine="435"/>
        <w:rPr>
          <w:rFonts w:hint="default" w:ascii="宋体" w:hAnsi="宋体" w:eastAsia="宋体"/>
          <w:color w:val="auto"/>
          <w:sz w:val="24"/>
          <w:szCs w:val="18"/>
          <w:highlight w:val="none"/>
          <w:lang w:val="en-US" w:eastAsia="zh-CN"/>
        </w:rPr>
      </w:pPr>
      <w:r>
        <w:rPr>
          <w:rFonts w:hint="eastAsia" w:ascii="宋体" w:hAnsi="宋体" w:eastAsia="宋体" w:cs="宋体"/>
          <w:color w:val="auto"/>
          <w:sz w:val="24"/>
          <w:szCs w:val="24"/>
          <w:highlight w:val="none"/>
          <w:lang w:val="en-US" w:eastAsia="zh-CN"/>
        </w:rPr>
        <w:t>名称</w:t>
      </w:r>
      <w:r>
        <w:rPr>
          <w:rFonts w:hint="eastAsia" w:ascii="宋体" w:hAnsi="宋体" w:eastAsia="宋体"/>
          <w:color w:val="auto"/>
          <w:sz w:val="24"/>
          <w:szCs w:val="18"/>
          <w:highlight w:val="none"/>
        </w:rPr>
        <w:t>：滁州市人力资源和社会保障局</w:t>
      </w:r>
    </w:p>
    <w:p w14:paraId="55336586">
      <w:pPr>
        <w:spacing w:line="360" w:lineRule="auto"/>
        <w:ind w:firstLine="435"/>
        <w:rPr>
          <w:rFonts w:hint="default" w:ascii="宋体" w:hAnsi="宋体" w:eastAsia="宋体"/>
          <w:color w:val="auto"/>
          <w:sz w:val="24"/>
          <w:szCs w:val="18"/>
          <w:highlight w:val="none"/>
          <w:u w:val="none"/>
          <w:lang w:val="en-US" w:eastAsia="zh-CN"/>
        </w:rPr>
      </w:pPr>
      <w:r>
        <w:rPr>
          <w:rFonts w:hint="eastAsia" w:ascii="宋体" w:hAnsi="宋体" w:eastAsia="宋体"/>
          <w:color w:val="auto"/>
          <w:sz w:val="24"/>
          <w:szCs w:val="18"/>
          <w:highlight w:val="none"/>
        </w:rPr>
        <w:t>地址：滁州市龙蟠大道</w:t>
      </w:r>
      <w:r>
        <w:rPr>
          <w:rFonts w:hint="eastAsia" w:ascii="宋体" w:hAnsi="宋体" w:eastAsia="宋体"/>
          <w:color w:val="auto"/>
          <w:sz w:val="24"/>
          <w:szCs w:val="18"/>
          <w:highlight w:val="none"/>
          <w:lang w:val="en-US" w:eastAsia="zh-CN"/>
        </w:rPr>
        <w:t>99</w:t>
      </w:r>
      <w:r>
        <w:rPr>
          <w:rFonts w:hint="eastAsia" w:ascii="宋体" w:hAnsi="宋体" w:eastAsia="宋体"/>
          <w:color w:val="auto"/>
          <w:sz w:val="24"/>
          <w:szCs w:val="18"/>
          <w:highlight w:val="none"/>
        </w:rPr>
        <w:t>号政务中心西</w:t>
      </w:r>
      <w:r>
        <w:rPr>
          <w:rFonts w:hint="eastAsia" w:ascii="宋体" w:hAnsi="宋体" w:eastAsia="宋体"/>
          <w:color w:val="auto"/>
          <w:sz w:val="24"/>
          <w:szCs w:val="18"/>
          <w:highlight w:val="none"/>
          <w:lang w:val="en-US" w:eastAsia="zh-CN"/>
        </w:rPr>
        <w:t>8</w:t>
      </w:r>
      <w:r>
        <w:rPr>
          <w:rFonts w:hint="eastAsia" w:ascii="宋体" w:hAnsi="宋体" w:eastAsia="宋体"/>
          <w:color w:val="auto"/>
          <w:sz w:val="24"/>
          <w:szCs w:val="18"/>
          <w:highlight w:val="none"/>
        </w:rPr>
        <w:t>楼</w:t>
      </w:r>
      <w:r>
        <w:rPr>
          <w:rFonts w:hint="eastAsia" w:ascii="宋体" w:hAnsi="宋体" w:eastAsia="宋体"/>
          <w:color w:val="auto"/>
          <w:sz w:val="24"/>
          <w:szCs w:val="18"/>
          <w:highlight w:val="none"/>
          <w:lang w:val="en-US" w:eastAsia="zh-CN"/>
        </w:rPr>
        <w:t xml:space="preserve"> </w:t>
      </w:r>
    </w:p>
    <w:p w14:paraId="4B39E4F3">
      <w:pPr>
        <w:spacing w:line="360" w:lineRule="auto"/>
        <w:ind w:firstLine="435"/>
        <w:rPr>
          <w:rFonts w:hint="default" w:ascii="宋体" w:hAnsi="宋体" w:eastAsia="宋体"/>
          <w:color w:val="auto"/>
          <w:sz w:val="24"/>
          <w:szCs w:val="18"/>
          <w:highlight w:val="none"/>
          <w:u w:val="none"/>
          <w:lang w:val="en-US" w:eastAsia="zh-CN"/>
        </w:rPr>
      </w:pPr>
      <w:r>
        <w:rPr>
          <w:rFonts w:hint="eastAsia" w:ascii="宋体" w:hAnsi="宋体" w:eastAsia="宋体"/>
          <w:color w:val="auto"/>
          <w:sz w:val="24"/>
          <w:szCs w:val="18"/>
          <w:highlight w:val="none"/>
          <w:u w:val="none"/>
          <w:lang w:val="en-US" w:eastAsia="zh-CN"/>
        </w:rPr>
        <w:t>联系人：李敏敏</w:t>
      </w:r>
    </w:p>
    <w:p w14:paraId="6E7444DC">
      <w:pPr>
        <w:spacing w:line="360" w:lineRule="auto"/>
        <w:ind w:firstLine="435"/>
        <w:rPr>
          <w:rFonts w:hint="default" w:ascii="宋体" w:hAnsi="宋体" w:eastAsia="宋体"/>
          <w:color w:val="auto"/>
          <w:sz w:val="24"/>
          <w:szCs w:val="18"/>
          <w:highlight w:val="none"/>
          <w:u w:val="none"/>
          <w:lang w:val="en-US" w:eastAsia="zh-CN"/>
        </w:rPr>
      </w:pPr>
      <w:r>
        <w:rPr>
          <w:rFonts w:hint="eastAsia" w:ascii="宋体" w:hAnsi="宋体" w:eastAsia="宋体"/>
          <w:color w:val="auto"/>
          <w:sz w:val="24"/>
          <w:szCs w:val="18"/>
          <w:highlight w:val="none"/>
        </w:rPr>
        <w:t>联系</w:t>
      </w:r>
      <w:r>
        <w:rPr>
          <w:rFonts w:hint="eastAsia" w:ascii="宋体" w:hAnsi="宋体" w:eastAsia="宋体"/>
          <w:color w:val="auto"/>
          <w:sz w:val="24"/>
          <w:szCs w:val="18"/>
          <w:highlight w:val="none"/>
          <w:lang w:val="en-US" w:eastAsia="zh-CN"/>
        </w:rPr>
        <w:t>方式</w:t>
      </w:r>
      <w:r>
        <w:rPr>
          <w:rFonts w:hint="eastAsia" w:ascii="宋体" w:hAnsi="宋体" w:eastAsia="宋体"/>
          <w:color w:val="auto"/>
          <w:sz w:val="24"/>
          <w:szCs w:val="18"/>
          <w:highlight w:val="none"/>
        </w:rPr>
        <w:t>：</w:t>
      </w:r>
      <w:r>
        <w:rPr>
          <w:rFonts w:hint="eastAsia" w:ascii="宋体" w:hAnsi="宋体" w:eastAsia="宋体"/>
          <w:color w:val="auto"/>
          <w:sz w:val="24"/>
          <w:szCs w:val="18"/>
          <w:highlight w:val="none"/>
          <w:u w:val="none"/>
          <w:lang w:val="en-US" w:eastAsia="zh-CN"/>
        </w:rPr>
        <w:t>0550-3047829</w:t>
      </w:r>
    </w:p>
    <w:p w14:paraId="1DC58682">
      <w:pPr>
        <w:spacing w:line="360" w:lineRule="auto"/>
        <w:ind w:firstLine="437"/>
        <w:outlineLvl w:val="9"/>
        <w:rPr>
          <w:rFonts w:hint="eastAsia" w:ascii="宋体" w:hAnsi="宋体" w:eastAsia="宋体"/>
          <w:color w:val="auto"/>
          <w:sz w:val="24"/>
          <w:szCs w:val="18"/>
          <w:highlight w:val="none"/>
          <w:lang w:val="en-US" w:eastAsia="zh-CN"/>
        </w:rPr>
      </w:pPr>
      <w:r>
        <w:rPr>
          <w:rFonts w:ascii="宋体" w:hAnsi="宋体" w:eastAsia="宋体"/>
          <w:color w:val="auto"/>
          <w:sz w:val="24"/>
          <w:szCs w:val="18"/>
          <w:highlight w:val="none"/>
        </w:rPr>
        <w:t>2.代理机构</w:t>
      </w:r>
      <w:r>
        <w:rPr>
          <w:rFonts w:hint="eastAsia" w:ascii="宋体" w:hAnsi="宋体" w:eastAsia="宋体"/>
          <w:color w:val="auto"/>
          <w:sz w:val="24"/>
          <w:szCs w:val="18"/>
          <w:highlight w:val="none"/>
          <w:lang w:val="en-US" w:eastAsia="zh-CN"/>
        </w:rPr>
        <w:t>信息</w:t>
      </w:r>
    </w:p>
    <w:p w14:paraId="001D1F7C">
      <w:pPr>
        <w:spacing w:line="360" w:lineRule="auto"/>
        <w:ind w:firstLine="435"/>
        <w:rPr>
          <w:rFonts w:ascii="宋体" w:hAnsi="宋体" w:eastAsia="宋体"/>
          <w:color w:val="auto"/>
          <w:sz w:val="24"/>
          <w:szCs w:val="18"/>
          <w:highlight w:val="none"/>
        </w:rPr>
      </w:pPr>
      <w:r>
        <w:rPr>
          <w:rFonts w:hint="eastAsia" w:ascii="宋体" w:hAnsi="宋体" w:eastAsia="宋体" w:cs="宋体"/>
          <w:color w:val="auto"/>
          <w:sz w:val="24"/>
          <w:szCs w:val="24"/>
          <w:highlight w:val="none"/>
          <w:lang w:val="en-US" w:eastAsia="zh-CN"/>
        </w:rPr>
        <w:t>名称</w:t>
      </w:r>
      <w:r>
        <w:rPr>
          <w:rFonts w:hint="eastAsia" w:ascii="宋体" w:hAnsi="宋体" w:eastAsia="宋体"/>
          <w:color w:val="auto"/>
          <w:sz w:val="24"/>
          <w:szCs w:val="18"/>
          <w:highlight w:val="none"/>
        </w:rPr>
        <w:t>：</w:t>
      </w:r>
      <w:r>
        <w:rPr>
          <w:rFonts w:hint="eastAsia" w:ascii="宋体" w:hAnsi="宋体" w:eastAsia="宋体"/>
          <w:color w:val="auto"/>
          <w:sz w:val="24"/>
          <w:szCs w:val="18"/>
          <w:highlight w:val="none"/>
          <w:lang w:val="en-US" w:eastAsia="zh-CN"/>
        </w:rPr>
        <w:t>滁州市城投工程咨询管理有限公司</w:t>
      </w:r>
    </w:p>
    <w:p w14:paraId="7BD98F0B">
      <w:pPr>
        <w:spacing w:line="360" w:lineRule="auto"/>
        <w:ind w:firstLine="435"/>
        <w:rPr>
          <w:rFonts w:ascii="宋体" w:hAnsi="宋体" w:eastAsia="宋体"/>
          <w:color w:val="auto"/>
          <w:sz w:val="24"/>
          <w:szCs w:val="18"/>
          <w:highlight w:val="none"/>
          <w:u w:val="single"/>
        </w:rPr>
      </w:pPr>
      <w:r>
        <w:rPr>
          <w:rFonts w:hint="eastAsia" w:ascii="宋体" w:hAnsi="宋体" w:eastAsia="宋体"/>
          <w:color w:val="auto"/>
          <w:sz w:val="24"/>
          <w:szCs w:val="18"/>
          <w:highlight w:val="none"/>
        </w:rPr>
        <w:t>地</w:t>
      </w:r>
      <w:r>
        <w:rPr>
          <w:rFonts w:ascii="宋体" w:hAnsi="宋体" w:eastAsia="宋体"/>
          <w:color w:val="auto"/>
          <w:sz w:val="24"/>
          <w:szCs w:val="18"/>
          <w:highlight w:val="none"/>
        </w:rPr>
        <w:t>址：</w:t>
      </w:r>
      <w:r>
        <w:rPr>
          <w:rFonts w:hint="eastAsia" w:ascii="宋体" w:hAnsi="宋体" w:eastAsia="宋体"/>
          <w:color w:val="auto"/>
          <w:sz w:val="24"/>
          <w:szCs w:val="18"/>
          <w:highlight w:val="none"/>
          <w:u w:val="none"/>
        </w:rPr>
        <w:t>滁州市龙蟠大道109号房产大厦6楼</w:t>
      </w:r>
      <w:r>
        <w:rPr>
          <w:rFonts w:hint="eastAsia" w:ascii="宋体" w:hAnsi="宋体" w:eastAsia="宋体"/>
          <w:color w:val="auto"/>
          <w:sz w:val="24"/>
          <w:szCs w:val="18"/>
          <w:highlight w:val="none"/>
          <w:u w:val="none"/>
          <w:lang w:val="en-US" w:eastAsia="zh-CN"/>
        </w:rPr>
        <w:t>620</w:t>
      </w:r>
      <w:r>
        <w:rPr>
          <w:rFonts w:hint="eastAsia" w:ascii="宋体" w:hAnsi="宋体" w:eastAsia="宋体"/>
          <w:color w:val="auto"/>
          <w:sz w:val="24"/>
          <w:szCs w:val="18"/>
          <w:highlight w:val="none"/>
          <w:u w:val="none"/>
        </w:rPr>
        <w:t>室</w:t>
      </w:r>
    </w:p>
    <w:p w14:paraId="4C3A3344">
      <w:pPr>
        <w:spacing w:line="360" w:lineRule="auto"/>
        <w:ind w:firstLine="435"/>
        <w:rPr>
          <w:rFonts w:hint="eastAsia" w:eastAsia="宋体"/>
          <w:color w:val="auto"/>
          <w:highlight w:val="none"/>
          <w:u w:val="none"/>
          <w:lang w:eastAsia="zh-CN"/>
        </w:rPr>
      </w:pPr>
      <w:r>
        <w:rPr>
          <w:rFonts w:hint="eastAsia" w:ascii="宋体" w:hAnsi="宋体" w:eastAsia="宋体"/>
          <w:color w:val="auto"/>
          <w:sz w:val="24"/>
          <w:szCs w:val="18"/>
          <w:highlight w:val="none"/>
          <w:lang w:val="en-US" w:eastAsia="zh-CN"/>
        </w:rPr>
        <w:t>联系人：</w:t>
      </w:r>
      <w:r>
        <w:rPr>
          <w:rFonts w:hint="eastAsia" w:ascii="宋体" w:hAnsi="宋体" w:eastAsia="宋体"/>
          <w:color w:val="auto"/>
          <w:sz w:val="24"/>
          <w:szCs w:val="18"/>
          <w:highlight w:val="none"/>
          <w:u w:val="none"/>
          <w:lang w:val="en-US" w:eastAsia="zh-CN"/>
        </w:rPr>
        <w:t>关勤勤</w:t>
      </w:r>
    </w:p>
    <w:p w14:paraId="4E814982">
      <w:pPr>
        <w:spacing w:line="360" w:lineRule="auto"/>
        <w:ind w:firstLine="435"/>
        <w:rPr>
          <w:rFonts w:hint="default" w:ascii="宋体" w:hAnsi="宋体" w:eastAsia="宋体"/>
          <w:color w:val="auto"/>
          <w:sz w:val="24"/>
          <w:szCs w:val="18"/>
          <w:highlight w:val="none"/>
          <w:u w:val="none"/>
          <w:lang w:val="en-US" w:eastAsia="zh-CN"/>
        </w:rPr>
      </w:pPr>
      <w:r>
        <w:rPr>
          <w:rFonts w:hint="eastAsia" w:ascii="宋体" w:hAnsi="宋体" w:eastAsia="宋体"/>
          <w:color w:val="auto"/>
          <w:sz w:val="24"/>
          <w:szCs w:val="18"/>
          <w:highlight w:val="none"/>
          <w:u w:val="none"/>
        </w:rPr>
        <w:t>联系</w:t>
      </w:r>
      <w:r>
        <w:rPr>
          <w:rFonts w:hint="eastAsia" w:ascii="宋体" w:hAnsi="宋体" w:eastAsia="宋体"/>
          <w:color w:val="auto"/>
          <w:sz w:val="24"/>
          <w:szCs w:val="18"/>
          <w:highlight w:val="none"/>
          <w:u w:val="none"/>
          <w:lang w:val="en-US" w:eastAsia="zh-CN"/>
        </w:rPr>
        <w:t>方式</w:t>
      </w:r>
      <w:r>
        <w:rPr>
          <w:rFonts w:hint="eastAsia" w:ascii="宋体" w:hAnsi="宋体" w:eastAsia="宋体"/>
          <w:color w:val="auto"/>
          <w:sz w:val="24"/>
          <w:szCs w:val="18"/>
          <w:highlight w:val="none"/>
          <w:u w:val="none"/>
        </w:rPr>
        <w:t>：</w:t>
      </w:r>
      <w:r>
        <w:rPr>
          <w:rFonts w:hint="eastAsia" w:ascii="宋体" w:hAnsi="宋体" w:eastAsia="宋体"/>
          <w:color w:val="auto"/>
          <w:sz w:val="24"/>
          <w:szCs w:val="18"/>
          <w:highlight w:val="none"/>
          <w:u w:val="none"/>
          <w:lang w:val="en-US" w:eastAsia="zh-CN"/>
        </w:rPr>
        <w:t>18909605753</w:t>
      </w:r>
    </w:p>
    <w:p w14:paraId="311C3B5F">
      <w:pPr>
        <w:spacing w:line="360" w:lineRule="auto"/>
        <w:ind w:firstLine="435"/>
        <w:rPr>
          <w:rFonts w:ascii="宋体" w:hAnsi="宋体" w:eastAsia="宋体"/>
          <w:color w:val="auto"/>
          <w:sz w:val="24"/>
          <w:szCs w:val="18"/>
          <w:highlight w:val="none"/>
        </w:rPr>
      </w:pPr>
    </w:p>
    <w:p w14:paraId="75C32FB8">
      <w:pPr>
        <w:pStyle w:val="18"/>
        <w:rPr>
          <w:rFonts w:ascii="宋体" w:hAnsi="宋体" w:eastAsia="宋体"/>
          <w:color w:val="auto"/>
          <w:sz w:val="24"/>
          <w:szCs w:val="18"/>
          <w:highlight w:val="none"/>
        </w:rPr>
      </w:pPr>
    </w:p>
    <w:p w14:paraId="4072DB7C">
      <w:pPr>
        <w:rPr>
          <w:rFonts w:ascii="宋体" w:hAnsi="宋体" w:eastAsia="宋体"/>
          <w:color w:val="auto"/>
          <w:sz w:val="24"/>
          <w:szCs w:val="18"/>
          <w:highlight w:val="none"/>
        </w:rPr>
      </w:pPr>
    </w:p>
    <w:p w14:paraId="46E3FA7E">
      <w:pPr>
        <w:pStyle w:val="18"/>
        <w:rPr>
          <w:rFonts w:ascii="宋体" w:hAnsi="宋体" w:eastAsia="宋体"/>
          <w:color w:val="auto"/>
          <w:sz w:val="24"/>
          <w:szCs w:val="18"/>
          <w:highlight w:val="none"/>
        </w:rPr>
      </w:pPr>
    </w:p>
    <w:p w14:paraId="0E5E865C">
      <w:pPr>
        <w:rPr>
          <w:rFonts w:ascii="宋体" w:hAnsi="宋体" w:eastAsia="宋体"/>
          <w:color w:val="auto"/>
          <w:sz w:val="24"/>
          <w:szCs w:val="18"/>
          <w:highlight w:val="none"/>
        </w:rPr>
      </w:pPr>
    </w:p>
    <w:p w14:paraId="4F7449D6">
      <w:pPr>
        <w:pStyle w:val="18"/>
        <w:rPr>
          <w:rFonts w:ascii="宋体" w:hAnsi="宋体" w:eastAsia="宋体"/>
          <w:color w:val="auto"/>
          <w:sz w:val="24"/>
          <w:szCs w:val="18"/>
          <w:highlight w:val="none"/>
        </w:rPr>
      </w:pPr>
    </w:p>
    <w:p w14:paraId="2B1AFABE">
      <w:pPr>
        <w:rPr>
          <w:rFonts w:ascii="宋体" w:hAnsi="宋体" w:eastAsia="宋体"/>
          <w:color w:val="auto"/>
          <w:sz w:val="24"/>
          <w:szCs w:val="18"/>
          <w:highlight w:val="none"/>
        </w:rPr>
      </w:pPr>
    </w:p>
    <w:p w14:paraId="7D9124C9">
      <w:pPr>
        <w:pStyle w:val="18"/>
        <w:rPr>
          <w:rFonts w:ascii="宋体" w:hAnsi="宋体" w:eastAsia="宋体"/>
          <w:color w:val="auto"/>
          <w:sz w:val="24"/>
          <w:szCs w:val="18"/>
          <w:highlight w:val="none"/>
        </w:rPr>
      </w:pPr>
    </w:p>
    <w:p w14:paraId="4A32344E">
      <w:pPr>
        <w:spacing w:line="360" w:lineRule="auto"/>
        <w:jc w:val="center"/>
        <w:outlineLvl w:val="0"/>
        <w:rPr>
          <w:rFonts w:asciiTheme="minorEastAsia" w:hAnsiTheme="minorEastAsia" w:eastAsiaTheme="minorEastAsia"/>
          <w:b/>
          <w:color w:val="auto"/>
          <w:sz w:val="28"/>
          <w:highlight w:val="none"/>
        </w:rPr>
      </w:pPr>
      <w:bookmarkStart w:id="17" w:name="_Toc5721"/>
      <w:r>
        <w:rPr>
          <w:rFonts w:hint="eastAsia" w:asciiTheme="minorEastAsia" w:hAnsiTheme="minorEastAsia" w:eastAsiaTheme="minorEastAsia"/>
          <w:b/>
          <w:color w:val="auto"/>
          <w:sz w:val="28"/>
          <w:highlight w:val="none"/>
        </w:rPr>
        <w:t>第二章</w:t>
      </w:r>
      <w:r>
        <w:rPr>
          <w:rFonts w:asciiTheme="minorEastAsia" w:hAnsiTheme="minorEastAsia" w:eastAsiaTheme="minorEastAsia"/>
          <w:b/>
          <w:color w:val="auto"/>
          <w:sz w:val="28"/>
          <w:highlight w:val="none"/>
        </w:rPr>
        <w:t xml:space="preserve"> </w:t>
      </w:r>
      <w:r>
        <w:rPr>
          <w:rFonts w:hint="eastAsia" w:asciiTheme="minorEastAsia" w:hAnsiTheme="minorEastAsia" w:eastAsiaTheme="minorEastAsia"/>
          <w:b/>
          <w:color w:val="auto"/>
          <w:sz w:val="28"/>
          <w:highlight w:val="none"/>
        </w:rPr>
        <w:t xml:space="preserve"> 供应商</w:t>
      </w:r>
      <w:r>
        <w:rPr>
          <w:rFonts w:asciiTheme="minorEastAsia" w:hAnsiTheme="minorEastAsia" w:eastAsiaTheme="minorEastAsia"/>
          <w:b/>
          <w:color w:val="auto"/>
          <w:sz w:val="28"/>
          <w:highlight w:val="none"/>
        </w:rPr>
        <w:t>须知</w:t>
      </w:r>
      <w:bookmarkEnd w:id="17"/>
    </w:p>
    <w:p w14:paraId="11DD15B5">
      <w:pPr>
        <w:spacing w:line="360" w:lineRule="auto"/>
        <w:jc w:val="center"/>
        <w:outlineLvl w:val="1"/>
        <w:rPr>
          <w:rFonts w:asciiTheme="minorEastAsia" w:hAnsiTheme="minorEastAsia" w:eastAsiaTheme="minorEastAsia"/>
          <w:b/>
          <w:color w:val="auto"/>
          <w:sz w:val="24"/>
          <w:highlight w:val="none"/>
        </w:rPr>
      </w:pPr>
      <w:bookmarkStart w:id="18" w:name="_Toc16645"/>
      <w:bookmarkStart w:id="19" w:name="_Toc27956"/>
      <w:r>
        <w:rPr>
          <w:rFonts w:hint="eastAsia" w:asciiTheme="minorEastAsia" w:hAnsiTheme="minorEastAsia" w:eastAsiaTheme="minorEastAsia"/>
          <w:b/>
          <w:color w:val="auto"/>
          <w:sz w:val="24"/>
          <w:highlight w:val="none"/>
        </w:rPr>
        <w:t>一、供应商</w:t>
      </w:r>
      <w:r>
        <w:rPr>
          <w:rFonts w:asciiTheme="minorEastAsia" w:hAnsiTheme="minorEastAsia" w:eastAsiaTheme="minorEastAsia"/>
          <w:b/>
          <w:color w:val="auto"/>
          <w:sz w:val="24"/>
          <w:highlight w:val="none"/>
        </w:rPr>
        <w:t>须知前附表</w:t>
      </w:r>
      <w:bookmarkEnd w:id="18"/>
      <w:bookmarkEnd w:id="19"/>
    </w:p>
    <w:p w14:paraId="06E62344">
      <w:pPr>
        <w:spacing w:line="360" w:lineRule="auto"/>
        <w:ind w:firstLine="435"/>
        <w:rPr>
          <w:rFonts w:ascii="宋体" w:hAnsi="宋体" w:eastAsia="宋体"/>
          <w:color w:val="auto"/>
          <w:sz w:val="24"/>
          <w:szCs w:val="18"/>
          <w:highlight w:val="none"/>
        </w:rPr>
      </w:pPr>
      <w:r>
        <w:rPr>
          <w:rFonts w:hint="eastAsia" w:ascii="宋体" w:hAnsi="宋体" w:eastAsia="宋体"/>
          <w:b/>
          <w:bCs/>
          <w:color w:val="auto"/>
          <w:sz w:val="24"/>
          <w:szCs w:val="18"/>
          <w:highlight w:val="none"/>
        </w:rPr>
        <w:t>注：</w:t>
      </w:r>
      <w:r>
        <w:rPr>
          <w:rFonts w:hint="eastAsia" w:ascii="宋体" w:hAnsi="宋体" w:eastAsia="宋体"/>
          <w:color w:val="auto"/>
          <w:sz w:val="24"/>
          <w:szCs w:val="18"/>
          <w:highlight w:val="none"/>
        </w:rPr>
        <w:t>本表是本项目的具体要求，是对供应商须知的具体补充和修改，如有不一致，以本表为准。</w:t>
      </w:r>
    </w:p>
    <w:tbl>
      <w:tblPr>
        <w:tblStyle w:val="29"/>
        <w:tblW w:w="513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89"/>
        <w:gridCol w:w="2212"/>
        <w:gridCol w:w="6240"/>
      </w:tblGrid>
      <w:tr w14:paraId="7E60D5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71" w:type="pct"/>
            <w:vAlign w:val="center"/>
          </w:tcPr>
          <w:p w14:paraId="24D4F2AD">
            <w:pPr>
              <w:pStyle w:val="46"/>
              <w:keepNext w:val="0"/>
              <w:keepLines w:val="0"/>
              <w:pageBreakBefore w:val="0"/>
              <w:widowControl w:val="0"/>
              <w:kinsoku/>
              <w:overflowPunct/>
              <w:topLinePunct w:val="0"/>
              <w:autoSpaceDE/>
              <w:autoSpaceDN/>
              <w:bidi w:val="0"/>
              <w:adjustRightInd/>
              <w:snapToGrid/>
              <w:spacing w:before="0" w:beforeAutospacing="0" w:after="0" w:afterAutospacing="0" w:line="440" w:lineRule="exact"/>
              <w:textAlignment w:val="auto"/>
              <w:rPr>
                <w:rFonts w:ascii="宋体" w:hAnsi="宋体" w:eastAsia="宋体"/>
                <w:bCs w:val="0"/>
                <w:color w:val="auto"/>
                <w:kern w:val="2"/>
                <w:sz w:val="24"/>
                <w:szCs w:val="20"/>
                <w:highlight w:val="none"/>
              </w:rPr>
            </w:pPr>
            <w:r>
              <w:rPr>
                <w:rFonts w:hint="eastAsia" w:ascii="宋体" w:hAnsi="宋体" w:eastAsia="宋体"/>
                <w:bCs w:val="0"/>
                <w:color w:val="auto"/>
                <w:kern w:val="2"/>
                <w:sz w:val="24"/>
                <w:szCs w:val="20"/>
                <w:highlight w:val="none"/>
              </w:rPr>
              <w:t>条款号</w:t>
            </w:r>
          </w:p>
        </w:tc>
        <w:tc>
          <w:tcPr>
            <w:tcW w:w="1159" w:type="pct"/>
            <w:vAlign w:val="center"/>
          </w:tcPr>
          <w:p w14:paraId="7CFE8F7C">
            <w:pPr>
              <w:pStyle w:val="46"/>
              <w:keepNext w:val="0"/>
              <w:keepLines w:val="0"/>
              <w:pageBreakBefore w:val="0"/>
              <w:widowControl w:val="0"/>
              <w:kinsoku/>
              <w:overflowPunct/>
              <w:topLinePunct w:val="0"/>
              <w:autoSpaceDE/>
              <w:autoSpaceDN/>
              <w:bidi w:val="0"/>
              <w:adjustRightInd/>
              <w:snapToGrid/>
              <w:spacing w:before="0" w:beforeAutospacing="0" w:after="0" w:afterAutospacing="0" w:line="440" w:lineRule="exact"/>
              <w:textAlignment w:val="auto"/>
              <w:rPr>
                <w:rFonts w:ascii="宋体" w:hAnsi="宋体" w:eastAsia="宋体"/>
                <w:bCs w:val="0"/>
                <w:color w:val="auto"/>
                <w:kern w:val="2"/>
                <w:sz w:val="24"/>
                <w:szCs w:val="20"/>
                <w:highlight w:val="none"/>
              </w:rPr>
            </w:pPr>
            <w:r>
              <w:rPr>
                <w:rFonts w:hint="eastAsia" w:ascii="宋体" w:hAnsi="宋体" w:eastAsia="宋体"/>
                <w:bCs w:val="0"/>
                <w:color w:val="auto"/>
                <w:kern w:val="2"/>
                <w:sz w:val="24"/>
                <w:szCs w:val="20"/>
                <w:highlight w:val="none"/>
              </w:rPr>
              <w:t>条款名称</w:t>
            </w:r>
          </w:p>
        </w:tc>
        <w:tc>
          <w:tcPr>
            <w:tcW w:w="3269" w:type="pct"/>
            <w:vAlign w:val="center"/>
          </w:tcPr>
          <w:p w14:paraId="2F9B67AB">
            <w:pPr>
              <w:pStyle w:val="46"/>
              <w:keepNext w:val="0"/>
              <w:keepLines w:val="0"/>
              <w:pageBreakBefore w:val="0"/>
              <w:widowControl w:val="0"/>
              <w:kinsoku/>
              <w:overflowPunct/>
              <w:topLinePunct w:val="0"/>
              <w:autoSpaceDE/>
              <w:autoSpaceDN/>
              <w:bidi w:val="0"/>
              <w:adjustRightInd/>
              <w:snapToGrid/>
              <w:spacing w:before="0" w:beforeAutospacing="0" w:after="0" w:afterAutospacing="0" w:line="440" w:lineRule="exact"/>
              <w:textAlignment w:val="auto"/>
              <w:rPr>
                <w:rFonts w:ascii="宋体" w:hAnsi="宋体" w:eastAsia="宋体"/>
                <w:bCs w:val="0"/>
                <w:color w:val="auto"/>
                <w:kern w:val="2"/>
                <w:sz w:val="24"/>
                <w:szCs w:val="20"/>
                <w:highlight w:val="none"/>
              </w:rPr>
            </w:pPr>
            <w:r>
              <w:rPr>
                <w:rFonts w:hint="eastAsia" w:ascii="宋体" w:hAnsi="宋体" w:eastAsia="宋体"/>
                <w:bCs w:val="0"/>
                <w:color w:val="auto"/>
                <w:kern w:val="2"/>
                <w:sz w:val="24"/>
                <w:szCs w:val="20"/>
                <w:highlight w:val="none"/>
              </w:rPr>
              <w:t>内容、说明与要求</w:t>
            </w:r>
          </w:p>
        </w:tc>
      </w:tr>
      <w:tr w14:paraId="225C00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71" w:type="pct"/>
            <w:vAlign w:val="center"/>
          </w:tcPr>
          <w:p w14:paraId="43571D08">
            <w:pPr>
              <w:pStyle w:val="47"/>
              <w:keepNext w:val="0"/>
              <w:keepLines w:val="0"/>
              <w:pageBreakBefore w:val="0"/>
              <w:widowControl w:val="0"/>
              <w:pBdr>
                <w:bottom w:val="none" w:color="auto" w:sz="0" w:space="0"/>
              </w:pBdr>
              <w:tabs>
                <w:tab w:val="clear" w:pos="4153"/>
                <w:tab w:val="clear" w:pos="8306"/>
              </w:tabs>
              <w:kinsoku/>
              <w:overflowPunct/>
              <w:topLinePunct w:val="0"/>
              <w:autoSpaceDE/>
              <w:autoSpaceDN/>
              <w:bidi w:val="0"/>
              <w:adjustRightInd/>
              <w:snapToGrid/>
              <w:spacing w:line="440" w:lineRule="exact"/>
              <w:textAlignment w:val="auto"/>
              <w:rPr>
                <w:rFonts w:hint="default" w:ascii="宋体" w:hAnsi="宋体" w:eastAsia="宋体" w:cs="@仿宋_GB2312"/>
                <w:bCs/>
                <w:color w:val="auto"/>
                <w:kern w:val="2"/>
                <w:sz w:val="24"/>
                <w:szCs w:val="20"/>
                <w:highlight w:val="none"/>
                <w:lang w:val="en-US" w:eastAsia="zh-CN" w:bidi="ar-SA"/>
              </w:rPr>
            </w:pPr>
            <w:r>
              <w:rPr>
                <w:rFonts w:hint="eastAsia"/>
                <w:bCs/>
                <w:color w:val="auto"/>
                <w:kern w:val="2"/>
                <w:highlight w:val="none"/>
                <w:lang w:val="en-US" w:eastAsia="zh-CN"/>
              </w:rPr>
              <w:t>5</w:t>
            </w:r>
            <w:r>
              <w:rPr>
                <w:bCs/>
                <w:color w:val="auto"/>
                <w:kern w:val="2"/>
                <w:highlight w:val="none"/>
              </w:rPr>
              <w:t>.</w:t>
            </w:r>
            <w:r>
              <w:rPr>
                <w:rFonts w:hint="eastAsia"/>
                <w:bCs/>
                <w:color w:val="auto"/>
                <w:kern w:val="2"/>
                <w:highlight w:val="none"/>
                <w:lang w:val="en-US" w:eastAsia="zh-CN"/>
              </w:rPr>
              <w:t>2</w:t>
            </w:r>
          </w:p>
        </w:tc>
        <w:tc>
          <w:tcPr>
            <w:tcW w:w="1159" w:type="pct"/>
            <w:vAlign w:val="center"/>
          </w:tcPr>
          <w:p w14:paraId="1A6242A7">
            <w:pPr>
              <w:pStyle w:val="46"/>
              <w:keepNext w:val="0"/>
              <w:keepLines w:val="0"/>
              <w:pageBreakBefore w:val="0"/>
              <w:widowControl w:val="0"/>
              <w:kinsoku/>
              <w:overflowPunct/>
              <w:topLinePunct w:val="0"/>
              <w:autoSpaceDE/>
              <w:autoSpaceDN/>
              <w:bidi w:val="0"/>
              <w:adjustRightInd/>
              <w:snapToGrid/>
              <w:spacing w:before="0" w:beforeAutospacing="0" w:after="0" w:afterAutospacing="0" w:line="440" w:lineRule="exact"/>
              <w:jc w:val="left"/>
              <w:textAlignment w:val="auto"/>
              <w:rPr>
                <w:rFonts w:ascii="宋体" w:hAnsi="宋体" w:eastAsia="宋体"/>
                <w:b w:val="0"/>
                <w:color w:val="auto"/>
                <w:sz w:val="24"/>
                <w:highlight w:val="none"/>
              </w:rPr>
            </w:pPr>
            <w:r>
              <w:rPr>
                <w:rFonts w:hint="eastAsia" w:ascii="宋体" w:hAnsi="宋体" w:eastAsia="宋体" w:cs="@仿宋_GB2312"/>
                <w:b w:val="0"/>
                <w:bCs/>
                <w:color w:val="auto"/>
                <w:kern w:val="2"/>
                <w:sz w:val="24"/>
                <w:szCs w:val="22"/>
                <w:highlight w:val="none"/>
                <w:lang w:val="en-US" w:eastAsia="zh-CN" w:bidi="ar-SA"/>
              </w:rPr>
              <w:t>现场考察或标前答疑会</w:t>
            </w:r>
          </w:p>
        </w:tc>
        <w:tc>
          <w:tcPr>
            <w:tcW w:w="3269" w:type="pct"/>
            <w:vAlign w:val="center"/>
          </w:tcPr>
          <w:p w14:paraId="065BDEE9">
            <w:pPr>
              <w:keepNext w:val="0"/>
              <w:keepLines w:val="0"/>
              <w:pageBreakBefore w:val="0"/>
              <w:widowControl w:val="0"/>
              <w:kinsoku/>
              <w:overflowPunct/>
              <w:topLinePunct w:val="0"/>
              <w:autoSpaceDE/>
              <w:autoSpaceDN/>
              <w:bidi w:val="0"/>
              <w:adjustRightInd/>
              <w:snapToGrid/>
              <w:spacing w:line="440" w:lineRule="exact"/>
              <w:textAlignment w:val="auto"/>
              <w:rPr>
                <w:rFonts w:ascii="宋体" w:hAnsi="宋体" w:eastAsia="宋体"/>
                <w:bCs/>
                <w:color w:val="auto"/>
                <w:sz w:val="24"/>
                <w:highlight w:val="none"/>
              </w:rPr>
            </w:pPr>
            <w:r>
              <w:rPr>
                <w:rFonts w:hint="eastAsia" w:ascii="宋体" w:hAnsi="宋体" w:eastAsia="宋体"/>
                <w:bCs/>
                <w:color w:val="auto"/>
                <w:sz w:val="24"/>
                <w:szCs w:val="24"/>
                <w:highlight w:val="none"/>
                <w:lang w:eastAsia="zh-CN"/>
              </w:rPr>
              <w:t>☑</w:t>
            </w:r>
            <w:r>
              <w:rPr>
                <w:rFonts w:hint="eastAsia" w:ascii="宋体" w:hAnsi="宋体" w:eastAsia="宋体"/>
                <w:color w:val="auto"/>
                <w:sz w:val="24"/>
                <w:highlight w:val="none"/>
              </w:rPr>
              <w:t>不组织</w:t>
            </w:r>
            <w:r>
              <w:rPr>
                <w:rFonts w:hint="eastAsia" w:ascii="宋体" w:hAnsi="宋体" w:eastAsia="宋体"/>
                <w:color w:val="auto"/>
                <w:sz w:val="24"/>
                <w:highlight w:val="none"/>
                <w:lang w:val="en-US" w:eastAsia="zh-CN"/>
              </w:rPr>
              <w:t>或不召开</w:t>
            </w:r>
          </w:p>
          <w:p w14:paraId="35292C12">
            <w:pPr>
              <w:keepNext w:val="0"/>
              <w:keepLines w:val="0"/>
              <w:pageBreakBefore w:val="0"/>
              <w:widowControl w:val="0"/>
              <w:kinsoku/>
              <w:overflowPunct/>
              <w:topLinePunct w:val="0"/>
              <w:autoSpaceDE/>
              <w:autoSpaceDN/>
              <w:bidi w:val="0"/>
              <w:adjustRightInd/>
              <w:snapToGrid/>
              <w:spacing w:line="440" w:lineRule="exact"/>
              <w:textAlignment w:val="auto"/>
              <w:rPr>
                <w:rFonts w:ascii="宋体" w:hAnsi="宋体" w:eastAsia="宋体"/>
                <w:bCs/>
                <w:color w:val="auto"/>
                <w:sz w:val="24"/>
                <w:highlight w:val="none"/>
              </w:rPr>
            </w:pPr>
            <w:r>
              <w:rPr>
                <w:rFonts w:hint="eastAsia" w:ascii="宋体" w:hAnsi="宋体" w:eastAsia="宋体"/>
                <w:color w:val="auto"/>
                <w:sz w:val="24"/>
                <w:highlight w:val="none"/>
              </w:rPr>
              <w:t>□</w:t>
            </w:r>
            <w:r>
              <w:rPr>
                <w:rFonts w:hint="eastAsia" w:ascii="宋体" w:hAnsi="宋体" w:eastAsia="宋体"/>
                <w:bCs/>
                <w:color w:val="auto"/>
                <w:sz w:val="24"/>
                <w:highlight w:val="none"/>
              </w:rPr>
              <w:t>统一组织</w:t>
            </w:r>
          </w:p>
          <w:p w14:paraId="381D0767">
            <w:pPr>
              <w:keepNext w:val="0"/>
              <w:keepLines w:val="0"/>
              <w:pageBreakBefore w:val="0"/>
              <w:widowControl w:val="0"/>
              <w:kinsoku/>
              <w:overflowPunct/>
              <w:topLinePunct w:val="0"/>
              <w:autoSpaceDE/>
              <w:autoSpaceDN/>
              <w:bidi w:val="0"/>
              <w:adjustRightInd/>
              <w:snapToGrid/>
              <w:spacing w:line="440" w:lineRule="exact"/>
              <w:textAlignment w:val="auto"/>
              <w:rPr>
                <w:rFonts w:ascii="宋体" w:hAnsi="宋体" w:eastAsia="宋体"/>
                <w:bCs/>
                <w:color w:val="auto"/>
                <w:sz w:val="24"/>
                <w:highlight w:val="none"/>
                <w:u w:val="single"/>
              </w:rPr>
            </w:pPr>
            <w:r>
              <w:rPr>
                <w:rFonts w:hint="eastAsia" w:ascii="宋体" w:hAnsi="宋体" w:eastAsia="宋体"/>
                <w:bCs/>
                <w:color w:val="auto"/>
                <w:sz w:val="24"/>
                <w:highlight w:val="none"/>
              </w:rPr>
              <w:t>时间：</w:t>
            </w:r>
            <w:r>
              <w:rPr>
                <w:rFonts w:hint="eastAsia" w:ascii="宋体" w:hAnsi="宋体" w:eastAsia="宋体"/>
                <w:bCs/>
                <w:color w:val="auto"/>
                <w:sz w:val="24"/>
                <w:highlight w:val="none"/>
                <w:u w:val="single"/>
              </w:rPr>
              <w:t xml:space="preserve"> </w:t>
            </w:r>
            <w:r>
              <w:rPr>
                <w:rFonts w:ascii="宋体" w:hAnsi="宋体" w:eastAsia="宋体"/>
                <w:bCs/>
                <w:color w:val="auto"/>
                <w:sz w:val="24"/>
                <w:highlight w:val="none"/>
                <w:u w:val="single"/>
              </w:rPr>
              <w:t xml:space="preserve">   </w:t>
            </w:r>
            <w:r>
              <w:rPr>
                <w:rFonts w:hint="eastAsia" w:ascii="宋体" w:hAnsi="宋体" w:eastAsia="宋体"/>
                <w:bCs/>
                <w:color w:val="auto"/>
                <w:sz w:val="24"/>
                <w:highlight w:val="none"/>
              </w:rPr>
              <w:t>年</w:t>
            </w:r>
            <w:r>
              <w:rPr>
                <w:rFonts w:hint="eastAsia" w:ascii="宋体" w:hAnsi="宋体" w:eastAsia="宋体"/>
                <w:bCs/>
                <w:color w:val="auto"/>
                <w:sz w:val="24"/>
                <w:highlight w:val="none"/>
                <w:u w:val="single"/>
              </w:rPr>
              <w:t xml:space="preserve"> </w:t>
            </w:r>
            <w:r>
              <w:rPr>
                <w:rFonts w:ascii="宋体" w:hAnsi="宋体" w:eastAsia="宋体"/>
                <w:bCs/>
                <w:color w:val="auto"/>
                <w:sz w:val="24"/>
                <w:highlight w:val="none"/>
                <w:u w:val="single"/>
              </w:rPr>
              <w:t xml:space="preserve"> </w:t>
            </w:r>
            <w:r>
              <w:rPr>
                <w:rFonts w:hint="eastAsia" w:ascii="宋体" w:hAnsi="宋体" w:eastAsia="宋体"/>
                <w:bCs/>
                <w:color w:val="auto"/>
                <w:sz w:val="24"/>
                <w:highlight w:val="none"/>
              </w:rPr>
              <w:t>月</w:t>
            </w:r>
            <w:r>
              <w:rPr>
                <w:rFonts w:hint="eastAsia" w:ascii="宋体" w:hAnsi="宋体" w:eastAsia="宋体"/>
                <w:bCs/>
                <w:color w:val="auto"/>
                <w:sz w:val="24"/>
                <w:highlight w:val="none"/>
                <w:u w:val="single"/>
              </w:rPr>
              <w:t xml:space="preserve"> </w:t>
            </w:r>
            <w:r>
              <w:rPr>
                <w:rFonts w:ascii="宋体" w:hAnsi="宋体" w:eastAsia="宋体"/>
                <w:bCs/>
                <w:color w:val="auto"/>
                <w:sz w:val="24"/>
                <w:highlight w:val="none"/>
                <w:u w:val="single"/>
              </w:rPr>
              <w:t xml:space="preserve"> </w:t>
            </w:r>
            <w:r>
              <w:rPr>
                <w:rFonts w:hint="eastAsia" w:ascii="宋体" w:hAnsi="宋体" w:eastAsia="宋体"/>
                <w:bCs/>
                <w:color w:val="auto"/>
                <w:sz w:val="24"/>
                <w:highlight w:val="none"/>
              </w:rPr>
              <w:t>日</w:t>
            </w:r>
            <w:r>
              <w:rPr>
                <w:rFonts w:hint="eastAsia" w:ascii="宋体" w:hAnsi="宋体" w:eastAsia="宋体"/>
                <w:bCs/>
                <w:color w:val="auto"/>
                <w:sz w:val="24"/>
                <w:highlight w:val="none"/>
                <w:u w:val="single"/>
              </w:rPr>
              <w:t xml:space="preserve"> </w:t>
            </w:r>
            <w:r>
              <w:rPr>
                <w:rFonts w:ascii="宋体" w:hAnsi="宋体" w:eastAsia="宋体"/>
                <w:bCs/>
                <w:color w:val="auto"/>
                <w:sz w:val="24"/>
                <w:highlight w:val="none"/>
                <w:u w:val="single"/>
              </w:rPr>
              <w:t xml:space="preserve"> </w:t>
            </w:r>
            <w:r>
              <w:rPr>
                <w:rFonts w:hint="eastAsia" w:ascii="宋体" w:hAnsi="宋体" w:eastAsia="宋体"/>
                <w:bCs/>
                <w:color w:val="auto"/>
                <w:sz w:val="24"/>
                <w:highlight w:val="none"/>
              </w:rPr>
              <w:t>时</w:t>
            </w:r>
            <w:r>
              <w:rPr>
                <w:rFonts w:hint="eastAsia" w:ascii="宋体" w:hAnsi="宋体" w:eastAsia="宋体"/>
                <w:bCs/>
                <w:color w:val="auto"/>
                <w:sz w:val="24"/>
                <w:highlight w:val="none"/>
                <w:u w:val="single"/>
              </w:rPr>
              <w:t xml:space="preserve"> </w:t>
            </w:r>
            <w:r>
              <w:rPr>
                <w:rFonts w:ascii="宋体" w:hAnsi="宋体" w:eastAsia="宋体"/>
                <w:bCs/>
                <w:color w:val="auto"/>
                <w:sz w:val="24"/>
                <w:highlight w:val="none"/>
                <w:u w:val="single"/>
              </w:rPr>
              <w:t xml:space="preserve"> </w:t>
            </w:r>
            <w:r>
              <w:rPr>
                <w:rFonts w:hint="eastAsia" w:ascii="宋体" w:hAnsi="宋体" w:eastAsia="宋体"/>
                <w:bCs/>
                <w:color w:val="auto"/>
                <w:sz w:val="24"/>
                <w:highlight w:val="none"/>
              </w:rPr>
              <w:t>分</w:t>
            </w:r>
          </w:p>
          <w:p w14:paraId="5EB117C7">
            <w:pPr>
              <w:keepNext w:val="0"/>
              <w:keepLines w:val="0"/>
              <w:pageBreakBefore w:val="0"/>
              <w:widowControl w:val="0"/>
              <w:kinsoku/>
              <w:overflowPunct/>
              <w:topLinePunct w:val="0"/>
              <w:autoSpaceDE/>
              <w:autoSpaceDN/>
              <w:bidi w:val="0"/>
              <w:adjustRightInd/>
              <w:snapToGrid/>
              <w:spacing w:line="440" w:lineRule="exact"/>
              <w:textAlignment w:val="auto"/>
              <w:rPr>
                <w:rFonts w:hint="eastAsia" w:ascii="宋体" w:hAnsi="宋体" w:eastAsia="宋体"/>
                <w:bCs/>
                <w:color w:val="auto"/>
                <w:sz w:val="24"/>
                <w:highlight w:val="none"/>
                <w:u w:val="single"/>
                <w:lang w:eastAsia="zh-CN"/>
              </w:rPr>
            </w:pPr>
            <w:r>
              <w:rPr>
                <w:rFonts w:hint="eastAsia" w:ascii="宋体" w:hAnsi="宋体" w:eastAsia="宋体"/>
                <w:bCs/>
                <w:color w:val="auto"/>
                <w:sz w:val="24"/>
                <w:highlight w:val="none"/>
              </w:rPr>
              <w:t>地点：</w:t>
            </w:r>
            <w:r>
              <w:rPr>
                <w:rFonts w:hint="eastAsia" w:ascii="宋体" w:hAnsi="宋体" w:eastAsia="宋体"/>
                <w:bCs/>
                <w:color w:val="auto"/>
                <w:sz w:val="24"/>
                <w:highlight w:val="none"/>
                <w:u w:val="single"/>
                <w:lang w:val="en-US" w:eastAsia="zh-CN"/>
              </w:rPr>
              <w:t>/</w:t>
            </w:r>
          </w:p>
          <w:p w14:paraId="773C0C29">
            <w:pPr>
              <w:keepNext w:val="0"/>
              <w:keepLines w:val="0"/>
              <w:pageBreakBefore w:val="0"/>
              <w:widowControl w:val="0"/>
              <w:kinsoku/>
              <w:overflowPunct/>
              <w:topLinePunct w:val="0"/>
              <w:autoSpaceDE/>
              <w:autoSpaceDN/>
              <w:bidi w:val="0"/>
              <w:adjustRightInd/>
              <w:snapToGrid/>
              <w:spacing w:line="440" w:lineRule="exact"/>
              <w:textAlignment w:val="auto"/>
              <w:rPr>
                <w:rFonts w:hint="eastAsia" w:ascii="宋体" w:hAnsi="宋体" w:eastAsia="宋体"/>
                <w:bCs/>
                <w:color w:val="auto"/>
                <w:sz w:val="24"/>
                <w:highlight w:val="none"/>
                <w:u w:val="single"/>
                <w:lang w:eastAsia="zh-CN"/>
              </w:rPr>
            </w:pPr>
            <w:r>
              <w:rPr>
                <w:rFonts w:hint="eastAsia" w:ascii="宋体" w:hAnsi="宋体" w:eastAsia="宋体"/>
                <w:bCs/>
                <w:color w:val="auto"/>
                <w:sz w:val="24"/>
                <w:highlight w:val="none"/>
              </w:rPr>
              <w:t>联系人及联系电话：</w:t>
            </w:r>
            <w:r>
              <w:rPr>
                <w:rFonts w:hint="eastAsia" w:ascii="宋体" w:hAnsi="宋体" w:eastAsia="宋体"/>
                <w:bCs/>
                <w:color w:val="auto"/>
                <w:sz w:val="24"/>
                <w:highlight w:val="none"/>
                <w:u w:val="single"/>
                <w:lang w:val="en-US" w:eastAsia="zh-CN"/>
              </w:rPr>
              <w:t>/</w:t>
            </w:r>
          </w:p>
          <w:p w14:paraId="65DD78E7">
            <w:pPr>
              <w:pStyle w:val="46"/>
              <w:keepNext w:val="0"/>
              <w:keepLines w:val="0"/>
              <w:pageBreakBefore w:val="0"/>
              <w:widowControl w:val="0"/>
              <w:kinsoku/>
              <w:overflowPunct/>
              <w:topLinePunct w:val="0"/>
              <w:autoSpaceDE/>
              <w:autoSpaceDN/>
              <w:bidi w:val="0"/>
              <w:adjustRightInd/>
              <w:snapToGrid/>
              <w:spacing w:before="0" w:beforeAutospacing="0" w:after="0" w:afterAutospacing="0" w:line="440" w:lineRule="exact"/>
              <w:jc w:val="both"/>
              <w:textAlignment w:val="auto"/>
              <w:rPr>
                <w:rFonts w:ascii="宋体" w:hAnsi="宋体" w:eastAsia="宋体"/>
                <w:b w:val="0"/>
                <w:color w:val="auto"/>
                <w:sz w:val="24"/>
                <w:highlight w:val="none"/>
              </w:rPr>
            </w:pPr>
            <w:r>
              <w:rPr>
                <w:rFonts w:hint="eastAsia" w:ascii="宋体" w:hAnsi="宋体" w:eastAsia="宋体"/>
                <w:bCs w:val="0"/>
                <w:color w:val="auto"/>
                <w:sz w:val="24"/>
                <w:highlight w:val="none"/>
                <w:lang w:eastAsia="zh-CN"/>
              </w:rPr>
              <w:t>注：</w:t>
            </w:r>
            <w:r>
              <w:rPr>
                <w:rFonts w:hint="eastAsia" w:ascii="宋体" w:hAnsi="宋体" w:eastAsia="宋体"/>
                <w:bCs w:val="0"/>
                <w:color w:val="auto"/>
                <w:sz w:val="24"/>
                <w:highlight w:val="none"/>
              </w:rPr>
              <w:t>如供应商未参加采购人统一组织的现场考察</w:t>
            </w:r>
            <w:r>
              <w:rPr>
                <w:rFonts w:hint="eastAsia" w:ascii="宋体" w:hAnsi="宋体" w:eastAsia="宋体"/>
                <w:bCs w:val="0"/>
                <w:color w:val="auto"/>
                <w:sz w:val="24"/>
                <w:highlight w:val="none"/>
                <w:lang w:val="en-US" w:eastAsia="zh-CN"/>
              </w:rPr>
              <w:t>或采购人统一召开的标前答疑会</w:t>
            </w:r>
            <w:r>
              <w:rPr>
                <w:rFonts w:hint="eastAsia" w:ascii="宋体" w:hAnsi="宋体" w:eastAsia="宋体"/>
                <w:bCs w:val="0"/>
                <w:color w:val="auto"/>
                <w:sz w:val="24"/>
                <w:highlight w:val="none"/>
              </w:rPr>
              <w:t>，视同放弃现场考察</w:t>
            </w:r>
            <w:r>
              <w:rPr>
                <w:rFonts w:hint="eastAsia" w:ascii="宋体" w:hAnsi="宋体" w:eastAsia="宋体"/>
                <w:bCs w:val="0"/>
                <w:color w:val="auto"/>
                <w:sz w:val="24"/>
                <w:highlight w:val="none"/>
                <w:lang w:val="en-US" w:eastAsia="zh-CN"/>
              </w:rPr>
              <w:t>或标前答疑会</w:t>
            </w:r>
            <w:r>
              <w:rPr>
                <w:rFonts w:hint="eastAsia" w:ascii="宋体" w:hAnsi="宋体" w:eastAsia="宋体"/>
                <w:bCs w:val="0"/>
                <w:color w:val="auto"/>
                <w:sz w:val="24"/>
                <w:highlight w:val="none"/>
              </w:rPr>
              <w:t>，由此引起的一切责任由供应商自行承担。</w:t>
            </w:r>
          </w:p>
        </w:tc>
      </w:tr>
      <w:tr w14:paraId="113C0B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71" w:type="pct"/>
            <w:vAlign w:val="center"/>
          </w:tcPr>
          <w:p w14:paraId="0B0F661B">
            <w:pPr>
              <w:pStyle w:val="47"/>
              <w:keepNext w:val="0"/>
              <w:keepLines w:val="0"/>
              <w:pageBreakBefore w:val="0"/>
              <w:widowControl w:val="0"/>
              <w:pBdr>
                <w:bottom w:val="none" w:color="auto" w:sz="0" w:space="0"/>
              </w:pBdr>
              <w:tabs>
                <w:tab w:val="clear" w:pos="4153"/>
                <w:tab w:val="clear" w:pos="8306"/>
              </w:tabs>
              <w:kinsoku/>
              <w:overflowPunct/>
              <w:topLinePunct w:val="0"/>
              <w:autoSpaceDE/>
              <w:autoSpaceDN/>
              <w:bidi w:val="0"/>
              <w:adjustRightInd/>
              <w:snapToGrid/>
              <w:spacing w:line="440" w:lineRule="exact"/>
              <w:textAlignment w:val="auto"/>
              <w:rPr>
                <w:rFonts w:hint="default" w:ascii="宋体" w:hAnsi="宋体" w:eastAsia="宋体" w:cs="@仿宋_GB2312"/>
                <w:bCs/>
                <w:color w:val="auto"/>
                <w:kern w:val="2"/>
                <w:sz w:val="24"/>
                <w:szCs w:val="20"/>
                <w:highlight w:val="none"/>
                <w:lang w:val="en-US" w:eastAsia="zh-CN" w:bidi="ar-SA"/>
              </w:rPr>
            </w:pPr>
            <w:r>
              <w:rPr>
                <w:rFonts w:hint="eastAsia" w:ascii="宋体" w:hAnsi="宋体" w:eastAsia="宋体"/>
                <w:bCs/>
                <w:color w:val="auto"/>
                <w:kern w:val="2"/>
                <w:highlight w:val="none"/>
                <w:lang w:val="en-US" w:eastAsia="zh-CN"/>
              </w:rPr>
              <w:t>6.1</w:t>
            </w:r>
          </w:p>
        </w:tc>
        <w:tc>
          <w:tcPr>
            <w:tcW w:w="1159" w:type="pct"/>
            <w:vAlign w:val="center"/>
          </w:tcPr>
          <w:p w14:paraId="2E44F299">
            <w:pPr>
              <w:pStyle w:val="46"/>
              <w:keepNext w:val="0"/>
              <w:keepLines w:val="0"/>
              <w:pageBreakBefore w:val="0"/>
              <w:widowControl w:val="0"/>
              <w:kinsoku/>
              <w:overflowPunct/>
              <w:topLinePunct w:val="0"/>
              <w:autoSpaceDE/>
              <w:autoSpaceDN/>
              <w:bidi w:val="0"/>
              <w:adjustRightInd/>
              <w:snapToGrid/>
              <w:spacing w:before="0" w:beforeAutospacing="0" w:after="0" w:afterAutospacing="0" w:line="440" w:lineRule="exact"/>
              <w:jc w:val="left"/>
              <w:textAlignment w:val="auto"/>
              <w:rPr>
                <w:rFonts w:ascii="宋体" w:hAnsi="宋体" w:eastAsia="宋体"/>
                <w:b w:val="0"/>
                <w:color w:val="auto"/>
                <w:sz w:val="24"/>
                <w:highlight w:val="none"/>
              </w:rPr>
            </w:pPr>
            <w:r>
              <w:rPr>
                <w:rFonts w:hint="eastAsia" w:ascii="宋体" w:hAnsi="宋体" w:eastAsia="宋体"/>
                <w:b w:val="0"/>
                <w:color w:val="auto"/>
                <w:sz w:val="24"/>
                <w:highlight w:val="none"/>
              </w:rPr>
              <w:t>网上询问截止时间</w:t>
            </w:r>
          </w:p>
        </w:tc>
        <w:tc>
          <w:tcPr>
            <w:tcW w:w="3269" w:type="pct"/>
            <w:vAlign w:val="center"/>
          </w:tcPr>
          <w:p w14:paraId="2AD70EAE">
            <w:pPr>
              <w:pStyle w:val="46"/>
              <w:keepNext w:val="0"/>
              <w:keepLines w:val="0"/>
              <w:pageBreakBefore w:val="0"/>
              <w:widowControl w:val="0"/>
              <w:kinsoku/>
              <w:overflowPunct/>
              <w:topLinePunct w:val="0"/>
              <w:autoSpaceDE/>
              <w:autoSpaceDN/>
              <w:bidi w:val="0"/>
              <w:adjustRightInd/>
              <w:snapToGrid/>
              <w:spacing w:before="0" w:beforeAutospacing="0" w:after="0" w:afterAutospacing="0" w:line="440" w:lineRule="exact"/>
              <w:jc w:val="both"/>
              <w:textAlignment w:val="auto"/>
              <w:rPr>
                <w:rFonts w:ascii="宋体" w:hAnsi="宋体" w:eastAsia="宋体"/>
                <w:b w:val="0"/>
                <w:color w:val="auto"/>
                <w:sz w:val="24"/>
                <w:highlight w:val="none"/>
              </w:rPr>
            </w:pPr>
            <w:r>
              <w:rPr>
                <w:rFonts w:hint="eastAsia" w:ascii="宋体" w:hAnsi="宋体" w:eastAsia="宋体"/>
                <w:b/>
                <w:bCs w:val="0"/>
                <w:color w:val="auto"/>
                <w:sz w:val="24"/>
                <w:highlight w:val="none"/>
                <w:u w:val="single"/>
                <w:lang w:val="en-US" w:eastAsia="zh-CN"/>
              </w:rPr>
              <w:t>2026</w:t>
            </w:r>
            <w:r>
              <w:rPr>
                <w:rFonts w:ascii="宋体" w:hAnsi="宋体" w:eastAsia="宋体"/>
                <w:b/>
                <w:bCs w:val="0"/>
                <w:color w:val="auto"/>
                <w:sz w:val="24"/>
                <w:highlight w:val="none"/>
              </w:rPr>
              <w:t>年</w:t>
            </w:r>
            <w:r>
              <w:rPr>
                <w:rFonts w:hint="eastAsia" w:ascii="宋体" w:hAnsi="宋体" w:eastAsia="宋体"/>
                <w:b/>
                <w:bCs w:val="0"/>
                <w:color w:val="auto"/>
                <w:sz w:val="24"/>
                <w:highlight w:val="none"/>
                <w:u w:val="single"/>
                <w:lang w:val="en-US" w:eastAsia="zh-CN"/>
              </w:rPr>
              <w:t>9</w:t>
            </w:r>
            <w:r>
              <w:rPr>
                <w:rFonts w:ascii="宋体" w:hAnsi="宋体" w:eastAsia="宋体"/>
                <w:b/>
                <w:bCs w:val="0"/>
                <w:color w:val="auto"/>
                <w:sz w:val="24"/>
                <w:highlight w:val="none"/>
              </w:rPr>
              <w:t>月</w:t>
            </w:r>
            <w:r>
              <w:rPr>
                <w:rFonts w:hint="eastAsia" w:ascii="宋体" w:hAnsi="宋体" w:eastAsia="宋体"/>
                <w:b/>
                <w:bCs w:val="0"/>
                <w:color w:val="auto"/>
                <w:sz w:val="24"/>
                <w:highlight w:val="none"/>
                <w:u w:val="single"/>
                <w:lang w:val="en-US" w:eastAsia="zh-CN"/>
              </w:rPr>
              <w:t>4</w:t>
            </w:r>
            <w:r>
              <w:rPr>
                <w:rFonts w:ascii="宋体" w:hAnsi="宋体" w:eastAsia="宋体"/>
                <w:b/>
                <w:bCs w:val="0"/>
                <w:color w:val="auto"/>
                <w:sz w:val="24"/>
                <w:highlight w:val="none"/>
              </w:rPr>
              <w:t>日</w:t>
            </w:r>
            <w:r>
              <w:rPr>
                <w:rFonts w:hint="eastAsia" w:ascii="宋体" w:hAnsi="宋体" w:eastAsia="宋体"/>
                <w:b/>
                <w:bCs w:val="0"/>
                <w:color w:val="auto"/>
                <w:sz w:val="24"/>
                <w:highlight w:val="none"/>
                <w:u w:val="single"/>
                <w:lang w:val="en-US" w:eastAsia="zh-CN"/>
              </w:rPr>
              <w:t>17</w:t>
            </w:r>
            <w:r>
              <w:rPr>
                <w:rFonts w:ascii="宋体" w:hAnsi="宋体" w:eastAsia="宋体"/>
                <w:b/>
                <w:bCs w:val="0"/>
                <w:color w:val="auto"/>
                <w:sz w:val="24"/>
                <w:highlight w:val="none"/>
              </w:rPr>
              <w:t>时</w:t>
            </w:r>
            <w:r>
              <w:rPr>
                <w:rFonts w:hint="eastAsia" w:ascii="宋体" w:hAnsi="宋体" w:eastAsia="宋体"/>
                <w:b/>
                <w:bCs w:val="0"/>
                <w:color w:val="auto"/>
                <w:sz w:val="24"/>
                <w:highlight w:val="none"/>
                <w:u w:val="single"/>
                <w:lang w:val="en-US" w:eastAsia="zh-CN"/>
              </w:rPr>
              <w:t>00</w:t>
            </w:r>
            <w:r>
              <w:rPr>
                <w:rFonts w:hint="eastAsia" w:ascii="宋体" w:hAnsi="宋体" w:eastAsia="宋体"/>
                <w:b/>
                <w:bCs w:val="0"/>
                <w:color w:val="auto"/>
                <w:sz w:val="24"/>
                <w:highlight w:val="none"/>
              </w:rPr>
              <w:t>分</w:t>
            </w:r>
          </w:p>
        </w:tc>
      </w:tr>
      <w:tr w14:paraId="035675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4" w:hRule="atLeast"/>
          <w:jc w:val="center"/>
        </w:trPr>
        <w:tc>
          <w:tcPr>
            <w:tcW w:w="571" w:type="pct"/>
            <w:vAlign w:val="center"/>
          </w:tcPr>
          <w:p w14:paraId="6E2BC835">
            <w:pPr>
              <w:pStyle w:val="47"/>
              <w:keepNext w:val="0"/>
              <w:keepLines w:val="0"/>
              <w:pageBreakBefore w:val="0"/>
              <w:widowControl w:val="0"/>
              <w:pBdr>
                <w:bottom w:val="none" w:color="auto" w:sz="0" w:space="0"/>
              </w:pBdr>
              <w:tabs>
                <w:tab w:val="clear" w:pos="4153"/>
                <w:tab w:val="clear" w:pos="8306"/>
              </w:tabs>
              <w:kinsoku/>
              <w:overflowPunct/>
              <w:topLinePunct w:val="0"/>
              <w:autoSpaceDE/>
              <w:autoSpaceDN/>
              <w:bidi w:val="0"/>
              <w:adjustRightInd/>
              <w:snapToGrid/>
              <w:spacing w:line="440" w:lineRule="exact"/>
              <w:textAlignment w:val="auto"/>
              <w:rPr>
                <w:rFonts w:ascii="宋体" w:hAnsi="宋体" w:eastAsia="宋体" w:cs="@仿宋_GB2312"/>
                <w:bCs/>
                <w:color w:val="auto"/>
                <w:kern w:val="2"/>
                <w:sz w:val="24"/>
                <w:szCs w:val="20"/>
                <w:highlight w:val="none"/>
                <w:lang w:val="en-US" w:eastAsia="zh-CN" w:bidi="ar-SA"/>
              </w:rPr>
            </w:pPr>
            <w:r>
              <w:rPr>
                <w:rFonts w:hint="eastAsia" w:ascii="宋体" w:hAnsi="宋体" w:eastAsia="宋体"/>
                <w:bCs/>
                <w:color w:val="auto"/>
                <w:kern w:val="2"/>
                <w:highlight w:val="none"/>
                <w:lang w:val="en-US" w:eastAsia="zh-CN"/>
              </w:rPr>
              <w:t>7</w:t>
            </w:r>
            <w:r>
              <w:rPr>
                <w:rFonts w:ascii="宋体" w:hAnsi="宋体" w:eastAsia="宋体"/>
                <w:bCs/>
                <w:color w:val="auto"/>
                <w:kern w:val="2"/>
                <w:highlight w:val="none"/>
              </w:rPr>
              <w:t>.1</w:t>
            </w:r>
          </w:p>
        </w:tc>
        <w:tc>
          <w:tcPr>
            <w:tcW w:w="1159" w:type="pct"/>
            <w:vAlign w:val="center"/>
          </w:tcPr>
          <w:p w14:paraId="769F075D">
            <w:pPr>
              <w:pStyle w:val="46"/>
              <w:keepNext w:val="0"/>
              <w:keepLines w:val="0"/>
              <w:pageBreakBefore w:val="0"/>
              <w:widowControl w:val="0"/>
              <w:kinsoku/>
              <w:overflowPunct/>
              <w:topLinePunct w:val="0"/>
              <w:autoSpaceDE/>
              <w:autoSpaceDN/>
              <w:bidi w:val="0"/>
              <w:adjustRightInd/>
              <w:snapToGrid/>
              <w:spacing w:before="0" w:beforeAutospacing="0" w:after="0" w:afterAutospacing="0" w:line="440" w:lineRule="exact"/>
              <w:jc w:val="left"/>
              <w:textAlignment w:val="auto"/>
              <w:rPr>
                <w:rFonts w:ascii="宋体" w:hAnsi="宋体" w:eastAsia="宋体"/>
                <w:b w:val="0"/>
                <w:color w:val="auto"/>
                <w:sz w:val="24"/>
                <w:highlight w:val="none"/>
              </w:rPr>
            </w:pPr>
            <w:r>
              <w:rPr>
                <w:rFonts w:hint="eastAsia" w:ascii="宋体" w:hAnsi="宋体" w:eastAsia="宋体"/>
                <w:b w:val="0"/>
                <w:color w:val="auto"/>
                <w:sz w:val="24"/>
                <w:highlight w:val="none"/>
              </w:rPr>
              <w:t>包别划分</w:t>
            </w:r>
          </w:p>
        </w:tc>
        <w:tc>
          <w:tcPr>
            <w:tcW w:w="3269" w:type="pct"/>
            <w:vAlign w:val="center"/>
          </w:tcPr>
          <w:p w14:paraId="0B791D4E">
            <w:pPr>
              <w:pStyle w:val="46"/>
              <w:keepNext w:val="0"/>
              <w:keepLines w:val="0"/>
              <w:pageBreakBefore w:val="0"/>
              <w:widowControl w:val="0"/>
              <w:kinsoku/>
              <w:overflowPunct/>
              <w:topLinePunct w:val="0"/>
              <w:autoSpaceDE/>
              <w:autoSpaceDN/>
              <w:bidi w:val="0"/>
              <w:adjustRightInd/>
              <w:snapToGrid/>
              <w:spacing w:before="0" w:beforeAutospacing="0" w:after="0" w:afterAutospacing="0" w:line="440" w:lineRule="exact"/>
              <w:jc w:val="both"/>
              <w:textAlignment w:val="auto"/>
              <w:rPr>
                <w:rFonts w:ascii="宋体" w:hAnsi="宋体" w:eastAsia="宋体"/>
                <w:b w:val="0"/>
                <w:color w:val="auto"/>
                <w:sz w:val="24"/>
                <w:highlight w:val="none"/>
              </w:rPr>
            </w:pPr>
            <w:r>
              <w:rPr>
                <w:rFonts w:hint="eastAsia" w:ascii="宋体" w:hAnsi="宋体" w:eastAsia="宋体"/>
                <w:b w:val="0"/>
                <w:bCs w:val="0"/>
                <w:color w:val="auto"/>
                <w:sz w:val="24"/>
                <w:szCs w:val="24"/>
                <w:highlight w:val="none"/>
                <w:lang w:eastAsia="zh-CN"/>
              </w:rPr>
              <w:t>☑</w:t>
            </w:r>
            <w:r>
              <w:rPr>
                <w:rFonts w:ascii="宋体" w:hAnsi="宋体" w:eastAsia="宋体"/>
                <w:b w:val="0"/>
                <w:color w:val="auto"/>
                <w:sz w:val="24"/>
                <w:highlight w:val="none"/>
              </w:rPr>
              <w:t xml:space="preserve">不分包     </w:t>
            </w:r>
            <w:r>
              <w:rPr>
                <w:rFonts w:hint="eastAsia" w:ascii="宋体" w:hAnsi="宋体" w:eastAsia="宋体"/>
                <w:b w:val="0"/>
                <w:color w:val="auto"/>
                <w:sz w:val="24"/>
                <w:highlight w:val="none"/>
                <w:lang w:eastAsia="zh-CN"/>
              </w:rPr>
              <w:t>□</w:t>
            </w:r>
            <w:r>
              <w:rPr>
                <w:rFonts w:ascii="宋体" w:hAnsi="宋体" w:eastAsia="宋体"/>
                <w:b w:val="0"/>
                <w:color w:val="auto"/>
                <w:sz w:val="24"/>
                <w:highlight w:val="none"/>
              </w:rPr>
              <w:t>分为</w:t>
            </w:r>
            <w:r>
              <w:rPr>
                <w:rFonts w:hint="eastAsia" w:ascii="宋体" w:hAnsi="宋体" w:eastAsia="宋体"/>
                <w:b w:val="0"/>
                <w:color w:val="auto"/>
                <w:sz w:val="24"/>
                <w:highlight w:val="none"/>
                <w:lang w:val="en-US" w:eastAsia="zh-CN"/>
              </w:rPr>
              <w:t xml:space="preserve">  </w:t>
            </w:r>
            <w:r>
              <w:rPr>
                <w:rFonts w:ascii="宋体" w:hAnsi="宋体" w:eastAsia="宋体"/>
                <w:b w:val="0"/>
                <w:color w:val="auto"/>
                <w:sz w:val="24"/>
                <w:highlight w:val="none"/>
              </w:rPr>
              <w:t>个包</w:t>
            </w:r>
          </w:p>
          <w:p w14:paraId="3DD99DAE">
            <w:pPr>
              <w:pStyle w:val="46"/>
              <w:keepNext w:val="0"/>
              <w:keepLines w:val="0"/>
              <w:pageBreakBefore w:val="0"/>
              <w:widowControl w:val="0"/>
              <w:kinsoku/>
              <w:overflowPunct/>
              <w:topLinePunct w:val="0"/>
              <w:autoSpaceDE/>
              <w:autoSpaceDN/>
              <w:bidi w:val="0"/>
              <w:adjustRightInd/>
              <w:snapToGrid/>
              <w:spacing w:before="0" w:beforeAutospacing="0" w:after="0" w:afterAutospacing="0" w:line="440" w:lineRule="exact"/>
              <w:jc w:val="both"/>
              <w:textAlignment w:val="auto"/>
              <w:rPr>
                <w:rFonts w:ascii="宋体" w:hAnsi="宋体" w:eastAsia="宋体"/>
                <w:b w:val="0"/>
                <w:color w:val="auto"/>
                <w:sz w:val="24"/>
                <w:highlight w:val="none"/>
              </w:rPr>
            </w:pPr>
            <w:r>
              <w:rPr>
                <w:rFonts w:hint="eastAsia" w:ascii="宋体" w:hAnsi="宋体" w:eastAsia="宋体"/>
                <w:b w:val="0"/>
                <w:color w:val="auto"/>
                <w:sz w:val="24"/>
                <w:highlight w:val="none"/>
              </w:rPr>
              <w:t>供应商</w:t>
            </w:r>
            <w:r>
              <w:rPr>
                <w:rFonts w:hint="eastAsia" w:ascii="宋体" w:hAnsi="宋体" w:eastAsia="宋体"/>
                <w:b w:val="0"/>
                <w:bCs w:val="0"/>
                <w:color w:val="auto"/>
                <w:sz w:val="24"/>
                <w:szCs w:val="24"/>
                <w:highlight w:val="none"/>
              </w:rPr>
              <w:t>参加</w:t>
            </w:r>
            <w:r>
              <w:rPr>
                <w:rFonts w:hint="eastAsia" w:ascii="宋体" w:hAnsi="宋体" w:eastAsia="宋体"/>
                <w:b w:val="0"/>
                <w:color w:val="auto"/>
                <w:sz w:val="24"/>
                <w:highlight w:val="none"/>
              </w:rPr>
              <w:t>多个包谈判的成交</w:t>
            </w:r>
            <w:r>
              <w:rPr>
                <w:rFonts w:ascii="宋体" w:hAnsi="宋体" w:eastAsia="宋体"/>
                <w:b w:val="0"/>
                <w:color w:val="auto"/>
                <w:sz w:val="24"/>
                <w:highlight w:val="none"/>
              </w:rPr>
              <w:t>包</w:t>
            </w:r>
            <w:r>
              <w:rPr>
                <w:rFonts w:hint="eastAsia" w:ascii="宋体" w:hAnsi="宋体" w:eastAsia="宋体"/>
                <w:b w:val="0"/>
                <w:color w:val="auto"/>
                <w:sz w:val="24"/>
                <w:highlight w:val="none"/>
              </w:rPr>
              <w:t>数规定：</w:t>
            </w:r>
            <w:r>
              <w:rPr>
                <w:rFonts w:hint="eastAsia" w:ascii="宋体" w:hAnsi="宋体" w:eastAsia="宋体"/>
                <w:b/>
                <w:bCs w:val="0"/>
                <w:color w:val="auto"/>
                <w:sz w:val="24"/>
                <w:highlight w:val="none"/>
                <w:u w:val="single"/>
                <w:lang w:val="en-US" w:eastAsia="zh-CN"/>
              </w:rPr>
              <w:t>/</w:t>
            </w:r>
          </w:p>
        </w:tc>
      </w:tr>
      <w:tr w14:paraId="43AB0D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571" w:type="pct"/>
            <w:vAlign w:val="center"/>
          </w:tcPr>
          <w:p w14:paraId="598ED81A">
            <w:pPr>
              <w:pStyle w:val="47"/>
              <w:keepNext w:val="0"/>
              <w:keepLines w:val="0"/>
              <w:pageBreakBefore w:val="0"/>
              <w:widowControl w:val="0"/>
              <w:pBdr>
                <w:bottom w:val="none" w:color="auto" w:sz="0" w:space="0"/>
              </w:pBdr>
              <w:tabs>
                <w:tab w:val="clear" w:pos="4153"/>
                <w:tab w:val="clear" w:pos="8306"/>
              </w:tabs>
              <w:kinsoku/>
              <w:overflowPunct/>
              <w:topLinePunct w:val="0"/>
              <w:autoSpaceDE/>
              <w:autoSpaceDN/>
              <w:bidi w:val="0"/>
              <w:adjustRightInd/>
              <w:snapToGrid/>
              <w:spacing w:line="440" w:lineRule="exact"/>
              <w:textAlignment w:val="auto"/>
              <w:rPr>
                <w:rFonts w:ascii="宋体" w:hAnsi="宋体" w:eastAsia="宋体" w:cs="@仿宋_GB2312"/>
                <w:bCs/>
                <w:color w:val="auto"/>
                <w:kern w:val="2"/>
                <w:sz w:val="24"/>
                <w:szCs w:val="20"/>
                <w:highlight w:val="none"/>
                <w:lang w:val="en-US" w:eastAsia="zh-CN" w:bidi="ar-SA"/>
              </w:rPr>
            </w:pPr>
            <w:r>
              <w:rPr>
                <w:rFonts w:hint="eastAsia" w:ascii="宋体" w:hAnsi="宋体" w:eastAsia="宋体"/>
                <w:bCs/>
                <w:color w:val="auto"/>
                <w:kern w:val="2"/>
                <w:highlight w:val="none"/>
                <w:lang w:val="en-US" w:eastAsia="zh-CN"/>
              </w:rPr>
              <w:t>10</w:t>
            </w:r>
            <w:r>
              <w:rPr>
                <w:rFonts w:ascii="宋体" w:hAnsi="宋体" w:eastAsia="宋体"/>
                <w:bCs/>
                <w:color w:val="auto"/>
                <w:kern w:val="2"/>
                <w:highlight w:val="none"/>
              </w:rPr>
              <w:t>.1</w:t>
            </w:r>
          </w:p>
        </w:tc>
        <w:tc>
          <w:tcPr>
            <w:tcW w:w="1159" w:type="pct"/>
            <w:vAlign w:val="center"/>
          </w:tcPr>
          <w:p w14:paraId="71CD4336">
            <w:pPr>
              <w:pStyle w:val="46"/>
              <w:keepNext w:val="0"/>
              <w:keepLines w:val="0"/>
              <w:pageBreakBefore w:val="0"/>
              <w:widowControl w:val="0"/>
              <w:kinsoku/>
              <w:overflowPunct/>
              <w:topLinePunct w:val="0"/>
              <w:autoSpaceDE/>
              <w:autoSpaceDN/>
              <w:bidi w:val="0"/>
              <w:adjustRightInd/>
              <w:snapToGrid/>
              <w:spacing w:before="0" w:beforeAutospacing="0" w:after="0" w:afterAutospacing="0" w:line="440" w:lineRule="exact"/>
              <w:jc w:val="left"/>
              <w:textAlignment w:val="auto"/>
              <w:rPr>
                <w:rFonts w:ascii="宋体" w:hAnsi="宋体" w:eastAsia="宋体"/>
                <w:b w:val="0"/>
                <w:color w:val="auto"/>
                <w:sz w:val="24"/>
                <w:highlight w:val="none"/>
              </w:rPr>
            </w:pPr>
            <w:r>
              <w:rPr>
                <w:rFonts w:hint="eastAsia" w:ascii="宋体" w:hAnsi="宋体" w:eastAsia="宋体"/>
                <w:b w:val="0"/>
                <w:color w:val="auto"/>
                <w:sz w:val="24"/>
                <w:highlight w:val="none"/>
              </w:rPr>
              <w:t>谈判保证金</w:t>
            </w:r>
          </w:p>
        </w:tc>
        <w:tc>
          <w:tcPr>
            <w:tcW w:w="3269" w:type="pct"/>
            <w:vAlign w:val="center"/>
          </w:tcPr>
          <w:p w14:paraId="65074E04">
            <w:pPr>
              <w:pStyle w:val="46"/>
              <w:keepNext w:val="0"/>
              <w:keepLines w:val="0"/>
              <w:pageBreakBefore w:val="0"/>
              <w:widowControl w:val="0"/>
              <w:kinsoku/>
              <w:overflowPunct/>
              <w:topLinePunct w:val="0"/>
              <w:autoSpaceDE/>
              <w:autoSpaceDN/>
              <w:bidi w:val="0"/>
              <w:adjustRightInd/>
              <w:snapToGrid/>
              <w:spacing w:before="0" w:beforeAutospacing="0" w:after="0" w:afterAutospacing="0" w:line="440" w:lineRule="exact"/>
              <w:jc w:val="both"/>
              <w:textAlignment w:val="auto"/>
              <w:rPr>
                <w:rFonts w:ascii="宋体" w:hAnsi="宋体" w:eastAsia="宋体"/>
                <w:b w:val="0"/>
                <w:color w:val="auto"/>
                <w:sz w:val="24"/>
                <w:highlight w:val="none"/>
              </w:rPr>
            </w:pPr>
            <w:r>
              <w:rPr>
                <w:rFonts w:hint="eastAsia" w:ascii="宋体" w:hAnsi="宋体" w:eastAsia="宋体"/>
                <w:b w:val="0"/>
                <w:color w:val="auto"/>
                <w:sz w:val="24"/>
                <w:highlight w:val="none"/>
              </w:rPr>
              <w:t>不收取</w:t>
            </w:r>
          </w:p>
        </w:tc>
      </w:tr>
      <w:tr w14:paraId="6DE3CB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71" w:type="pct"/>
            <w:vAlign w:val="center"/>
          </w:tcPr>
          <w:p w14:paraId="146D747D">
            <w:pPr>
              <w:pStyle w:val="47"/>
              <w:keepNext w:val="0"/>
              <w:keepLines w:val="0"/>
              <w:pageBreakBefore w:val="0"/>
              <w:widowControl w:val="0"/>
              <w:pBdr>
                <w:bottom w:val="none" w:color="auto" w:sz="0" w:space="0"/>
              </w:pBdr>
              <w:tabs>
                <w:tab w:val="clear" w:pos="4153"/>
                <w:tab w:val="clear" w:pos="8306"/>
              </w:tabs>
              <w:kinsoku/>
              <w:overflowPunct/>
              <w:topLinePunct w:val="0"/>
              <w:autoSpaceDE/>
              <w:autoSpaceDN/>
              <w:bidi w:val="0"/>
              <w:adjustRightInd/>
              <w:snapToGrid/>
              <w:spacing w:line="440" w:lineRule="exact"/>
              <w:textAlignment w:val="auto"/>
              <w:rPr>
                <w:rFonts w:ascii="宋体" w:hAnsi="宋体" w:eastAsia="宋体" w:cs="@仿宋_GB2312"/>
                <w:bCs/>
                <w:color w:val="auto"/>
                <w:kern w:val="2"/>
                <w:sz w:val="24"/>
                <w:szCs w:val="20"/>
                <w:highlight w:val="none"/>
                <w:lang w:val="en-US" w:eastAsia="zh-CN" w:bidi="ar-SA"/>
              </w:rPr>
            </w:pPr>
            <w:r>
              <w:rPr>
                <w:rFonts w:hint="eastAsia" w:ascii="宋体" w:hAnsi="宋体" w:eastAsia="宋体"/>
                <w:bCs/>
                <w:color w:val="auto"/>
                <w:kern w:val="2"/>
                <w:highlight w:val="none"/>
                <w:lang w:val="en-US" w:eastAsia="zh-CN"/>
              </w:rPr>
              <w:t>11</w:t>
            </w:r>
            <w:r>
              <w:rPr>
                <w:rFonts w:ascii="宋体" w:hAnsi="宋体" w:eastAsia="宋体"/>
                <w:bCs/>
                <w:color w:val="auto"/>
                <w:kern w:val="2"/>
                <w:highlight w:val="none"/>
              </w:rPr>
              <w:t>.1</w:t>
            </w:r>
          </w:p>
        </w:tc>
        <w:tc>
          <w:tcPr>
            <w:tcW w:w="1159" w:type="pct"/>
            <w:vAlign w:val="center"/>
          </w:tcPr>
          <w:p w14:paraId="4D7A7E41">
            <w:pPr>
              <w:pStyle w:val="46"/>
              <w:keepNext w:val="0"/>
              <w:keepLines w:val="0"/>
              <w:pageBreakBefore w:val="0"/>
              <w:widowControl w:val="0"/>
              <w:kinsoku/>
              <w:overflowPunct/>
              <w:topLinePunct w:val="0"/>
              <w:autoSpaceDE/>
              <w:autoSpaceDN/>
              <w:bidi w:val="0"/>
              <w:adjustRightInd/>
              <w:snapToGrid/>
              <w:spacing w:before="0" w:beforeAutospacing="0" w:after="0" w:afterAutospacing="0" w:line="440" w:lineRule="exact"/>
              <w:jc w:val="both"/>
              <w:textAlignment w:val="auto"/>
              <w:rPr>
                <w:rFonts w:ascii="宋体" w:hAnsi="宋体" w:eastAsia="宋体"/>
                <w:b w:val="0"/>
                <w:color w:val="auto"/>
                <w:sz w:val="24"/>
                <w:highlight w:val="none"/>
              </w:rPr>
            </w:pPr>
            <w:r>
              <w:rPr>
                <w:rFonts w:hint="eastAsia" w:ascii="宋体" w:hAnsi="宋体" w:eastAsia="宋体"/>
                <w:b w:val="0"/>
                <w:color w:val="auto"/>
                <w:sz w:val="24"/>
                <w:highlight w:val="none"/>
              </w:rPr>
              <w:t>谈判有效期</w:t>
            </w:r>
          </w:p>
        </w:tc>
        <w:tc>
          <w:tcPr>
            <w:tcW w:w="3269" w:type="pct"/>
            <w:vAlign w:val="center"/>
          </w:tcPr>
          <w:p w14:paraId="12D0BFE1">
            <w:pPr>
              <w:pStyle w:val="46"/>
              <w:keepNext w:val="0"/>
              <w:keepLines w:val="0"/>
              <w:pageBreakBefore w:val="0"/>
              <w:widowControl w:val="0"/>
              <w:kinsoku/>
              <w:overflowPunct/>
              <w:topLinePunct w:val="0"/>
              <w:autoSpaceDE/>
              <w:autoSpaceDN/>
              <w:bidi w:val="0"/>
              <w:adjustRightInd/>
              <w:snapToGrid/>
              <w:spacing w:before="0" w:beforeAutospacing="0" w:after="0" w:afterAutospacing="0" w:line="440" w:lineRule="exact"/>
              <w:jc w:val="both"/>
              <w:textAlignment w:val="auto"/>
              <w:rPr>
                <w:rFonts w:ascii="宋体" w:hAnsi="宋体" w:eastAsia="宋体"/>
                <w:b w:val="0"/>
                <w:color w:val="auto"/>
                <w:sz w:val="24"/>
                <w:highlight w:val="none"/>
              </w:rPr>
            </w:pPr>
            <w:r>
              <w:rPr>
                <w:rFonts w:hint="eastAsia" w:ascii="宋体" w:hAnsi="宋体" w:eastAsia="宋体"/>
                <w:b w:val="0"/>
                <w:color w:val="auto"/>
                <w:sz w:val="24"/>
                <w:highlight w:val="none"/>
                <w:u w:val="single"/>
                <w:lang w:val="en-US" w:eastAsia="zh-CN"/>
              </w:rPr>
              <w:t>90</w:t>
            </w:r>
            <w:r>
              <w:rPr>
                <w:rFonts w:hint="eastAsia" w:ascii="宋体" w:hAnsi="宋体" w:eastAsia="宋体"/>
                <w:b w:val="0"/>
                <w:color w:val="auto"/>
                <w:sz w:val="24"/>
                <w:highlight w:val="none"/>
              </w:rPr>
              <w:t>日历日</w:t>
            </w:r>
          </w:p>
        </w:tc>
      </w:tr>
      <w:tr w14:paraId="1FD7FA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71" w:type="pct"/>
            <w:vAlign w:val="center"/>
          </w:tcPr>
          <w:p w14:paraId="6B198A2C">
            <w:pPr>
              <w:pStyle w:val="47"/>
              <w:keepNext w:val="0"/>
              <w:keepLines w:val="0"/>
              <w:pageBreakBefore w:val="0"/>
              <w:widowControl w:val="0"/>
              <w:pBdr>
                <w:bottom w:val="none" w:color="auto" w:sz="0" w:space="0"/>
              </w:pBdr>
              <w:tabs>
                <w:tab w:val="clear" w:pos="4153"/>
                <w:tab w:val="clear" w:pos="8306"/>
              </w:tabs>
              <w:kinsoku/>
              <w:overflowPunct/>
              <w:topLinePunct w:val="0"/>
              <w:autoSpaceDE/>
              <w:autoSpaceDN/>
              <w:bidi w:val="0"/>
              <w:adjustRightInd/>
              <w:snapToGrid/>
              <w:spacing w:line="440" w:lineRule="exact"/>
              <w:textAlignment w:val="auto"/>
              <w:rPr>
                <w:rFonts w:ascii="宋体" w:hAnsi="宋体" w:eastAsia="宋体" w:cs="@仿宋_GB2312"/>
                <w:bCs/>
                <w:color w:val="auto"/>
                <w:kern w:val="2"/>
                <w:sz w:val="24"/>
                <w:szCs w:val="20"/>
                <w:highlight w:val="none"/>
                <w:lang w:val="en-US" w:eastAsia="zh-CN" w:bidi="ar-SA"/>
              </w:rPr>
            </w:pP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2</w:t>
            </w: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3</w:t>
            </w:r>
          </w:p>
        </w:tc>
        <w:tc>
          <w:tcPr>
            <w:tcW w:w="1159" w:type="pct"/>
            <w:vAlign w:val="center"/>
          </w:tcPr>
          <w:p w14:paraId="47C241FD">
            <w:pPr>
              <w:pStyle w:val="46"/>
              <w:keepNext w:val="0"/>
              <w:keepLines w:val="0"/>
              <w:pageBreakBefore w:val="0"/>
              <w:widowControl w:val="0"/>
              <w:kinsoku/>
              <w:overflowPunct/>
              <w:topLinePunct w:val="0"/>
              <w:autoSpaceDE/>
              <w:autoSpaceDN/>
              <w:bidi w:val="0"/>
              <w:adjustRightInd/>
              <w:snapToGrid/>
              <w:spacing w:before="0" w:beforeAutospacing="0" w:after="0" w:afterAutospacing="0" w:line="440" w:lineRule="exact"/>
              <w:jc w:val="both"/>
              <w:textAlignment w:val="auto"/>
              <w:rPr>
                <w:rFonts w:ascii="宋体" w:hAnsi="宋体" w:eastAsia="宋体"/>
                <w:b w:val="0"/>
                <w:color w:val="auto"/>
                <w:sz w:val="24"/>
                <w:highlight w:val="none"/>
              </w:rPr>
            </w:pPr>
            <w:r>
              <w:rPr>
                <w:rFonts w:hint="eastAsia" w:ascii="宋体" w:hAnsi="宋体" w:eastAsia="宋体"/>
                <w:b w:val="0"/>
                <w:color w:val="auto"/>
                <w:sz w:val="24"/>
                <w:highlight w:val="none"/>
              </w:rPr>
              <w:t>响应文件解密时间</w:t>
            </w:r>
          </w:p>
        </w:tc>
        <w:tc>
          <w:tcPr>
            <w:tcW w:w="3269" w:type="pct"/>
            <w:vAlign w:val="center"/>
          </w:tcPr>
          <w:p w14:paraId="29B7BCB4">
            <w:pPr>
              <w:pStyle w:val="46"/>
              <w:keepNext w:val="0"/>
              <w:keepLines w:val="0"/>
              <w:pageBreakBefore w:val="0"/>
              <w:widowControl w:val="0"/>
              <w:kinsoku/>
              <w:overflowPunct/>
              <w:topLinePunct w:val="0"/>
              <w:autoSpaceDE/>
              <w:autoSpaceDN/>
              <w:bidi w:val="0"/>
              <w:adjustRightInd/>
              <w:snapToGrid/>
              <w:spacing w:before="0" w:beforeAutospacing="0" w:after="0" w:afterAutospacing="0" w:line="440" w:lineRule="exact"/>
              <w:jc w:val="both"/>
              <w:textAlignment w:val="auto"/>
              <w:rPr>
                <w:rFonts w:ascii="宋体" w:hAnsi="宋体" w:eastAsia="宋体"/>
                <w:b w:val="0"/>
                <w:color w:val="auto"/>
                <w:sz w:val="24"/>
                <w:highlight w:val="none"/>
                <w:u w:val="single"/>
              </w:rPr>
            </w:pPr>
            <w:r>
              <w:rPr>
                <w:rFonts w:hint="eastAsia" w:ascii="宋体" w:hAnsi="宋体" w:eastAsia="宋体"/>
                <w:b w:val="0"/>
                <w:color w:val="auto"/>
                <w:sz w:val="24"/>
                <w:highlight w:val="none"/>
              </w:rPr>
              <w:t>响应文件提交截止时间后</w:t>
            </w:r>
            <w:r>
              <w:rPr>
                <w:rFonts w:hint="eastAsia" w:ascii="宋体" w:hAnsi="宋体" w:eastAsia="宋体"/>
                <w:b/>
                <w:bCs w:val="0"/>
                <w:color w:val="auto"/>
                <w:sz w:val="36"/>
                <w:szCs w:val="36"/>
                <w:highlight w:val="none"/>
                <w:u w:val="single"/>
                <w:lang w:val="en-US" w:eastAsia="zh-CN"/>
              </w:rPr>
              <w:t>60</w:t>
            </w:r>
            <w:r>
              <w:rPr>
                <w:rFonts w:hint="eastAsia" w:ascii="宋体" w:hAnsi="宋体" w:eastAsia="宋体"/>
                <w:b w:val="0"/>
                <w:color w:val="auto"/>
                <w:sz w:val="24"/>
                <w:highlight w:val="none"/>
              </w:rPr>
              <w:t>分钟内</w:t>
            </w:r>
            <w:r>
              <w:rPr>
                <w:rFonts w:hint="eastAsia" w:ascii="宋体" w:hAnsi="宋体" w:eastAsia="宋体"/>
                <w:color w:val="auto"/>
                <w:sz w:val="24"/>
                <w:highlight w:val="none"/>
              </w:rPr>
              <w:t>（以本项目网上招投标系统解密倒计时为准）</w:t>
            </w:r>
          </w:p>
        </w:tc>
      </w:tr>
      <w:tr w14:paraId="7E73D9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71" w:type="pct"/>
            <w:vAlign w:val="center"/>
          </w:tcPr>
          <w:p w14:paraId="36ED70F3">
            <w:pPr>
              <w:pStyle w:val="47"/>
              <w:keepNext w:val="0"/>
              <w:keepLines w:val="0"/>
              <w:pageBreakBefore w:val="0"/>
              <w:widowControl w:val="0"/>
              <w:pBdr>
                <w:bottom w:val="none" w:color="auto" w:sz="0" w:space="0"/>
              </w:pBdr>
              <w:tabs>
                <w:tab w:val="clear" w:pos="4153"/>
                <w:tab w:val="clear" w:pos="8306"/>
              </w:tabs>
              <w:kinsoku/>
              <w:overflowPunct/>
              <w:topLinePunct w:val="0"/>
              <w:autoSpaceDE/>
              <w:autoSpaceDN/>
              <w:bidi w:val="0"/>
              <w:adjustRightInd/>
              <w:snapToGrid/>
              <w:spacing w:line="440" w:lineRule="exact"/>
              <w:textAlignment w:val="auto"/>
              <w:rPr>
                <w:rFonts w:ascii="宋体" w:hAnsi="宋体" w:eastAsia="宋体" w:cs="@仿宋_GB2312"/>
                <w:bCs/>
                <w:color w:val="auto"/>
                <w:kern w:val="2"/>
                <w:sz w:val="24"/>
                <w:szCs w:val="20"/>
                <w:highlight w:val="none"/>
                <w:lang w:val="en-US" w:eastAsia="zh-CN" w:bidi="ar-SA"/>
              </w:rPr>
            </w:pPr>
            <w:r>
              <w:rPr>
                <w:rFonts w:hint="eastAsia" w:ascii="宋体" w:hAnsi="宋体" w:eastAsia="宋体"/>
                <w:bCs/>
                <w:color w:val="auto"/>
                <w:kern w:val="2"/>
                <w:highlight w:val="none"/>
                <w:lang w:val="en-US" w:eastAsia="zh-CN"/>
              </w:rPr>
              <w:t>14</w:t>
            </w:r>
            <w:r>
              <w:rPr>
                <w:rFonts w:hint="eastAsia" w:ascii="宋体" w:hAnsi="宋体" w:eastAsia="宋体"/>
                <w:bCs/>
                <w:color w:val="auto"/>
                <w:kern w:val="2"/>
                <w:highlight w:val="none"/>
              </w:rPr>
              <w:t>.3</w:t>
            </w:r>
          </w:p>
        </w:tc>
        <w:tc>
          <w:tcPr>
            <w:tcW w:w="1159" w:type="pct"/>
            <w:vAlign w:val="center"/>
          </w:tcPr>
          <w:p w14:paraId="530FA6CD">
            <w:pPr>
              <w:pStyle w:val="46"/>
              <w:keepNext w:val="0"/>
              <w:keepLines w:val="0"/>
              <w:pageBreakBefore w:val="0"/>
              <w:widowControl w:val="0"/>
              <w:kinsoku/>
              <w:overflowPunct/>
              <w:topLinePunct w:val="0"/>
              <w:autoSpaceDE/>
              <w:autoSpaceDN/>
              <w:bidi w:val="0"/>
              <w:adjustRightInd/>
              <w:snapToGrid/>
              <w:spacing w:before="0" w:beforeAutospacing="0" w:after="0" w:afterAutospacing="0" w:line="440" w:lineRule="exact"/>
              <w:jc w:val="both"/>
              <w:textAlignment w:val="auto"/>
              <w:rPr>
                <w:rFonts w:ascii="宋体" w:hAnsi="宋体" w:eastAsia="宋体"/>
                <w:b w:val="0"/>
                <w:color w:val="auto"/>
                <w:sz w:val="24"/>
                <w:highlight w:val="none"/>
              </w:rPr>
            </w:pPr>
            <w:r>
              <w:rPr>
                <w:rFonts w:hint="eastAsia" w:ascii="宋体" w:hAnsi="宋体" w:eastAsia="宋体"/>
                <w:b w:val="0"/>
                <w:color w:val="auto"/>
                <w:sz w:val="24"/>
                <w:highlight w:val="none"/>
              </w:rPr>
              <w:t>评审方法</w:t>
            </w:r>
          </w:p>
        </w:tc>
        <w:tc>
          <w:tcPr>
            <w:tcW w:w="3269" w:type="pct"/>
            <w:vAlign w:val="center"/>
          </w:tcPr>
          <w:p w14:paraId="32726157">
            <w:pPr>
              <w:pStyle w:val="46"/>
              <w:keepNext w:val="0"/>
              <w:keepLines w:val="0"/>
              <w:pageBreakBefore w:val="0"/>
              <w:widowControl w:val="0"/>
              <w:kinsoku/>
              <w:overflowPunct/>
              <w:topLinePunct w:val="0"/>
              <w:autoSpaceDE/>
              <w:autoSpaceDN/>
              <w:bidi w:val="0"/>
              <w:adjustRightInd/>
              <w:snapToGrid/>
              <w:spacing w:before="0" w:beforeAutospacing="0" w:after="0" w:afterAutospacing="0" w:line="440" w:lineRule="exact"/>
              <w:jc w:val="both"/>
              <w:textAlignment w:val="auto"/>
              <w:rPr>
                <w:rFonts w:ascii="宋体" w:hAnsi="宋体" w:eastAsia="宋体"/>
                <w:b w:val="0"/>
                <w:color w:val="auto"/>
                <w:sz w:val="24"/>
                <w:highlight w:val="none"/>
              </w:rPr>
            </w:pPr>
            <w:r>
              <w:rPr>
                <w:rFonts w:hint="eastAsia" w:ascii="宋体" w:hAnsi="宋体" w:eastAsia="宋体"/>
                <w:b w:val="0"/>
                <w:color w:val="auto"/>
                <w:sz w:val="24"/>
                <w:highlight w:val="none"/>
                <w:u w:val="none"/>
              </w:rPr>
              <w:t>最低价法</w:t>
            </w:r>
          </w:p>
        </w:tc>
      </w:tr>
      <w:tr w14:paraId="100D31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71" w:type="pct"/>
            <w:vMerge w:val="restart"/>
            <w:vAlign w:val="center"/>
          </w:tcPr>
          <w:p w14:paraId="4BC6456F">
            <w:pPr>
              <w:pStyle w:val="47"/>
              <w:keepNext w:val="0"/>
              <w:keepLines w:val="0"/>
              <w:pageBreakBefore w:val="0"/>
              <w:widowControl w:val="0"/>
              <w:pBdr>
                <w:bottom w:val="none" w:color="auto" w:sz="0" w:space="0"/>
              </w:pBdr>
              <w:tabs>
                <w:tab w:val="clear" w:pos="4153"/>
                <w:tab w:val="clear" w:pos="8306"/>
              </w:tabs>
              <w:kinsoku/>
              <w:overflowPunct/>
              <w:topLinePunct w:val="0"/>
              <w:autoSpaceDE/>
              <w:autoSpaceDN/>
              <w:bidi w:val="0"/>
              <w:adjustRightInd/>
              <w:snapToGrid/>
              <w:spacing w:line="440" w:lineRule="exact"/>
              <w:textAlignment w:val="auto"/>
              <w:rPr>
                <w:rFonts w:ascii="宋体" w:hAnsi="宋体" w:eastAsia="宋体" w:cs="@仿宋_GB2312"/>
                <w:bCs/>
                <w:color w:val="auto"/>
                <w:kern w:val="2"/>
                <w:sz w:val="24"/>
                <w:szCs w:val="20"/>
                <w:highlight w:val="none"/>
                <w:lang w:val="en-US" w:eastAsia="zh-CN" w:bidi="ar-SA"/>
              </w:rPr>
            </w:pPr>
            <w:r>
              <w:rPr>
                <w:rFonts w:hint="eastAsia" w:ascii="宋体" w:hAnsi="宋体" w:eastAsia="宋体"/>
                <w:bCs/>
                <w:color w:val="auto"/>
                <w:kern w:val="2"/>
                <w:highlight w:val="none"/>
                <w:lang w:val="en-US" w:eastAsia="zh-CN"/>
              </w:rPr>
              <w:t>19</w:t>
            </w:r>
            <w:r>
              <w:rPr>
                <w:rFonts w:ascii="宋体" w:hAnsi="宋体" w:eastAsia="宋体"/>
                <w:bCs/>
                <w:color w:val="auto"/>
                <w:kern w:val="2"/>
                <w:highlight w:val="none"/>
              </w:rPr>
              <w:t>.</w:t>
            </w:r>
            <w:r>
              <w:rPr>
                <w:rFonts w:hint="eastAsia" w:ascii="宋体" w:hAnsi="宋体" w:eastAsia="宋体"/>
                <w:bCs/>
                <w:color w:val="auto"/>
                <w:kern w:val="2"/>
                <w:highlight w:val="none"/>
              </w:rPr>
              <w:t>1</w:t>
            </w:r>
          </w:p>
          <w:p w14:paraId="6A3132CE">
            <w:pPr>
              <w:pStyle w:val="47"/>
              <w:keepNext w:val="0"/>
              <w:keepLines w:val="0"/>
              <w:pageBreakBefore w:val="0"/>
              <w:widowControl w:val="0"/>
              <w:pBdr>
                <w:bottom w:val="none" w:color="auto" w:sz="0" w:space="0"/>
              </w:pBdr>
              <w:tabs>
                <w:tab w:val="clear" w:pos="4153"/>
                <w:tab w:val="clear" w:pos="8306"/>
              </w:tabs>
              <w:kinsoku/>
              <w:overflowPunct/>
              <w:topLinePunct w:val="0"/>
              <w:autoSpaceDE/>
              <w:autoSpaceDN/>
              <w:bidi w:val="0"/>
              <w:adjustRightInd/>
              <w:snapToGrid/>
              <w:spacing w:line="440" w:lineRule="exact"/>
              <w:textAlignment w:val="auto"/>
              <w:rPr>
                <w:rFonts w:ascii="宋体" w:hAnsi="宋体" w:eastAsia="宋体"/>
                <w:bCs/>
                <w:color w:val="auto"/>
                <w:kern w:val="2"/>
                <w:highlight w:val="none"/>
              </w:rPr>
            </w:pPr>
          </w:p>
        </w:tc>
        <w:tc>
          <w:tcPr>
            <w:tcW w:w="1159" w:type="pct"/>
            <w:vMerge w:val="restart"/>
            <w:vAlign w:val="center"/>
          </w:tcPr>
          <w:p w14:paraId="7882D0F9">
            <w:pPr>
              <w:pStyle w:val="46"/>
              <w:keepNext w:val="0"/>
              <w:keepLines w:val="0"/>
              <w:pageBreakBefore w:val="0"/>
              <w:widowControl w:val="0"/>
              <w:kinsoku/>
              <w:overflowPunct/>
              <w:topLinePunct w:val="0"/>
              <w:autoSpaceDE/>
              <w:autoSpaceDN/>
              <w:bidi w:val="0"/>
              <w:adjustRightInd/>
              <w:snapToGrid/>
              <w:spacing w:before="0" w:beforeAutospacing="0" w:after="0" w:afterAutospacing="0" w:line="440" w:lineRule="exact"/>
              <w:jc w:val="both"/>
              <w:textAlignment w:val="auto"/>
              <w:rPr>
                <w:rFonts w:ascii="宋体" w:hAnsi="宋体" w:eastAsia="宋体"/>
                <w:b w:val="0"/>
                <w:color w:val="auto"/>
                <w:sz w:val="24"/>
                <w:highlight w:val="none"/>
              </w:rPr>
            </w:pPr>
            <w:r>
              <w:rPr>
                <w:rFonts w:hint="eastAsia" w:ascii="宋体" w:hAnsi="宋体" w:eastAsia="宋体"/>
                <w:b w:val="0"/>
                <w:color w:val="auto"/>
                <w:sz w:val="24"/>
                <w:highlight w:val="none"/>
              </w:rPr>
              <w:t>确定成交候选人和成交供应商</w:t>
            </w:r>
          </w:p>
        </w:tc>
        <w:tc>
          <w:tcPr>
            <w:tcW w:w="3269" w:type="pct"/>
            <w:vAlign w:val="center"/>
          </w:tcPr>
          <w:p w14:paraId="3A223639">
            <w:pPr>
              <w:pStyle w:val="46"/>
              <w:keepNext w:val="0"/>
              <w:keepLines w:val="0"/>
              <w:pageBreakBefore w:val="0"/>
              <w:widowControl w:val="0"/>
              <w:kinsoku/>
              <w:overflowPunct/>
              <w:topLinePunct w:val="0"/>
              <w:autoSpaceDE/>
              <w:autoSpaceDN/>
              <w:bidi w:val="0"/>
              <w:adjustRightInd/>
              <w:snapToGrid/>
              <w:spacing w:before="0" w:beforeAutospacing="0" w:after="0" w:afterAutospacing="0" w:line="440" w:lineRule="exact"/>
              <w:jc w:val="both"/>
              <w:textAlignment w:val="auto"/>
              <w:rPr>
                <w:rFonts w:hint="eastAsia" w:ascii="宋体" w:hAnsi="宋体" w:eastAsia="宋体"/>
                <w:b w:val="0"/>
                <w:color w:val="auto"/>
                <w:sz w:val="24"/>
                <w:highlight w:val="none"/>
                <w:lang w:val="en-US" w:eastAsia="zh-CN"/>
              </w:rPr>
            </w:pPr>
            <w:r>
              <w:rPr>
                <w:rFonts w:hint="eastAsia" w:ascii="宋体" w:hAnsi="宋体" w:eastAsia="宋体"/>
                <w:b w:val="0"/>
                <w:color w:val="auto"/>
                <w:sz w:val="24"/>
                <w:highlight w:val="none"/>
              </w:rPr>
              <w:t>谈判小组推荐成交候选人的</w:t>
            </w:r>
            <w:r>
              <w:rPr>
                <w:rFonts w:ascii="宋体" w:hAnsi="宋体" w:eastAsia="宋体"/>
                <w:b w:val="0"/>
                <w:color w:val="auto"/>
                <w:sz w:val="24"/>
                <w:highlight w:val="none"/>
              </w:rPr>
              <w:t>数量</w:t>
            </w:r>
            <w:r>
              <w:rPr>
                <w:rFonts w:hint="eastAsia" w:ascii="宋体" w:hAnsi="宋体" w:eastAsia="宋体"/>
                <w:b w:val="0"/>
                <w:color w:val="auto"/>
                <w:sz w:val="24"/>
                <w:highlight w:val="none"/>
              </w:rPr>
              <w:t>：3家</w:t>
            </w:r>
          </w:p>
          <w:p w14:paraId="20B15733">
            <w:pPr>
              <w:pStyle w:val="46"/>
              <w:keepNext w:val="0"/>
              <w:keepLines w:val="0"/>
              <w:pageBreakBefore w:val="0"/>
              <w:widowControl w:val="0"/>
              <w:kinsoku/>
              <w:overflowPunct/>
              <w:topLinePunct w:val="0"/>
              <w:autoSpaceDE/>
              <w:autoSpaceDN/>
              <w:bidi w:val="0"/>
              <w:adjustRightInd/>
              <w:snapToGrid/>
              <w:spacing w:before="0" w:beforeAutospacing="0" w:after="0" w:afterAutospacing="0" w:line="440" w:lineRule="exact"/>
              <w:jc w:val="both"/>
              <w:textAlignment w:val="auto"/>
              <w:rPr>
                <w:rFonts w:ascii="宋体" w:hAnsi="宋体" w:eastAsia="宋体"/>
                <w:b w:val="0"/>
                <w:color w:val="auto"/>
                <w:sz w:val="24"/>
                <w:highlight w:val="none"/>
                <w:u w:val="single"/>
              </w:rPr>
            </w:pPr>
            <w:r>
              <w:rPr>
                <w:rFonts w:hint="eastAsia" w:ascii="宋体" w:hAnsi="宋体" w:eastAsia="宋体"/>
                <w:b w:val="0"/>
                <w:color w:val="auto"/>
                <w:sz w:val="24"/>
                <w:highlight w:val="none"/>
                <w:lang w:val="en-US" w:eastAsia="zh-CN"/>
              </w:rPr>
              <w:t>注：法律、法规另有规定的，从其规定。</w:t>
            </w:r>
          </w:p>
        </w:tc>
      </w:tr>
      <w:tr w14:paraId="089260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71" w:type="pct"/>
            <w:vMerge w:val="continue"/>
            <w:vAlign w:val="center"/>
          </w:tcPr>
          <w:p w14:paraId="29726A84">
            <w:pPr>
              <w:pStyle w:val="47"/>
              <w:keepNext w:val="0"/>
              <w:keepLines w:val="0"/>
              <w:pageBreakBefore w:val="0"/>
              <w:widowControl w:val="0"/>
              <w:pBdr>
                <w:bottom w:val="none" w:color="auto" w:sz="0" w:space="0"/>
              </w:pBdr>
              <w:tabs>
                <w:tab w:val="clear" w:pos="4153"/>
                <w:tab w:val="clear" w:pos="8306"/>
              </w:tabs>
              <w:kinsoku/>
              <w:overflowPunct/>
              <w:topLinePunct w:val="0"/>
              <w:autoSpaceDE/>
              <w:autoSpaceDN/>
              <w:bidi w:val="0"/>
              <w:adjustRightInd/>
              <w:snapToGrid/>
              <w:spacing w:line="440" w:lineRule="exact"/>
              <w:textAlignment w:val="auto"/>
              <w:rPr>
                <w:rFonts w:ascii="宋体" w:hAnsi="宋体" w:eastAsia="宋体"/>
                <w:bCs/>
                <w:color w:val="auto"/>
                <w:kern w:val="2"/>
                <w:highlight w:val="none"/>
              </w:rPr>
            </w:pPr>
          </w:p>
        </w:tc>
        <w:tc>
          <w:tcPr>
            <w:tcW w:w="1159" w:type="pct"/>
            <w:vMerge w:val="continue"/>
            <w:vAlign w:val="center"/>
          </w:tcPr>
          <w:p w14:paraId="6E06244F">
            <w:pPr>
              <w:pStyle w:val="46"/>
              <w:keepNext w:val="0"/>
              <w:keepLines w:val="0"/>
              <w:pageBreakBefore w:val="0"/>
              <w:widowControl w:val="0"/>
              <w:kinsoku/>
              <w:overflowPunct/>
              <w:topLinePunct w:val="0"/>
              <w:autoSpaceDE/>
              <w:autoSpaceDN/>
              <w:bidi w:val="0"/>
              <w:adjustRightInd/>
              <w:snapToGrid/>
              <w:spacing w:before="0" w:beforeAutospacing="0" w:after="0" w:afterAutospacing="0" w:line="440" w:lineRule="exact"/>
              <w:jc w:val="both"/>
              <w:textAlignment w:val="auto"/>
              <w:rPr>
                <w:rFonts w:ascii="宋体" w:hAnsi="宋体" w:eastAsia="宋体"/>
                <w:b w:val="0"/>
                <w:color w:val="auto"/>
                <w:sz w:val="24"/>
                <w:highlight w:val="none"/>
              </w:rPr>
            </w:pPr>
          </w:p>
        </w:tc>
        <w:tc>
          <w:tcPr>
            <w:tcW w:w="3269" w:type="pct"/>
            <w:vAlign w:val="center"/>
          </w:tcPr>
          <w:p w14:paraId="7915C89F">
            <w:pPr>
              <w:pStyle w:val="46"/>
              <w:keepNext w:val="0"/>
              <w:keepLines w:val="0"/>
              <w:pageBreakBefore w:val="0"/>
              <w:widowControl w:val="0"/>
              <w:kinsoku/>
              <w:overflowPunct/>
              <w:topLinePunct w:val="0"/>
              <w:autoSpaceDE/>
              <w:autoSpaceDN/>
              <w:bidi w:val="0"/>
              <w:adjustRightInd/>
              <w:snapToGrid/>
              <w:spacing w:before="0" w:beforeAutospacing="0" w:after="0" w:afterAutospacing="0" w:line="440" w:lineRule="exact"/>
              <w:jc w:val="both"/>
              <w:textAlignment w:val="auto"/>
              <w:rPr>
                <w:rFonts w:ascii="宋体" w:hAnsi="宋体" w:eastAsia="宋体"/>
                <w:b w:val="0"/>
                <w:color w:val="auto"/>
                <w:sz w:val="24"/>
                <w:highlight w:val="none"/>
              </w:rPr>
            </w:pPr>
            <w:r>
              <w:rPr>
                <w:rFonts w:hint="eastAsia" w:ascii="宋体" w:hAnsi="宋体" w:eastAsia="宋体"/>
                <w:b w:val="0"/>
                <w:color w:val="auto"/>
                <w:sz w:val="24"/>
                <w:highlight w:val="none"/>
              </w:rPr>
              <w:t>确定成交供应商：</w:t>
            </w:r>
          </w:p>
          <w:p w14:paraId="7CDD0E22">
            <w:pPr>
              <w:pStyle w:val="46"/>
              <w:keepNext w:val="0"/>
              <w:keepLines w:val="0"/>
              <w:pageBreakBefore w:val="0"/>
              <w:widowControl w:val="0"/>
              <w:kinsoku/>
              <w:overflowPunct/>
              <w:topLinePunct w:val="0"/>
              <w:autoSpaceDE/>
              <w:autoSpaceDN/>
              <w:bidi w:val="0"/>
              <w:adjustRightInd/>
              <w:snapToGrid/>
              <w:spacing w:before="0" w:beforeAutospacing="0" w:after="0" w:afterAutospacing="0" w:line="440" w:lineRule="exact"/>
              <w:jc w:val="both"/>
              <w:textAlignment w:val="auto"/>
              <w:rPr>
                <w:rFonts w:ascii="宋体" w:hAnsi="宋体" w:eastAsia="宋体"/>
                <w:b w:val="0"/>
                <w:color w:val="auto"/>
                <w:sz w:val="24"/>
                <w:highlight w:val="none"/>
              </w:rPr>
            </w:pPr>
            <w:r>
              <w:rPr>
                <w:rFonts w:hint="eastAsia" w:ascii="宋体" w:hAnsi="宋体" w:eastAsia="宋体"/>
                <w:b w:val="0"/>
                <w:color w:val="auto"/>
                <w:sz w:val="24"/>
                <w:highlight w:val="none"/>
              </w:rPr>
              <w:t xml:space="preserve">□采购人委托谈判小组确定 </w:t>
            </w:r>
            <w:r>
              <w:rPr>
                <w:rFonts w:ascii="宋体" w:hAnsi="宋体" w:eastAsia="宋体"/>
                <w:b w:val="0"/>
                <w:color w:val="auto"/>
                <w:sz w:val="24"/>
                <w:highlight w:val="none"/>
              </w:rPr>
              <w:t xml:space="preserve">   </w:t>
            </w:r>
            <w:r>
              <w:rPr>
                <w:rFonts w:hint="eastAsia" w:ascii="宋体" w:hAnsi="宋体" w:eastAsia="宋体"/>
                <w:b w:val="0"/>
                <w:color w:val="auto"/>
                <w:sz w:val="24"/>
                <w:highlight w:val="none"/>
              </w:rPr>
              <w:t xml:space="preserve"> </w:t>
            </w:r>
            <w:r>
              <w:rPr>
                <w:rFonts w:hint="eastAsia" w:ascii="宋体" w:hAnsi="宋体" w:eastAsia="宋体"/>
                <w:b w:val="0"/>
                <w:color w:val="auto"/>
                <w:sz w:val="24"/>
                <w:highlight w:val="none"/>
                <w:lang w:eastAsia="zh-CN"/>
              </w:rPr>
              <w:t>☑</w:t>
            </w:r>
            <w:r>
              <w:rPr>
                <w:rFonts w:hint="eastAsia" w:ascii="宋体" w:hAnsi="宋体" w:eastAsia="宋体"/>
                <w:b w:val="0"/>
                <w:color w:val="auto"/>
                <w:sz w:val="24"/>
                <w:highlight w:val="none"/>
              </w:rPr>
              <w:t>采购人确定</w:t>
            </w:r>
          </w:p>
        </w:tc>
      </w:tr>
      <w:tr w14:paraId="344970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71" w:type="pct"/>
            <w:vAlign w:val="center"/>
          </w:tcPr>
          <w:p w14:paraId="75C0980B">
            <w:pPr>
              <w:pStyle w:val="47"/>
              <w:keepNext w:val="0"/>
              <w:keepLines w:val="0"/>
              <w:pageBreakBefore w:val="0"/>
              <w:widowControl w:val="0"/>
              <w:pBdr>
                <w:bottom w:val="none" w:color="auto" w:sz="0" w:space="0"/>
              </w:pBdr>
              <w:tabs>
                <w:tab w:val="clear" w:pos="4153"/>
                <w:tab w:val="clear" w:pos="8306"/>
              </w:tabs>
              <w:kinsoku/>
              <w:overflowPunct/>
              <w:topLinePunct w:val="0"/>
              <w:autoSpaceDE/>
              <w:autoSpaceDN/>
              <w:bidi w:val="0"/>
              <w:adjustRightInd/>
              <w:snapToGrid/>
              <w:spacing w:line="440" w:lineRule="exact"/>
              <w:textAlignment w:val="auto"/>
              <w:rPr>
                <w:rFonts w:ascii="宋体" w:hAnsi="宋体" w:eastAsia="宋体" w:cs="@仿宋_GB2312"/>
                <w:bCs/>
                <w:color w:val="auto"/>
                <w:kern w:val="2"/>
                <w:sz w:val="24"/>
                <w:szCs w:val="20"/>
                <w:highlight w:val="none"/>
                <w:lang w:val="en-US" w:eastAsia="zh-CN" w:bidi="ar-SA"/>
              </w:rPr>
            </w:pPr>
            <w:r>
              <w:rPr>
                <w:rFonts w:hint="eastAsia" w:ascii="宋体" w:hAnsi="宋体" w:eastAsia="宋体"/>
                <w:bCs/>
                <w:color w:val="auto"/>
                <w:kern w:val="2"/>
                <w:highlight w:val="none"/>
                <w:lang w:val="en-US" w:eastAsia="zh-CN"/>
              </w:rPr>
              <w:t>23</w:t>
            </w:r>
            <w:r>
              <w:rPr>
                <w:rFonts w:ascii="宋体" w:hAnsi="宋体" w:eastAsia="宋体"/>
                <w:bCs/>
                <w:color w:val="auto"/>
                <w:kern w:val="2"/>
                <w:highlight w:val="none"/>
              </w:rPr>
              <w:t>.1</w:t>
            </w:r>
          </w:p>
        </w:tc>
        <w:tc>
          <w:tcPr>
            <w:tcW w:w="1159" w:type="pct"/>
            <w:vAlign w:val="center"/>
          </w:tcPr>
          <w:p w14:paraId="4BC18719">
            <w:pPr>
              <w:pStyle w:val="46"/>
              <w:keepNext w:val="0"/>
              <w:keepLines w:val="0"/>
              <w:pageBreakBefore w:val="0"/>
              <w:widowControl w:val="0"/>
              <w:kinsoku/>
              <w:overflowPunct/>
              <w:topLinePunct w:val="0"/>
              <w:autoSpaceDE/>
              <w:autoSpaceDN/>
              <w:bidi w:val="0"/>
              <w:adjustRightInd/>
              <w:snapToGrid/>
              <w:spacing w:before="0" w:beforeAutospacing="0" w:after="0" w:afterAutospacing="0" w:line="440" w:lineRule="exact"/>
              <w:jc w:val="both"/>
              <w:textAlignment w:val="auto"/>
              <w:rPr>
                <w:rFonts w:ascii="宋体" w:hAnsi="宋体" w:eastAsia="宋体"/>
                <w:b w:val="0"/>
                <w:color w:val="auto"/>
                <w:sz w:val="24"/>
                <w:highlight w:val="none"/>
              </w:rPr>
            </w:pPr>
            <w:r>
              <w:rPr>
                <w:rFonts w:hint="eastAsia" w:ascii="宋体" w:hAnsi="宋体" w:eastAsia="宋体"/>
                <w:b w:val="0"/>
                <w:color w:val="auto"/>
                <w:sz w:val="24"/>
                <w:highlight w:val="none"/>
              </w:rPr>
              <w:t>成交通知书发出的形式</w:t>
            </w:r>
          </w:p>
        </w:tc>
        <w:tc>
          <w:tcPr>
            <w:tcW w:w="3269" w:type="pct"/>
            <w:vAlign w:val="center"/>
          </w:tcPr>
          <w:p w14:paraId="7A5E2404">
            <w:pPr>
              <w:pStyle w:val="46"/>
              <w:keepNext w:val="0"/>
              <w:keepLines w:val="0"/>
              <w:pageBreakBefore w:val="0"/>
              <w:widowControl w:val="0"/>
              <w:kinsoku/>
              <w:overflowPunct/>
              <w:topLinePunct w:val="0"/>
              <w:autoSpaceDE/>
              <w:autoSpaceDN/>
              <w:bidi w:val="0"/>
              <w:adjustRightInd/>
              <w:snapToGrid/>
              <w:spacing w:before="0" w:beforeAutospacing="0" w:after="0" w:afterAutospacing="0" w:line="440" w:lineRule="exact"/>
              <w:jc w:val="both"/>
              <w:textAlignment w:val="auto"/>
              <w:rPr>
                <w:rFonts w:ascii="宋体" w:hAnsi="宋体" w:eastAsia="宋体"/>
                <w:b w:val="0"/>
                <w:color w:val="auto"/>
                <w:sz w:val="24"/>
                <w:highlight w:val="none"/>
              </w:rPr>
            </w:pPr>
            <w:r>
              <w:rPr>
                <w:rFonts w:hint="eastAsia" w:ascii="宋体" w:hAnsi="宋体" w:eastAsia="宋体"/>
                <w:b w:val="0"/>
                <w:color w:val="auto"/>
                <w:sz w:val="24"/>
                <w:highlight w:val="none"/>
                <w:lang w:eastAsia="zh-CN"/>
              </w:rPr>
              <w:t>☑</w:t>
            </w:r>
            <w:r>
              <w:rPr>
                <w:rFonts w:hint="eastAsia" w:ascii="宋体" w:hAnsi="宋体" w:eastAsia="宋体"/>
                <w:b w:val="0"/>
                <w:color w:val="auto"/>
                <w:sz w:val="24"/>
                <w:highlight w:val="none"/>
              </w:rPr>
              <w:t xml:space="preserve">书面 </w:t>
            </w:r>
            <w:r>
              <w:rPr>
                <w:rFonts w:ascii="宋体" w:hAnsi="宋体" w:eastAsia="宋体"/>
                <w:b w:val="0"/>
                <w:color w:val="auto"/>
                <w:sz w:val="24"/>
                <w:highlight w:val="none"/>
              </w:rPr>
              <w:t xml:space="preserve">    </w:t>
            </w:r>
            <w:r>
              <w:rPr>
                <w:rFonts w:hint="eastAsia" w:ascii="宋体" w:hAnsi="宋体" w:eastAsia="宋体"/>
                <w:b w:val="0"/>
                <w:color w:val="auto"/>
                <w:sz w:val="24"/>
                <w:highlight w:val="none"/>
                <w:lang w:eastAsia="zh-CN"/>
              </w:rPr>
              <w:t>□</w:t>
            </w:r>
            <w:r>
              <w:rPr>
                <w:rFonts w:hint="eastAsia" w:ascii="宋体" w:hAnsi="宋体" w:eastAsia="宋体"/>
                <w:b w:val="0"/>
                <w:color w:val="auto"/>
                <w:sz w:val="24"/>
                <w:highlight w:val="none"/>
              </w:rPr>
              <w:t>数据电文</w:t>
            </w:r>
          </w:p>
        </w:tc>
      </w:tr>
      <w:tr w14:paraId="2A8945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71" w:type="pct"/>
            <w:vAlign w:val="center"/>
          </w:tcPr>
          <w:p w14:paraId="72F7D0B8">
            <w:pPr>
              <w:pStyle w:val="47"/>
              <w:keepNext w:val="0"/>
              <w:keepLines w:val="0"/>
              <w:pageBreakBefore w:val="0"/>
              <w:widowControl w:val="0"/>
              <w:pBdr>
                <w:bottom w:val="none" w:color="auto" w:sz="0" w:space="0"/>
              </w:pBdr>
              <w:tabs>
                <w:tab w:val="clear" w:pos="4153"/>
                <w:tab w:val="clear" w:pos="8306"/>
              </w:tabs>
              <w:kinsoku/>
              <w:overflowPunct/>
              <w:topLinePunct w:val="0"/>
              <w:autoSpaceDE/>
              <w:autoSpaceDN/>
              <w:bidi w:val="0"/>
              <w:adjustRightInd/>
              <w:snapToGrid/>
              <w:spacing w:line="440" w:lineRule="exact"/>
              <w:textAlignment w:val="auto"/>
              <w:rPr>
                <w:rFonts w:hint="eastAsia" w:ascii="宋体" w:hAnsi="宋体" w:eastAsia="宋体" w:cs="@仿宋_GB2312"/>
                <w:bCs/>
                <w:color w:val="auto"/>
                <w:kern w:val="2"/>
                <w:sz w:val="24"/>
                <w:szCs w:val="20"/>
                <w:highlight w:val="none"/>
                <w:lang w:val="en-US" w:eastAsia="zh-CN" w:bidi="ar-SA"/>
              </w:rPr>
            </w:pPr>
            <w:r>
              <w:rPr>
                <w:rFonts w:hint="eastAsia" w:ascii="宋体" w:hAnsi="宋体" w:eastAsia="宋体" w:cs="宋体"/>
                <w:b w:val="0"/>
                <w:bCs/>
                <w:color w:val="auto"/>
                <w:sz w:val="24"/>
                <w:szCs w:val="24"/>
                <w:highlight w:val="none"/>
                <w:lang w:val="en-US" w:eastAsia="zh-CN"/>
              </w:rPr>
              <w:t>24.1</w:t>
            </w:r>
          </w:p>
        </w:tc>
        <w:tc>
          <w:tcPr>
            <w:tcW w:w="1159" w:type="pct"/>
            <w:vAlign w:val="center"/>
          </w:tcPr>
          <w:p w14:paraId="0D5533CC">
            <w:pPr>
              <w:pStyle w:val="46"/>
              <w:keepNext w:val="0"/>
              <w:keepLines w:val="0"/>
              <w:pageBreakBefore w:val="0"/>
              <w:widowControl w:val="0"/>
              <w:kinsoku/>
              <w:overflowPunct/>
              <w:topLinePunct w:val="0"/>
              <w:autoSpaceDE/>
              <w:autoSpaceDN/>
              <w:bidi w:val="0"/>
              <w:adjustRightInd/>
              <w:snapToGrid/>
              <w:spacing w:before="0" w:beforeAutospacing="0" w:after="0" w:afterAutospacing="0" w:line="440" w:lineRule="exact"/>
              <w:jc w:val="both"/>
              <w:textAlignment w:val="auto"/>
              <w:rPr>
                <w:rFonts w:hint="eastAsia" w:ascii="宋体" w:hAnsi="宋体" w:eastAsia="宋体" w:cs="@仿宋_GB2312"/>
                <w:b w:val="0"/>
                <w:bCs/>
                <w:color w:val="auto"/>
                <w:kern w:val="0"/>
                <w:sz w:val="24"/>
                <w:szCs w:val="28"/>
                <w:highlight w:val="none"/>
                <w:lang w:val="en-US" w:eastAsia="zh-CN" w:bidi="ar-SA"/>
              </w:rPr>
            </w:pPr>
            <w:r>
              <w:rPr>
                <w:rFonts w:hint="eastAsia" w:ascii="宋体" w:hAnsi="宋体" w:eastAsia="宋体" w:cs="宋体"/>
                <w:b w:val="0"/>
                <w:bCs/>
                <w:color w:val="auto"/>
                <w:sz w:val="24"/>
                <w:szCs w:val="24"/>
                <w:highlight w:val="none"/>
                <w:lang w:val="en-US" w:eastAsia="zh-CN"/>
              </w:rPr>
              <w:t>告知谈判结果的形式</w:t>
            </w:r>
          </w:p>
        </w:tc>
        <w:tc>
          <w:tcPr>
            <w:tcW w:w="3269" w:type="pct"/>
            <w:vAlign w:val="center"/>
          </w:tcPr>
          <w:p w14:paraId="090298B3">
            <w:pPr>
              <w:pStyle w:val="46"/>
              <w:keepNext w:val="0"/>
              <w:keepLines w:val="0"/>
              <w:pageBreakBefore w:val="0"/>
              <w:widowControl w:val="0"/>
              <w:kinsoku/>
              <w:overflowPunct/>
              <w:topLinePunct w:val="0"/>
              <w:autoSpaceDE/>
              <w:autoSpaceDN/>
              <w:bidi w:val="0"/>
              <w:adjustRightInd/>
              <w:snapToGrid/>
              <w:spacing w:before="0" w:beforeAutospacing="0" w:after="0" w:afterAutospacing="0" w:line="440" w:lineRule="exact"/>
              <w:jc w:val="both"/>
              <w:textAlignment w:val="auto"/>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☑供应商自行登录滁州市城投工程咨询管理有限公司官网（https://www.czctgczx.com/）查看</w:t>
            </w:r>
          </w:p>
          <w:p w14:paraId="14297F25">
            <w:pPr>
              <w:pStyle w:val="46"/>
              <w:keepNext w:val="0"/>
              <w:keepLines w:val="0"/>
              <w:pageBreakBefore w:val="0"/>
              <w:widowControl w:val="0"/>
              <w:kinsoku/>
              <w:overflowPunct/>
              <w:topLinePunct w:val="0"/>
              <w:autoSpaceDE/>
              <w:autoSpaceDN/>
              <w:bidi w:val="0"/>
              <w:adjustRightInd/>
              <w:snapToGrid/>
              <w:spacing w:before="0" w:beforeAutospacing="0" w:after="0" w:afterAutospacing="0" w:line="440" w:lineRule="exact"/>
              <w:jc w:val="both"/>
              <w:textAlignment w:val="auto"/>
              <w:rPr>
                <w:rFonts w:hint="eastAsia" w:ascii="宋体" w:hAnsi="宋体" w:eastAsia="宋体" w:cs="@仿宋_GB2312"/>
                <w:b w:val="0"/>
                <w:bCs/>
                <w:color w:val="auto"/>
                <w:kern w:val="0"/>
                <w:sz w:val="24"/>
                <w:szCs w:val="28"/>
                <w:highlight w:val="none"/>
                <w:lang w:val="en-US" w:eastAsia="zh-CN" w:bidi="ar-SA"/>
              </w:rPr>
            </w:pPr>
            <w:r>
              <w:rPr>
                <w:rFonts w:hint="eastAsia" w:ascii="宋体" w:hAnsi="宋体" w:eastAsia="宋体" w:cs="宋体"/>
                <w:b w:val="0"/>
                <w:bCs/>
                <w:color w:val="auto"/>
                <w:sz w:val="24"/>
                <w:szCs w:val="24"/>
                <w:highlight w:val="none"/>
                <w:lang w:val="en-US" w:eastAsia="zh-CN"/>
              </w:rPr>
              <w:t>□</w:t>
            </w:r>
            <w:r>
              <w:rPr>
                <w:rFonts w:hint="eastAsia" w:ascii="宋体" w:hAnsi="宋体" w:eastAsia="宋体"/>
                <w:b w:val="0"/>
                <w:color w:val="auto"/>
                <w:sz w:val="24"/>
                <w:highlight w:val="none"/>
                <w:lang w:val="en-US" w:eastAsia="zh-CN"/>
              </w:rPr>
              <w:t>谈判现场告知</w:t>
            </w:r>
          </w:p>
        </w:tc>
      </w:tr>
      <w:tr w14:paraId="18DCB8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71" w:type="pct"/>
            <w:vAlign w:val="center"/>
          </w:tcPr>
          <w:p w14:paraId="4CE8752C">
            <w:pPr>
              <w:pStyle w:val="47"/>
              <w:keepNext w:val="0"/>
              <w:keepLines w:val="0"/>
              <w:pageBreakBefore w:val="0"/>
              <w:widowControl w:val="0"/>
              <w:pBdr>
                <w:bottom w:val="none" w:color="auto" w:sz="0" w:space="0"/>
              </w:pBdr>
              <w:tabs>
                <w:tab w:val="clear" w:pos="4153"/>
                <w:tab w:val="clear" w:pos="8306"/>
              </w:tabs>
              <w:kinsoku/>
              <w:overflowPunct/>
              <w:topLinePunct w:val="0"/>
              <w:autoSpaceDE/>
              <w:autoSpaceDN/>
              <w:bidi w:val="0"/>
              <w:adjustRightInd/>
              <w:snapToGrid/>
              <w:spacing w:line="440" w:lineRule="exact"/>
              <w:textAlignment w:val="auto"/>
              <w:rPr>
                <w:rFonts w:ascii="宋体" w:hAnsi="宋体" w:eastAsia="宋体" w:cs="@仿宋_GB2312"/>
                <w:bCs/>
                <w:color w:val="auto"/>
                <w:kern w:val="2"/>
                <w:sz w:val="24"/>
                <w:szCs w:val="20"/>
                <w:highlight w:val="none"/>
                <w:lang w:val="en-US" w:eastAsia="zh-CN" w:bidi="ar-SA"/>
              </w:rPr>
            </w:pPr>
            <w:r>
              <w:rPr>
                <w:rFonts w:hint="eastAsia" w:ascii="宋体" w:hAnsi="宋体" w:eastAsia="宋体"/>
                <w:bCs/>
                <w:color w:val="auto"/>
                <w:kern w:val="2"/>
                <w:highlight w:val="none"/>
                <w:lang w:val="en-US" w:eastAsia="zh-CN"/>
              </w:rPr>
              <w:t>25</w:t>
            </w:r>
            <w:r>
              <w:rPr>
                <w:rFonts w:ascii="宋体" w:hAnsi="宋体" w:eastAsia="宋体"/>
                <w:bCs/>
                <w:color w:val="auto"/>
                <w:kern w:val="2"/>
                <w:highlight w:val="none"/>
              </w:rPr>
              <w:t>.1</w:t>
            </w:r>
          </w:p>
        </w:tc>
        <w:tc>
          <w:tcPr>
            <w:tcW w:w="1159" w:type="pct"/>
            <w:vAlign w:val="center"/>
          </w:tcPr>
          <w:p w14:paraId="65C50368">
            <w:pPr>
              <w:pStyle w:val="46"/>
              <w:keepNext w:val="0"/>
              <w:keepLines w:val="0"/>
              <w:pageBreakBefore w:val="0"/>
              <w:widowControl w:val="0"/>
              <w:kinsoku/>
              <w:overflowPunct/>
              <w:topLinePunct w:val="0"/>
              <w:autoSpaceDE/>
              <w:autoSpaceDN/>
              <w:bidi w:val="0"/>
              <w:adjustRightInd/>
              <w:snapToGrid/>
              <w:spacing w:before="0" w:beforeAutospacing="0" w:after="0" w:afterAutospacing="0" w:line="440" w:lineRule="exact"/>
              <w:jc w:val="both"/>
              <w:textAlignment w:val="auto"/>
              <w:rPr>
                <w:rFonts w:ascii="宋体" w:hAnsi="宋体" w:eastAsia="宋体"/>
                <w:b w:val="0"/>
                <w:color w:val="auto"/>
                <w:sz w:val="24"/>
                <w:highlight w:val="none"/>
              </w:rPr>
            </w:pPr>
            <w:r>
              <w:rPr>
                <w:rFonts w:hint="eastAsia" w:ascii="宋体" w:hAnsi="宋体" w:eastAsia="宋体"/>
                <w:b w:val="0"/>
                <w:color w:val="auto"/>
                <w:sz w:val="24"/>
                <w:highlight w:val="none"/>
              </w:rPr>
              <w:t>履约保证金</w:t>
            </w:r>
          </w:p>
        </w:tc>
        <w:tc>
          <w:tcPr>
            <w:tcW w:w="3269" w:type="pct"/>
          </w:tcPr>
          <w:p w14:paraId="714F2DE9">
            <w:pPr>
              <w:pStyle w:val="46"/>
              <w:keepNext w:val="0"/>
              <w:keepLines w:val="0"/>
              <w:pageBreakBefore w:val="0"/>
              <w:widowControl w:val="0"/>
              <w:kinsoku/>
              <w:overflowPunct/>
              <w:topLinePunct w:val="0"/>
              <w:autoSpaceDE/>
              <w:autoSpaceDN/>
              <w:bidi w:val="0"/>
              <w:adjustRightInd/>
              <w:snapToGrid/>
              <w:spacing w:before="0" w:beforeAutospacing="0" w:after="0" w:afterAutospacing="0" w:line="440" w:lineRule="exact"/>
              <w:jc w:val="both"/>
              <w:textAlignment w:val="auto"/>
              <w:rPr>
                <w:rFonts w:ascii="宋体" w:hAnsi="宋体" w:eastAsia="宋体"/>
                <w:b w:val="0"/>
                <w:color w:val="auto"/>
                <w:sz w:val="24"/>
                <w:highlight w:val="none"/>
              </w:rPr>
            </w:pPr>
            <w:r>
              <w:rPr>
                <w:rFonts w:hint="eastAsia" w:ascii="宋体" w:hAnsi="宋体" w:eastAsia="宋体"/>
                <w:b w:val="0"/>
                <w:bCs/>
                <w:color w:val="auto"/>
                <w:sz w:val="24"/>
                <w:szCs w:val="24"/>
                <w:highlight w:val="none"/>
              </w:rPr>
              <w:t>是否收取履约担保：□收取，☑不收取 。</w:t>
            </w:r>
          </w:p>
        </w:tc>
      </w:tr>
      <w:tr w14:paraId="341A0C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71" w:type="pct"/>
            <w:vAlign w:val="center"/>
          </w:tcPr>
          <w:p w14:paraId="3AFD40F8">
            <w:pPr>
              <w:pStyle w:val="47"/>
              <w:keepNext w:val="0"/>
              <w:keepLines w:val="0"/>
              <w:pageBreakBefore w:val="0"/>
              <w:widowControl w:val="0"/>
              <w:pBdr>
                <w:bottom w:val="none" w:color="auto" w:sz="0" w:space="0"/>
              </w:pBdr>
              <w:tabs>
                <w:tab w:val="clear" w:pos="4153"/>
                <w:tab w:val="clear" w:pos="8306"/>
              </w:tabs>
              <w:kinsoku/>
              <w:overflowPunct/>
              <w:topLinePunct w:val="0"/>
              <w:autoSpaceDE/>
              <w:autoSpaceDN/>
              <w:bidi w:val="0"/>
              <w:adjustRightInd/>
              <w:snapToGrid/>
              <w:spacing w:line="440" w:lineRule="exact"/>
              <w:textAlignment w:val="auto"/>
              <w:rPr>
                <w:rFonts w:ascii="宋体" w:hAnsi="宋体" w:eastAsia="宋体" w:cs="@仿宋_GB2312"/>
                <w:bCs/>
                <w:color w:val="auto"/>
                <w:kern w:val="2"/>
                <w:sz w:val="24"/>
                <w:szCs w:val="20"/>
                <w:highlight w:val="none"/>
                <w:lang w:val="en-US" w:eastAsia="zh-CN" w:bidi="ar-SA"/>
              </w:rPr>
            </w:pPr>
            <w:r>
              <w:rPr>
                <w:rFonts w:hint="eastAsia" w:ascii="宋体" w:hAnsi="宋体" w:eastAsia="宋体"/>
                <w:bCs/>
                <w:color w:val="auto"/>
                <w:kern w:val="2"/>
                <w:highlight w:val="none"/>
                <w:lang w:val="en-US" w:eastAsia="zh-CN"/>
              </w:rPr>
              <w:t>26</w:t>
            </w:r>
            <w:r>
              <w:rPr>
                <w:rFonts w:ascii="宋体" w:hAnsi="宋体" w:eastAsia="宋体"/>
                <w:bCs/>
                <w:color w:val="auto"/>
                <w:kern w:val="2"/>
                <w:highlight w:val="none"/>
              </w:rPr>
              <w:t>.1</w:t>
            </w:r>
          </w:p>
        </w:tc>
        <w:tc>
          <w:tcPr>
            <w:tcW w:w="1159" w:type="pct"/>
            <w:vAlign w:val="center"/>
          </w:tcPr>
          <w:p w14:paraId="11484AF8">
            <w:pPr>
              <w:pStyle w:val="46"/>
              <w:keepNext w:val="0"/>
              <w:keepLines w:val="0"/>
              <w:pageBreakBefore w:val="0"/>
              <w:widowControl w:val="0"/>
              <w:kinsoku/>
              <w:overflowPunct/>
              <w:topLinePunct w:val="0"/>
              <w:autoSpaceDE/>
              <w:autoSpaceDN/>
              <w:bidi w:val="0"/>
              <w:adjustRightInd/>
              <w:snapToGrid/>
              <w:spacing w:before="0" w:beforeAutospacing="0" w:after="0" w:afterAutospacing="0" w:line="440" w:lineRule="exact"/>
              <w:jc w:val="both"/>
              <w:textAlignment w:val="auto"/>
              <w:rPr>
                <w:rFonts w:hint="default" w:ascii="宋体" w:hAnsi="宋体" w:eastAsia="宋体" w:cs="@仿宋_GB2312"/>
                <w:b w:val="0"/>
                <w:bCs/>
                <w:color w:val="auto"/>
                <w:kern w:val="0"/>
                <w:sz w:val="24"/>
                <w:szCs w:val="28"/>
                <w:highlight w:val="none"/>
                <w:lang w:val="en-US" w:eastAsia="zh-CN" w:bidi="ar-SA"/>
              </w:rPr>
            </w:pPr>
            <w:r>
              <w:rPr>
                <w:rFonts w:hint="eastAsia" w:ascii="宋体" w:hAnsi="宋体" w:eastAsia="宋体"/>
                <w:b w:val="0"/>
                <w:color w:val="auto"/>
                <w:sz w:val="24"/>
                <w:highlight w:val="none"/>
                <w:lang w:val="en-US" w:eastAsia="zh-CN"/>
              </w:rPr>
              <w:t>代理费用及专家评审费</w:t>
            </w:r>
          </w:p>
        </w:tc>
        <w:tc>
          <w:tcPr>
            <w:tcW w:w="3269" w:type="pct"/>
            <w:vAlign w:val="center"/>
          </w:tcPr>
          <w:p w14:paraId="6E6DD2F0">
            <w:pPr>
              <w:keepNext w:val="0"/>
              <w:keepLines w:val="0"/>
              <w:pageBreakBefore w:val="0"/>
              <w:widowControl w:val="0"/>
              <w:kinsoku/>
              <w:wordWrap/>
              <w:overflowPunct/>
              <w:topLinePunct w:val="0"/>
              <w:autoSpaceDE/>
              <w:autoSpaceDN/>
              <w:bidi w:val="0"/>
              <w:adjustRightInd/>
              <w:snapToGrid/>
              <w:spacing w:line="440" w:lineRule="exact"/>
              <w:textAlignment w:val="auto"/>
              <w:rPr>
                <w:rFonts w:ascii="宋体" w:hAnsi="宋体" w:eastAsia="宋体" w:cs="宋体"/>
                <w:color w:val="auto"/>
                <w:sz w:val="24"/>
                <w:szCs w:val="24"/>
                <w:highlight w:val="none"/>
              </w:rPr>
            </w:pPr>
            <w:r>
              <w:rPr>
                <w:rFonts w:hint="eastAsia" w:ascii="宋体" w:hAnsi="宋体" w:eastAsia="宋体"/>
                <w:bCs/>
                <w:color w:val="auto"/>
                <w:kern w:val="0"/>
                <w:sz w:val="24"/>
                <w:szCs w:val="28"/>
                <w:highlight w:val="none"/>
                <w:lang w:eastAsia="zh-CN"/>
              </w:rPr>
              <w:t>（</w:t>
            </w:r>
            <w:r>
              <w:rPr>
                <w:rFonts w:hint="eastAsia" w:ascii="宋体" w:hAnsi="宋体" w:eastAsia="宋体"/>
                <w:bCs/>
                <w:color w:val="auto"/>
                <w:kern w:val="0"/>
                <w:sz w:val="24"/>
                <w:szCs w:val="28"/>
                <w:highlight w:val="none"/>
                <w:lang w:val="en-US" w:eastAsia="zh-CN"/>
              </w:rPr>
              <w:t>1</w:t>
            </w:r>
            <w:r>
              <w:rPr>
                <w:rFonts w:hint="eastAsia" w:ascii="宋体" w:hAnsi="宋体" w:eastAsia="宋体"/>
                <w:bCs/>
                <w:color w:val="auto"/>
                <w:kern w:val="0"/>
                <w:sz w:val="24"/>
                <w:szCs w:val="28"/>
                <w:highlight w:val="none"/>
                <w:lang w:eastAsia="zh-CN"/>
              </w:rPr>
              <w:t>）</w:t>
            </w:r>
            <w:r>
              <w:rPr>
                <w:rFonts w:hint="default" w:ascii="宋体" w:hAnsi="宋体" w:eastAsia="宋体"/>
                <w:bCs/>
                <w:color w:val="auto"/>
                <w:kern w:val="0"/>
                <w:sz w:val="24"/>
                <w:szCs w:val="28"/>
                <w:highlight w:val="none"/>
              </w:rPr>
              <w:t>收费对象</w:t>
            </w:r>
            <w:r>
              <w:rPr>
                <w:rFonts w:ascii="宋体" w:hAnsi="宋体" w:eastAsia="宋体" w:cs="宋体"/>
                <w:color w:val="auto"/>
                <w:spacing w:val="-12"/>
                <w:sz w:val="24"/>
                <w:szCs w:val="24"/>
                <w:highlight w:val="none"/>
              </w:rPr>
              <w:t>：</w:t>
            </w:r>
            <w:r>
              <w:rPr>
                <w:rFonts w:hint="eastAsia" w:ascii="宋体" w:hAnsi="宋体" w:eastAsia="宋体"/>
                <w:bCs/>
                <w:color w:val="auto"/>
                <w:kern w:val="0"/>
                <w:sz w:val="24"/>
                <w:szCs w:val="28"/>
                <w:highlight w:val="none"/>
              </w:rPr>
              <w:sym w:font="Wingdings" w:char="00A8"/>
            </w:r>
            <w:r>
              <w:rPr>
                <w:rFonts w:ascii="宋体" w:hAnsi="宋体" w:eastAsia="宋体" w:cs="宋体"/>
                <w:color w:val="auto"/>
                <w:spacing w:val="14"/>
                <w:sz w:val="24"/>
                <w:szCs w:val="24"/>
                <w:highlight w:val="none"/>
              </w:rPr>
              <w:t>采购人</w:t>
            </w:r>
            <w:r>
              <w:rPr>
                <w:rFonts w:hint="eastAsia" w:ascii="宋体" w:hAnsi="宋体" w:eastAsia="宋体" w:cs="宋体"/>
                <w:color w:val="auto"/>
                <w:spacing w:val="14"/>
                <w:sz w:val="24"/>
                <w:szCs w:val="24"/>
                <w:highlight w:val="none"/>
                <w:lang w:val="en-US" w:eastAsia="zh-CN"/>
              </w:rPr>
              <w:t xml:space="preserve">   </w:t>
            </w:r>
            <w:r>
              <w:rPr>
                <w:rFonts w:hint="eastAsia" w:ascii="宋体" w:hAnsi="宋体" w:eastAsia="宋体"/>
                <w:bCs/>
                <w:color w:val="auto"/>
                <w:kern w:val="0"/>
                <w:sz w:val="24"/>
                <w:szCs w:val="28"/>
                <w:highlight w:val="none"/>
              </w:rPr>
              <w:sym w:font="Wingdings" w:char="00FE"/>
            </w:r>
            <w:r>
              <w:rPr>
                <w:rFonts w:hint="eastAsia" w:ascii="宋体" w:hAnsi="宋体" w:eastAsia="宋体"/>
                <w:bCs/>
                <w:color w:val="auto"/>
                <w:kern w:val="0"/>
                <w:sz w:val="24"/>
                <w:szCs w:val="28"/>
                <w:highlight w:val="none"/>
                <w:lang w:val="en-US" w:eastAsia="zh-CN"/>
              </w:rPr>
              <w:t>成交</w:t>
            </w:r>
            <w:r>
              <w:rPr>
                <w:rFonts w:hint="eastAsia" w:ascii="宋体" w:hAnsi="宋体" w:eastAsia="宋体" w:cs="宋体"/>
                <w:color w:val="auto"/>
                <w:spacing w:val="14"/>
                <w:sz w:val="24"/>
                <w:szCs w:val="24"/>
                <w:highlight w:val="none"/>
                <w:lang w:val="en-US" w:eastAsia="zh-CN"/>
              </w:rPr>
              <w:t>供应商</w:t>
            </w:r>
          </w:p>
          <w:p w14:paraId="6059FDCB">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bCs/>
                <w:color w:val="auto"/>
                <w:kern w:val="0"/>
                <w:sz w:val="24"/>
                <w:szCs w:val="28"/>
                <w:highlight w:val="none"/>
              </w:rPr>
            </w:pPr>
            <w:r>
              <w:rPr>
                <w:rFonts w:hint="eastAsia" w:ascii="宋体" w:hAnsi="宋体" w:eastAsia="宋体"/>
                <w:bCs/>
                <w:color w:val="auto"/>
                <w:kern w:val="0"/>
                <w:sz w:val="24"/>
                <w:szCs w:val="28"/>
                <w:highlight w:val="none"/>
              </w:rPr>
              <w:t>（2）</w:t>
            </w:r>
            <w:r>
              <w:rPr>
                <w:rFonts w:hint="default" w:ascii="宋体" w:hAnsi="宋体" w:eastAsia="宋体"/>
                <w:bCs/>
                <w:color w:val="auto"/>
                <w:kern w:val="0"/>
                <w:sz w:val="24"/>
                <w:szCs w:val="28"/>
                <w:highlight w:val="none"/>
              </w:rPr>
              <w:t>收取方式</w:t>
            </w:r>
            <w:r>
              <w:rPr>
                <w:rFonts w:ascii="宋体" w:hAnsi="宋体" w:eastAsia="宋体" w:cs="宋体"/>
                <w:color w:val="auto"/>
                <w:sz w:val="24"/>
                <w:szCs w:val="24"/>
                <w:highlight w:val="none"/>
              </w:rPr>
              <w:t>：</w:t>
            </w:r>
            <w:r>
              <w:rPr>
                <w:rFonts w:hint="eastAsia" w:ascii="宋体" w:hAnsi="宋体" w:eastAsia="宋体" w:cs="宋体"/>
                <w:color w:val="auto"/>
                <w:sz w:val="24"/>
                <w:szCs w:val="24"/>
                <w:highlight w:val="none"/>
                <w:u w:val="single"/>
                <w:lang w:val="en-US" w:eastAsia="zh-CN"/>
              </w:rPr>
              <w:t>成交供应商</w:t>
            </w:r>
            <w:r>
              <w:rPr>
                <w:rFonts w:hint="eastAsia" w:ascii="宋体" w:hAnsi="宋体" w:eastAsia="宋体" w:cs="宋体"/>
                <w:color w:val="auto"/>
                <w:sz w:val="24"/>
                <w:szCs w:val="24"/>
                <w:highlight w:val="none"/>
                <w:u w:val="single"/>
              </w:rPr>
              <w:t>在获取成交通知书时一次性支付给代理机构</w:t>
            </w:r>
          </w:p>
          <w:p w14:paraId="52E63710">
            <w:pPr>
              <w:pStyle w:val="46"/>
              <w:keepNext w:val="0"/>
              <w:keepLines w:val="0"/>
              <w:pageBreakBefore w:val="0"/>
              <w:widowControl w:val="0"/>
              <w:kinsoku/>
              <w:wordWrap/>
              <w:overflowPunct/>
              <w:topLinePunct w:val="0"/>
              <w:autoSpaceDE/>
              <w:autoSpaceDN/>
              <w:bidi w:val="0"/>
              <w:adjustRightInd/>
              <w:snapToGrid/>
              <w:spacing w:before="0" w:beforeAutospacing="0" w:after="0" w:afterAutospacing="0" w:line="440" w:lineRule="exact"/>
              <w:jc w:val="both"/>
              <w:textAlignment w:val="auto"/>
              <w:rPr>
                <w:rFonts w:hint="eastAsia" w:ascii="宋体" w:hAnsi="宋体" w:eastAsia="宋体" w:cs="宋体"/>
                <w:b w:val="0"/>
                <w:bCs w:val="0"/>
                <w:color w:val="auto"/>
                <w:kern w:val="2"/>
                <w:sz w:val="24"/>
                <w:szCs w:val="24"/>
                <w:highlight w:val="none"/>
                <w:u w:val="single"/>
                <w:lang w:val="en-US" w:eastAsia="zh-CN"/>
              </w:rPr>
            </w:pPr>
            <w:r>
              <w:rPr>
                <w:rFonts w:hint="eastAsia" w:ascii="宋体" w:hAnsi="宋体" w:eastAsia="宋体"/>
                <w:b w:val="0"/>
                <w:bCs w:val="0"/>
                <w:color w:val="auto"/>
                <w:kern w:val="0"/>
                <w:sz w:val="24"/>
                <w:szCs w:val="28"/>
                <w:highlight w:val="none"/>
              </w:rPr>
              <w:t>（3）</w:t>
            </w:r>
            <w:r>
              <w:rPr>
                <w:rFonts w:hint="default" w:ascii="宋体" w:hAnsi="宋体" w:eastAsia="宋体" w:cs="@仿宋_GB2312"/>
                <w:b w:val="0"/>
                <w:bCs/>
                <w:color w:val="auto"/>
                <w:kern w:val="0"/>
                <w:sz w:val="24"/>
                <w:szCs w:val="28"/>
                <w:highlight w:val="none"/>
                <w:lang w:val="en-US" w:eastAsia="zh-CN" w:bidi="ar-SA"/>
              </w:rPr>
              <w:t>收费标准：</w:t>
            </w:r>
            <w:r>
              <w:rPr>
                <w:rFonts w:hint="eastAsia" w:ascii="宋体" w:hAnsi="宋体" w:eastAsia="宋体" w:cs="宋体"/>
                <w:b w:val="0"/>
                <w:bCs w:val="0"/>
                <w:color w:val="auto"/>
                <w:kern w:val="2"/>
                <w:sz w:val="24"/>
                <w:szCs w:val="24"/>
                <w:highlight w:val="none"/>
                <w:u w:val="single"/>
                <w:lang w:val="en-US" w:eastAsia="zh-CN"/>
              </w:rPr>
              <w:t>本项目代理费为3000元.</w:t>
            </w:r>
          </w:p>
          <w:p w14:paraId="7613C013">
            <w:pPr>
              <w:pStyle w:val="46"/>
              <w:keepNext w:val="0"/>
              <w:keepLines w:val="0"/>
              <w:pageBreakBefore w:val="0"/>
              <w:widowControl w:val="0"/>
              <w:kinsoku/>
              <w:wordWrap/>
              <w:overflowPunct/>
              <w:topLinePunct w:val="0"/>
              <w:autoSpaceDE/>
              <w:autoSpaceDN/>
              <w:bidi w:val="0"/>
              <w:adjustRightInd/>
              <w:snapToGrid/>
              <w:spacing w:before="0" w:beforeAutospacing="0" w:after="0" w:afterAutospacing="0" w:line="440" w:lineRule="exact"/>
              <w:jc w:val="both"/>
              <w:textAlignment w:val="auto"/>
              <w:rPr>
                <w:rFonts w:hint="default" w:ascii="宋体" w:hAnsi="宋体" w:eastAsia="宋体" w:cs="@仿宋_GB2312"/>
                <w:b w:val="0"/>
                <w:bCs/>
                <w:color w:val="auto"/>
                <w:kern w:val="0"/>
                <w:sz w:val="24"/>
                <w:szCs w:val="28"/>
                <w:highlight w:val="none"/>
                <w:lang w:val="en-US" w:eastAsia="zh-CN" w:bidi="ar-SA"/>
              </w:rPr>
            </w:pPr>
            <w:r>
              <w:rPr>
                <w:rFonts w:hint="eastAsia" w:ascii="宋体" w:hAnsi="宋体" w:eastAsia="宋体" w:cs="宋体"/>
                <w:b w:val="0"/>
                <w:bCs w:val="0"/>
                <w:color w:val="auto"/>
                <w:kern w:val="2"/>
                <w:sz w:val="24"/>
                <w:szCs w:val="24"/>
                <w:highlight w:val="none"/>
                <w:u w:val="single"/>
                <w:lang w:val="en-US" w:eastAsia="zh-CN"/>
              </w:rPr>
              <w:t>（4）专家评审费另计（以实际发生为准），由采购人支付。</w:t>
            </w:r>
          </w:p>
        </w:tc>
      </w:tr>
      <w:tr w14:paraId="7919D5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71" w:type="pct"/>
            <w:vAlign w:val="center"/>
          </w:tcPr>
          <w:p w14:paraId="689C59C4">
            <w:pPr>
              <w:pStyle w:val="47"/>
              <w:keepNext w:val="0"/>
              <w:keepLines w:val="0"/>
              <w:pageBreakBefore w:val="0"/>
              <w:widowControl w:val="0"/>
              <w:pBdr>
                <w:bottom w:val="none" w:color="auto" w:sz="0" w:space="0"/>
              </w:pBdr>
              <w:tabs>
                <w:tab w:val="clear" w:pos="4153"/>
                <w:tab w:val="clear" w:pos="8306"/>
              </w:tabs>
              <w:kinsoku/>
              <w:overflowPunct/>
              <w:topLinePunct w:val="0"/>
              <w:autoSpaceDE/>
              <w:autoSpaceDN/>
              <w:bidi w:val="0"/>
              <w:adjustRightInd/>
              <w:snapToGrid/>
              <w:spacing w:line="440" w:lineRule="exact"/>
              <w:textAlignment w:val="auto"/>
              <w:rPr>
                <w:rFonts w:hint="eastAsia" w:ascii="宋体" w:hAnsi="宋体" w:eastAsia="宋体" w:cs="@仿宋_GB2312"/>
                <w:bCs/>
                <w:color w:val="auto"/>
                <w:kern w:val="2"/>
                <w:sz w:val="24"/>
                <w:szCs w:val="20"/>
                <w:highlight w:val="none"/>
                <w:lang w:val="en-US" w:eastAsia="zh-CN" w:bidi="ar-SA"/>
              </w:rPr>
            </w:pPr>
            <w:r>
              <w:rPr>
                <w:rFonts w:hint="eastAsia" w:ascii="宋体" w:hAnsi="宋体" w:eastAsia="宋体"/>
                <w:bCs/>
                <w:color w:val="auto"/>
                <w:kern w:val="2"/>
                <w:highlight w:val="none"/>
                <w:lang w:val="en-US" w:eastAsia="zh-CN"/>
              </w:rPr>
              <w:t>27.1</w:t>
            </w:r>
          </w:p>
        </w:tc>
        <w:tc>
          <w:tcPr>
            <w:tcW w:w="1159" w:type="pct"/>
            <w:vAlign w:val="center"/>
          </w:tcPr>
          <w:p w14:paraId="02905B4B">
            <w:pPr>
              <w:pStyle w:val="46"/>
              <w:keepNext w:val="0"/>
              <w:keepLines w:val="0"/>
              <w:pageBreakBefore w:val="0"/>
              <w:widowControl w:val="0"/>
              <w:kinsoku/>
              <w:overflowPunct/>
              <w:topLinePunct w:val="0"/>
              <w:autoSpaceDE/>
              <w:autoSpaceDN/>
              <w:bidi w:val="0"/>
              <w:adjustRightInd/>
              <w:snapToGrid/>
              <w:spacing w:before="0" w:beforeAutospacing="0" w:after="0" w:afterAutospacing="0" w:line="440" w:lineRule="exact"/>
              <w:jc w:val="both"/>
              <w:textAlignment w:val="auto"/>
              <w:rPr>
                <w:rFonts w:hint="eastAsia" w:ascii="宋体" w:hAnsi="宋体" w:eastAsia="宋体" w:cs="@仿宋_GB2312"/>
                <w:b w:val="0"/>
                <w:bCs/>
                <w:color w:val="auto"/>
                <w:kern w:val="0"/>
                <w:sz w:val="24"/>
                <w:szCs w:val="28"/>
                <w:highlight w:val="none"/>
                <w:lang w:val="en-US" w:eastAsia="zh-CN" w:bidi="ar-SA"/>
              </w:rPr>
            </w:pPr>
            <w:r>
              <w:rPr>
                <w:rFonts w:hint="eastAsia" w:ascii="宋体" w:hAnsi="宋体" w:eastAsia="宋体"/>
                <w:b w:val="0"/>
                <w:color w:val="auto"/>
                <w:sz w:val="24"/>
                <w:highlight w:val="none"/>
                <w:lang w:val="en-US" w:eastAsia="zh-CN"/>
              </w:rPr>
              <w:t>签订合同</w:t>
            </w:r>
          </w:p>
        </w:tc>
        <w:tc>
          <w:tcPr>
            <w:tcW w:w="3269" w:type="pct"/>
            <w:vAlign w:val="center"/>
          </w:tcPr>
          <w:p w14:paraId="4850BDDA">
            <w:pPr>
              <w:pStyle w:val="46"/>
              <w:keepNext w:val="0"/>
              <w:keepLines w:val="0"/>
              <w:pageBreakBefore w:val="0"/>
              <w:widowControl w:val="0"/>
              <w:kinsoku/>
              <w:overflowPunct/>
              <w:topLinePunct w:val="0"/>
              <w:autoSpaceDE/>
              <w:autoSpaceDN/>
              <w:bidi w:val="0"/>
              <w:adjustRightInd/>
              <w:snapToGrid/>
              <w:spacing w:before="0" w:beforeAutospacing="0" w:after="0" w:afterAutospacing="0" w:line="440" w:lineRule="exact"/>
              <w:jc w:val="both"/>
              <w:textAlignment w:val="auto"/>
              <w:rPr>
                <w:rFonts w:hint="eastAsia" w:ascii="宋体" w:hAnsi="宋体" w:eastAsia="宋体" w:cs="@仿宋_GB2312"/>
                <w:b w:val="0"/>
                <w:bCs/>
                <w:color w:val="auto"/>
                <w:kern w:val="0"/>
                <w:sz w:val="24"/>
                <w:szCs w:val="28"/>
                <w:highlight w:val="none"/>
                <w:lang w:val="en-US" w:eastAsia="zh-CN" w:bidi="ar-SA"/>
              </w:rPr>
            </w:pPr>
            <w:r>
              <w:rPr>
                <w:rFonts w:hint="eastAsia" w:ascii="宋体" w:hAnsi="宋体" w:eastAsia="宋体"/>
                <w:b/>
                <w:bCs w:val="0"/>
                <w:color w:val="auto"/>
                <w:sz w:val="24"/>
                <w:highlight w:val="none"/>
                <w:lang w:val="en-US" w:eastAsia="zh-CN"/>
              </w:rPr>
              <w:t>采购人与成交供应商应当自发出成交通知书之日起30日内签订合同。</w:t>
            </w:r>
          </w:p>
        </w:tc>
      </w:tr>
      <w:tr w14:paraId="302C1F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71" w:type="pct"/>
            <w:vAlign w:val="center"/>
          </w:tcPr>
          <w:p w14:paraId="50B20C72">
            <w:pPr>
              <w:pStyle w:val="47"/>
              <w:keepNext w:val="0"/>
              <w:keepLines w:val="0"/>
              <w:pageBreakBefore w:val="0"/>
              <w:widowControl w:val="0"/>
              <w:pBdr>
                <w:bottom w:val="none" w:color="auto" w:sz="0" w:space="0"/>
              </w:pBdr>
              <w:tabs>
                <w:tab w:val="clear" w:pos="4153"/>
                <w:tab w:val="clear" w:pos="8306"/>
              </w:tabs>
              <w:kinsoku/>
              <w:overflowPunct/>
              <w:topLinePunct w:val="0"/>
              <w:autoSpaceDE/>
              <w:autoSpaceDN/>
              <w:bidi w:val="0"/>
              <w:adjustRightInd/>
              <w:snapToGrid/>
              <w:spacing w:line="440" w:lineRule="exact"/>
              <w:textAlignment w:val="auto"/>
              <w:rPr>
                <w:rFonts w:ascii="宋体" w:hAnsi="宋体" w:eastAsia="宋体" w:cs="@仿宋_GB2312"/>
                <w:bCs/>
                <w:color w:val="auto"/>
                <w:kern w:val="2"/>
                <w:sz w:val="24"/>
                <w:szCs w:val="20"/>
                <w:highlight w:val="none"/>
                <w:lang w:val="en-US" w:eastAsia="zh-CN" w:bidi="ar-SA"/>
              </w:rPr>
            </w:pPr>
            <w:r>
              <w:rPr>
                <w:rFonts w:hint="eastAsia" w:ascii="宋体" w:hAnsi="宋体" w:eastAsia="宋体"/>
                <w:bCs/>
                <w:color w:val="auto"/>
                <w:kern w:val="2"/>
                <w:highlight w:val="none"/>
                <w:lang w:val="en-US" w:eastAsia="zh-CN"/>
              </w:rPr>
              <w:t>29</w:t>
            </w:r>
            <w:r>
              <w:rPr>
                <w:rFonts w:ascii="宋体" w:hAnsi="宋体" w:eastAsia="宋体"/>
                <w:bCs/>
                <w:color w:val="auto"/>
                <w:kern w:val="2"/>
                <w:highlight w:val="none"/>
              </w:rPr>
              <w:t>.</w:t>
            </w:r>
            <w:r>
              <w:rPr>
                <w:rFonts w:hint="eastAsia" w:ascii="宋体" w:hAnsi="宋体" w:eastAsia="宋体"/>
                <w:bCs/>
                <w:color w:val="auto"/>
                <w:kern w:val="2"/>
                <w:highlight w:val="none"/>
                <w:lang w:val="en-US" w:eastAsia="zh-CN"/>
              </w:rPr>
              <w:t>3</w:t>
            </w:r>
          </w:p>
        </w:tc>
        <w:tc>
          <w:tcPr>
            <w:tcW w:w="1159" w:type="pct"/>
            <w:vAlign w:val="center"/>
          </w:tcPr>
          <w:p w14:paraId="523AA2BD">
            <w:pPr>
              <w:pStyle w:val="46"/>
              <w:keepNext w:val="0"/>
              <w:keepLines w:val="0"/>
              <w:pageBreakBefore w:val="0"/>
              <w:widowControl w:val="0"/>
              <w:kinsoku/>
              <w:overflowPunct/>
              <w:topLinePunct w:val="0"/>
              <w:autoSpaceDE/>
              <w:autoSpaceDN/>
              <w:bidi w:val="0"/>
              <w:adjustRightInd/>
              <w:snapToGrid/>
              <w:spacing w:before="0" w:beforeAutospacing="0" w:after="0" w:afterAutospacing="0" w:line="440" w:lineRule="exact"/>
              <w:jc w:val="both"/>
              <w:textAlignment w:val="auto"/>
              <w:rPr>
                <w:rFonts w:ascii="宋体" w:hAnsi="宋体" w:eastAsia="宋体" w:cs="@仿宋_GB2312"/>
                <w:b w:val="0"/>
                <w:bCs/>
                <w:color w:val="auto"/>
                <w:kern w:val="0"/>
                <w:sz w:val="24"/>
                <w:szCs w:val="28"/>
                <w:highlight w:val="none"/>
                <w:lang w:val="en-US" w:eastAsia="zh-CN" w:bidi="ar-SA"/>
              </w:rPr>
            </w:pPr>
            <w:r>
              <w:rPr>
                <w:rFonts w:hint="eastAsia" w:ascii="宋体" w:hAnsi="宋体" w:eastAsia="宋体"/>
                <w:b w:val="0"/>
                <w:color w:val="auto"/>
                <w:sz w:val="24"/>
                <w:highlight w:val="none"/>
              </w:rPr>
              <w:t>质疑函递交方式、接收部门、联系电话和通讯地址</w:t>
            </w:r>
          </w:p>
        </w:tc>
        <w:tc>
          <w:tcPr>
            <w:tcW w:w="3269" w:type="pct"/>
            <w:vAlign w:val="center"/>
          </w:tcPr>
          <w:p w14:paraId="627F78AF">
            <w:pPr>
              <w:pStyle w:val="46"/>
              <w:keepNext w:val="0"/>
              <w:keepLines w:val="0"/>
              <w:pageBreakBefore w:val="0"/>
              <w:widowControl w:val="0"/>
              <w:kinsoku/>
              <w:overflowPunct/>
              <w:topLinePunct w:val="0"/>
              <w:autoSpaceDE/>
              <w:autoSpaceDN/>
              <w:bidi w:val="0"/>
              <w:adjustRightInd/>
              <w:snapToGrid/>
              <w:spacing w:before="0" w:beforeAutospacing="0" w:after="0" w:afterAutospacing="0" w:line="440" w:lineRule="exact"/>
              <w:jc w:val="both"/>
              <w:textAlignment w:val="auto"/>
              <w:rPr>
                <w:rFonts w:hint="eastAsia" w:ascii="宋体" w:hAnsi="宋体" w:eastAsia="宋体" w:cs="宋体"/>
                <w:b w:val="0"/>
                <w:color w:val="auto"/>
                <w:sz w:val="24"/>
                <w:szCs w:val="24"/>
                <w:highlight w:val="none"/>
              </w:rPr>
            </w:pPr>
            <w:r>
              <w:rPr>
                <w:rFonts w:hint="eastAsia" w:ascii="宋体" w:hAnsi="宋体" w:eastAsia="宋体" w:cs="宋体"/>
                <w:b w:val="0"/>
                <w:color w:val="auto"/>
                <w:sz w:val="24"/>
                <w:szCs w:val="24"/>
                <w:highlight w:val="none"/>
              </w:rPr>
              <w:t>递交方式：</w:t>
            </w:r>
            <w:r>
              <w:rPr>
                <w:rFonts w:hint="eastAsia" w:ascii="宋体" w:hAnsi="宋体" w:eastAsia="宋体" w:cs="宋体"/>
                <w:b w:val="0"/>
                <w:color w:val="auto"/>
                <w:sz w:val="24"/>
                <w:szCs w:val="24"/>
                <w:highlight w:val="none"/>
                <w:u w:val="single"/>
                <w:lang w:val="en-US" w:eastAsia="zh-CN"/>
              </w:rPr>
              <w:t>如供应商对谈判文件有质疑，依据中华人民共和国财政部令第94号《政府采购质疑和投诉办法》规定提出质疑；</w:t>
            </w:r>
            <w:r>
              <w:rPr>
                <w:rFonts w:hint="eastAsia" w:ascii="宋体" w:hAnsi="宋体" w:eastAsia="宋体" w:cs="宋体"/>
                <w:b w:val="0"/>
                <w:bCs w:val="0"/>
                <w:color w:val="auto"/>
                <w:sz w:val="24"/>
                <w:szCs w:val="24"/>
                <w:highlight w:val="none"/>
                <w:u w:val="single"/>
                <w:lang w:val="en-US" w:eastAsia="zh-CN"/>
              </w:rPr>
              <w:t xml:space="preserve">以书面形式提出。一份质疑函只能针对一个项目提出质疑，且针对同一采购程序环节的质疑应当一次性提出。 </w:t>
            </w:r>
          </w:p>
          <w:p w14:paraId="66035E77">
            <w:pPr>
              <w:pStyle w:val="46"/>
              <w:keepNext w:val="0"/>
              <w:keepLines w:val="0"/>
              <w:pageBreakBefore w:val="0"/>
              <w:widowControl w:val="0"/>
              <w:kinsoku/>
              <w:overflowPunct/>
              <w:topLinePunct w:val="0"/>
              <w:autoSpaceDE/>
              <w:autoSpaceDN/>
              <w:bidi w:val="0"/>
              <w:adjustRightInd/>
              <w:snapToGrid/>
              <w:spacing w:before="0" w:beforeAutospacing="0" w:after="0" w:afterAutospacing="0" w:line="440" w:lineRule="exact"/>
              <w:jc w:val="both"/>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color w:val="auto"/>
                <w:sz w:val="24"/>
                <w:szCs w:val="24"/>
                <w:highlight w:val="none"/>
              </w:rPr>
              <w:t>接收部门：</w:t>
            </w:r>
            <w:r>
              <w:rPr>
                <w:rFonts w:hint="eastAsia" w:ascii="宋体" w:hAnsi="宋体" w:eastAsia="宋体" w:cs="宋体"/>
                <w:b w:val="0"/>
                <w:color w:val="auto"/>
                <w:sz w:val="24"/>
                <w:szCs w:val="24"/>
                <w:highlight w:val="none"/>
                <w:u w:val="single"/>
              </w:rPr>
              <w:t>滁州市人力资源和社会保障局</w:t>
            </w:r>
            <w:r>
              <w:rPr>
                <w:rFonts w:hint="eastAsia" w:ascii="宋体" w:hAnsi="宋体" w:eastAsia="宋体" w:cs="宋体"/>
                <w:b w:val="0"/>
                <w:bCs w:val="0"/>
                <w:color w:val="auto"/>
                <w:sz w:val="24"/>
                <w:szCs w:val="24"/>
                <w:highlight w:val="none"/>
                <w:u w:val="single"/>
                <w:lang w:val="en-US" w:eastAsia="zh-CN"/>
              </w:rPr>
              <w:t>、滁州市城投工程咨询管理有限公司</w:t>
            </w:r>
          </w:p>
          <w:p w14:paraId="469CD112">
            <w:pPr>
              <w:pStyle w:val="46"/>
              <w:keepNext w:val="0"/>
              <w:keepLines w:val="0"/>
              <w:pageBreakBefore w:val="0"/>
              <w:widowControl w:val="0"/>
              <w:kinsoku/>
              <w:overflowPunct/>
              <w:topLinePunct w:val="0"/>
              <w:autoSpaceDE/>
              <w:autoSpaceDN/>
              <w:bidi w:val="0"/>
              <w:adjustRightInd/>
              <w:snapToGrid/>
              <w:spacing w:before="0" w:beforeAutospacing="0" w:after="0" w:afterAutospacing="0" w:line="440" w:lineRule="exact"/>
              <w:jc w:val="both"/>
              <w:textAlignment w:val="auto"/>
              <w:rPr>
                <w:rFonts w:hint="eastAsia" w:ascii="宋体" w:hAnsi="宋体" w:eastAsia="宋体" w:cs="宋体"/>
                <w:b w:val="0"/>
                <w:bCs/>
                <w:color w:val="auto"/>
                <w:sz w:val="24"/>
                <w:szCs w:val="24"/>
                <w:highlight w:val="none"/>
              </w:rPr>
            </w:pPr>
            <w:r>
              <w:rPr>
                <w:rFonts w:hint="eastAsia" w:ascii="宋体" w:hAnsi="宋体" w:eastAsia="宋体" w:cs="宋体"/>
                <w:b w:val="0"/>
                <w:color w:val="auto"/>
                <w:sz w:val="24"/>
                <w:szCs w:val="24"/>
                <w:highlight w:val="none"/>
              </w:rPr>
              <w:t>联系电话</w:t>
            </w:r>
            <w:r>
              <w:rPr>
                <w:rFonts w:hint="eastAsia" w:ascii="宋体" w:hAnsi="宋体" w:eastAsia="宋体" w:cs="宋体"/>
                <w:b w:val="0"/>
                <w:bCs/>
                <w:color w:val="auto"/>
                <w:sz w:val="24"/>
                <w:szCs w:val="24"/>
                <w:highlight w:val="none"/>
              </w:rPr>
              <w:t>：</w:t>
            </w:r>
            <w:r>
              <w:rPr>
                <w:rFonts w:hint="eastAsia" w:ascii="宋体" w:hAnsi="宋体" w:eastAsia="宋体" w:cs="宋体"/>
                <w:b w:val="0"/>
                <w:bCs/>
                <w:color w:val="auto"/>
                <w:sz w:val="24"/>
                <w:szCs w:val="24"/>
                <w:highlight w:val="none"/>
                <w:u w:val="single"/>
                <w:lang w:val="en-US" w:eastAsia="zh-CN"/>
              </w:rPr>
              <w:t>0550-3047829</w:t>
            </w:r>
            <w:r>
              <w:rPr>
                <w:rFonts w:hint="eastAsia" w:ascii="宋体" w:hAnsi="宋体" w:eastAsia="宋体" w:cs="宋体"/>
                <w:b w:val="0"/>
                <w:bCs/>
                <w:color w:val="auto"/>
                <w:kern w:val="0"/>
                <w:sz w:val="24"/>
                <w:szCs w:val="24"/>
                <w:highlight w:val="none"/>
                <w:u w:val="single"/>
                <w:lang w:val="en-US" w:eastAsia="zh-CN"/>
              </w:rPr>
              <w:t>、18909605753</w:t>
            </w:r>
            <w:r>
              <w:rPr>
                <w:rFonts w:hint="eastAsia" w:ascii="宋体" w:hAnsi="宋体" w:eastAsia="宋体" w:cs="宋体"/>
                <w:b w:val="0"/>
                <w:bCs/>
                <w:color w:val="auto"/>
                <w:kern w:val="0"/>
                <w:sz w:val="24"/>
                <w:szCs w:val="24"/>
                <w:highlight w:val="none"/>
                <w:u w:val="single"/>
              </w:rPr>
              <w:t xml:space="preserve"> </w:t>
            </w:r>
          </w:p>
          <w:p w14:paraId="09ED8327">
            <w:pPr>
              <w:pStyle w:val="46"/>
              <w:keepNext w:val="0"/>
              <w:keepLines w:val="0"/>
              <w:pageBreakBefore w:val="0"/>
              <w:widowControl w:val="0"/>
              <w:kinsoku/>
              <w:overflowPunct/>
              <w:topLinePunct w:val="0"/>
              <w:autoSpaceDE/>
              <w:autoSpaceDN/>
              <w:bidi w:val="0"/>
              <w:adjustRightInd/>
              <w:snapToGrid/>
              <w:spacing w:before="0" w:beforeAutospacing="0" w:after="0" w:afterAutospacing="0" w:line="440" w:lineRule="exact"/>
              <w:jc w:val="both"/>
              <w:textAlignment w:val="auto"/>
              <w:rPr>
                <w:rFonts w:ascii="宋体" w:hAnsi="宋体" w:eastAsia="宋体" w:cs="@仿宋_GB2312"/>
                <w:b w:val="0"/>
                <w:bCs/>
                <w:color w:val="auto"/>
                <w:kern w:val="0"/>
                <w:sz w:val="24"/>
                <w:szCs w:val="28"/>
                <w:highlight w:val="none"/>
                <w:lang w:val="en-US" w:eastAsia="zh-CN" w:bidi="ar-SA"/>
              </w:rPr>
            </w:pPr>
            <w:r>
              <w:rPr>
                <w:rFonts w:hint="eastAsia" w:ascii="宋体" w:hAnsi="宋体" w:eastAsia="宋体" w:cs="宋体"/>
                <w:b w:val="0"/>
                <w:bCs/>
                <w:color w:val="auto"/>
                <w:sz w:val="24"/>
                <w:szCs w:val="24"/>
                <w:highlight w:val="none"/>
              </w:rPr>
              <w:t>通讯地址：</w:t>
            </w:r>
            <w:r>
              <w:rPr>
                <w:rFonts w:hint="eastAsia" w:ascii="宋体" w:hAnsi="宋体" w:eastAsia="宋体" w:cs="宋体"/>
                <w:b w:val="0"/>
                <w:bCs/>
                <w:color w:val="auto"/>
                <w:sz w:val="24"/>
                <w:szCs w:val="24"/>
                <w:highlight w:val="none"/>
                <w:u w:val="single"/>
              </w:rPr>
              <w:t>滁州市龙蟠大道</w:t>
            </w:r>
            <w:r>
              <w:rPr>
                <w:rFonts w:hint="eastAsia" w:ascii="宋体" w:hAnsi="宋体" w:eastAsia="宋体" w:cs="宋体"/>
                <w:b w:val="0"/>
                <w:bCs/>
                <w:color w:val="auto"/>
                <w:sz w:val="24"/>
                <w:szCs w:val="24"/>
                <w:highlight w:val="none"/>
                <w:u w:val="single"/>
                <w:lang w:val="en-US" w:eastAsia="zh-CN"/>
              </w:rPr>
              <w:t>99</w:t>
            </w:r>
            <w:r>
              <w:rPr>
                <w:rFonts w:hint="eastAsia" w:ascii="宋体" w:hAnsi="宋体" w:eastAsia="宋体" w:cs="宋体"/>
                <w:b w:val="0"/>
                <w:bCs/>
                <w:color w:val="auto"/>
                <w:sz w:val="24"/>
                <w:szCs w:val="24"/>
                <w:highlight w:val="none"/>
                <w:u w:val="single"/>
              </w:rPr>
              <w:t>号政务中心西</w:t>
            </w:r>
            <w:r>
              <w:rPr>
                <w:rFonts w:hint="eastAsia" w:ascii="宋体" w:hAnsi="宋体" w:eastAsia="宋体" w:cs="宋体"/>
                <w:b w:val="0"/>
                <w:bCs/>
                <w:color w:val="auto"/>
                <w:sz w:val="24"/>
                <w:szCs w:val="24"/>
                <w:highlight w:val="none"/>
                <w:u w:val="single"/>
                <w:lang w:val="en-US" w:eastAsia="zh-CN"/>
              </w:rPr>
              <w:t>8</w:t>
            </w:r>
            <w:r>
              <w:rPr>
                <w:rFonts w:hint="eastAsia" w:ascii="宋体" w:hAnsi="宋体" w:eastAsia="宋体" w:cs="宋体"/>
                <w:b w:val="0"/>
                <w:bCs/>
                <w:color w:val="auto"/>
                <w:sz w:val="24"/>
                <w:szCs w:val="24"/>
                <w:highlight w:val="none"/>
                <w:u w:val="single"/>
              </w:rPr>
              <w:t>楼</w:t>
            </w:r>
            <w:r>
              <w:rPr>
                <w:rFonts w:hint="eastAsia" w:ascii="宋体" w:hAnsi="宋体" w:eastAsia="宋体" w:cs="宋体"/>
                <w:b w:val="0"/>
                <w:bCs/>
                <w:color w:val="auto"/>
                <w:kern w:val="0"/>
                <w:sz w:val="24"/>
                <w:szCs w:val="24"/>
                <w:highlight w:val="none"/>
                <w:u w:val="single"/>
                <w:lang w:eastAsia="zh-CN"/>
              </w:rPr>
              <w:t>、滁州市龙蟠大道109号房产大厦6楼</w:t>
            </w:r>
          </w:p>
        </w:tc>
      </w:tr>
      <w:tr w14:paraId="321274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71" w:type="pct"/>
            <w:vAlign w:val="center"/>
          </w:tcPr>
          <w:p w14:paraId="25FC02EB">
            <w:pPr>
              <w:pStyle w:val="47"/>
              <w:keepNext w:val="0"/>
              <w:keepLines w:val="0"/>
              <w:pageBreakBefore w:val="0"/>
              <w:widowControl w:val="0"/>
              <w:pBdr>
                <w:bottom w:val="none" w:color="auto" w:sz="0" w:space="0"/>
              </w:pBdr>
              <w:tabs>
                <w:tab w:val="clear" w:pos="4153"/>
                <w:tab w:val="clear" w:pos="8306"/>
              </w:tabs>
              <w:kinsoku/>
              <w:overflowPunct/>
              <w:topLinePunct w:val="0"/>
              <w:autoSpaceDE/>
              <w:autoSpaceDN/>
              <w:bidi w:val="0"/>
              <w:adjustRightInd/>
              <w:snapToGrid/>
              <w:spacing w:line="440" w:lineRule="exact"/>
              <w:textAlignment w:val="auto"/>
              <w:rPr>
                <w:rFonts w:hint="default" w:ascii="宋体" w:hAnsi="宋体" w:eastAsia="宋体" w:cs="@仿宋_GB2312"/>
                <w:bCs/>
                <w:color w:val="auto"/>
                <w:kern w:val="2"/>
                <w:sz w:val="24"/>
                <w:szCs w:val="20"/>
                <w:highlight w:val="none"/>
                <w:lang w:val="en-US" w:eastAsia="zh-CN" w:bidi="ar-SA"/>
              </w:rPr>
            </w:pPr>
            <w:r>
              <w:rPr>
                <w:rFonts w:hint="eastAsia" w:ascii="宋体" w:hAnsi="宋体" w:eastAsia="宋体"/>
                <w:bCs/>
                <w:color w:val="auto"/>
                <w:kern w:val="2"/>
                <w:highlight w:val="none"/>
                <w:lang w:val="en-US" w:eastAsia="zh-CN"/>
              </w:rPr>
              <w:t>30</w:t>
            </w:r>
          </w:p>
        </w:tc>
        <w:tc>
          <w:tcPr>
            <w:tcW w:w="1159" w:type="pct"/>
            <w:vAlign w:val="center"/>
          </w:tcPr>
          <w:p w14:paraId="08394BD7">
            <w:pPr>
              <w:pStyle w:val="46"/>
              <w:keepNext w:val="0"/>
              <w:keepLines w:val="0"/>
              <w:pageBreakBefore w:val="0"/>
              <w:widowControl w:val="0"/>
              <w:kinsoku/>
              <w:overflowPunct/>
              <w:topLinePunct w:val="0"/>
              <w:autoSpaceDE/>
              <w:autoSpaceDN/>
              <w:bidi w:val="0"/>
              <w:adjustRightInd/>
              <w:snapToGrid/>
              <w:spacing w:before="0" w:beforeAutospacing="0" w:after="0" w:afterAutospacing="0" w:line="440" w:lineRule="exact"/>
              <w:jc w:val="both"/>
              <w:textAlignment w:val="auto"/>
              <w:rPr>
                <w:rFonts w:hint="default" w:ascii="宋体" w:hAnsi="宋体" w:eastAsia="宋体" w:cs="@仿宋_GB2312"/>
                <w:b w:val="0"/>
                <w:bCs/>
                <w:color w:val="auto"/>
                <w:kern w:val="0"/>
                <w:sz w:val="24"/>
                <w:szCs w:val="28"/>
                <w:highlight w:val="none"/>
                <w:lang w:val="en-US" w:eastAsia="zh-CN" w:bidi="ar-SA"/>
              </w:rPr>
            </w:pPr>
            <w:r>
              <w:rPr>
                <w:rFonts w:hint="eastAsia" w:ascii="宋体" w:hAnsi="宋体" w:eastAsia="宋体"/>
                <w:b w:val="0"/>
                <w:color w:val="auto"/>
                <w:sz w:val="24"/>
                <w:highlight w:val="none"/>
                <w:lang w:val="en-US" w:eastAsia="zh-CN"/>
              </w:rPr>
              <w:t>其他内容</w:t>
            </w:r>
          </w:p>
        </w:tc>
        <w:tc>
          <w:tcPr>
            <w:tcW w:w="3269" w:type="pct"/>
            <w:vAlign w:val="center"/>
          </w:tcPr>
          <w:p w14:paraId="0CCFBD36">
            <w:pPr>
              <w:pStyle w:val="46"/>
              <w:keepNext w:val="0"/>
              <w:keepLines w:val="0"/>
              <w:pageBreakBefore w:val="0"/>
              <w:widowControl w:val="0"/>
              <w:numPr>
                <w:ilvl w:val="0"/>
                <w:numId w:val="0"/>
              </w:numPr>
              <w:kinsoku/>
              <w:overflowPunct/>
              <w:topLinePunct w:val="0"/>
              <w:autoSpaceDE/>
              <w:autoSpaceDN/>
              <w:bidi w:val="0"/>
              <w:adjustRightInd/>
              <w:snapToGrid/>
              <w:spacing w:before="0" w:beforeAutospacing="0" w:after="0" w:afterAutospacing="0" w:line="440" w:lineRule="exact"/>
              <w:jc w:val="both"/>
              <w:textAlignment w:val="auto"/>
              <w:rPr>
                <w:rFonts w:hint="eastAsia" w:ascii="宋体" w:hAnsi="宋体" w:eastAsia="宋体"/>
                <w:b w:val="0"/>
                <w:color w:val="auto"/>
                <w:sz w:val="24"/>
                <w:highlight w:val="none"/>
                <w:lang w:val="en-US" w:eastAsia="zh-CN"/>
              </w:rPr>
            </w:pPr>
            <w:r>
              <w:rPr>
                <w:rFonts w:hint="eastAsia" w:ascii="宋体" w:hAnsi="宋体" w:eastAsia="宋体"/>
                <w:b w:val="0"/>
                <w:color w:val="auto"/>
                <w:sz w:val="24"/>
                <w:highlight w:val="none"/>
                <w:lang w:val="en-US" w:eastAsia="zh-CN"/>
              </w:rPr>
              <w:t>1、解释权：</w:t>
            </w:r>
          </w:p>
          <w:p w14:paraId="0E92143B">
            <w:pPr>
              <w:keepNext w:val="0"/>
              <w:keepLines w:val="0"/>
              <w:pageBreakBefore w:val="0"/>
              <w:widowControl w:val="0"/>
              <w:kinsoku/>
              <w:overflowPunct/>
              <w:topLinePunct w:val="0"/>
              <w:autoSpaceDE/>
              <w:autoSpaceDN/>
              <w:bidi w:val="0"/>
              <w:adjustRightInd/>
              <w:snapToGrid/>
              <w:spacing w:line="440" w:lineRule="exact"/>
              <w:textAlignment w:val="auto"/>
              <w:rPr>
                <w:rFonts w:asciiTheme="minorEastAsia" w:hAnsiTheme="minorEastAsia" w:eastAsiaTheme="minorEastAsia"/>
                <w:bCs/>
                <w:color w:val="auto"/>
                <w:sz w:val="24"/>
                <w:szCs w:val="24"/>
                <w:highlight w:val="none"/>
              </w:rPr>
            </w:pPr>
            <w:r>
              <w:rPr>
                <w:rFonts w:hint="eastAsia" w:asciiTheme="minorEastAsia" w:hAnsiTheme="minorEastAsia" w:eastAsiaTheme="minorEastAsia"/>
                <w:bCs/>
                <w:color w:val="auto"/>
                <w:sz w:val="24"/>
                <w:szCs w:val="24"/>
                <w:highlight w:val="none"/>
              </w:rPr>
              <w:t>（1）</w:t>
            </w:r>
            <w:r>
              <w:rPr>
                <w:rFonts w:asciiTheme="minorEastAsia" w:hAnsiTheme="minorEastAsia" w:eastAsiaTheme="minorEastAsia"/>
                <w:bCs/>
                <w:color w:val="auto"/>
                <w:sz w:val="24"/>
                <w:szCs w:val="24"/>
                <w:highlight w:val="none"/>
              </w:rPr>
              <w:t>构成本</w:t>
            </w:r>
            <w:r>
              <w:rPr>
                <w:rFonts w:hint="eastAsia" w:asciiTheme="minorEastAsia" w:hAnsiTheme="minorEastAsia" w:eastAsiaTheme="minorEastAsia"/>
                <w:bCs/>
                <w:color w:val="auto"/>
                <w:sz w:val="24"/>
                <w:szCs w:val="24"/>
                <w:highlight w:val="none"/>
                <w:lang w:val="en-US" w:eastAsia="zh-CN"/>
              </w:rPr>
              <w:t>谈判</w:t>
            </w:r>
            <w:r>
              <w:rPr>
                <w:rFonts w:asciiTheme="minorEastAsia" w:hAnsiTheme="minorEastAsia" w:eastAsiaTheme="minorEastAsia"/>
                <w:bCs/>
                <w:color w:val="auto"/>
                <w:sz w:val="24"/>
                <w:szCs w:val="24"/>
                <w:highlight w:val="none"/>
              </w:rPr>
              <w:t>文件的各个组成文件应互为解释，互为说明；</w:t>
            </w:r>
          </w:p>
          <w:p w14:paraId="7F5A2B33">
            <w:pPr>
              <w:keepNext w:val="0"/>
              <w:keepLines w:val="0"/>
              <w:pageBreakBefore w:val="0"/>
              <w:widowControl w:val="0"/>
              <w:kinsoku/>
              <w:overflowPunct/>
              <w:topLinePunct w:val="0"/>
              <w:autoSpaceDE/>
              <w:autoSpaceDN/>
              <w:bidi w:val="0"/>
              <w:adjustRightInd/>
              <w:snapToGrid/>
              <w:spacing w:line="440" w:lineRule="exact"/>
              <w:textAlignment w:val="auto"/>
              <w:rPr>
                <w:rFonts w:asciiTheme="minorEastAsia" w:hAnsiTheme="minorEastAsia" w:eastAsiaTheme="minorEastAsia"/>
                <w:bCs/>
                <w:color w:val="auto"/>
                <w:sz w:val="24"/>
                <w:szCs w:val="24"/>
                <w:highlight w:val="none"/>
              </w:rPr>
            </w:pPr>
            <w:r>
              <w:rPr>
                <w:rFonts w:hint="eastAsia" w:asciiTheme="minorEastAsia" w:hAnsiTheme="minorEastAsia" w:eastAsiaTheme="minorEastAsia"/>
                <w:bCs/>
                <w:color w:val="auto"/>
                <w:sz w:val="24"/>
                <w:szCs w:val="24"/>
                <w:highlight w:val="none"/>
              </w:rPr>
              <w:t>（2）</w:t>
            </w:r>
            <w:r>
              <w:rPr>
                <w:rFonts w:asciiTheme="minorEastAsia" w:hAnsiTheme="minorEastAsia" w:eastAsiaTheme="minorEastAsia"/>
                <w:bCs/>
                <w:color w:val="auto"/>
                <w:sz w:val="24"/>
                <w:szCs w:val="24"/>
                <w:highlight w:val="none"/>
              </w:rPr>
              <w:t>同一组成文件中就同一事项的规定或约定不一致的，以编排顺序在后者为准；</w:t>
            </w:r>
          </w:p>
          <w:p w14:paraId="1F28B022">
            <w:pPr>
              <w:keepNext w:val="0"/>
              <w:keepLines w:val="0"/>
              <w:pageBreakBefore w:val="0"/>
              <w:widowControl w:val="0"/>
              <w:kinsoku/>
              <w:overflowPunct/>
              <w:topLinePunct w:val="0"/>
              <w:autoSpaceDE/>
              <w:autoSpaceDN/>
              <w:bidi w:val="0"/>
              <w:adjustRightInd/>
              <w:snapToGrid/>
              <w:spacing w:line="440" w:lineRule="exact"/>
              <w:textAlignment w:val="auto"/>
              <w:rPr>
                <w:rFonts w:asciiTheme="minorEastAsia" w:hAnsiTheme="minorEastAsia" w:eastAsiaTheme="minorEastAsia"/>
                <w:bCs/>
                <w:color w:val="auto"/>
                <w:sz w:val="24"/>
                <w:szCs w:val="24"/>
                <w:highlight w:val="none"/>
              </w:rPr>
            </w:pPr>
            <w:r>
              <w:rPr>
                <w:rFonts w:hint="eastAsia" w:asciiTheme="minorEastAsia" w:hAnsiTheme="minorEastAsia" w:eastAsiaTheme="minorEastAsia"/>
                <w:bCs/>
                <w:color w:val="auto"/>
                <w:sz w:val="24"/>
                <w:szCs w:val="24"/>
                <w:highlight w:val="none"/>
              </w:rPr>
              <w:t>（3）</w:t>
            </w:r>
            <w:r>
              <w:rPr>
                <w:rFonts w:asciiTheme="minorEastAsia" w:hAnsiTheme="minorEastAsia" w:eastAsiaTheme="minorEastAsia"/>
                <w:bCs/>
                <w:color w:val="auto"/>
                <w:sz w:val="24"/>
                <w:szCs w:val="24"/>
                <w:highlight w:val="none"/>
              </w:rPr>
              <w:t>如有不明确或不一致，构成合同文件组成内容的，以合同文件约定内容为准，且以专用合同条款约定的合同文件优先顺序解释；</w:t>
            </w:r>
          </w:p>
          <w:p w14:paraId="39D2CEAF">
            <w:pPr>
              <w:keepNext w:val="0"/>
              <w:keepLines w:val="0"/>
              <w:pageBreakBefore w:val="0"/>
              <w:widowControl w:val="0"/>
              <w:kinsoku/>
              <w:overflowPunct/>
              <w:topLinePunct w:val="0"/>
              <w:autoSpaceDE/>
              <w:autoSpaceDN/>
              <w:bidi w:val="0"/>
              <w:adjustRightInd/>
              <w:snapToGrid/>
              <w:spacing w:line="440" w:lineRule="exact"/>
              <w:textAlignment w:val="auto"/>
              <w:rPr>
                <w:rFonts w:asciiTheme="minorEastAsia" w:hAnsiTheme="minorEastAsia" w:eastAsiaTheme="minorEastAsia"/>
                <w:bCs/>
                <w:color w:val="auto"/>
                <w:sz w:val="24"/>
                <w:szCs w:val="24"/>
                <w:highlight w:val="none"/>
              </w:rPr>
            </w:pPr>
            <w:r>
              <w:rPr>
                <w:rFonts w:hint="eastAsia" w:asciiTheme="minorEastAsia" w:hAnsiTheme="minorEastAsia" w:eastAsiaTheme="minorEastAsia"/>
                <w:bCs/>
                <w:color w:val="auto"/>
                <w:sz w:val="24"/>
                <w:szCs w:val="24"/>
                <w:highlight w:val="none"/>
              </w:rPr>
              <w:t>（4）</w:t>
            </w:r>
            <w:r>
              <w:rPr>
                <w:rFonts w:asciiTheme="minorEastAsia" w:hAnsiTheme="minorEastAsia" w:eastAsiaTheme="minorEastAsia"/>
                <w:bCs/>
                <w:color w:val="auto"/>
                <w:sz w:val="24"/>
                <w:szCs w:val="24"/>
                <w:highlight w:val="none"/>
              </w:rPr>
              <w:t>除</w:t>
            </w:r>
            <w:r>
              <w:rPr>
                <w:rFonts w:hint="eastAsia" w:asciiTheme="minorEastAsia" w:hAnsiTheme="minorEastAsia" w:eastAsiaTheme="minorEastAsia"/>
                <w:bCs/>
                <w:color w:val="auto"/>
                <w:sz w:val="24"/>
                <w:szCs w:val="24"/>
                <w:highlight w:val="none"/>
              </w:rPr>
              <w:t>谈判</w:t>
            </w:r>
            <w:r>
              <w:rPr>
                <w:rFonts w:asciiTheme="minorEastAsia" w:hAnsiTheme="minorEastAsia" w:eastAsiaTheme="minorEastAsia"/>
                <w:bCs/>
                <w:color w:val="auto"/>
                <w:sz w:val="24"/>
                <w:szCs w:val="24"/>
                <w:highlight w:val="none"/>
              </w:rPr>
              <w:t>文件中有特别规定外，仅适用于</w:t>
            </w:r>
            <w:r>
              <w:rPr>
                <w:rFonts w:hint="eastAsia" w:asciiTheme="minorEastAsia" w:hAnsiTheme="minorEastAsia" w:eastAsiaTheme="minorEastAsia"/>
                <w:bCs/>
                <w:color w:val="auto"/>
                <w:sz w:val="24"/>
                <w:szCs w:val="24"/>
                <w:highlight w:val="none"/>
              </w:rPr>
              <w:t>谈判及响应文件提交</w:t>
            </w:r>
            <w:r>
              <w:rPr>
                <w:rFonts w:asciiTheme="minorEastAsia" w:hAnsiTheme="minorEastAsia" w:eastAsiaTheme="minorEastAsia"/>
                <w:bCs/>
                <w:color w:val="auto"/>
                <w:sz w:val="24"/>
                <w:szCs w:val="24"/>
                <w:highlight w:val="none"/>
              </w:rPr>
              <w:t>阶段的规定，按</w:t>
            </w:r>
            <w:r>
              <w:rPr>
                <w:rFonts w:hint="eastAsia" w:asciiTheme="minorEastAsia" w:hAnsiTheme="minorEastAsia" w:eastAsiaTheme="minorEastAsia"/>
                <w:bCs/>
                <w:color w:val="auto"/>
                <w:sz w:val="24"/>
                <w:szCs w:val="24"/>
                <w:highlight w:val="none"/>
              </w:rPr>
              <w:t>竞争性谈判</w:t>
            </w:r>
            <w:r>
              <w:rPr>
                <w:rFonts w:asciiTheme="minorEastAsia" w:hAnsiTheme="minorEastAsia" w:eastAsiaTheme="minorEastAsia"/>
                <w:bCs/>
                <w:color w:val="auto"/>
                <w:sz w:val="24"/>
                <w:szCs w:val="24"/>
                <w:highlight w:val="none"/>
              </w:rPr>
              <w:t>公告、</w:t>
            </w:r>
            <w:r>
              <w:rPr>
                <w:rFonts w:hint="eastAsia" w:asciiTheme="minorEastAsia" w:hAnsiTheme="minorEastAsia" w:eastAsiaTheme="minorEastAsia"/>
                <w:bCs/>
                <w:color w:val="auto"/>
                <w:sz w:val="24"/>
                <w:szCs w:val="24"/>
                <w:highlight w:val="none"/>
              </w:rPr>
              <w:t>谈判邀请、供应商</w:t>
            </w:r>
            <w:r>
              <w:rPr>
                <w:rFonts w:asciiTheme="minorEastAsia" w:hAnsiTheme="minorEastAsia" w:eastAsiaTheme="minorEastAsia"/>
                <w:bCs/>
                <w:color w:val="auto"/>
                <w:sz w:val="24"/>
                <w:szCs w:val="24"/>
                <w:highlight w:val="none"/>
              </w:rPr>
              <w:t>须知、评</w:t>
            </w:r>
            <w:r>
              <w:rPr>
                <w:rFonts w:hint="eastAsia" w:asciiTheme="minorEastAsia" w:hAnsiTheme="minorEastAsia" w:eastAsiaTheme="minorEastAsia"/>
                <w:bCs/>
                <w:color w:val="auto"/>
                <w:sz w:val="24"/>
                <w:szCs w:val="24"/>
                <w:highlight w:val="none"/>
              </w:rPr>
              <w:t>审方</w:t>
            </w:r>
            <w:r>
              <w:rPr>
                <w:rFonts w:asciiTheme="minorEastAsia" w:hAnsiTheme="minorEastAsia" w:eastAsiaTheme="minorEastAsia"/>
                <w:bCs/>
                <w:color w:val="auto"/>
                <w:sz w:val="24"/>
                <w:szCs w:val="24"/>
                <w:highlight w:val="none"/>
              </w:rPr>
              <w:t>法</w:t>
            </w:r>
            <w:r>
              <w:rPr>
                <w:rFonts w:hint="eastAsia" w:asciiTheme="minorEastAsia" w:hAnsiTheme="minorEastAsia" w:eastAsiaTheme="minorEastAsia"/>
                <w:bCs/>
                <w:color w:val="auto"/>
                <w:sz w:val="24"/>
                <w:szCs w:val="24"/>
                <w:highlight w:val="none"/>
              </w:rPr>
              <w:t>和标准</w:t>
            </w:r>
            <w:r>
              <w:rPr>
                <w:rFonts w:asciiTheme="minorEastAsia" w:hAnsiTheme="minorEastAsia" w:eastAsiaTheme="minorEastAsia"/>
                <w:bCs/>
                <w:color w:val="auto"/>
                <w:sz w:val="24"/>
                <w:szCs w:val="24"/>
                <w:highlight w:val="none"/>
              </w:rPr>
              <w:t>、</w:t>
            </w:r>
            <w:r>
              <w:rPr>
                <w:rFonts w:hint="eastAsia" w:asciiTheme="minorEastAsia" w:hAnsiTheme="minorEastAsia" w:eastAsiaTheme="minorEastAsia"/>
                <w:bCs/>
                <w:color w:val="auto"/>
                <w:sz w:val="24"/>
                <w:szCs w:val="24"/>
                <w:highlight w:val="none"/>
              </w:rPr>
              <w:t>响应</w:t>
            </w:r>
            <w:r>
              <w:rPr>
                <w:rFonts w:asciiTheme="minorEastAsia" w:hAnsiTheme="minorEastAsia" w:eastAsiaTheme="minorEastAsia"/>
                <w:bCs/>
                <w:color w:val="auto"/>
                <w:sz w:val="24"/>
                <w:szCs w:val="24"/>
                <w:highlight w:val="none"/>
              </w:rPr>
              <w:t>文件格式的先后顺序解释；</w:t>
            </w:r>
          </w:p>
          <w:p w14:paraId="21CB5C83">
            <w:pPr>
              <w:pStyle w:val="46"/>
              <w:keepNext w:val="0"/>
              <w:keepLines w:val="0"/>
              <w:pageBreakBefore w:val="0"/>
              <w:widowControl w:val="0"/>
              <w:numPr>
                <w:ilvl w:val="0"/>
                <w:numId w:val="0"/>
              </w:numPr>
              <w:kinsoku/>
              <w:overflowPunct/>
              <w:topLinePunct w:val="0"/>
              <w:autoSpaceDE/>
              <w:autoSpaceDN/>
              <w:bidi w:val="0"/>
              <w:adjustRightInd/>
              <w:snapToGrid/>
              <w:spacing w:before="0" w:beforeAutospacing="0" w:after="0" w:afterAutospacing="0" w:line="440" w:lineRule="exact"/>
              <w:jc w:val="both"/>
              <w:textAlignment w:val="auto"/>
              <w:rPr>
                <w:rFonts w:hint="default" w:cs="@仿宋_GB2312" w:asciiTheme="minorEastAsia" w:hAnsiTheme="minorEastAsia" w:eastAsiaTheme="minorEastAsia"/>
                <w:b w:val="0"/>
                <w:bCs/>
                <w:color w:val="auto"/>
                <w:kern w:val="2"/>
                <w:sz w:val="24"/>
                <w:szCs w:val="24"/>
                <w:highlight w:val="none"/>
                <w:lang w:val="en-US" w:eastAsia="zh-CN" w:bidi="ar-SA"/>
              </w:rPr>
            </w:pPr>
            <w:r>
              <w:rPr>
                <w:rFonts w:hint="eastAsia" w:cs="@仿宋_GB2312" w:asciiTheme="minorEastAsia" w:hAnsiTheme="minorEastAsia" w:eastAsiaTheme="minorEastAsia"/>
                <w:b w:val="0"/>
                <w:bCs/>
                <w:color w:val="auto"/>
                <w:kern w:val="2"/>
                <w:sz w:val="24"/>
                <w:szCs w:val="24"/>
                <w:highlight w:val="none"/>
                <w:lang w:val="en-US" w:eastAsia="zh-CN" w:bidi="ar-SA"/>
              </w:rPr>
              <w:t>（5）</w:t>
            </w:r>
            <w:r>
              <w:rPr>
                <w:rFonts w:cs="@仿宋_GB2312" w:asciiTheme="minorEastAsia" w:hAnsiTheme="minorEastAsia" w:eastAsiaTheme="minorEastAsia"/>
                <w:b w:val="0"/>
                <w:bCs/>
                <w:color w:val="auto"/>
                <w:kern w:val="2"/>
                <w:sz w:val="24"/>
                <w:szCs w:val="24"/>
                <w:highlight w:val="none"/>
                <w:lang w:val="en-US" w:eastAsia="zh-CN" w:bidi="ar-SA"/>
              </w:rPr>
              <w:t>按本款前述规定仍不能形成结论的，由</w:t>
            </w:r>
            <w:r>
              <w:rPr>
                <w:rFonts w:hint="eastAsia" w:cs="@仿宋_GB2312" w:asciiTheme="minorEastAsia" w:hAnsiTheme="minorEastAsia" w:eastAsiaTheme="minorEastAsia"/>
                <w:b w:val="0"/>
                <w:bCs/>
                <w:color w:val="auto"/>
                <w:kern w:val="2"/>
                <w:sz w:val="24"/>
                <w:szCs w:val="24"/>
                <w:highlight w:val="none"/>
                <w:lang w:val="en-US" w:eastAsia="zh-CN" w:bidi="ar-SA"/>
              </w:rPr>
              <w:t>采购</w:t>
            </w:r>
            <w:r>
              <w:rPr>
                <w:rFonts w:cs="@仿宋_GB2312" w:asciiTheme="minorEastAsia" w:hAnsiTheme="minorEastAsia" w:eastAsiaTheme="minorEastAsia"/>
                <w:b w:val="0"/>
                <w:bCs/>
                <w:color w:val="auto"/>
                <w:kern w:val="2"/>
                <w:sz w:val="24"/>
                <w:szCs w:val="24"/>
                <w:highlight w:val="none"/>
                <w:lang w:val="en-US" w:eastAsia="zh-CN" w:bidi="ar-SA"/>
              </w:rPr>
              <w:t>人负责解释。</w:t>
            </w:r>
          </w:p>
        </w:tc>
      </w:tr>
      <w:tr w14:paraId="0BC8C3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9" w:hRule="atLeast"/>
          <w:jc w:val="center"/>
        </w:trPr>
        <w:tc>
          <w:tcPr>
            <w:tcW w:w="5000" w:type="pct"/>
            <w:gridSpan w:val="3"/>
            <w:vAlign w:val="center"/>
          </w:tcPr>
          <w:p w14:paraId="0DCF03E7">
            <w:pPr>
              <w:keepNext w:val="0"/>
              <w:keepLines w:val="0"/>
              <w:pageBreakBefore w:val="0"/>
              <w:widowControl w:val="0"/>
              <w:kinsoku/>
              <w:overflowPunct/>
              <w:topLinePunct w:val="0"/>
              <w:autoSpaceDE/>
              <w:autoSpaceDN/>
              <w:bidi w:val="0"/>
              <w:adjustRightInd/>
              <w:snapToGrid/>
              <w:spacing w:line="360" w:lineRule="exact"/>
              <w:jc w:val="left"/>
              <w:textAlignment w:val="auto"/>
              <w:rPr>
                <w:rFonts w:hint="default" w:cs="@仿宋_GB2312" w:asciiTheme="minorEastAsia" w:hAnsiTheme="minorEastAsia" w:eastAsiaTheme="minorEastAsia"/>
                <w:b/>
                <w:bCs w:val="0"/>
                <w:color w:val="auto"/>
                <w:kern w:val="2"/>
                <w:sz w:val="24"/>
                <w:szCs w:val="24"/>
                <w:highlight w:val="none"/>
                <w:lang w:val="en-US" w:eastAsia="zh-CN" w:bidi="ar-SA"/>
              </w:rPr>
            </w:pPr>
            <w:r>
              <w:rPr>
                <w:rFonts w:hint="eastAsia" w:cs="@仿宋_GB2312" w:asciiTheme="minorEastAsia" w:hAnsiTheme="minorEastAsia" w:eastAsiaTheme="minorEastAsia"/>
                <w:b/>
                <w:bCs w:val="0"/>
                <w:color w:val="auto"/>
                <w:kern w:val="2"/>
                <w:sz w:val="24"/>
                <w:szCs w:val="24"/>
                <w:highlight w:val="none"/>
                <w:lang w:val="en-US" w:eastAsia="zh-CN" w:bidi="ar-SA"/>
              </w:rPr>
              <w:t>（1）供应商若为银行、保险、石油化工、电力、电信、邮政等有行业特殊情况的企业，接受总公司或其分支机构（分公司）参加谈判；</w:t>
            </w:r>
          </w:p>
          <w:p w14:paraId="53AB3170">
            <w:pPr>
              <w:pStyle w:val="16"/>
              <w:keepNext w:val="0"/>
              <w:keepLines w:val="0"/>
              <w:pageBreakBefore w:val="0"/>
              <w:widowControl w:val="0"/>
              <w:kinsoku/>
              <w:overflowPunct/>
              <w:topLinePunct w:val="0"/>
              <w:autoSpaceDE/>
              <w:autoSpaceDN/>
              <w:bidi w:val="0"/>
              <w:adjustRightInd/>
              <w:snapToGrid/>
              <w:spacing w:line="360" w:lineRule="exact"/>
              <w:textAlignment w:val="auto"/>
              <w:rPr>
                <w:rFonts w:hint="eastAsia" w:cs="@仿宋_GB2312" w:asciiTheme="minorEastAsia" w:hAnsiTheme="minorEastAsia" w:eastAsiaTheme="minorEastAsia"/>
                <w:b/>
                <w:bCs w:val="0"/>
                <w:color w:val="auto"/>
                <w:kern w:val="2"/>
                <w:sz w:val="24"/>
                <w:szCs w:val="24"/>
                <w:highlight w:val="none"/>
                <w:lang w:val="en-US" w:eastAsia="zh-CN" w:bidi="ar-SA"/>
              </w:rPr>
            </w:pPr>
            <w:r>
              <w:rPr>
                <w:rFonts w:hint="eastAsia" w:cs="@仿宋_GB2312" w:asciiTheme="minorEastAsia" w:hAnsiTheme="minorEastAsia" w:eastAsiaTheme="minorEastAsia"/>
                <w:b/>
                <w:bCs w:val="0"/>
                <w:color w:val="auto"/>
                <w:kern w:val="2"/>
                <w:sz w:val="24"/>
                <w:szCs w:val="24"/>
                <w:highlight w:val="none"/>
                <w:lang w:val="en-US" w:eastAsia="zh-CN" w:bidi="ar-SA"/>
              </w:rPr>
              <w:t>（2）若供应商为分支机构，</w:t>
            </w:r>
            <w:r>
              <w:rPr>
                <w:rFonts w:hint="eastAsia" w:cs="@仿宋_GB2312" w:asciiTheme="minorEastAsia" w:hAnsiTheme="minorEastAsia"/>
                <w:b/>
                <w:bCs w:val="0"/>
                <w:color w:val="auto"/>
                <w:kern w:val="2"/>
                <w:sz w:val="24"/>
                <w:szCs w:val="24"/>
                <w:highlight w:val="none"/>
                <w:lang w:val="en-US" w:eastAsia="zh-CN" w:bidi="ar-SA"/>
              </w:rPr>
              <w:t>谈判</w:t>
            </w:r>
            <w:r>
              <w:rPr>
                <w:rFonts w:hint="eastAsia" w:cs="@仿宋_GB2312" w:asciiTheme="minorEastAsia" w:hAnsiTheme="minorEastAsia" w:eastAsiaTheme="minorEastAsia"/>
                <w:b/>
                <w:bCs w:val="0"/>
                <w:color w:val="auto"/>
                <w:kern w:val="2"/>
                <w:sz w:val="24"/>
                <w:szCs w:val="24"/>
                <w:highlight w:val="none"/>
                <w:lang w:val="en-US" w:eastAsia="zh-CN" w:bidi="ar-SA"/>
              </w:rPr>
              <w:t>文件中对法定代表人的相关要求、材料及签字或盖章对应的为该分支机构负责人的相关要求、材料及签字或盖章。</w:t>
            </w:r>
          </w:p>
          <w:p w14:paraId="43AC4AD2">
            <w:pPr>
              <w:pStyle w:val="16"/>
              <w:keepNext w:val="0"/>
              <w:keepLines w:val="0"/>
              <w:pageBreakBefore w:val="0"/>
              <w:widowControl w:val="0"/>
              <w:kinsoku/>
              <w:overflowPunct/>
              <w:topLinePunct w:val="0"/>
              <w:autoSpaceDE/>
              <w:autoSpaceDN/>
              <w:bidi w:val="0"/>
              <w:adjustRightInd/>
              <w:snapToGrid/>
              <w:spacing w:line="360" w:lineRule="exact"/>
              <w:textAlignment w:val="auto"/>
              <w:rPr>
                <w:rFonts w:hint="eastAsia" w:cs="@仿宋_GB2312" w:asciiTheme="minorEastAsia" w:hAnsiTheme="minorEastAsia" w:eastAsiaTheme="minorEastAsia"/>
                <w:b/>
                <w:bCs w:val="0"/>
                <w:color w:val="auto"/>
                <w:kern w:val="2"/>
                <w:sz w:val="24"/>
                <w:szCs w:val="24"/>
                <w:highlight w:val="none"/>
                <w:lang w:val="en-US" w:eastAsia="zh-CN" w:bidi="ar-SA"/>
              </w:rPr>
            </w:pPr>
            <w:r>
              <w:rPr>
                <w:rFonts w:hint="eastAsia" w:cs="@仿宋_GB2312" w:asciiTheme="minorEastAsia" w:hAnsiTheme="minorEastAsia" w:eastAsiaTheme="minorEastAsia"/>
                <w:b/>
                <w:bCs w:val="0"/>
                <w:color w:val="auto"/>
                <w:kern w:val="2"/>
                <w:sz w:val="24"/>
                <w:szCs w:val="24"/>
                <w:highlight w:val="none"/>
                <w:lang w:val="en-US" w:eastAsia="zh-CN" w:bidi="ar-SA"/>
              </w:rPr>
              <w:t>（3）若供应商为分支机构，其提供的总公司与其各分公司的人员、证书均认可为供应商提供。</w:t>
            </w:r>
          </w:p>
          <w:p w14:paraId="4698849F">
            <w:pPr>
              <w:pStyle w:val="46"/>
              <w:keepNext w:val="0"/>
              <w:keepLines w:val="0"/>
              <w:pageBreakBefore w:val="0"/>
              <w:widowControl w:val="0"/>
              <w:numPr>
                <w:ilvl w:val="0"/>
                <w:numId w:val="0"/>
              </w:numPr>
              <w:kinsoku/>
              <w:overflowPunct/>
              <w:topLinePunct w:val="0"/>
              <w:autoSpaceDE/>
              <w:autoSpaceDN/>
              <w:bidi w:val="0"/>
              <w:adjustRightInd/>
              <w:snapToGrid/>
              <w:spacing w:before="0" w:beforeAutospacing="0" w:after="0" w:afterAutospacing="0" w:line="360" w:lineRule="exact"/>
              <w:jc w:val="both"/>
              <w:textAlignment w:val="auto"/>
              <w:rPr>
                <w:rFonts w:hint="eastAsia" w:cs="@仿宋_GB2312" w:asciiTheme="minorEastAsia" w:hAnsiTheme="minorEastAsia" w:eastAsiaTheme="minorEastAsia"/>
                <w:b w:val="0"/>
                <w:bCs/>
                <w:color w:val="auto"/>
                <w:kern w:val="2"/>
                <w:sz w:val="24"/>
                <w:szCs w:val="24"/>
                <w:highlight w:val="none"/>
                <w:lang w:val="en-US" w:eastAsia="zh-CN" w:bidi="ar-SA"/>
              </w:rPr>
            </w:pPr>
            <w:r>
              <w:rPr>
                <w:rFonts w:hint="eastAsia" w:cs="@仿宋_GB2312" w:asciiTheme="minorEastAsia" w:hAnsiTheme="minorEastAsia" w:eastAsiaTheme="minorEastAsia"/>
                <w:b/>
                <w:bCs w:val="0"/>
                <w:color w:val="auto"/>
                <w:kern w:val="2"/>
                <w:sz w:val="24"/>
                <w:szCs w:val="24"/>
                <w:highlight w:val="none"/>
                <w:lang w:val="en-US" w:eastAsia="zh-CN" w:bidi="ar-SA"/>
              </w:rPr>
              <w:t>（4）若供应商为分支机构，其总公司与其各分公司被认定为一个供应商。</w:t>
            </w:r>
          </w:p>
        </w:tc>
      </w:tr>
      <w:tr w14:paraId="397A15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000" w:type="pct"/>
            <w:gridSpan w:val="3"/>
            <w:vAlign w:val="center"/>
          </w:tcPr>
          <w:p w14:paraId="6BC375CC">
            <w:pPr>
              <w:pStyle w:val="46"/>
              <w:keepNext w:val="0"/>
              <w:keepLines w:val="0"/>
              <w:pageBreakBefore w:val="0"/>
              <w:widowControl w:val="0"/>
              <w:numPr>
                <w:ilvl w:val="0"/>
                <w:numId w:val="0"/>
              </w:numPr>
              <w:kinsoku/>
              <w:wordWrap w:val="0"/>
              <w:overflowPunct/>
              <w:topLinePunct w:val="0"/>
              <w:autoSpaceDE/>
              <w:autoSpaceDN/>
              <w:bidi w:val="0"/>
              <w:adjustRightInd/>
              <w:snapToGrid/>
              <w:spacing w:before="0" w:beforeAutospacing="0" w:after="0" w:afterAutospacing="0" w:line="360" w:lineRule="exact"/>
              <w:jc w:val="both"/>
              <w:textAlignment w:val="auto"/>
              <w:rPr>
                <w:rFonts w:hint="eastAsia" w:cs="@仿宋_GB2312" w:asciiTheme="minorEastAsia" w:hAnsiTheme="minorEastAsia" w:eastAsiaTheme="minorEastAsia"/>
                <w:b/>
                <w:bCs w:val="0"/>
                <w:color w:val="auto"/>
                <w:kern w:val="2"/>
                <w:sz w:val="24"/>
                <w:szCs w:val="24"/>
                <w:highlight w:val="none"/>
                <w:lang w:val="en-US" w:eastAsia="zh-CN" w:bidi="ar-SA"/>
              </w:rPr>
            </w:pPr>
            <w:r>
              <w:rPr>
                <w:rFonts w:hint="eastAsia" w:cs="@仿宋_GB2312" w:asciiTheme="minorEastAsia" w:hAnsiTheme="minorEastAsia" w:eastAsiaTheme="minorEastAsia"/>
                <w:b/>
                <w:bCs w:val="0"/>
                <w:color w:val="auto"/>
                <w:kern w:val="2"/>
                <w:sz w:val="24"/>
                <w:szCs w:val="24"/>
                <w:highlight w:val="none"/>
                <w:lang w:val="en-US" w:eastAsia="zh-CN" w:bidi="ar-SA"/>
              </w:rPr>
              <w:t>重要提醒</w:t>
            </w:r>
          </w:p>
          <w:p w14:paraId="726D0FD4">
            <w:pPr>
              <w:pStyle w:val="46"/>
              <w:keepNext w:val="0"/>
              <w:keepLines w:val="0"/>
              <w:pageBreakBefore w:val="0"/>
              <w:widowControl w:val="0"/>
              <w:numPr>
                <w:ilvl w:val="0"/>
                <w:numId w:val="0"/>
              </w:numPr>
              <w:kinsoku/>
              <w:wordWrap w:val="0"/>
              <w:overflowPunct/>
              <w:topLinePunct w:val="0"/>
              <w:autoSpaceDE/>
              <w:autoSpaceDN/>
              <w:bidi w:val="0"/>
              <w:adjustRightInd/>
              <w:snapToGrid/>
              <w:spacing w:before="0" w:beforeAutospacing="0" w:after="0" w:afterAutospacing="0" w:line="320" w:lineRule="exact"/>
              <w:jc w:val="both"/>
              <w:textAlignment w:val="auto"/>
              <w:rPr>
                <w:rFonts w:hint="eastAsia" w:cs="@仿宋_GB2312" w:asciiTheme="minorEastAsia" w:hAnsiTheme="minorEastAsia" w:eastAsiaTheme="minorEastAsia"/>
                <w:b w:val="0"/>
                <w:bCs/>
                <w:color w:val="auto"/>
                <w:kern w:val="2"/>
                <w:sz w:val="24"/>
                <w:szCs w:val="24"/>
                <w:highlight w:val="none"/>
                <w:lang w:val="en-US" w:eastAsia="zh-CN" w:bidi="ar-SA"/>
              </w:rPr>
            </w:pPr>
            <w:r>
              <w:rPr>
                <w:rFonts w:hint="eastAsia" w:cs="@仿宋_GB2312" w:asciiTheme="minorEastAsia" w:hAnsiTheme="minorEastAsia" w:eastAsiaTheme="minorEastAsia"/>
                <w:b w:val="0"/>
                <w:bCs/>
                <w:color w:val="auto"/>
                <w:kern w:val="2"/>
                <w:sz w:val="24"/>
                <w:szCs w:val="24"/>
                <w:highlight w:val="none"/>
                <w:lang w:val="en-US" w:eastAsia="zh-CN" w:bidi="ar-SA"/>
              </w:rPr>
              <w:t>1.请于公告发布之日起从滁州市城投工程咨询管理有限公司官网（https://www.czctgczx.com/），点击项目招标公告下方【我要投标】，登录新点电子交易平台后在【滁州专区】（https://www.etrading.cn/BREpointSSO/login/oauth2login?regioncode=DQ_ChuZhou）下载本项目采购文件。供应商自行承担因未按要求获取采购文件导致无法上传电子响应文件的风险。</w:t>
            </w:r>
          </w:p>
          <w:p w14:paraId="66C2AE83">
            <w:pPr>
              <w:pStyle w:val="46"/>
              <w:keepNext w:val="0"/>
              <w:keepLines w:val="0"/>
              <w:pageBreakBefore w:val="0"/>
              <w:widowControl w:val="0"/>
              <w:numPr>
                <w:ilvl w:val="0"/>
                <w:numId w:val="0"/>
              </w:numPr>
              <w:kinsoku/>
              <w:wordWrap w:val="0"/>
              <w:overflowPunct/>
              <w:topLinePunct w:val="0"/>
              <w:autoSpaceDE/>
              <w:autoSpaceDN/>
              <w:bidi w:val="0"/>
              <w:adjustRightInd/>
              <w:snapToGrid/>
              <w:spacing w:before="0" w:beforeAutospacing="0" w:after="0" w:afterAutospacing="0" w:line="320" w:lineRule="exact"/>
              <w:jc w:val="both"/>
              <w:textAlignment w:val="auto"/>
              <w:rPr>
                <w:rFonts w:hint="eastAsia" w:cs="@仿宋_GB2312" w:asciiTheme="minorEastAsia" w:hAnsiTheme="minorEastAsia" w:eastAsiaTheme="minorEastAsia"/>
                <w:b w:val="0"/>
                <w:bCs/>
                <w:color w:val="auto"/>
                <w:kern w:val="2"/>
                <w:sz w:val="24"/>
                <w:szCs w:val="24"/>
                <w:highlight w:val="none"/>
                <w:lang w:val="en-US" w:eastAsia="zh-CN" w:bidi="ar-SA"/>
              </w:rPr>
            </w:pPr>
            <w:r>
              <w:rPr>
                <w:rFonts w:hint="eastAsia" w:cs="@仿宋_GB2312" w:asciiTheme="minorEastAsia" w:hAnsiTheme="minorEastAsia" w:eastAsiaTheme="minorEastAsia"/>
                <w:b w:val="0"/>
                <w:bCs/>
                <w:color w:val="auto"/>
                <w:kern w:val="2"/>
                <w:sz w:val="24"/>
                <w:szCs w:val="24"/>
                <w:highlight w:val="none"/>
                <w:lang w:val="en-US" w:eastAsia="zh-CN" w:bidi="ar-SA"/>
              </w:rPr>
              <w:t>2.供应商须登录新点电子交易平台【滁州专区】查询、获取采购文件。首次登录办理入库手续，办理入库不收取任何费用。新点电子招投标统一认证平台使用相关问题（如系统登录、信息登记、录入及提交、数字证书关联等）请拨打服务电话：0512-58151515（工作日）。  </w:t>
            </w:r>
          </w:p>
          <w:p w14:paraId="4A9461BE">
            <w:pPr>
              <w:pStyle w:val="46"/>
              <w:keepNext w:val="0"/>
              <w:keepLines w:val="0"/>
              <w:pageBreakBefore w:val="0"/>
              <w:widowControl w:val="0"/>
              <w:numPr>
                <w:ilvl w:val="0"/>
                <w:numId w:val="0"/>
              </w:numPr>
              <w:kinsoku/>
              <w:wordWrap w:val="0"/>
              <w:overflowPunct/>
              <w:topLinePunct w:val="0"/>
              <w:autoSpaceDE/>
              <w:autoSpaceDN/>
              <w:bidi w:val="0"/>
              <w:adjustRightInd/>
              <w:snapToGrid/>
              <w:spacing w:before="0" w:beforeAutospacing="0" w:after="0" w:afterAutospacing="0" w:line="320" w:lineRule="exact"/>
              <w:jc w:val="both"/>
              <w:textAlignment w:val="auto"/>
              <w:rPr>
                <w:rFonts w:hint="eastAsia" w:cs="@仿宋_GB2312" w:asciiTheme="minorEastAsia" w:hAnsiTheme="minorEastAsia" w:eastAsiaTheme="minorEastAsia"/>
                <w:b w:val="0"/>
                <w:bCs/>
                <w:color w:val="auto"/>
                <w:kern w:val="2"/>
                <w:sz w:val="24"/>
                <w:szCs w:val="24"/>
                <w:highlight w:val="none"/>
                <w:lang w:val="en-US" w:eastAsia="zh-CN" w:bidi="ar-SA"/>
              </w:rPr>
            </w:pPr>
            <w:r>
              <w:rPr>
                <w:rFonts w:hint="eastAsia" w:cs="@仿宋_GB2312" w:asciiTheme="minorEastAsia" w:hAnsiTheme="minorEastAsia" w:eastAsiaTheme="minorEastAsia"/>
                <w:b w:val="0"/>
                <w:bCs/>
                <w:color w:val="auto"/>
                <w:kern w:val="2"/>
                <w:sz w:val="24"/>
                <w:szCs w:val="24"/>
                <w:highlight w:val="none"/>
                <w:lang w:val="en-US" w:eastAsia="zh-CN" w:bidi="ar-SA"/>
              </w:rPr>
              <w:t>3.供应商登录新点电子交易平台【滁州专区】获取招标文件及其它资料（含澄清和补充说明等）。如在采购文件获取过程中遇到系统问题，请拨打技术支持服务热线4009280095或者网站首页在线客服。</w:t>
            </w:r>
          </w:p>
          <w:p w14:paraId="012AFF19">
            <w:pPr>
              <w:pStyle w:val="46"/>
              <w:keepNext w:val="0"/>
              <w:keepLines w:val="0"/>
              <w:pageBreakBefore w:val="0"/>
              <w:widowControl w:val="0"/>
              <w:numPr>
                <w:ilvl w:val="0"/>
                <w:numId w:val="0"/>
              </w:numPr>
              <w:kinsoku/>
              <w:wordWrap w:val="0"/>
              <w:overflowPunct/>
              <w:topLinePunct w:val="0"/>
              <w:autoSpaceDE/>
              <w:autoSpaceDN/>
              <w:bidi w:val="0"/>
              <w:adjustRightInd/>
              <w:snapToGrid/>
              <w:spacing w:before="0" w:beforeAutospacing="0" w:after="0" w:afterAutospacing="0" w:line="320" w:lineRule="exact"/>
              <w:jc w:val="both"/>
              <w:textAlignment w:val="auto"/>
              <w:rPr>
                <w:rFonts w:hint="eastAsia" w:cs="@仿宋_GB2312" w:asciiTheme="minorEastAsia" w:hAnsiTheme="minorEastAsia" w:eastAsiaTheme="minorEastAsia"/>
                <w:b w:val="0"/>
                <w:bCs/>
                <w:color w:val="auto"/>
                <w:kern w:val="2"/>
                <w:sz w:val="24"/>
                <w:szCs w:val="24"/>
                <w:highlight w:val="none"/>
                <w:lang w:val="en-US" w:eastAsia="zh-CN" w:bidi="ar-SA"/>
              </w:rPr>
            </w:pPr>
            <w:r>
              <w:rPr>
                <w:rFonts w:hint="eastAsia" w:cs="@仿宋_GB2312" w:asciiTheme="minorEastAsia" w:hAnsiTheme="minorEastAsia" w:eastAsiaTheme="minorEastAsia"/>
                <w:b w:val="0"/>
                <w:bCs/>
                <w:color w:val="auto"/>
                <w:kern w:val="2"/>
                <w:sz w:val="24"/>
                <w:szCs w:val="24"/>
                <w:highlight w:val="none"/>
                <w:lang w:val="en-US" w:eastAsia="zh-CN" w:bidi="ar-SA"/>
              </w:rPr>
              <w:t>4.本项目采用不见面开标，投标人登录滁州市城投工程咨询管理有限公司不见面开标系统参与网上开标（网址：http://js.etrading.cn/EpointBidOpening/bidopeninghallaction/hall/login）。</w:t>
            </w:r>
          </w:p>
          <w:p w14:paraId="23DACBA7">
            <w:pPr>
              <w:pStyle w:val="46"/>
              <w:keepNext w:val="0"/>
              <w:keepLines w:val="0"/>
              <w:pageBreakBefore w:val="0"/>
              <w:widowControl w:val="0"/>
              <w:numPr>
                <w:ilvl w:val="0"/>
                <w:numId w:val="0"/>
              </w:numPr>
              <w:kinsoku/>
              <w:wordWrap w:val="0"/>
              <w:overflowPunct/>
              <w:topLinePunct w:val="0"/>
              <w:autoSpaceDE/>
              <w:autoSpaceDN/>
              <w:bidi w:val="0"/>
              <w:adjustRightInd/>
              <w:snapToGrid/>
              <w:spacing w:before="0" w:beforeAutospacing="0" w:after="0" w:afterAutospacing="0" w:line="320" w:lineRule="exact"/>
              <w:jc w:val="both"/>
              <w:textAlignment w:val="auto"/>
              <w:rPr>
                <w:rFonts w:hint="eastAsia" w:cs="@仿宋_GB2312" w:asciiTheme="minorEastAsia" w:hAnsiTheme="minorEastAsia" w:eastAsiaTheme="minorEastAsia"/>
                <w:b w:val="0"/>
                <w:bCs/>
                <w:color w:val="auto"/>
                <w:kern w:val="2"/>
                <w:sz w:val="24"/>
                <w:szCs w:val="24"/>
                <w:highlight w:val="none"/>
                <w:lang w:val="en-US" w:eastAsia="zh-CN" w:bidi="ar-SA"/>
              </w:rPr>
            </w:pPr>
            <w:r>
              <w:rPr>
                <w:rFonts w:hint="eastAsia" w:cs="@仿宋_GB2312" w:asciiTheme="minorEastAsia" w:hAnsiTheme="minorEastAsia" w:eastAsiaTheme="minorEastAsia"/>
                <w:b w:val="0"/>
                <w:bCs/>
                <w:color w:val="auto"/>
                <w:kern w:val="2"/>
                <w:sz w:val="24"/>
                <w:szCs w:val="24"/>
                <w:highlight w:val="none"/>
                <w:lang w:val="en-US" w:eastAsia="zh-CN" w:bidi="ar-SA"/>
              </w:rPr>
              <w:t>5.供应商应在投标截止时间之前，登录新点电子交易平台【滁州专区】上传响应文件。供应商逾期上传响应文件的，电子系统不予受理。</w:t>
            </w:r>
          </w:p>
          <w:p w14:paraId="6E63E71E">
            <w:pPr>
              <w:pStyle w:val="46"/>
              <w:keepNext w:val="0"/>
              <w:keepLines w:val="0"/>
              <w:pageBreakBefore w:val="0"/>
              <w:widowControl w:val="0"/>
              <w:numPr>
                <w:ilvl w:val="0"/>
                <w:numId w:val="0"/>
              </w:numPr>
              <w:kinsoku/>
              <w:wordWrap w:val="0"/>
              <w:overflowPunct/>
              <w:topLinePunct w:val="0"/>
              <w:autoSpaceDE/>
              <w:autoSpaceDN/>
              <w:bidi w:val="0"/>
              <w:adjustRightInd/>
              <w:snapToGrid/>
              <w:spacing w:before="0" w:beforeAutospacing="0" w:after="0" w:afterAutospacing="0" w:line="320" w:lineRule="exact"/>
              <w:jc w:val="both"/>
              <w:textAlignment w:val="auto"/>
              <w:rPr>
                <w:rFonts w:hint="eastAsia" w:cs="@仿宋_GB2312" w:asciiTheme="minorEastAsia" w:hAnsiTheme="minorEastAsia" w:eastAsiaTheme="minorEastAsia"/>
                <w:b w:val="0"/>
                <w:bCs/>
                <w:color w:val="auto"/>
                <w:kern w:val="2"/>
                <w:sz w:val="24"/>
                <w:szCs w:val="24"/>
                <w:highlight w:val="none"/>
                <w:lang w:val="en-US" w:eastAsia="zh-CN" w:bidi="ar-SA"/>
              </w:rPr>
            </w:pPr>
            <w:r>
              <w:rPr>
                <w:rFonts w:hint="eastAsia" w:cs="@仿宋_GB2312" w:asciiTheme="minorEastAsia" w:hAnsiTheme="minorEastAsia" w:eastAsiaTheme="minorEastAsia"/>
                <w:b w:val="0"/>
                <w:bCs/>
                <w:color w:val="auto"/>
                <w:kern w:val="2"/>
                <w:sz w:val="24"/>
                <w:szCs w:val="24"/>
                <w:highlight w:val="none"/>
                <w:lang w:val="en-US" w:eastAsia="zh-CN" w:bidi="ar-SA"/>
              </w:rPr>
              <w:t>6.供应商的联系人电话(手机)、电子邮箱等通讯方式在谈判过程中必须保持畅通，否则因上述原因造成的后果，责任自负。</w:t>
            </w:r>
          </w:p>
          <w:p w14:paraId="582A3E91">
            <w:pPr>
              <w:pStyle w:val="46"/>
              <w:keepNext w:val="0"/>
              <w:keepLines w:val="0"/>
              <w:pageBreakBefore w:val="0"/>
              <w:widowControl w:val="0"/>
              <w:numPr>
                <w:ilvl w:val="0"/>
                <w:numId w:val="0"/>
              </w:numPr>
              <w:kinsoku/>
              <w:wordWrap w:val="0"/>
              <w:overflowPunct/>
              <w:topLinePunct w:val="0"/>
              <w:autoSpaceDE/>
              <w:autoSpaceDN/>
              <w:bidi w:val="0"/>
              <w:adjustRightInd/>
              <w:snapToGrid/>
              <w:spacing w:before="0" w:beforeAutospacing="0" w:after="0" w:afterAutospacing="0" w:line="320" w:lineRule="exact"/>
              <w:jc w:val="both"/>
              <w:textAlignment w:val="auto"/>
              <w:rPr>
                <w:rFonts w:hint="eastAsia" w:cs="@仿宋_GB2312" w:asciiTheme="minorEastAsia" w:hAnsiTheme="minorEastAsia" w:eastAsiaTheme="minorEastAsia"/>
                <w:b w:val="0"/>
                <w:bCs/>
                <w:color w:val="auto"/>
                <w:kern w:val="2"/>
                <w:sz w:val="24"/>
                <w:szCs w:val="24"/>
                <w:highlight w:val="none"/>
                <w:lang w:val="en-US" w:eastAsia="zh-CN" w:bidi="ar-SA"/>
              </w:rPr>
            </w:pPr>
            <w:r>
              <w:rPr>
                <w:rFonts w:hint="eastAsia" w:cs="@仿宋_GB2312" w:asciiTheme="minorEastAsia" w:hAnsiTheme="minorEastAsia" w:eastAsiaTheme="minorEastAsia"/>
                <w:b w:val="0"/>
                <w:bCs/>
                <w:color w:val="auto"/>
                <w:kern w:val="2"/>
                <w:sz w:val="24"/>
                <w:szCs w:val="24"/>
                <w:highlight w:val="none"/>
                <w:lang w:val="en-US" w:eastAsia="zh-CN" w:bidi="ar-SA"/>
              </w:rPr>
              <w:t>7.本项目采用电子招投标方式，请供应商在“新点电子交易平台”常用下载专区下载“新点电子交易平台专用投标文件制作软件”，仔细阅读采购文件要求和相关操作手册，以免影响投标文件编制，因供应商未及时关注相关信息对投标造成的不利后果由其自行承担。投标软件制作工具下载：</w:t>
            </w:r>
            <w:r>
              <w:rPr>
                <w:rFonts w:hint="eastAsia" w:cs="@仿宋_GB2312" w:asciiTheme="minorEastAsia" w:hAnsiTheme="minorEastAsia" w:eastAsiaTheme="minorEastAsia"/>
                <w:b w:val="0"/>
                <w:bCs/>
                <w:color w:val="auto"/>
                <w:kern w:val="2"/>
                <w:sz w:val="24"/>
                <w:szCs w:val="24"/>
                <w:highlight w:val="none"/>
                <w:lang w:val="en-US" w:eastAsia="zh-CN" w:bidi="ar-SA"/>
              </w:rPr>
              <w:fldChar w:fldCharType="begin"/>
            </w:r>
            <w:r>
              <w:rPr>
                <w:rFonts w:hint="eastAsia" w:cs="@仿宋_GB2312" w:asciiTheme="minorEastAsia" w:hAnsiTheme="minorEastAsia" w:eastAsiaTheme="minorEastAsia"/>
                <w:b w:val="0"/>
                <w:bCs/>
                <w:color w:val="auto"/>
                <w:kern w:val="2"/>
                <w:sz w:val="24"/>
                <w:szCs w:val="24"/>
                <w:highlight w:val="none"/>
                <w:lang w:val="en-US" w:eastAsia="zh-CN" w:bidi="ar-SA"/>
              </w:rPr>
              <w:instrText xml:space="preserve"> HYPERLINK "https://download.bqpoint.com/download/downloaddetail.html?SourceFrom=Ztb&amp;ZtbSoftXiaQuCode=0128&amp;ZtbSoftType=tballinclusive。" </w:instrText>
            </w:r>
            <w:r>
              <w:rPr>
                <w:rFonts w:hint="eastAsia" w:cs="@仿宋_GB2312" w:asciiTheme="minorEastAsia" w:hAnsiTheme="minorEastAsia" w:eastAsiaTheme="minorEastAsia"/>
                <w:b w:val="0"/>
                <w:bCs/>
                <w:color w:val="auto"/>
                <w:kern w:val="2"/>
                <w:sz w:val="24"/>
                <w:szCs w:val="24"/>
                <w:highlight w:val="none"/>
                <w:lang w:val="en-US" w:eastAsia="zh-CN" w:bidi="ar-SA"/>
              </w:rPr>
              <w:fldChar w:fldCharType="separate"/>
            </w:r>
            <w:r>
              <w:rPr>
                <w:rFonts w:hint="eastAsia" w:cs="@仿宋_GB2312" w:asciiTheme="minorEastAsia" w:hAnsiTheme="minorEastAsia" w:eastAsiaTheme="minorEastAsia"/>
                <w:b w:val="0"/>
                <w:bCs/>
                <w:color w:val="auto"/>
                <w:kern w:val="2"/>
                <w:sz w:val="24"/>
                <w:szCs w:val="24"/>
                <w:highlight w:val="none"/>
                <w:lang w:val="en-US" w:eastAsia="zh-CN" w:bidi="ar-SA"/>
              </w:rPr>
              <w:t>https://download.bqpoint.com/download/downloaddetail.html?SourceFrom=Ztb&amp;ZtbSoftXiaQuCode=0128&amp;ZtbSoftType=tballinclusive。</w:t>
            </w:r>
            <w:r>
              <w:rPr>
                <w:rFonts w:hint="eastAsia" w:cs="@仿宋_GB2312" w:asciiTheme="minorEastAsia" w:hAnsiTheme="minorEastAsia" w:eastAsiaTheme="minorEastAsia"/>
                <w:b w:val="0"/>
                <w:bCs/>
                <w:color w:val="auto"/>
                <w:kern w:val="2"/>
                <w:sz w:val="24"/>
                <w:szCs w:val="24"/>
                <w:highlight w:val="none"/>
                <w:lang w:val="en-US" w:eastAsia="zh-CN" w:bidi="ar-SA"/>
              </w:rPr>
              <w:fldChar w:fldCharType="end"/>
            </w:r>
          </w:p>
          <w:p w14:paraId="589E8B14">
            <w:pPr>
              <w:pStyle w:val="46"/>
              <w:keepNext w:val="0"/>
              <w:keepLines w:val="0"/>
              <w:pageBreakBefore w:val="0"/>
              <w:widowControl w:val="0"/>
              <w:numPr>
                <w:ilvl w:val="0"/>
                <w:numId w:val="0"/>
              </w:numPr>
              <w:kinsoku/>
              <w:wordWrap w:val="0"/>
              <w:overflowPunct/>
              <w:topLinePunct w:val="0"/>
              <w:autoSpaceDE/>
              <w:autoSpaceDN/>
              <w:bidi w:val="0"/>
              <w:adjustRightInd/>
              <w:snapToGrid/>
              <w:spacing w:before="0" w:beforeAutospacing="0" w:after="0" w:afterAutospacing="0" w:line="320" w:lineRule="exact"/>
              <w:jc w:val="both"/>
              <w:textAlignment w:val="auto"/>
              <w:rPr>
                <w:rFonts w:hint="eastAsia" w:cs="@仿宋_GB2312" w:asciiTheme="minorEastAsia" w:hAnsiTheme="minorEastAsia" w:eastAsiaTheme="minorEastAsia"/>
                <w:b w:val="0"/>
                <w:bCs/>
                <w:color w:val="auto"/>
                <w:kern w:val="2"/>
                <w:sz w:val="24"/>
                <w:szCs w:val="24"/>
                <w:highlight w:val="none"/>
                <w:lang w:val="en-US" w:eastAsia="zh-CN" w:bidi="ar-SA"/>
              </w:rPr>
            </w:pPr>
            <w:r>
              <w:rPr>
                <w:rFonts w:hint="eastAsia" w:cs="@仿宋_GB2312" w:asciiTheme="minorEastAsia" w:hAnsiTheme="minorEastAsia" w:eastAsiaTheme="minorEastAsia"/>
                <w:b w:val="0"/>
                <w:bCs/>
                <w:color w:val="auto"/>
                <w:kern w:val="2"/>
                <w:sz w:val="24"/>
                <w:szCs w:val="24"/>
                <w:highlight w:val="none"/>
                <w:lang w:val="en-US" w:eastAsia="zh-CN" w:bidi="ar-SA"/>
              </w:rPr>
              <w:t>8.本项目开评标实行全流程电子化，在线完成开评标活动。开启时供应商无需到达开标现场，不接受现场解密，实行远程解密和在线询标。各供应商认真学习《新点电子交易平台投标人操作手册》，务必掌握远程解密方法和在线回复询标方法。</w:t>
            </w:r>
          </w:p>
        </w:tc>
      </w:tr>
      <w:tr w14:paraId="78F2D7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000" w:type="pct"/>
            <w:gridSpan w:val="3"/>
            <w:vAlign w:val="center"/>
          </w:tcPr>
          <w:p w14:paraId="075255E9">
            <w:pPr>
              <w:pStyle w:val="46"/>
              <w:keepNext w:val="0"/>
              <w:keepLines w:val="0"/>
              <w:pageBreakBefore w:val="0"/>
              <w:widowControl w:val="0"/>
              <w:numPr>
                <w:ilvl w:val="0"/>
                <w:numId w:val="0"/>
              </w:numPr>
              <w:kinsoku/>
              <w:wordWrap w:val="0"/>
              <w:overflowPunct/>
              <w:topLinePunct w:val="0"/>
              <w:autoSpaceDE/>
              <w:autoSpaceDN/>
              <w:bidi w:val="0"/>
              <w:adjustRightInd/>
              <w:snapToGrid/>
              <w:spacing w:before="0" w:beforeAutospacing="0" w:after="0" w:afterAutospacing="0" w:line="320" w:lineRule="exact"/>
              <w:jc w:val="both"/>
              <w:textAlignment w:val="auto"/>
              <w:rPr>
                <w:rFonts w:hint="eastAsia" w:cs="@仿宋_GB2312" w:asciiTheme="minorEastAsia" w:hAnsiTheme="minorEastAsia" w:eastAsiaTheme="minorEastAsia"/>
                <w:b w:val="0"/>
                <w:bCs/>
                <w:color w:val="auto"/>
                <w:kern w:val="2"/>
                <w:sz w:val="24"/>
                <w:szCs w:val="24"/>
                <w:highlight w:val="none"/>
                <w:lang w:val="en-US" w:eastAsia="zh-CN" w:bidi="ar-SA"/>
              </w:rPr>
            </w:pPr>
            <w:r>
              <w:rPr>
                <w:rFonts w:hint="eastAsia" w:ascii="宋体" w:hAnsi="宋体" w:eastAsia="宋体" w:cs="宋体"/>
                <w:b/>
                <w:bCs w:val="0"/>
                <w:color w:val="auto"/>
                <w:szCs w:val="21"/>
                <w:highlight w:val="none"/>
                <w:lang w:val="en-US" w:eastAsia="zh-CN"/>
              </w:rPr>
              <w:t>响应文件递交截止时间止提交响应文件的供应商少于3家或经评审符合采购文件要求的供应商不足3家的，可在合格供应商中继续按照评标办法确定成交候选人。</w:t>
            </w:r>
          </w:p>
        </w:tc>
      </w:tr>
    </w:tbl>
    <w:p w14:paraId="492CE85C">
      <w:pPr>
        <w:spacing w:line="360" w:lineRule="auto"/>
        <w:jc w:val="center"/>
        <w:outlineLvl w:val="1"/>
        <w:rPr>
          <w:rFonts w:asciiTheme="minorEastAsia" w:hAnsiTheme="minorEastAsia" w:eastAsiaTheme="minorEastAsia"/>
          <w:b/>
          <w:color w:val="auto"/>
          <w:sz w:val="24"/>
          <w:highlight w:val="none"/>
        </w:rPr>
      </w:pPr>
      <w:r>
        <w:rPr>
          <w:rFonts w:asciiTheme="minorEastAsia" w:hAnsiTheme="minorEastAsia" w:eastAsiaTheme="minorEastAsia"/>
          <w:b/>
          <w:color w:val="auto"/>
          <w:sz w:val="28"/>
          <w:highlight w:val="none"/>
        </w:rPr>
        <w:br w:type="page"/>
      </w:r>
      <w:bookmarkStart w:id="20" w:name="_Toc577"/>
      <w:bookmarkStart w:id="21" w:name="_Toc6109"/>
      <w:r>
        <w:rPr>
          <w:rFonts w:hint="eastAsia" w:asciiTheme="minorEastAsia" w:hAnsiTheme="minorEastAsia" w:eastAsiaTheme="minorEastAsia"/>
          <w:b/>
          <w:color w:val="auto"/>
          <w:sz w:val="24"/>
          <w:highlight w:val="none"/>
        </w:rPr>
        <w:t>二、供应商</w:t>
      </w:r>
      <w:r>
        <w:rPr>
          <w:rFonts w:asciiTheme="minorEastAsia" w:hAnsiTheme="minorEastAsia" w:eastAsiaTheme="minorEastAsia"/>
          <w:b/>
          <w:color w:val="auto"/>
          <w:sz w:val="24"/>
          <w:highlight w:val="none"/>
        </w:rPr>
        <w:t>须知</w:t>
      </w:r>
      <w:r>
        <w:rPr>
          <w:rFonts w:hint="eastAsia" w:asciiTheme="minorEastAsia" w:hAnsiTheme="minorEastAsia" w:eastAsiaTheme="minorEastAsia"/>
          <w:b/>
          <w:color w:val="auto"/>
          <w:sz w:val="24"/>
          <w:highlight w:val="none"/>
        </w:rPr>
        <w:t>正文</w:t>
      </w:r>
      <w:bookmarkEnd w:id="20"/>
      <w:bookmarkEnd w:id="21"/>
    </w:p>
    <w:p w14:paraId="3B8D8215">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1</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采购人、采购代理机构及供应商</w:t>
      </w:r>
    </w:p>
    <w:p w14:paraId="574C5896">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1</w:t>
      </w:r>
      <w:r>
        <w:rPr>
          <w:rFonts w:ascii="宋体" w:hAnsi="宋体" w:eastAsia="宋体"/>
          <w:color w:val="auto"/>
          <w:sz w:val="24"/>
          <w:highlight w:val="none"/>
        </w:rPr>
        <w:t>.1采购人：</w:t>
      </w:r>
      <w:r>
        <w:rPr>
          <w:rFonts w:hint="eastAsia" w:ascii="宋体" w:hAnsi="宋体" w:eastAsia="宋体"/>
          <w:color w:val="auto"/>
          <w:sz w:val="24"/>
          <w:highlight w:val="none"/>
        </w:rPr>
        <w:t>滁州市人力资源和社会保障局</w:t>
      </w:r>
      <w:r>
        <w:rPr>
          <w:rFonts w:ascii="宋体" w:hAnsi="宋体" w:eastAsia="宋体"/>
          <w:color w:val="auto"/>
          <w:sz w:val="24"/>
          <w:highlight w:val="none"/>
        </w:rPr>
        <w:t>。</w:t>
      </w:r>
    </w:p>
    <w:p w14:paraId="49B44692">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1</w:t>
      </w:r>
      <w:r>
        <w:rPr>
          <w:rFonts w:ascii="宋体" w:hAnsi="宋体" w:eastAsia="宋体"/>
          <w:color w:val="auto"/>
          <w:sz w:val="24"/>
          <w:highlight w:val="none"/>
        </w:rPr>
        <w:t>.2采购代理机构：</w:t>
      </w:r>
      <w:r>
        <w:rPr>
          <w:rFonts w:hint="eastAsia" w:asciiTheme="minorEastAsia" w:hAnsiTheme="minorEastAsia" w:eastAsiaTheme="minorEastAsia" w:cstheme="minorEastAsia"/>
          <w:color w:val="auto"/>
          <w:sz w:val="24"/>
          <w:szCs w:val="24"/>
          <w:highlight w:val="none"/>
          <w:lang w:val="en-US" w:eastAsia="zh-CN"/>
        </w:rPr>
        <w:t>滁州市城投工程咨询管理有限公司</w:t>
      </w:r>
      <w:r>
        <w:rPr>
          <w:rFonts w:ascii="宋体" w:hAnsi="宋体" w:eastAsia="宋体"/>
          <w:color w:val="auto"/>
          <w:sz w:val="24"/>
          <w:highlight w:val="none"/>
        </w:rPr>
        <w:t>。</w:t>
      </w:r>
    </w:p>
    <w:p w14:paraId="66323B9F">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1</w:t>
      </w:r>
      <w:r>
        <w:rPr>
          <w:rFonts w:ascii="宋体" w:hAnsi="宋体" w:eastAsia="宋体"/>
          <w:color w:val="auto"/>
          <w:sz w:val="24"/>
          <w:highlight w:val="none"/>
        </w:rPr>
        <w:t>.3政府采购监督管理部门：</w:t>
      </w:r>
      <w:r>
        <w:rPr>
          <w:rFonts w:hint="eastAsia" w:ascii="宋体" w:hAnsi="宋体" w:eastAsia="宋体"/>
          <w:color w:val="auto"/>
          <w:sz w:val="24"/>
          <w:highlight w:val="none"/>
        </w:rPr>
        <w:t>滁州市人力资源和社会保障局</w:t>
      </w:r>
      <w:r>
        <w:rPr>
          <w:rFonts w:hint="eastAsia" w:ascii="宋体" w:hAnsi="宋体" w:eastAsia="宋体"/>
          <w:color w:val="auto"/>
          <w:sz w:val="24"/>
          <w:highlight w:val="none"/>
          <w:lang w:val="en-US" w:eastAsia="zh-CN"/>
        </w:rPr>
        <w:t>同级纪检或监督部门</w:t>
      </w:r>
      <w:r>
        <w:rPr>
          <w:rFonts w:hint="eastAsia" w:ascii="宋体" w:hAnsi="宋体" w:eastAsia="宋体"/>
          <w:color w:val="auto"/>
          <w:sz w:val="24"/>
          <w:highlight w:val="none"/>
        </w:rPr>
        <w:t>。</w:t>
      </w:r>
    </w:p>
    <w:p w14:paraId="4737F104">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1</w:t>
      </w:r>
      <w:r>
        <w:rPr>
          <w:rFonts w:ascii="宋体" w:hAnsi="宋体" w:eastAsia="宋体"/>
          <w:color w:val="auto"/>
          <w:sz w:val="24"/>
          <w:highlight w:val="none"/>
        </w:rPr>
        <w:t>.4</w:t>
      </w:r>
      <w:r>
        <w:rPr>
          <w:rFonts w:hint="eastAsia" w:ascii="宋体" w:hAnsi="宋体" w:eastAsia="宋体"/>
          <w:color w:val="auto"/>
          <w:sz w:val="24"/>
          <w:highlight w:val="none"/>
        </w:rPr>
        <w:t>供应商</w:t>
      </w:r>
      <w:r>
        <w:rPr>
          <w:rFonts w:ascii="宋体" w:hAnsi="宋体" w:eastAsia="宋体"/>
          <w:color w:val="auto"/>
          <w:sz w:val="24"/>
          <w:highlight w:val="none"/>
        </w:rPr>
        <w:t>：是指向采购人提供服务的法人、</w:t>
      </w:r>
      <w:r>
        <w:rPr>
          <w:rFonts w:hint="eastAsia" w:ascii="宋体" w:hAnsi="宋体" w:eastAsia="宋体"/>
          <w:color w:val="auto"/>
          <w:sz w:val="24"/>
          <w:highlight w:val="none"/>
          <w:lang w:val="en-US" w:eastAsia="zh-CN"/>
        </w:rPr>
        <w:t>其他</w:t>
      </w:r>
      <w:r>
        <w:rPr>
          <w:rFonts w:ascii="宋体" w:hAnsi="宋体" w:eastAsia="宋体"/>
          <w:color w:val="auto"/>
          <w:sz w:val="24"/>
          <w:highlight w:val="none"/>
        </w:rPr>
        <w:t>组织或者自然人。</w:t>
      </w:r>
      <w:r>
        <w:rPr>
          <w:rFonts w:hint="eastAsia" w:ascii="宋体" w:hAnsi="宋体" w:eastAsia="宋体"/>
          <w:color w:val="auto"/>
          <w:sz w:val="24"/>
          <w:highlight w:val="none"/>
        </w:rPr>
        <w:t>分支机构不得参加政府采购活动，但银行、保险、石油石化、电力、电信等特殊行业除外。</w:t>
      </w:r>
      <w:bookmarkStart w:id="22" w:name="_Hlk60610946"/>
      <w:r>
        <w:rPr>
          <w:rFonts w:ascii="宋体" w:hAnsi="宋体" w:eastAsia="宋体"/>
          <w:color w:val="auto"/>
          <w:sz w:val="24"/>
          <w:highlight w:val="none"/>
        </w:rPr>
        <w:t>本项目的</w:t>
      </w:r>
      <w:r>
        <w:rPr>
          <w:rFonts w:hint="eastAsia" w:ascii="宋体" w:hAnsi="宋体" w:eastAsia="宋体"/>
          <w:color w:val="auto"/>
          <w:sz w:val="24"/>
          <w:highlight w:val="none"/>
          <w:lang w:val="en-US" w:eastAsia="zh-CN"/>
        </w:rPr>
        <w:t>供应商</w:t>
      </w:r>
      <w:r>
        <w:rPr>
          <w:rFonts w:ascii="宋体" w:hAnsi="宋体" w:eastAsia="宋体"/>
          <w:color w:val="auto"/>
          <w:sz w:val="24"/>
          <w:highlight w:val="none"/>
        </w:rPr>
        <w:t>须满足以下条件：</w:t>
      </w:r>
    </w:p>
    <w:p w14:paraId="240A096B">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w:t>
      </w:r>
      <w:r>
        <w:rPr>
          <w:rFonts w:ascii="宋体" w:hAnsi="宋体" w:eastAsia="宋体"/>
          <w:color w:val="auto"/>
          <w:sz w:val="24"/>
          <w:highlight w:val="none"/>
        </w:rPr>
        <w:t>4.</w:t>
      </w:r>
      <w:r>
        <w:rPr>
          <w:rFonts w:hint="eastAsia" w:ascii="宋体" w:hAnsi="宋体" w:eastAsia="宋体"/>
          <w:color w:val="auto"/>
          <w:sz w:val="24"/>
          <w:highlight w:val="none"/>
          <w:lang w:val="en-US" w:eastAsia="zh-CN"/>
        </w:rPr>
        <w:t>1</w:t>
      </w:r>
      <w:r>
        <w:rPr>
          <w:rFonts w:ascii="宋体" w:hAnsi="宋体" w:eastAsia="宋体"/>
          <w:color w:val="auto"/>
          <w:sz w:val="24"/>
          <w:highlight w:val="none"/>
        </w:rPr>
        <w:t>具备《中华人民共和国政府采购法》第二十二条关于供应商条件的规定，遵守本项目采购人本级和上级财政部门政府采购的有关规定。</w:t>
      </w:r>
    </w:p>
    <w:p w14:paraId="79637E16">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w:t>
      </w:r>
      <w:r>
        <w:rPr>
          <w:rFonts w:ascii="宋体" w:hAnsi="宋体" w:eastAsia="宋体"/>
          <w:color w:val="auto"/>
          <w:sz w:val="24"/>
          <w:highlight w:val="none"/>
        </w:rPr>
        <w:t>4.</w:t>
      </w:r>
      <w:r>
        <w:rPr>
          <w:rFonts w:hint="eastAsia" w:ascii="宋体" w:hAnsi="宋体" w:eastAsia="宋体"/>
          <w:color w:val="auto"/>
          <w:sz w:val="24"/>
          <w:highlight w:val="none"/>
          <w:lang w:val="en-US" w:eastAsia="zh-CN"/>
        </w:rPr>
        <w:t>2</w:t>
      </w:r>
      <w:r>
        <w:rPr>
          <w:rFonts w:ascii="宋体" w:hAnsi="宋体" w:eastAsia="宋体"/>
          <w:color w:val="auto"/>
          <w:sz w:val="24"/>
          <w:highlight w:val="none"/>
        </w:rPr>
        <w:t>以采购代理机构认可的方式获得了本项目的</w:t>
      </w:r>
      <w:r>
        <w:rPr>
          <w:rFonts w:hint="eastAsia" w:ascii="宋体" w:hAnsi="宋体" w:eastAsia="宋体"/>
          <w:color w:val="auto"/>
          <w:sz w:val="24"/>
          <w:highlight w:val="none"/>
          <w:lang w:val="en-US" w:eastAsia="zh-CN"/>
        </w:rPr>
        <w:t>谈判</w:t>
      </w:r>
      <w:r>
        <w:rPr>
          <w:rFonts w:ascii="宋体" w:hAnsi="宋体" w:eastAsia="宋体"/>
          <w:color w:val="auto"/>
          <w:sz w:val="24"/>
          <w:highlight w:val="none"/>
        </w:rPr>
        <w:t>文件。</w:t>
      </w:r>
    </w:p>
    <w:bookmarkEnd w:id="22"/>
    <w:p w14:paraId="63901C79">
      <w:pPr>
        <w:spacing w:line="360" w:lineRule="auto"/>
        <w:ind w:firstLine="435"/>
        <w:rPr>
          <w:rFonts w:hint="eastAsia" w:ascii="宋体" w:hAnsi="宋体" w:eastAsia="宋体"/>
          <w:b/>
          <w:bCs w:val="0"/>
          <w:color w:val="auto"/>
          <w:sz w:val="24"/>
          <w:highlight w:val="none"/>
          <w:lang w:val="en-US" w:eastAsia="zh-CN"/>
        </w:rPr>
      </w:pPr>
      <w:r>
        <w:rPr>
          <w:rFonts w:hint="eastAsia" w:ascii="宋体" w:hAnsi="宋体" w:eastAsia="宋体"/>
          <w:bCs/>
          <w:color w:val="auto"/>
          <w:kern w:val="0"/>
          <w:sz w:val="24"/>
          <w:szCs w:val="28"/>
          <w:highlight w:val="none"/>
          <w:lang w:val="en-US" w:eastAsia="zh-CN"/>
        </w:rPr>
        <w:t>1</w:t>
      </w:r>
      <w:r>
        <w:rPr>
          <w:rFonts w:ascii="宋体" w:hAnsi="宋体" w:eastAsia="宋体"/>
          <w:bCs/>
          <w:color w:val="auto"/>
          <w:kern w:val="0"/>
          <w:sz w:val="24"/>
          <w:szCs w:val="28"/>
          <w:highlight w:val="none"/>
        </w:rPr>
        <w:t>.5</w:t>
      </w:r>
      <w:r>
        <w:rPr>
          <w:rFonts w:hint="eastAsia" w:ascii="宋体" w:hAnsi="宋体" w:eastAsia="宋体"/>
          <w:bCs/>
          <w:color w:val="auto"/>
          <w:kern w:val="0"/>
          <w:sz w:val="24"/>
          <w:szCs w:val="28"/>
          <w:highlight w:val="none"/>
        </w:rPr>
        <w:t>若竞争性谈判公告</w:t>
      </w:r>
      <w:r>
        <w:rPr>
          <w:rFonts w:ascii="宋体" w:hAnsi="宋体" w:eastAsia="宋体"/>
          <w:bCs/>
          <w:color w:val="auto"/>
          <w:kern w:val="0"/>
          <w:sz w:val="24"/>
          <w:szCs w:val="28"/>
          <w:highlight w:val="none"/>
        </w:rPr>
        <w:t>中允许联合体</w:t>
      </w:r>
      <w:r>
        <w:rPr>
          <w:rFonts w:hint="eastAsia" w:ascii="宋体" w:hAnsi="宋体" w:eastAsia="宋体"/>
          <w:bCs/>
          <w:color w:val="auto"/>
          <w:kern w:val="0"/>
          <w:sz w:val="24"/>
          <w:szCs w:val="28"/>
          <w:highlight w:val="none"/>
        </w:rPr>
        <w:t>参加谈判</w:t>
      </w:r>
      <w:r>
        <w:rPr>
          <w:rFonts w:ascii="宋体" w:hAnsi="宋体" w:eastAsia="宋体"/>
          <w:bCs/>
          <w:color w:val="auto"/>
          <w:kern w:val="0"/>
          <w:sz w:val="24"/>
          <w:szCs w:val="28"/>
          <w:highlight w:val="none"/>
        </w:rPr>
        <w:t>，对联合体规定如下：</w:t>
      </w:r>
      <w:r>
        <w:rPr>
          <w:rFonts w:hint="eastAsia" w:ascii="宋体" w:hAnsi="宋体" w:eastAsia="宋体"/>
          <w:b/>
          <w:bCs w:val="0"/>
          <w:color w:val="auto"/>
          <w:kern w:val="0"/>
          <w:sz w:val="24"/>
          <w:szCs w:val="28"/>
          <w:highlight w:val="none"/>
          <w:lang w:eastAsia="zh-CN"/>
        </w:rPr>
        <w:t>（</w:t>
      </w:r>
      <w:r>
        <w:rPr>
          <w:rFonts w:hint="eastAsia" w:ascii="宋体" w:hAnsi="宋体" w:eastAsia="宋体"/>
          <w:b/>
          <w:bCs w:val="0"/>
          <w:color w:val="auto"/>
          <w:kern w:val="0"/>
          <w:sz w:val="24"/>
          <w:szCs w:val="28"/>
          <w:highlight w:val="none"/>
          <w:lang w:val="en-US" w:eastAsia="zh-CN"/>
        </w:rPr>
        <w:t>本项目不接受联合体</w:t>
      </w:r>
      <w:r>
        <w:rPr>
          <w:rFonts w:hint="eastAsia" w:ascii="宋体" w:hAnsi="宋体" w:eastAsia="宋体"/>
          <w:b/>
          <w:bCs w:val="0"/>
          <w:color w:val="auto"/>
          <w:kern w:val="0"/>
          <w:sz w:val="24"/>
          <w:szCs w:val="28"/>
          <w:highlight w:val="none"/>
          <w:lang w:eastAsia="zh-CN"/>
        </w:rPr>
        <w:t>）</w:t>
      </w:r>
    </w:p>
    <w:p w14:paraId="3F050487">
      <w:pPr>
        <w:spacing w:line="360" w:lineRule="auto"/>
        <w:ind w:firstLine="437"/>
        <w:outlineLvl w:val="2"/>
        <w:rPr>
          <w:rFonts w:hint="default" w:asciiTheme="minorEastAsia" w:hAnsiTheme="minorEastAsia" w:eastAsiaTheme="minorEastAsia"/>
          <w:b/>
          <w:color w:val="auto"/>
          <w:sz w:val="24"/>
          <w:highlight w:val="none"/>
          <w:lang w:val="en-US" w:eastAsia="zh-CN"/>
        </w:rPr>
      </w:pPr>
      <w:r>
        <w:rPr>
          <w:rFonts w:hint="eastAsia" w:asciiTheme="minorEastAsia" w:hAnsiTheme="minorEastAsia" w:eastAsiaTheme="minorEastAsia"/>
          <w:b/>
          <w:color w:val="auto"/>
          <w:sz w:val="24"/>
          <w:highlight w:val="none"/>
          <w:lang w:val="en-US" w:eastAsia="zh-CN"/>
        </w:rPr>
        <w:t>2</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资金</w:t>
      </w:r>
      <w:r>
        <w:rPr>
          <w:rFonts w:hint="eastAsia" w:asciiTheme="minorEastAsia" w:hAnsiTheme="minorEastAsia" w:eastAsiaTheme="minorEastAsia"/>
          <w:b/>
          <w:color w:val="auto"/>
          <w:sz w:val="24"/>
          <w:highlight w:val="none"/>
          <w:lang w:val="en-US" w:eastAsia="zh-CN"/>
        </w:rPr>
        <w:t>落实情况</w:t>
      </w:r>
    </w:p>
    <w:p w14:paraId="42B9D3F4">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本项目的采购人已获得足以支付本次谈判后所签订的合同项下的资金。</w:t>
      </w:r>
    </w:p>
    <w:p w14:paraId="3768DFCC">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3</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谈判费用</w:t>
      </w:r>
    </w:p>
    <w:p w14:paraId="6DA6A37F">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不论谈判的结果如何，供应商应承担其所有与准备和参加谈判有关的费用。</w:t>
      </w:r>
    </w:p>
    <w:p w14:paraId="0FA52E33">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4</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适用法律</w:t>
      </w:r>
    </w:p>
    <w:p w14:paraId="671FC369">
      <w:pPr>
        <w:spacing w:line="360" w:lineRule="auto"/>
        <w:ind w:firstLine="435"/>
        <w:rPr>
          <w:rFonts w:asciiTheme="minorEastAsia" w:hAnsiTheme="minorEastAsia" w:eastAsiaTheme="minorEastAsia"/>
          <w:color w:val="auto"/>
          <w:sz w:val="24"/>
          <w:highlight w:val="none"/>
        </w:rPr>
      </w:pPr>
      <w:r>
        <w:rPr>
          <w:rFonts w:hint="eastAsia" w:ascii="宋体" w:hAnsi="宋体" w:eastAsia="宋体"/>
          <w:color w:val="auto"/>
          <w:sz w:val="24"/>
          <w:highlight w:val="none"/>
        </w:rPr>
        <w:t>本项目采购人、采购代理机构、供应商、谈判小组的相关行为均受《中华人民共和国政府采购法》、《中华人民共和国政府采购法实施条例》及本项目本级和上级财政部门、政府采购监督管理部门的政府采购有关规定的约束，其权利受到上述法律法规的保护。</w:t>
      </w:r>
    </w:p>
    <w:p w14:paraId="441A8599">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5</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谈判文件构成</w:t>
      </w:r>
    </w:p>
    <w:p w14:paraId="1739D8D9">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5</w:t>
      </w:r>
      <w:r>
        <w:rPr>
          <w:rFonts w:hint="eastAsia" w:ascii="宋体" w:hAnsi="宋体" w:eastAsia="宋体"/>
          <w:color w:val="auto"/>
          <w:sz w:val="24"/>
          <w:highlight w:val="none"/>
        </w:rPr>
        <w:t>.1谈判文件包括下列内容：</w:t>
      </w:r>
    </w:p>
    <w:p w14:paraId="31B35B52">
      <w:pPr>
        <w:spacing w:line="360" w:lineRule="auto"/>
        <w:ind w:firstLine="840" w:firstLineChars="35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第一章</w:t>
      </w:r>
      <w:r>
        <w:rPr>
          <w:rFonts w:asciiTheme="minorEastAsia" w:hAnsiTheme="minorEastAsia" w:eastAsiaTheme="minorEastAsia"/>
          <w:color w:val="auto"/>
          <w:sz w:val="24"/>
          <w:highlight w:val="none"/>
        </w:rPr>
        <w:t xml:space="preserve">  </w:t>
      </w:r>
      <w:r>
        <w:rPr>
          <w:rFonts w:hint="eastAsia" w:asciiTheme="minorEastAsia" w:hAnsiTheme="minorEastAsia" w:eastAsiaTheme="minorEastAsia"/>
          <w:color w:val="auto"/>
          <w:sz w:val="24"/>
          <w:highlight w:val="none"/>
        </w:rPr>
        <w:t>谈判邀请</w:t>
      </w:r>
    </w:p>
    <w:p w14:paraId="5089CBD0">
      <w:pPr>
        <w:spacing w:line="360" w:lineRule="auto"/>
        <w:ind w:firstLine="840" w:firstLineChars="35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第二章</w:t>
      </w:r>
      <w:r>
        <w:rPr>
          <w:rFonts w:asciiTheme="minorEastAsia" w:hAnsiTheme="minorEastAsia" w:eastAsiaTheme="minorEastAsia"/>
          <w:color w:val="auto"/>
          <w:sz w:val="24"/>
          <w:highlight w:val="none"/>
        </w:rPr>
        <w:t xml:space="preserve">  </w:t>
      </w:r>
      <w:r>
        <w:rPr>
          <w:rFonts w:hint="eastAsia" w:asciiTheme="minorEastAsia" w:hAnsiTheme="minorEastAsia" w:eastAsiaTheme="minorEastAsia"/>
          <w:color w:val="auto"/>
          <w:sz w:val="24"/>
          <w:highlight w:val="none"/>
        </w:rPr>
        <w:t>供应商</w:t>
      </w:r>
      <w:r>
        <w:rPr>
          <w:rFonts w:asciiTheme="minorEastAsia" w:hAnsiTheme="minorEastAsia" w:eastAsiaTheme="minorEastAsia"/>
          <w:color w:val="auto"/>
          <w:sz w:val="24"/>
          <w:highlight w:val="none"/>
        </w:rPr>
        <w:t>须知</w:t>
      </w:r>
    </w:p>
    <w:p w14:paraId="187F8DF3">
      <w:pPr>
        <w:spacing w:line="360" w:lineRule="auto"/>
        <w:ind w:firstLine="840" w:firstLineChars="35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第三章</w:t>
      </w:r>
      <w:r>
        <w:rPr>
          <w:rFonts w:asciiTheme="minorEastAsia" w:hAnsiTheme="minorEastAsia" w:eastAsiaTheme="minorEastAsia"/>
          <w:color w:val="auto"/>
          <w:sz w:val="24"/>
          <w:highlight w:val="none"/>
        </w:rPr>
        <w:t xml:space="preserve">  采购需求</w:t>
      </w:r>
    </w:p>
    <w:p w14:paraId="4F160423">
      <w:pPr>
        <w:spacing w:line="360" w:lineRule="auto"/>
        <w:ind w:firstLine="840" w:firstLineChars="35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第四章</w:t>
      </w:r>
      <w:r>
        <w:rPr>
          <w:rFonts w:asciiTheme="minorEastAsia" w:hAnsiTheme="minorEastAsia" w:eastAsiaTheme="minorEastAsia"/>
          <w:color w:val="auto"/>
          <w:sz w:val="24"/>
          <w:highlight w:val="none"/>
        </w:rPr>
        <w:t xml:space="preserve">  </w:t>
      </w:r>
      <w:r>
        <w:rPr>
          <w:rFonts w:hint="eastAsia" w:asciiTheme="minorEastAsia" w:hAnsiTheme="minorEastAsia" w:eastAsiaTheme="minorEastAsia"/>
          <w:color w:val="auto"/>
          <w:sz w:val="24"/>
          <w:highlight w:val="none"/>
        </w:rPr>
        <w:t>评审方法</w:t>
      </w:r>
      <w:r>
        <w:rPr>
          <w:rFonts w:asciiTheme="minorEastAsia" w:hAnsiTheme="minorEastAsia" w:eastAsiaTheme="minorEastAsia"/>
          <w:color w:val="auto"/>
          <w:sz w:val="24"/>
          <w:highlight w:val="none"/>
        </w:rPr>
        <w:t>和标准</w:t>
      </w:r>
    </w:p>
    <w:p w14:paraId="19B2898A">
      <w:pPr>
        <w:spacing w:line="360" w:lineRule="auto"/>
        <w:ind w:firstLine="840" w:firstLineChars="35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第五章</w:t>
      </w:r>
      <w:r>
        <w:rPr>
          <w:rFonts w:asciiTheme="minorEastAsia" w:hAnsiTheme="minorEastAsia" w:eastAsiaTheme="minorEastAsia"/>
          <w:color w:val="auto"/>
          <w:sz w:val="24"/>
          <w:highlight w:val="none"/>
        </w:rPr>
        <w:t xml:space="preserve">  政府采购合同</w:t>
      </w:r>
    </w:p>
    <w:p w14:paraId="1EF7F854">
      <w:pPr>
        <w:spacing w:line="360" w:lineRule="auto"/>
        <w:ind w:firstLine="840" w:firstLineChars="35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第六章</w:t>
      </w:r>
      <w:r>
        <w:rPr>
          <w:rFonts w:asciiTheme="minorEastAsia" w:hAnsiTheme="minorEastAsia" w:eastAsiaTheme="minorEastAsia"/>
          <w:color w:val="auto"/>
          <w:sz w:val="24"/>
          <w:highlight w:val="none"/>
        </w:rPr>
        <w:t xml:space="preserve">  </w:t>
      </w:r>
      <w:r>
        <w:rPr>
          <w:rFonts w:hint="eastAsia" w:asciiTheme="minorEastAsia" w:hAnsiTheme="minorEastAsia" w:eastAsiaTheme="minorEastAsia"/>
          <w:color w:val="auto"/>
          <w:sz w:val="24"/>
          <w:highlight w:val="none"/>
        </w:rPr>
        <w:t>响应</w:t>
      </w:r>
      <w:r>
        <w:rPr>
          <w:rFonts w:asciiTheme="minorEastAsia" w:hAnsiTheme="minorEastAsia" w:eastAsiaTheme="minorEastAsia"/>
          <w:color w:val="auto"/>
          <w:sz w:val="24"/>
          <w:highlight w:val="none"/>
        </w:rPr>
        <w:t>文件格式</w:t>
      </w:r>
    </w:p>
    <w:p w14:paraId="519C6E28">
      <w:pPr>
        <w:spacing w:line="360" w:lineRule="auto"/>
        <w:ind w:firstLine="840" w:firstLineChars="35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第七章</w:t>
      </w:r>
      <w:r>
        <w:rPr>
          <w:rFonts w:asciiTheme="minorEastAsia" w:hAnsiTheme="minorEastAsia" w:eastAsiaTheme="minorEastAsia"/>
          <w:color w:val="auto"/>
          <w:sz w:val="24"/>
          <w:highlight w:val="none"/>
        </w:rPr>
        <w:t xml:space="preserve">  政府采购供应商</w:t>
      </w:r>
      <w:r>
        <w:rPr>
          <w:rFonts w:hint="eastAsia" w:asciiTheme="minorEastAsia" w:hAnsiTheme="minorEastAsia" w:eastAsiaTheme="minorEastAsia"/>
          <w:color w:val="auto"/>
          <w:sz w:val="24"/>
          <w:highlight w:val="none"/>
        </w:rPr>
        <w:t>询问函和</w:t>
      </w:r>
      <w:r>
        <w:rPr>
          <w:rFonts w:asciiTheme="minorEastAsia" w:hAnsiTheme="minorEastAsia" w:eastAsiaTheme="minorEastAsia"/>
          <w:color w:val="auto"/>
          <w:sz w:val="24"/>
          <w:highlight w:val="none"/>
        </w:rPr>
        <w:t>质疑函范本</w:t>
      </w:r>
    </w:p>
    <w:p w14:paraId="5E604030">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5</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2</w:t>
      </w:r>
      <w:r>
        <w:rPr>
          <w:rFonts w:asciiTheme="minorEastAsia" w:hAnsiTheme="minorEastAsia" w:eastAsiaTheme="minorEastAsia"/>
          <w:color w:val="auto"/>
          <w:sz w:val="24"/>
          <w:highlight w:val="none"/>
        </w:rPr>
        <w:t>现场</w:t>
      </w:r>
      <w:r>
        <w:rPr>
          <w:rFonts w:hint="eastAsia" w:asciiTheme="minorEastAsia" w:hAnsiTheme="minorEastAsia" w:eastAsiaTheme="minorEastAsia"/>
          <w:color w:val="auto"/>
          <w:sz w:val="24"/>
          <w:highlight w:val="none"/>
        </w:rPr>
        <w:t>踏勘</w:t>
      </w:r>
      <w:r>
        <w:rPr>
          <w:rFonts w:hint="eastAsia" w:asciiTheme="minorEastAsia" w:hAnsiTheme="minorEastAsia" w:eastAsiaTheme="minorEastAsia"/>
          <w:color w:val="auto"/>
          <w:sz w:val="24"/>
          <w:highlight w:val="none"/>
          <w:lang w:eastAsia="zh-CN"/>
        </w:rPr>
        <w:t>（</w:t>
      </w:r>
      <w:r>
        <w:rPr>
          <w:rFonts w:hint="eastAsia" w:ascii="宋体" w:hAnsi="宋体" w:eastAsia="宋体" w:cs="@仿宋_GB2312"/>
          <w:b w:val="0"/>
          <w:bCs/>
          <w:color w:val="auto"/>
          <w:kern w:val="2"/>
          <w:sz w:val="24"/>
          <w:szCs w:val="22"/>
          <w:highlight w:val="none"/>
          <w:lang w:val="en-US" w:eastAsia="zh-CN" w:bidi="ar-SA"/>
        </w:rPr>
        <w:t>标前答疑会</w:t>
      </w:r>
      <w:r>
        <w:rPr>
          <w:rFonts w:hint="eastAsia" w:asciiTheme="minorEastAsia" w:hAnsiTheme="minorEastAsia" w:eastAsiaTheme="minorEastAsia"/>
          <w:color w:val="auto"/>
          <w:sz w:val="24"/>
          <w:highlight w:val="none"/>
          <w:lang w:eastAsia="zh-CN"/>
        </w:rPr>
        <w:t>）</w:t>
      </w:r>
      <w:r>
        <w:rPr>
          <w:rFonts w:asciiTheme="minorEastAsia" w:hAnsiTheme="minorEastAsia" w:eastAsiaTheme="minorEastAsia"/>
          <w:color w:val="auto"/>
          <w:sz w:val="24"/>
          <w:highlight w:val="none"/>
        </w:rPr>
        <w:t>及相关事项见</w:t>
      </w:r>
      <w:r>
        <w:rPr>
          <w:rFonts w:asciiTheme="minorEastAsia" w:hAnsiTheme="minorEastAsia" w:eastAsiaTheme="minorEastAsia"/>
          <w:color w:val="auto"/>
          <w:sz w:val="24"/>
          <w:highlight w:val="none"/>
          <w:u w:val="single"/>
        </w:rPr>
        <w:t>供应商须知前附表</w:t>
      </w:r>
      <w:r>
        <w:rPr>
          <w:rFonts w:asciiTheme="minorEastAsia" w:hAnsiTheme="minorEastAsia" w:eastAsiaTheme="minorEastAsia"/>
          <w:color w:val="auto"/>
          <w:sz w:val="24"/>
          <w:highlight w:val="none"/>
        </w:rPr>
        <w:t>。</w:t>
      </w:r>
    </w:p>
    <w:p w14:paraId="12F1E86A">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5</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3</w:t>
      </w:r>
      <w:r>
        <w:rPr>
          <w:rFonts w:hint="eastAsia" w:asciiTheme="minorEastAsia" w:hAnsiTheme="minorEastAsia" w:eastAsiaTheme="minorEastAsia"/>
          <w:color w:val="auto"/>
          <w:sz w:val="24"/>
          <w:highlight w:val="none"/>
        </w:rPr>
        <w:t>供应商</w:t>
      </w:r>
      <w:r>
        <w:rPr>
          <w:rFonts w:asciiTheme="minorEastAsia" w:hAnsiTheme="minorEastAsia" w:eastAsiaTheme="minorEastAsia"/>
          <w:color w:val="auto"/>
          <w:sz w:val="24"/>
          <w:highlight w:val="none"/>
        </w:rPr>
        <w:t>应认真阅读</w:t>
      </w:r>
      <w:r>
        <w:rPr>
          <w:rFonts w:hint="eastAsia" w:asciiTheme="minorEastAsia" w:hAnsiTheme="minorEastAsia" w:eastAsiaTheme="minorEastAsia"/>
          <w:color w:val="auto"/>
          <w:sz w:val="24"/>
          <w:highlight w:val="none"/>
        </w:rPr>
        <w:t>谈判</w:t>
      </w:r>
      <w:r>
        <w:rPr>
          <w:rFonts w:asciiTheme="minorEastAsia" w:hAnsiTheme="minorEastAsia" w:eastAsiaTheme="minorEastAsia"/>
          <w:color w:val="auto"/>
          <w:sz w:val="24"/>
          <w:highlight w:val="none"/>
        </w:rPr>
        <w:t>文件所有的事项、格式、条款和技术规范等。</w:t>
      </w:r>
    </w:p>
    <w:p w14:paraId="2AABEFCD">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6</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谈判文件的澄清与修改</w:t>
      </w:r>
    </w:p>
    <w:p w14:paraId="6E9D6F72">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6</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1供应商</w:t>
      </w:r>
      <w:r>
        <w:rPr>
          <w:rFonts w:asciiTheme="minorEastAsia" w:hAnsiTheme="minorEastAsia" w:eastAsiaTheme="minorEastAsia"/>
          <w:color w:val="auto"/>
          <w:sz w:val="24"/>
          <w:highlight w:val="none"/>
        </w:rPr>
        <w:t>如对</w:t>
      </w:r>
      <w:r>
        <w:rPr>
          <w:rFonts w:hint="eastAsia" w:asciiTheme="minorEastAsia" w:hAnsiTheme="minorEastAsia" w:eastAsiaTheme="minorEastAsia"/>
          <w:color w:val="auto"/>
          <w:sz w:val="24"/>
          <w:highlight w:val="none"/>
        </w:rPr>
        <w:t>谈判</w:t>
      </w:r>
      <w:r>
        <w:rPr>
          <w:rFonts w:asciiTheme="minorEastAsia" w:hAnsiTheme="minorEastAsia" w:eastAsiaTheme="minorEastAsia"/>
          <w:color w:val="auto"/>
          <w:sz w:val="24"/>
          <w:highlight w:val="none"/>
        </w:rPr>
        <w:t>文件内容有疑问，必须在</w:t>
      </w:r>
      <w:r>
        <w:rPr>
          <w:rFonts w:ascii="宋体" w:hAnsi="宋体" w:eastAsia="宋体"/>
          <w:color w:val="auto"/>
          <w:sz w:val="24"/>
          <w:highlight w:val="none"/>
          <w:u w:val="single"/>
        </w:rPr>
        <w:t>供应商须知前附表</w:t>
      </w:r>
      <w:r>
        <w:rPr>
          <w:rFonts w:asciiTheme="minorEastAsia" w:hAnsiTheme="minorEastAsia" w:eastAsiaTheme="minorEastAsia"/>
          <w:color w:val="auto"/>
          <w:sz w:val="24"/>
          <w:highlight w:val="none"/>
        </w:rPr>
        <w:t>规定的</w:t>
      </w:r>
      <w:r>
        <w:rPr>
          <w:rFonts w:hint="eastAsia" w:asciiTheme="minorEastAsia" w:hAnsiTheme="minorEastAsia" w:eastAsiaTheme="minorEastAsia"/>
          <w:color w:val="auto"/>
          <w:sz w:val="24"/>
          <w:highlight w:val="none"/>
        </w:rPr>
        <w:t>网上询问</w:t>
      </w:r>
      <w:r>
        <w:rPr>
          <w:rFonts w:asciiTheme="minorEastAsia" w:hAnsiTheme="minorEastAsia" w:eastAsiaTheme="minorEastAsia"/>
          <w:color w:val="auto"/>
          <w:sz w:val="24"/>
          <w:highlight w:val="none"/>
        </w:rPr>
        <w:t>截止时间前提交给采购代理机构。</w:t>
      </w:r>
    </w:p>
    <w:p w14:paraId="4F71AABF">
      <w:pPr>
        <w:keepNext w:val="0"/>
        <w:keepLines w:val="0"/>
        <w:pageBreakBefore w:val="0"/>
        <w:widowControl w:val="0"/>
        <w:kinsoku/>
        <w:wordWrap w:val="0"/>
        <w:overflowPunct/>
        <w:topLinePunct w:val="0"/>
        <w:autoSpaceDE/>
        <w:autoSpaceDN/>
        <w:bidi w:val="0"/>
        <w:adjustRightInd/>
        <w:snapToGrid/>
        <w:spacing w:line="360" w:lineRule="auto"/>
        <w:ind w:firstLine="437"/>
        <w:textAlignment w:val="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6</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2采购人可主动地或在</w:t>
      </w:r>
      <w:r>
        <w:rPr>
          <w:rFonts w:hint="eastAsia" w:asciiTheme="minorEastAsia" w:hAnsiTheme="minorEastAsia" w:eastAsiaTheme="minorEastAsia"/>
          <w:color w:val="auto"/>
          <w:sz w:val="24"/>
          <w:highlight w:val="none"/>
          <w:lang w:val="en-US" w:eastAsia="zh-CN"/>
        </w:rPr>
        <w:t>答复供应商</w:t>
      </w:r>
      <w:r>
        <w:rPr>
          <w:rFonts w:hint="eastAsia" w:asciiTheme="minorEastAsia" w:hAnsiTheme="minorEastAsia" w:eastAsiaTheme="minorEastAsia"/>
          <w:color w:val="auto"/>
          <w:sz w:val="24"/>
          <w:highlight w:val="none"/>
        </w:rPr>
        <w:t>提出的</w:t>
      </w:r>
      <w:r>
        <w:rPr>
          <w:rFonts w:hint="eastAsia" w:asciiTheme="minorEastAsia" w:hAnsiTheme="minorEastAsia" w:eastAsiaTheme="minorEastAsia"/>
          <w:color w:val="auto"/>
          <w:sz w:val="24"/>
          <w:highlight w:val="none"/>
          <w:lang w:val="en-US" w:eastAsia="zh-CN"/>
        </w:rPr>
        <w:t>询问</w:t>
      </w:r>
      <w:r>
        <w:rPr>
          <w:rFonts w:hint="eastAsia" w:asciiTheme="minorEastAsia" w:hAnsiTheme="minorEastAsia" w:eastAsiaTheme="minorEastAsia"/>
          <w:color w:val="auto"/>
          <w:sz w:val="24"/>
          <w:highlight w:val="none"/>
        </w:rPr>
        <w:t>时对</w:t>
      </w:r>
      <w:r>
        <w:rPr>
          <w:rFonts w:hint="eastAsia" w:asciiTheme="minorEastAsia" w:hAnsiTheme="minorEastAsia" w:eastAsiaTheme="minorEastAsia"/>
          <w:color w:val="auto"/>
          <w:sz w:val="24"/>
          <w:highlight w:val="none"/>
          <w:lang w:val="en-US" w:eastAsia="zh-CN"/>
        </w:rPr>
        <w:t>谈判</w:t>
      </w:r>
      <w:r>
        <w:rPr>
          <w:rFonts w:hint="eastAsia" w:asciiTheme="minorEastAsia" w:hAnsiTheme="minorEastAsia" w:eastAsiaTheme="minorEastAsia"/>
          <w:color w:val="auto"/>
          <w:sz w:val="24"/>
          <w:highlight w:val="none"/>
        </w:rPr>
        <w:t>文件进行澄清与修改。</w:t>
      </w:r>
      <w:r>
        <w:rPr>
          <w:rFonts w:asciiTheme="minorEastAsia" w:hAnsiTheme="minorEastAsia" w:eastAsiaTheme="minorEastAsia"/>
          <w:color w:val="auto"/>
          <w:sz w:val="24"/>
          <w:highlight w:val="none"/>
        </w:rPr>
        <w:t>采购代理机构将</w:t>
      </w:r>
      <w:r>
        <w:rPr>
          <w:rFonts w:hint="eastAsia" w:asciiTheme="minorEastAsia" w:hAnsiTheme="minorEastAsia" w:eastAsiaTheme="minorEastAsia"/>
          <w:color w:val="auto"/>
          <w:sz w:val="24"/>
          <w:highlight w:val="none"/>
        </w:rPr>
        <w:t>在</w:t>
      </w:r>
      <w:r>
        <w:rPr>
          <w:rFonts w:hint="eastAsia" w:asciiTheme="minorEastAsia" w:hAnsiTheme="minorEastAsia" w:eastAsiaTheme="minorEastAsia"/>
          <w:color w:val="auto"/>
          <w:sz w:val="24"/>
          <w:highlight w:val="none"/>
          <w:lang w:val="en-US" w:eastAsia="zh-CN"/>
        </w:rPr>
        <w:t>滁州市城投工程咨询管理有限公司官网（https://www.czctgczx.com/）</w:t>
      </w:r>
      <w:r>
        <w:rPr>
          <w:rFonts w:hint="eastAsia" w:asciiTheme="minorEastAsia" w:hAnsiTheme="minorEastAsia" w:eastAsiaTheme="minorEastAsia"/>
          <w:color w:val="auto"/>
          <w:sz w:val="24"/>
          <w:highlight w:val="none"/>
        </w:rPr>
        <w:t>以发布更正公告的方式澄清或者修改谈判文件，更正公告的</w:t>
      </w:r>
      <w:r>
        <w:rPr>
          <w:rFonts w:asciiTheme="minorEastAsia" w:hAnsiTheme="minorEastAsia" w:eastAsiaTheme="minorEastAsia"/>
          <w:color w:val="auto"/>
          <w:sz w:val="24"/>
          <w:highlight w:val="none"/>
        </w:rPr>
        <w:t>内容</w:t>
      </w:r>
      <w:r>
        <w:rPr>
          <w:rFonts w:hint="eastAsia" w:asciiTheme="minorEastAsia" w:hAnsiTheme="minorEastAsia" w:eastAsiaTheme="minorEastAsia"/>
          <w:color w:val="auto"/>
          <w:sz w:val="24"/>
          <w:highlight w:val="none"/>
        </w:rPr>
        <w:t>作</w:t>
      </w:r>
      <w:r>
        <w:rPr>
          <w:rFonts w:asciiTheme="minorEastAsia" w:hAnsiTheme="minorEastAsia" w:eastAsiaTheme="minorEastAsia"/>
          <w:color w:val="auto"/>
          <w:sz w:val="24"/>
          <w:highlight w:val="none"/>
        </w:rPr>
        <w:t>为</w:t>
      </w:r>
      <w:r>
        <w:rPr>
          <w:rFonts w:hint="eastAsia" w:asciiTheme="minorEastAsia" w:hAnsiTheme="minorEastAsia" w:eastAsiaTheme="minorEastAsia"/>
          <w:color w:val="auto"/>
          <w:sz w:val="24"/>
          <w:highlight w:val="none"/>
        </w:rPr>
        <w:t>谈判</w:t>
      </w:r>
      <w:r>
        <w:rPr>
          <w:rFonts w:asciiTheme="minorEastAsia" w:hAnsiTheme="minorEastAsia" w:eastAsiaTheme="minorEastAsia"/>
          <w:color w:val="auto"/>
          <w:sz w:val="24"/>
          <w:highlight w:val="none"/>
        </w:rPr>
        <w:t>文件</w:t>
      </w:r>
      <w:r>
        <w:rPr>
          <w:rFonts w:hint="eastAsia" w:asciiTheme="minorEastAsia" w:hAnsiTheme="minorEastAsia" w:eastAsiaTheme="minorEastAsia"/>
          <w:color w:val="auto"/>
          <w:sz w:val="24"/>
          <w:highlight w:val="none"/>
        </w:rPr>
        <w:t>的</w:t>
      </w:r>
      <w:r>
        <w:rPr>
          <w:rFonts w:asciiTheme="minorEastAsia" w:hAnsiTheme="minorEastAsia" w:eastAsiaTheme="minorEastAsia"/>
          <w:color w:val="auto"/>
          <w:sz w:val="24"/>
          <w:highlight w:val="none"/>
        </w:rPr>
        <w:t>组成部分，对</w:t>
      </w:r>
      <w:r>
        <w:rPr>
          <w:rFonts w:hint="eastAsia" w:asciiTheme="minorEastAsia" w:hAnsiTheme="minorEastAsia" w:eastAsiaTheme="minorEastAsia"/>
          <w:color w:val="auto"/>
          <w:sz w:val="24"/>
          <w:highlight w:val="none"/>
        </w:rPr>
        <w:t>供应商</w:t>
      </w:r>
      <w:r>
        <w:rPr>
          <w:rFonts w:asciiTheme="minorEastAsia" w:hAnsiTheme="minorEastAsia" w:eastAsiaTheme="minorEastAsia"/>
          <w:color w:val="auto"/>
          <w:sz w:val="24"/>
          <w:highlight w:val="none"/>
        </w:rPr>
        <w:t>起约束作用</w:t>
      </w:r>
      <w:r>
        <w:rPr>
          <w:rFonts w:hint="eastAsia" w:asciiTheme="minorEastAsia" w:hAnsiTheme="minorEastAsia" w:eastAsiaTheme="minorEastAsia"/>
          <w:color w:val="auto"/>
          <w:sz w:val="24"/>
          <w:highlight w:val="none"/>
        </w:rPr>
        <w:t>。供应商应主动上网查询。采购代理机构不承担供应商未及时关注相关信息引发的相关责任。</w:t>
      </w:r>
    </w:p>
    <w:p w14:paraId="128FD76C">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6</w:t>
      </w:r>
      <w:r>
        <w:rPr>
          <w:rFonts w:hint="eastAsia" w:ascii="宋体" w:hAnsi="宋体" w:eastAsia="宋体"/>
          <w:color w:val="auto"/>
          <w:sz w:val="24"/>
          <w:highlight w:val="none"/>
        </w:rPr>
        <w:t>.3任何人或任何组织向供应商提供的任何书面或口头资料，未经采购代理机构在网上发布或书面通知，均作无效处理，不得作为谈判文件的组成部分。采购代理机构对供应商由此而做出的推论、理解和结论概不负责。</w:t>
      </w:r>
    </w:p>
    <w:p w14:paraId="07147A07">
      <w:pPr>
        <w:spacing w:line="360" w:lineRule="auto"/>
        <w:ind w:firstLine="435"/>
        <w:rPr>
          <w:rFonts w:asciiTheme="minorEastAsia" w:hAnsiTheme="minorEastAsia" w:eastAsiaTheme="minorEastAsia"/>
          <w:iCs/>
          <w:color w:val="auto"/>
          <w:sz w:val="24"/>
          <w:highlight w:val="none"/>
        </w:rPr>
      </w:pPr>
      <w:r>
        <w:rPr>
          <w:rFonts w:hint="eastAsia" w:asciiTheme="minorEastAsia" w:hAnsiTheme="minorEastAsia" w:eastAsiaTheme="minorEastAsia"/>
          <w:color w:val="auto"/>
          <w:sz w:val="24"/>
          <w:highlight w:val="none"/>
          <w:lang w:val="en-US" w:eastAsia="zh-CN"/>
        </w:rPr>
        <w:t>6</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4</w:t>
      </w:r>
      <w:r>
        <w:rPr>
          <w:rFonts w:asciiTheme="minorEastAsia" w:hAnsiTheme="minorEastAsia" w:eastAsiaTheme="minorEastAsia"/>
          <w:color w:val="auto"/>
          <w:sz w:val="24"/>
          <w:highlight w:val="none"/>
        </w:rPr>
        <w:t>对于</w:t>
      </w:r>
      <w:r>
        <w:rPr>
          <w:rFonts w:ascii="宋体" w:hAnsi="宋体" w:eastAsia="宋体"/>
          <w:color w:val="auto"/>
          <w:sz w:val="24"/>
          <w:highlight w:val="none"/>
        </w:rPr>
        <w:t>没有</w:t>
      </w:r>
      <w:r>
        <w:rPr>
          <w:rFonts w:asciiTheme="minorEastAsia" w:hAnsiTheme="minorEastAsia" w:eastAsiaTheme="minorEastAsia"/>
          <w:color w:val="auto"/>
          <w:sz w:val="24"/>
          <w:highlight w:val="none"/>
        </w:rPr>
        <w:t>提出</w:t>
      </w:r>
      <w:r>
        <w:rPr>
          <w:rFonts w:hint="eastAsia" w:asciiTheme="minorEastAsia" w:hAnsiTheme="minorEastAsia" w:eastAsiaTheme="minorEastAsia"/>
          <w:color w:val="auto"/>
          <w:sz w:val="24"/>
          <w:highlight w:val="none"/>
        </w:rPr>
        <w:t>询问</w:t>
      </w:r>
      <w:r>
        <w:rPr>
          <w:rFonts w:asciiTheme="minorEastAsia" w:hAnsiTheme="minorEastAsia" w:eastAsiaTheme="minorEastAsia"/>
          <w:color w:val="auto"/>
          <w:sz w:val="24"/>
          <w:highlight w:val="none"/>
        </w:rPr>
        <w:t>又参与了</w:t>
      </w:r>
      <w:r>
        <w:rPr>
          <w:rFonts w:hint="eastAsia" w:asciiTheme="minorEastAsia" w:hAnsiTheme="minorEastAsia" w:eastAsiaTheme="minorEastAsia"/>
          <w:color w:val="auto"/>
          <w:sz w:val="24"/>
          <w:highlight w:val="none"/>
        </w:rPr>
        <w:t>本</w:t>
      </w:r>
      <w:r>
        <w:rPr>
          <w:rFonts w:asciiTheme="minorEastAsia" w:hAnsiTheme="minorEastAsia" w:eastAsiaTheme="minorEastAsia"/>
          <w:color w:val="auto"/>
          <w:sz w:val="24"/>
          <w:highlight w:val="none"/>
        </w:rPr>
        <w:t>项目</w:t>
      </w:r>
      <w:r>
        <w:rPr>
          <w:rFonts w:hint="eastAsia" w:asciiTheme="minorEastAsia" w:hAnsiTheme="minorEastAsia" w:eastAsiaTheme="minorEastAsia"/>
          <w:color w:val="auto"/>
          <w:sz w:val="24"/>
          <w:highlight w:val="none"/>
        </w:rPr>
        <w:t>谈判</w:t>
      </w:r>
      <w:r>
        <w:rPr>
          <w:rFonts w:asciiTheme="minorEastAsia" w:hAnsiTheme="minorEastAsia" w:eastAsiaTheme="minorEastAsia"/>
          <w:color w:val="auto"/>
          <w:sz w:val="24"/>
          <w:highlight w:val="none"/>
        </w:rPr>
        <w:t>的</w:t>
      </w:r>
      <w:r>
        <w:rPr>
          <w:rFonts w:hint="eastAsia" w:asciiTheme="minorEastAsia" w:hAnsiTheme="minorEastAsia" w:eastAsiaTheme="minorEastAsia"/>
          <w:color w:val="auto"/>
          <w:sz w:val="24"/>
          <w:highlight w:val="none"/>
        </w:rPr>
        <w:t>供应商</w:t>
      </w:r>
      <w:r>
        <w:rPr>
          <w:rFonts w:asciiTheme="minorEastAsia" w:hAnsiTheme="minorEastAsia" w:eastAsiaTheme="minorEastAsia"/>
          <w:color w:val="auto"/>
          <w:sz w:val="24"/>
          <w:highlight w:val="none"/>
        </w:rPr>
        <w:t>将被视为完全认同</w:t>
      </w:r>
      <w:r>
        <w:rPr>
          <w:rFonts w:hint="eastAsia" w:asciiTheme="minorEastAsia" w:hAnsiTheme="minorEastAsia" w:eastAsiaTheme="minorEastAsia"/>
          <w:color w:val="auto"/>
          <w:sz w:val="24"/>
          <w:highlight w:val="none"/>
        </w:rPr>
        <w:t>本谈判</w:t>
      </w:r>
      <w:r>
        <w:rPr>
          <w:rFonts w:asciiTheme="minorEastAsia" w:hAnsiTheme="minorEastAsia" w:eastAsiaTheme="minorEastAsia"/>
          <w:color w:val="auto"/>
          <w:sz w:val="24"/>
          <w:highlight w:val="none"/>
        </w:rPr>
        <w:t>文件（含</w:t>
      </w:r>
      <w:r>
        <w:rPr>
          <w:rFonts w:hint="eastAsia" w:asciiTheme="minorEastAsia" w:hAnsiTheme="minorEastAsia" w:eastAsiaTheme="minorEastAsia"/>
          <w:color w:val="auto"/>
          <w:sz w:val="24"/>
          <w:highlight w:val="none"/>
        </w:rPr>
        <w:t>更正公告的</w:t>
      </w:r>
      <w:r>
        <w:rPr>
          <w:rFonts w:asciiTheme="minorEastAsia" w:hAnsiTheme="minorEastAsia" w:eastAsiaTheme="minorEastAsia"/>
          <w:color w:val="auto"/>
          <w:sz w:val="24"/>
          <w:highlight w:val="none"/>
        </w:rPr>
        <w:t>内容）</w:t>
      </w:r>
      <w:r>
        <w:rPr>
          <w:rFonts w:hint="eastAsia" w:asciiTheme="minorEastAsia" w:hAnsiTheme="minorEastAsia" w:eastAsiaTheme="minorEastAsia"/>
          <w:i w:val="0"/>
          <w:iCs/>
          <w:color w:val="auto"/>
          <w:sz w:val="24"/>
          <w:highlight w:val="none"/>
        </w:rPr>
        <w:t>。</w:t>
      </w:r>
    </w:p>
    <w:p w14:paraId="1B2008CF">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7</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谈判范围及响应文件中标准和计量单位的使用</w:t>
      </w:r>
    </w:p>
    <w:p w14:paraId="3A9379A7">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7</w:t>
      </w:r>
      <w:r>
        <w:rPr>
          <w:rFonts w:asciiTheme="minorEastAsia" w:hAnsiTheme="minorEastAsia" w:eastAsiaTheme="minorEastAsia"/>
          <w:color w:val="auto"/>
          <w:sz w:val="24"/>
          <w:highlight w:val="none"/>
        </w:rPr>
        <w:t>.1项目有分包的，供应商可</w:t>
      </w:r>
      <w:r>
        <w:rPr>
          <w:rFonts w:hint="eastAsia" w:asciiTheme="minorEastAsia" w:hAnsiTheme="minorEastAsia" w:eastAsiaTheme="minorEastAsia"/>
          <w:color w:val="auto"/>
          <w:sz w:val="24"/>
          <w:highlight w:val="none"/>
        </w:rPr>
        <w:t>参与</w:t>
      </w:r>
      <w:r>
        <w:rPr>
          <w:rFonts w:asciiTheme="minorEastAsia" w:hAnsiTheme="minorEastAsia" w:eastAsiaTheme="minorEastAsia"/>
          <w:color w:val="auto"/>
          <w:sz w:val="24"/>
          <w:highlight w:val="none"/>
        </w:rPr>
        <w:t>其中某一个或</w:t>
      </w:r>
      <w:r>
        <w:rPr>
          <w:rFonts w:hint="eastAsia" w:asciiTheme="minorEastAsia" w:hAnsiTheme="minorEastAsia" w:eastAsiaTheme="minorEastAsia"/>
          <w:color w:val="auto"/>
          <w:sz w:val="24"/>
          <w:highlight w:val="none"/>
        </w:rPr>
        <w:t>多</w:t>
      </w:r>
      <w:r>
        <w:rPr>
          <w:rFonts w:asciiTheme="minorEastAsia" w:hAnsiTheme="minorEastAsia" w:eastAsiaTheme="minorEastAsia"/>
          <w:color w:val="auto"/>
          <w:sz w:val="24"/>
          <w:highlight w:val="none"/>
        </w:rPr>
        <w:t>个分包</w:t>
      </w:r>
      <w:r>
        <w:rPr>
          <w:rFonts w:hint="eastAsia" w:asciiTheme="minorEastAsia" w:hAnsiTheme="minorEastAsia" w:eastAsiaTheme="minorEastAsia"/>
          <w:color w:val="auto"/>
          <w:sz w:val="24"/>
          <w:highlight w:val="none"/>
        </w:rPr>
        <w:t>的</w:t>
      </w:r>
      <w:r>
        <w:rPr>
          <w:rFonts w:asciiTheme="minorEastAsia" w:hAnsiTheme="minorEastAsia" w:eastAsiaTheme="minorEastAsia"/>
          <w:color w:val="auto"/>
          <w:sz w:val="24"/>
          <w:highlight w:val="none"/>
        </w:rPr>
        <w:t>谈判，</w:t>
      </w:r>
      <w:r>
        <w:rPr>
          <w:rFonts w:hint="eastAsia" w:asciiTheme="minorEastAsia" w:hAnsiTheme="minorEastAsia" w:eastAsiaTheme="minorEastAsia"/>
          <w:color w:val="auto"/>
          <w:sz w:val="24"/>
          <w:highlight w:val="none"/>
        </w:rPr>
        <w:t>成交包数详见</w:t>
      </w:r>
      <w:r>
        <w:rPr>
          <w:rFonts w:asciiTheme="minorEastAsia" w:hAnsiTheme="minorEastAsia" w:eastAsiaTheme="minorEastAsia"/>
          <w:color w:val="auto"/>
          <w:sz w:val="24"/>
          <w:highlight w:val="none"/>
          <w:u w:val="single"/>
        </w:rPr>
        <w:t>供应商须知前附表</w:t>
      </w:r>
      <w:r>
        <w:rPr>
          <w:rFonts w:asciiTheme="minorEastAsia" w:hAnsiTheme="minorEastAsia" w:eastAsiaTheme="minorEastAsia"/>
          <w:color w:val="auto"/>
          <w:sz w:val="24"/>
          <w:highlight w:val="none"/>
        </w:rPr>
        <w:t>中规定。</w:t>
      </w:r>
    </w:p>
    <w:p w14:paraId="187A0E8F">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7.2供应商</w:t>
      </w:r>
      <w:r>
        <w:rPr>
          <w:rFonts w:asciiTheme="minorEastAsia" w:hAnsiTheme="minorEastAsia" w:eastAsiaTheme="minorEastAsia"/>
          <w:color w:val="auto"/>
          <w:sz w:val="24"/>
          <w:highlight w:val="none"/>
        </w:rPr>
        <w:t>应当对所投分包</w:t>
      </w:r>
      <w:r>
        <w:rPr>
          <w:rFonts w:hint="eastAsia" w:asciiTheme="minorEastAsia" w:hAnsiTheme="minorEastAsia" w:eastAsiaTheme="minorEastAsia"/>
          <w:color w:val="auto"/>
          <w:sz w:val="24"/>
          <w:highlight w:val="none"/>
          <w:lang w:val="en-US" w:eastAsia="zh-CN"/>
        </w:rPr>
        <w:t>谈判</w:t>
      </w:r>
      <w:r>
        <w:rPr>
          <w:rFonts w:asciiTheme="minorEastAsia" w:hAnsiTheme="minorEastAsia" w:eastAsiaTheme="minorEastAsia"/>
          <w:color w:val="auto"/>
          <w:sz w:val="24"/>
          <w:highlight w:val="none"/>
        </w:rPr>
        <w:t>文件中“</w:t>
      </w:r>
      <w:r>
        <w:rPr>
          <w:rFonts w:hint="eastAsia" w:asciiTheme="minorEastAsia" w:hAnsiTheme="minorEastAsia" w:eastAsiaTheme="minorEastAsia"/>
          <w:color w:val="auto"/>
          <w:sz w:val="24"/>
          <w:highlight w:val="none"/>
        </w:rPr>
        <w:t>采购</w:t>
      </w:r>
      <w:r>
        <w:rPr>
          <w:rFonts w:asciiTheme="minorEastAsia" w:hAnsiTheme="minorEastAsia" w:eastAsiaTheme="minorEastAsia"/>
          <w:color w:val="auto"/>
          <w:sz w:val="24"/>
          <w:highlight w:val="none"/>
        </w:rPr>
        <w:t>需求”所列的所有内容进行</w:t>
      </w:r>
      <w:r>
        <w:rPr>
          <w:rFonts w:hint="eastAsia" w:asciiTheme="minorEastAsia" w:hAnsiTheme="minorEastAsia" w:eastAsiaTheme="minorEastAsia"/>
          <w:color w:val="auto"/>
          <w:sz w:val="24"/>
          <w:highlight w:val="none"/>
          <w:lang w:val="en-US" w:eastAsia="zh-CN"/>
        </w:rPr>
        <w:t>响应</w:t>
      </w:r>
      <w:r>
        <w:rPr>
          <w:rFonts w:asciiTheme="minorEastAsia" w:hAnsiTheme="minorEastAsia" w:eastAsiaTheme="minorEastAsia"/>
          <w:color w:val="auto"/>
          <w:sz w:val="24"/>
          <w:highlight w:val="none"/>
        </w:rPr>
        <w:t>，如仅响应</w:t>
      </w:r>
      <w:r>
        <w:rPr>
          <w:rFonts w:hint="eastAsia" w:asciiTheme="minorEastAsia" w:hAnsiTheme="minorEastAsia" w:eastAsiaTheme="minorEastAsia"/>
          <w:color w:val="auto"/>
          <w:sz w:val="24"/>
          <w:highlight w:val="none"/>
        </w:rPr>
        <w:t>所投包别</w:t>
      </w:r>
      <w:r>
        <w:rPr>
          <w:rFonts w:asciiTheme="minorEastAsia" w:hAnsiTheme="minorEastAsia" w:eastAsiaTheme="minorEastAsia"/>
          <w:color w:val="auto"/>
          <w:sz w:val="24"/>
          <w:highlight w:val="none"/>
        </w:rPr>
        <w:t>中的部分内容，其</w:t>
      </w:r>
      <w:r>
        <w:rPr>
          <w:rFonts w:hint="eastAsia" w:asciiTheme="minorEastAsia" w:hAnsiTheme="minorEastAsia" w:eastAsiaTheme="minorEastAsia"/>
          <w:color w:val="auto"/>
          <w:sz w:val="24"/>
          <w:highlight w:val="none"/>
        </w:rPr>
        <w:t>所投包别的</w:t>
      </w:r>
      <w:r>
        <w:rPr>
          <w:rFonts w:hint="eastAsia" w:asciiTheme="minorEastAsia" w:hAnsiTheme="minorEastAsia" w:eastAsiaTheme="minorEastAsia"/>
          <w:color w:val="auto"/>
          <w:sz w:val="24"/>
          <w:highlight w:val="none"/>
          <w:lang w:val="en-US" w:eastAsia="zh-CN"/>
        </w:rPr>
        <w:t>响应</w:t>
      </w:r>
      <w:r>
        <w:rPr>
          <w:rFonts w:asciiTheme="minorEastAsia" w:hAnsiTheme="minorEastAsia" w:eastAsiaTheme="minorEastAsia"/>
          <w:color w:val="auto"/>
          <w:sz w:val="24"/>
          <w:highlight w:val="none"/>
        </w:rPr>
        <w:t>将被认定为</w:t>
      </w:r>
      <w:r>
        <w:rPr>
          <w:rFonts w:hint="eastAsia" w:asciiTheme="minorEastAsia" w:hAnsiTheme="minorEastAsia" w:eastAsiaTheme="minorEastAsia"/>
          <w:b/>
          <w:color w:val="auto"/>
          <w:sz w:val="24"/>
          <w:highlight w:val="none"/>
          <w:lang w:val="en-US" w:eastAsia="zh-CN"/>
        </w:rPr>
        <w:t>响应</w:t>
      </w:r>
      <w:r>
        <w:rPr>
          <w:rFonts w:asciiTheme="minorEastAsia" w:hAnsiTheme="minorEastAsia" w:eastAsiaTheme="minorEastAsia"/>
          <w:b/>
          <w:color w:val="auto"/>
          <w:sz w:val="24"/>
          <w:highlight w:val="none"/>
        </w:rPr>
        <w:t>无效</w:t>
      </w:r>
      <w:r>
        <w:rPr>
          <w:rFonts w:asciiTheme="minorEastAsia" w:hAnsiTheme="minorEastAsia" w:eastAsiaTheme="minorEastAsia"/>
          <w:color w:val="auto"/>
          <w:sz w:val="24"/>
          <w:highlight w:val="none"/>
        </w:rPr>
        <w:t>。</w:t>
      </w:r>
    </w:p>
    <w:p w14:paraId="1B9E8096">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7</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3</w:t>
      </w:r>
      <w:r>
        <w:rPr>
          <w:rFonts w:asciiTheme="minorEastAsia" w:hAnsiTheme="minorEastAsia" w:eastAsiaTheme="minorEastAsia"/>
          <w:color w:val="auto"/>
          <w:sz w:val="24"/>
          <w:highlight w:val="none"/>
        </w:rPr>
        <w:t>无论谈判文件中是否要求，供应商所投</w:t>
      </w:r>
      <w:r>
        <w:rPr>
          <w:rFonts w:hint="eastAsia" w:asciiTheme="minorEastAsia" w:hAnsiTheme="minorEastAsia" w:eastAsiaTheme="minorEastAsia"/>
          <w:color w:val="auto"/>
          <w:sz w:val="24"/>
          <w:highlight w:val="none"/>
        </w:rPr>
        <w:t>服务</w:t>
      </w:r>
      <w:r>
        <w:rPr>
          <w:rFonts w:asciiTheme="minorEastAsia" w:hAnsiTheme="minorEastAsia" w:eastAsiaTheme="minorEastAsia"/>
          <w:color w:val="auto"/>
          <w:sz w:val="24"/>
          <w:highlight w:val="none"/>
        </w:rPr>
        <w:t>及伴随的</w:t>
      </w:r>
      <w:r>
        <w:rPr>
          <w:rFonts w:hint="eastAsia" w:asciiTheme="minorEastAsia" w:hAnsiTheme="minorEastAsia" w:eastAsiaTheme="minorEastAsia"/>
          <w:color w:val="auto"/>
          <w:sz w:val="24"/>
          <w:highlight w:val="none"/>
        </w:rPr>
        <w:t>货物</w:t>
      </w:r>
      <w:r>
        <w:rPr>
          <w:rFonts w:asciiTheme="minorEastAsia" w:hAnsiTheme="minorEastAsia" w:eastAsiaTheme="minorEastAsia"/>
          <w:color w:val="auto"/>
          <w:sz w:val="24"/>
          <w:highlight w:val="none"/>
        </w:rPr>
        <w:t>和工程均应符合国家强制性标准。</w:t>
      </w:r>
    </w:p>
    <w:p w14:paraId="217F8B30">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7</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4</w:t>
      </w:r>
      <w:r>
        <w:rPr>
          <w:rFonts w:asciiTheme="minorEastAsia" w:hAnsiTheme="minorEastAsia" w:eastAsiaTheme="minorEastAsia"/>
          <w:color w:val="auto"/>
          <w:sz w:val="24"/>
          <w:highlight w:val="none"/>
        </w:rPr>
        <w:t>供应商与采购代理机构之间与谈判有关的所有往来通知、函件和响应文件均用中文表述。供应商随响应文件提供的证明文件和资料可以为其它语言，但必须附中文译文。翻译的中文资料与外文资料如果出现差异时，以中文为准。</w:t>
      </w:r>
    </w:p>
    <w:p w14:paraId="20F71628">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7</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5</w:t>
      </w:r>
      <w:r>
        <w:rPr>
          <w:rFonts w:asciiTheme="minorEastAsia" w:hAnsiTheme="minorEastAsia" w:eastAsiaTheme="minorEastAsia"/>
          <w:color w:val="auto"/>
          <w:sz w:val="24"/>
          <w:highlight w:val="none"/>
        </w:rPr>
        <w:t>除谈判文件中有特殊要求外，响应文件中所使用的计量单位，应采用中华人民共和国法定计量单位。</w:t>
      </w:r>
    </w:p>
    <w:p w14:paraId="53DD4C2C">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8</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响应文件构成</w:t>
      </w:r>
    </w:p>
    <w:p w14:paraId="795F75E3">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8</w:t>
      </w:r>
      <w:r>
        <w:rPr>
          <w:rFonts w:ascii="宋体" w:hAnsi="宋体" w:eastAsia="宋体"/>
          <w:color w:val="auto"/>
          <w:sz w:val="24"/>
          <w:highlight w:val="none"/>
        </w:rPr>
        <w:t>.1供应商应完整地按谈判文件提供的响应文件格式及要求编写响应文件，具体内容详见</w:t>
      </w:r>
      <w:r>
        <w:rPr>
          <w:rFonts w:hint="eastAsia" w:ascii="宋体" w:hAnsi="宋体" w:eastAsia="宋体"/>
          <w:color w:val="auto"/>
          <w:sz w:val="24"/>
          <w:highlight w:val="none"/>
          <w:lang w:val="en-US" w:eastAsia="zh-CN"/>
        </w:rPr>
        <w:t>本项目</w:t>
      </w:r>
      <w:r>
        <w:rPr>
          <w:rFonts w:ascii="宋体" w:hAnsi="宋体" w:eastAsia="宋体"/>
          <w:color w:val="auto"/>
          <w:sz w:val="24"/>
          <w:highlight w:val="none"/>
        </w:rPr>
        <w:t>响应文件格式的相关内容。</w:t>
      </w:r>
    </w:p>
    <w:p w14:paraId="7DC3B967">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8.2</w:t>
      </w:r>
      <w:r>
        <w:rPr>
          <w:rFonts w:hint="eastAsia" w:ascii="宋体" w:hAnsi="宋体" w:eastAsia="宋体"/>
          <w:color w:val="auto"/>
          <w:sz w:val="24"/>
          <w:highlight w:val="none"/>
        </w:rPr>
        <w:t>供应商应提交谈判文件要求的证明文件，证明其响应内容符合谈判文件规定。该证明文件是响应文件的一部分</w:t>
      </w:r>
      <w:r>
        <w:rPr>
          <w:rFonts w:asciiTheme="minorEastAsia" w:hAnsiTheme="minorEastAsia" w:eastAsiaTheme="minorEastAsia"/>
          <w:color w:val="auto"/>
          <w:sz w:val="24"/>
          <w:highlight w:val="none"/>
        </w:rPr>
        <w:t>。证明文件</w:t>
      </w:r>
      <w:r>
        <w:rPr>
          <w:rFonts w:hint="eastAsia" w:asciiTheme="minorEastAsia" w:hAnsiTheme="minorEastAsia" w:eastAsiaTheme="minorEastAsia"/>
          <w:color w:val="auto"/>
          <w:sz w:val="24"/>
          <w:highlight w:val="none"/>
          <w:lang w:val="en-US" w:eastAsia="zh-CN"/>
        </w:rPr>
        <w:t>形式</w:t>
      </w:r>
      <w:r>
        <w:rPr>
          <w:rFonts w:asciiTheme="minorEastAsia" w:hAnsiTheme="minorEastAsia" w:eastAsiaTheme="minorEastAsia"/>
          <w:color w:val="auto"/>
          <w:sz w:val="24"/>
          <w:highlight w:val="none"/>
        </w:rPr>
        <w:t>可以是文字资料、图纸和数据</w:t>
      </w:r>
      <w:bookmarkStart w:id="23" w:name="_Hlk11703583"/>
      <w:r>
        <w:rPr>
          <w:rFonts w:hint="eastAsia" w:asciiTheme="minorEastAsia" w:hAnsiTheme="minorEastAsia" w:eastAsiaTheme="minorEastAsia"/>
          <w:color w:val="auto"/>
          <w:sz w:val="24"/>
          <w:highlight w:val="none"/>
        </w:rPr>
        <w:t>。</w:t>
      </w:r>
    </w:p>
    <w:bookmarkEnd w:id="23"/>
    <w:p w14:paraId="376837B9">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8.3</w:t>
      </w:r>
      <w:r>
        <w:rPr>
          <w:rFonts w:asciiTheme="minorEastAsia" w:hAnsiTheme="minorEastAsia" w:eastAsiaTheme="minorEastAsia"/>
          <w:color w:val="auto"/>
          <w:sz w:val="24"/>
          <w:highlight w:val="none"/>
        </w:rPr>
        <w:t>为保证</w:t>
      </w:r>
      <w:r>
        <w:rPr>
          <w:rFonts w:ascii="宋体" w:hAnsi="宋体" w:eastAsia="宋体"/>
          <w:color w:val="auto"/>
          <w:sz w:val="24"/>
          <w:highlight w:val="none"/>
        </w:rPr>
        <w:t>公平</w:t>
      </w:r>
      <w:r>
        <w:rPr>
          <w:rFonts w:asciiTheme="minorEastAsia" w:hAnsiTheme="minorEastAsia" w:eastAsiaTheme="minorEastAsia"/>
          <w:color w:val="auto"/>
          <w:sz w:val="24"/>
          <w:highlight w:val="none"/>
        </w:rPr>
        <w:t>公正，除非谈判文件另有规定或说明，</w:t>
      </w:r>
      <w:r>
        <w:rPr>
          <w:rFonts w:hint="eastAsia" w:asciiTheme="minorEastAsia" w:hAnsiTheme="minorEastAsia" w:eastAsiaTheme="minorEastAsia"/>
          <w:color w:val="auto"/>
          <w:sz w:val="24"/>
          <w:highlight w:val="none"/>
        </w:rPr>
        <w:t>供应商</w:t>
      </w:r>
      <w:r>
        <w:rPr>
          <w:rFonts w:asciiTheme="minorEastAsia" w:hAnsiTheme="minorEastAsia" w:eastAsiaTheme="minorEastAsia"/>
          <w:color w:val="auto"/>
          <w:sz w:val="24"/>
          <w:highlight w:val="none"/>
        </w:rPr>
        <w:t>对同一项目</w:t>
      </w:r>
      <w:r>
        <w:rPr>
          <w:rFonts w:hint="eastAsia" w:asciiTheme="minorEastAsia" w:hAnsiTheme="minorEastAsia" w:eastAsiaTheme="minorEastAsia"/>
          <w:color w:val="auto"/>
          <w:sz w:val="24"/>
          <w:highlight w:val="none"/>
        </w:rPr>
        <w:t>谈判</w:t>
      </w:r>
      <w:r>
        <w:rPr>
          <w:rFonts w:asciiTheme="minorEastAsia" w:hAnsiTheme="minorEastAsia" w:eastAsiaTheme="minorEastAsia"/>
          <w:color w:val="auto"/>
          <w:sz w:val="24"/>
          <w:highlight w:val="none"/>
        </w:rPr>
        <w:t>时，不得同时提供</w:t>
      </w:r>
      <w:r>
        <w:rPr>
          <w:rFonts w:hint="eastAsia" w:asciiTheme="minorEastAsia" w:hAnsiTheme="minorEastAsia" w:eastAsiaTheme="minorEastAsia"/>
          <w:color w:val="auto"/>
          <w:sz w:val="24"/>
          <w:highlight w:val="none"/>
        </w:rPr>
        <w:t>备选谈判</w:t>
      </w:r>
      <w:r>
        <w:rPr>
          <w:rFonts w:asciiTheme="minorEastAsia" w:hAnsiTheme="minorEastAsia" w:eastAsiaTheme="minorEastAsia"/>
          <w:color w:val="auto"/>
          <w:sz w:val="24"/>
          <w:highlight w:val="none"/>
        </w:rPr>
        <w:t>方案。</w:t>
      </w:r>
    </w:p>
    <w:p w14:paraId="545065FA">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9</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报价</w:t>
      </w:r>
    </w:p>
    <w:p w14:paraId="190BB0EB">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9</w:t>
      </w: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rPr>
        <w:t>供应商</w:t>
      </w:r>
      <w:r>
        <w:rPr>
          <w:rFonts w:asciiTheme="minorEastAsia" w:hAnsiTheme="minorEastAsia" w:eastAsiaTheme="minorEastAsia"/>
          <w:color w:val="auto"/>
          <w:sz w:val="24"/>
          <w:highlight w:val="none"/>
        </w:rPr>
        <w:t>的报价应当包括满足本次</w:t>
      </w:r>
      <w:r>
        <w:rPr>
          <w:rFonts w:hint="eastAsia" w:asciiTheme="minorEastAsia" w:hAnsiTheme="minorEastAsia" w:eastAsiaTheme="minorEastAsia"/>
          <w:color w:val="auto"/>
          <w:sz w:val="24"/>
          <w:highlight w:val="none"/>
        </w:rPr>
        <w:t>谈判</w:t>
      </w:r>
      <w:r>
        <w:rPr>
          <w:rFonts w:asciiTheme="minorEastAsia" w:hAnsiTheme="minorEastAsia" w:eastAsiaTheme="minorEastAsia"/>
          <w:color w:val="auto"/>
          <w:sz w:val="24"/>
          <w:highlight w:val="none"/>
        </w:rPr>
        <w:t>全部采购需求所应提供的</w:t>
      </w:r>
      <w:r>
        <w:rPr>
          <w:rFonts w:hint="eastAsia" w:asciiTheme="minorEastAsia" w:hAnsiTheme="minorEastAsia" w:eastAsiaTheme="minorEastAsia"/>
          <w:color w:val="auto"/>
          <w:sz w:val="24"/>
          <w:highlight w:val="none"/>
        </w:rPr>
        <w:t>服务，</w:t>
      </w:r>
      <w:r>
        <w:rPr>
          <w:rFonts w:asciiTheme="minorEastAsia" w:hAnsiTheme="minorEastAsia" w:eastAsiaTheme="minorEastAsia"/>
          <w:color w:val="auto"/>
          <w:sz w:val="24"/>
          <w:highlight w:val="none"/>
        </w:rPr>
        <w:t>以及伴随的</w:t>
      </w:r>
      <w:r>
        <w:rPr>
          <w:rFonts w:hint="eastAsia" w:asciiTheme="minorEastAsia" w:hAnsiTheme="minorEastAsia" w:eastAsiaTheme="minorEastAsia"/>
          <w:color w:val="auto"/>
          <w:sz w:val="24"/>
          <w:highlight w:val="none"/>
        </w:rPr>
        <w:t>货物</w:t>
      </w:r>
      <w:r>
        <w:rPr>
          <w:rFonts w:asciiTheme="minorEastAsia" w:hAnsiTheme="minorEastAsia" w:eastAsiaTheme="minorEastAsia"/>
          <w:color w:val="auto"/>
          <w:sz w:val="24"/>
          <w:highlight w:val="none"/>
        </w:rPr>
        <w:t>和工程</w:t>
      </w:r>
      <w:r>
        <w:rPr>
          <w:rFonts w:hint="eastAsia"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除谈判文件另有规定外，</w:t>
      </w:r>
      <w:r>
        <w:rPr>
          <w:rFonts w:hint="eastAsia" w:asciiTheme="minorEastAsia" w:hAnsiTheme="minorEastAsia" w:eastAsiaTheme="minorEastAsia"/>
          <w:color w:val="auto"/>
          <w:sz w:val="24"/>
          <w:highlight w:val="none"/>
        </w:rPr>
        <w:t>所有内容均应以人民币报价，供应商的谈判报价应遵守《中华人民共和国价格法》。</w:t>
      </w:r>
    </w:p>
    <w:p w14:paraId="281FB9D9">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9</w:t>
      </w:r>
      <w:r>
        <w:rPr>
          <w:rFonts w:asciiTheme="minorEastAsia" w:hAnsiTheme="minorEastAsia" w:eastAsiaTheme="minorEastAsia"/>
          <w:color w:val="auto"/>
          <w:sz w:val="24"/>
          <w:highlight w:val="none"/>
        </w:rPr>
        <w:t>.2供应商应</w:t>
      </w:r>
      <w:r>
        <w:rPr>
          <w:rFonts w:hint="eastAsia" w:asciiTheme="minorEastAsia" w:hAnsiTheme="minorEastAsia" w:eastAsiaTheme="minorEastAsia"/>
          <w:color w:val="auto"/>
          <w:sz w:val="24"/>
          <w:highlight w:val="none"/>
        </w:rPr>
        <w:t>在分项报价表上标明分项服务、伴随的货物和工程的价格（如适用）和总价，未标明的视同包含在谈判报价中。</w:t>
      </w:r>
    </w:p>
    <w:p w14:paraId="6ADBC0AC">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9</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3</w:t>
      </w:r>
      <w:r>
        <w:rPr>
          <w:rFonts w:asciiTheme="minorEastAsia" w:hAnsiTheme="minorEastAsia" w:eastAsiaTheme="minorEastAsia"/>
          <w:color w:val="auto"/>
          <w:sz w:val="24"/>
          <w:highlight w:val="none"/>
        </w:rPr>
        <w:t>除非谈判文件另有规定或经采购人同意支付的，最后报价均不得高于谈判文件（公告）列明的项目预算，否则其响应文件将被认定为</w:t>
      </w:r>
      <w:r>
        <w:rPr>
          <w:rFonts w:asciiTheme="minorEastAsia" w:hAnsiTheme="minorEastAsia" w:eastAsiaTheme="minorEastAsia"/>
          <w:b/>
          <w:color w:val="auto"/>
          <w:sz w:val="24"/>
          <w:highlight w:val="none"/>
        </w:rPr>
        <w:t>响应无效</w:t>
      </w:r>
      <w:r>
        <w:rPr>
          <w:rFonts w:asciiTheme="minorEastAsia" w:hAnsiTheme="minorEastAsia" w:eastAsiaTheme="minorEastAsia"/>
          <w:color w:val="auto"/>
          <w:sz w:val="24"/>
          <w:highlight w:val="none"/>
        </w:rPr>
        <w:t>。</w:t>
      </w:r>
    </w:p>
    <w:p w14:paraId="20A7455A">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9</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4报价</w:t>
      </w:r>
      <w:r>
        <w:rPr>
          <w:rFonts w:asciiTheme="minorEastAsia" w:hAnsiTheme="minorEastAsia" w:eastAsiaTheme="minorEastAsia"/>
          <w:color w:val="auto"/>
          <w:sz w:val="24"/>
          <w:highlight w:val="none"/>
        </w:rPr>
        <w:t>在合同履行过程中是固定不变的，不得以任何理由予以变更。任何包含价格调整要求的</w:t>
      </w:r>
      <w:r>
        <w:rPr>
          <w:rFonts w:hint="eastAsia" w:asciiTheme="minorEastAsia" w:hAnsiTheme="minorEastAsia" w:eastAsiaTheme="minorEastAsia"/>
          <w:color w:val="auto"/>
          <w:sz w:val="24"/>
          <w:highlight w:val="none"/>
        </w:rPr>
        <w:t>谈判</w:t>
      </w:r>
      <w:r>
        <w:rPr>
          <w:rFonts w:asciiTheme="minorEastAsia" w:hAnsiTheme="minorEastAsia" w:eastAsiaTheme="minorEastAsia"/>
          <w:color w:val="auto"/>
          <w:sz w:val="24"/>
          <w:highlight w:val="none"/>
        </w:rPr>
        <w:t>，其</w:t>
      </w:r>
      <w:r>
        <w:rPr>
          <w:rFonts w:hint="eastAsia" w:asciiTheme="minorEastAsia" w:hAnsiTheme="minorEastAsia" w:eastAsiaTheme="minorEastAsia"/>
          <w:color w:val="auto"/>
          <w:sz w:val="24"/>
          <w:highlight w:val="none"/>
        </w:rPr>
        <w:t>响应文件</w:t>
      </w:r>
      <w:r>
        <w:rPr>
          <w:rFonts w:asciiTheme="minorEastAsia" w:hAnsiTheme="minorEastAsia" w:eastAsiaTheme="minorEastAsia"/>
          <w:color w:val="auto"/>
          <w:sz w:val="24"/>
          <w:highlight w:val="none"/>
        </w:rPr>
        <w:t>将被认定为</w:t>
      </w:r>
      <w:r>
        <w:rPr>
          <w:rFonts w:hint="eastAsia" w:asciiTheme="minorEastAsia" w:hAnsiTheme="minorEastAsia" w:eastAsiaTheme="minorEastAsia"/>
          <w:b/>
          <w:color w:val="auto"/>
          <w:sz w:val="24"/>
          <w:highlight w:val="none"/>
        </w:rPr>
        <w:t>响应</w:t>
      </w:r>
      <w:r>
        <w:rPr>
          <w:rFonts w:asciiTheme="minorEastAsia" w:hAnsiTheme="minorEastAsia" w:eastAsiaTheme="minorEastAsia"/>
          <w:b/>
          <w:color w:val="auto"/>
          <w:sz w:val="24"/>
          <w:highlight w:val="none"/>
        </w:rPr>
        <w:t>无效</w:t>
      </w:r>
      <w:r>
        <w:rPr>
          <w:rFonts w:asciiTheme="minorEastAsia" w:hAnsiTheme="minorEastAsia" w:eastAsiaTheme="minorEastAsia"/>
          <w:color w:val="auto"/>
          <w:sz w:val="24"/>
          <w:highlight w:val="none"/>
        </w:rPr>
        <w:t>。</w:t>
      </w:r>
    </w:p>
    <w:p w14:paraId="6C073F3A">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9</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5</w:t>
      </w:r>
      <w:r>
        <w:rPr>
          <w:rFonts w:asciiTheme="minorEastAsia" w:hAnsiTheme="minorEastAsia" w:eastAsiaTheme="minorEastAsia"/>
          <w:color w:val="auto"/>
          <w:sz w:val="24"/>
          <w:highlight w:val="none"/>
        </w:rPr>
        <w:t>采购人不接受具有附加条件的报价。</w:t>
      </w:r>
    </w:p>
    <w:p w14:paraId="7E154744">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10</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谈判保证金</w:t>
      </w:r>
    </w:p>
    <w:p w14:paraId="3745CD24">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10</w:t>
      </w:r>
      <w:r>
        <w:rPr>
          <w:rFonts w:hint="eastAsia" w:asciiTheme="minorEastAsia" w:hAnsiTheme="minorEastAsia" w:eastAsiaTheme="minorEastAsia"/>
          <w:color w:val="auto"/>
          <w:sz w:val="24"/>
          <w:highlight w:val="none"/>
        </w:rPr>
        <w:t>.1本项目不收取谈判保证金。</w:t>
      </w:r>
    </w:p>
    <w:p w14:paraId="3596244F">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11</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谈判有效期</w:t>
      </w:r>
    </w:p>
    <w:p w14:paraId="63C6AB98">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11</w:t>
      </w:r>
      <w:r>
        <w:rPr>
          <w:rFonts w:asciiTheme="minorEastAsia" w:hAnsiTheme="minorEastAsia" w:eastAsiaTheme="minorEastAsia"/>
          <w:color w:val="auto"/>
          <w:sz w:val="24"/>
          <w:highlight w:val="none"/>
        </w:rPr>
        <w:t>.1谈判有效期为从响应文件提交截止之日算起的日历天数，谈判有效期详见</w:t>
      </w:r>
      <w:r>
        <w:rPr>
          <w:rFonts w:asciiTheme="minorEastAsia" w:hAnsiTheme="minorEastAsia" w:eastAsiaTheme="minorEastAsia"/>
          <w:color w:val="auto"/>
          <w:sz w:val="24"/>
          <w:highlight w:val="none"/>
          <w:u w:val="single"/>
        </w:rPr>
        <w:t>供应商须知前附表</w:t>
      </w:r>
      <w:r>
        <w:rPr>
          <w:rFonts w:asciiTheme="minorEastAsia" w:hAnsiTheme="minorEastAsia" w:eastAsiaTheme="minorEastAsia"/>
          <w:color w:val="auto"/>
          <w:sz w:val="24"/>
          <w:highlight w:val="none"/>
        </w:rPr>
        <w:t>。</w:t>
      </w:r>
    </w:p>
    <w:p w14:paraId="2DE53981">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11</w:t>
      </w:r>
      <w:r>
        <w:rPr>
          <w:rFonts w:asciiTheme="minorEastAsia" w:hAnsiTheme="minorEastAsia" w:eastAsiaTheme="minorEastAsia"/>
          <w:color w:val="auto"/>
          <w:sz w:val="24"/>
          <w:highlight w:val="none"/>
        </w:rPr>
        <w:t>.2在谈判有效期内，供应商的谈判保持有效，供应商不得要求撤销或修改其响应文件。谈判有效期不满足要求的响应，其响应文件将被认定为</w:t>
      </w:r>
      <w:r>
        <w:rPr>
          <w:rFonts w:asciiTheme="minorEastAsia" w:hAnsiTheme="minorEastAsia" w:eastAsiaTheme="minorEastAsia"/>
          <w:b/>
          <w:color w:val="auto"/>
          <w:sz w:val="24"/>
          <w:highlight w:val="none"/>
        </w:rPr>
        <w:t>响应无效</w:t>
      </w:r>
      <w:r>
        <w:rPr>
          <w:rFonts w:asciiTheme="minorEastAsia" w:hAnsiTheme="minorEastAsia" w:eastAsiaTheme="minorEastAsia"/>
          <w:color w:val="auto"/>
          <w:sz w:val="24"/>
          <w:highlight w:val="none"/>
        </w:rPr>
        <w:t>。</w:t>
      </w:r>
    </w:p>
    <w:p w14:paraId="4E5D47BA">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11</w:t>
      </w:r>
      <w:r>
        <w:rPr>
          <w:rFonts w:asciiTheme="minorEastAsia" w:hAnsiTheme="minorEastAsia" w:eastAsiaTheme="minorEastAsia"/>
          <w:color w:val="auto"/>
          <w:sz w:val="24"/>
          <w:highlight w:val="none"/>
        </w:rPr>
        <w:t>.3为保证有充分时间签订合同，采购人或采购代理机构可根据实际情况，在原谈判有效期截止之前，要求供应商延长谈判有效期。接受该要求的供应商将不会被要求和允许修正其响应文件。供应商可以拒绝延长谈判有效期的要求，且不承担任何责任。上述要求和答复都应以书面形式提交。</w:t>
      </w:r>
    </w:p>
    <w:p w14:paraId="230A8BB7">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12</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响应文件的提交、修改与撤回</w:t>
      </w:r>
    </w:p>
    <w:p w14:paraId="31ED8C80">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12</w:t>
      </w:r>
      <w:r>
        <w:rPr>
          <w:rFonts w:hint="eastAsia" w:asciiTheme="minorEastAsia" w:hAnsiTheme="minorEastAsia" w:eastAsiaTheme="minorEastAsia"/>
          <w:color w:val="auto"/>
          <w:sz w:val="24"/>
          <w:highlight w:val="none"/>
        </w:rPr>
        <w:t>.1供应商应当在</w:t>
      </w:r>
      <w:r>
        <w:rPr>
          <w:rFonts w:hint="eastAsia" w:asciiTheme="minorEastAsia" w:hAnsiTheme="minorEastAsia" w:eastAsiaTheme="minorEastAsia"/>
          <w:color w:val="auto"/>
          <w:sz w:val="24"/>
          <w:highlight w:val="none"/>
          <w:u w:val="none"/>
          <w:lang w:val="en-US" w:eastAsia="zh-CN"/>
        </w:rPr>
        <w:t>竞争性谈判公告</w:t>
      </w:r>
      <w:r>
        <w:rPr>
          <w:rFonts w:hint="eastAsia" w:asciiTheme="minorEastAsia" w:hAnsiTheme="minorEastAsia" w:eastAsiaTheme="minorEastAsia"/>
          <w:color w:val="auto"/>
          <w:sz w:val="24"/>
          <w:highlight w:val="none"/>
        </w:rPr>
        <w:t>规定的响应文件提交截止时间前</w:t>
      </w:r>
      <w:r>
        <w:rPr>
          <w:rFonts w:asciiTheme="minorEastAsia" w:hAnsiTheme="minorEastAsia" w:eastAsiaTheme="minorEastAsia"/>
          <w:color w:val="auto"/>
          <w:sz w:val="24"/>
          <w:highlight w:val="none"/>
        </w:rPr>
        <w:t>，将加密的</w:t>
      </w:r>
      <w:r>
        <w:rPr>
          <w:rFonts w:hint="eastAsia" w:asciiTheme="minorEastAsia" w:hAnsiTheme="minorEastAsia" w:eastAsiaTheme="minorEastAsia"/>
          <w:color w:val="auto"/>
          <w:sz w:val="24"/>
          <w:highlight w:val="none"/>
        </w:rPr>
        <w:t>响应</w:t>
      </w:r>
      <w:r>
        <w:rPr>
          <w:rFonts w:asciiTheme="minorEastAsia" w:hAnsiTheme="minorEastAsia" w:eastAsiaTheme="minorEastAsia"/>
          <w:color w:val="auto"/>
          <w:sz w:val="24"/>
          <w:highlight w:val="none"/>
        </w:rPr>
        <w:t>文件</w:t>
      </w:r>
      <w:r>
        <w:rPr>
          <w:rFonts w:hint="eastAsia" w:asciiTheme="minorEastAsia" w:hAnsiTheme="minorEastAsia" w:eastAsiaTheme="minorEastAsia"/>
          <w:color w:val="auto"/>
          <w:sz w:val="24"/>
          <w:highlight w:val="none"/>
        </w:rPr>
        <w:t>在电子交易系统</w:t>
      </w:r>
      <w:r>
        <w:rPr>
          <w:rFonts w:asciiTheme="minorEastAsia" w:hAnsiTheme="minorEastAsia" w:eastAsiaTheme="minorEastAsia"/>
          <w:color w:val="auto"/>
          <w:sz w:val="24"/>
          <w:highlight w:val="none"/>
        </w:rPr>
        <w:t>上传。</w:t>
      </w:r>
    </w:p>
    <w:p w14:paraId="38DB4686">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12</w:t>
      </w:r>
      <w:r>
        <w:rPr>
          <w:rFonts w:hint="eastAsia" w:asciiTheme="minorEastAsia" w:hAnsiTheme="minorEastAsia" w:eastAsiaTheme="minorEastAsia"/>
          <w:color w:val="auto"/>
          <w:sz w:val="24"/>
          <w:highlight w:val="none"/>
        </w:rPr>
        <w:t>.2供应商应当在响应</w:t>
      </w:r>
      <w:r>
        <w:rPr>
          <w:rFonts w:asciiTheme="minorEastAsia" w:hAnsiTheme="minorEastAsia" w:eastAsiaTheme="minorEastAsia"/>
          <w:color w:val="auto"/>
          <w:sz w:val="24"/>
          <w:highlight w:val="none"/>
        </w:rPr>
        <w:t>文件</w:t>
      </w:r>
      <w:r>
        <w:rPr>
          <w:rFonts w:hint="eastAsia" w:asciiTheme="minorEastAsia" w:hAnsiTheme="minorEastAsia" w:eastAsiaTheme="minorEastAsia"/>
          <w:color w:val="auto"/>
          <w:sz w:val="24"/>
          <w:highlight w:val="none"/>
        </w:rPr>
        <w:t>提交截止时间前完成响应文件</w:t>
      </w:r>
      <w:r>
        <w:rPr>
          <w:rFonts w:asciiTheme="minorEastAsia" w:hAnsiTheme="minorEastAsia" w:eastAsiaTheme="minorEastAsia"/>
          <w:color w:val="auto"/>
          <w:sz w:val="24"/>
          <w:highlight w:val="none"/>
        </w:rPr>
        <w:t>的</w:t>
      </w:r>
      <w:r>
        <w:rPr>
          <w:rFonts w:hint="eastAsia" w:asciiTheme="minorEastAsia" w:hAnsiTheme="minorEastAsia" w:eastAsiaTheme="minorEastAsia"/>
          <w:color w:val="auto"/>
          <w:sz w:val="24"/>
          <w:highlight w:val="none"/>
        </w:rPr>
        <w:t>传输提交（以接收到电子签收凭证为准），并可以补充、修改或者撤回响应文件。响应文件提交截止时间前未完成响应文件传输的，视为撤回响应文件。未按规定加密或响应文件提交截止时间后送达的响应文件，电子交易系统应当拒收</w:t>
      </w:r>
      <w:r>
        <w:rPr>
          <w:rFonts w:asciiTheme="minorEastAsia" w:hAnsiTheme="minorEastAsia" w:eastAsiaTheme="minorEastAsia"/>
          <w:color w:val="auto"/>
          <w:sz w:val="24"/>
          <w:highlight w:val="none"/>
        </w:rPr>
        <w:t>。</w:t>
      </w:r>
    </w:p>
    <w:p w14:paraId="26778F85">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12</w:t>
      </w: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3</w:t>
      </w:r>
      <w:r>
        <w:rPr>
          <w:rFonts w:hint="eastAsia" w:asciiTheme="minorEastAsia" w:hAnsiTheme="minorEastAsia" w:eastAsiaTheme="minorEastAsia"/>
          <w:color w:val="auto"/>
          <w:sz w:val="24"/>
          <w:highlight w:val="none"/>
        </w:rPr>
        <w:t>供应商应在</w:t>
      </w:r>
      <w:r>
        <w:rPr>
          <w:rFonts w:hint="eastAsia" w:asciiTheme="minorEastAsia" w:hAnsiTheme="minorEastAsia" w:eastAsiaTheme="minorEastAsia"/>
          <w:color w:val="auto"/>
          <w:sz w:val="24"/>
          <w:highlight w:val="none"/>
          <w:u w:val="single"/>
        </w:rPr>
        <w:t>供应商须知前附表</w:t>
      </w:r>
      <w:r>
        <w:rPr>
          <w:rFonts w:hint="eastAsia" w:asciiTheme="minorEastAsia" w:hAnsiTheme="minorEastAsia" w:eastAsiaTheme="minorEastAsia"/>
          <w:color w:val="auto"/>
          <w:sz w:val="24"/>
          <w:highlight w:val="none"/>
        </w:rPr>
        <w:t>规定的解密时间前对</w:t>
      </w:r>
      <w:r>
        <w:rPr>
          <w:rFonts w:hint="eastAsia" w:asciiTheme="minorEastAsia" w:hAnsiTheme="minorEastAsia" w:eastAsiaTheme="minorEastAsia"/>
          <w:color w:val="auto"/>
          <w:sz w:val="24"/>
          <w:highlight w:val="none"/>
          <w:lang w:val="en-US" w:eastAsia="zh-CN"/>
        </w:rPr>
        <w:t>其</w:t>
      </w:r>
      <w:r>
        <w:rPr>
          <w:rFonts w:hint="eastAsia" w:asciiTheme="minorEastAsia" w:hAnsiTheme="minorEastAsia" w:eastAsiaTheme="minorEastAsia"/>
          <w:color w:val="auto"/>
          <w:sz w:val="24"/>
          <w:highlight w:val="none"/>
        </w:rPr>
        <w:t>响应文件进行解密。</w:t>
      </w:r>
      <w:r>
        <w:rPr>
          <w:rFonts w:hint="eastAsia" w:asciiTheme="minorEastAsia" w:hAnsiTheme="minorEastAsia" w:eastAsiaTheme="minorEastAsia"/>
          <w:color w:val="auto"/>
          <w:sz w:val="24"/>
          <w:highlight w:val="none"/>
          <w:lang w:val="en-US" w:eastAsia="zh-CN"/>
        </w:rPr>
        <w:t>未在规定时间内进行解密的，</w:t>
      </w:r>
      <w:r>
        <w:rPr>
          <w:rFonts w:hint="eastAsia" w:asciiTheme="minorEastAsia" w:hAnsiTheme="minorEastAsia" w:eastAsiaTheme="minorEastAsia"/>
          <w:b/>
          <w:bCs/>
          <w:color w:val="auto"/>
          <w:sz w:val="24"/>
          <w:highlight w:val="none"/>
          <w:lang w:val="en-US" w:eastAsia="zh-CN"/>
        </w:rPr>
        <w:t>响应无效</w:t>
      </w:r>
      <w:r>
        <w:rPr>
          <w:rFonts w:hint="eastAsia" w:asciiTheme="minorEastAsia" w:hAnsiTheme="minorEastAsia" w:eastAsiaTheme="minorEastAsia"/>
          <w:color w:val="auto"/>
          <w:sz w:val="24"/>
          <w:highlight w:val="none"/>
          <w:lang w:val="en-US" w:eastAsia="zh-CN"/>
        </w:rPr>
        <w:t>。</w:t>
      </w:r>
    </w:p>
    <w:p w14:paraId="59A3AAE8">
      <w:pPr>
        <w:spacing w:line="360" w:lineRule="auto"/>
        <w:ind w:firstLine="435"/>
        <w:rPr>
          <w:rFonts w:ascii="宋体" w:hAnsi="宋体" w:eastAsia="宋体"/>
          <w:color w:val="auto"/>
          <w:sz w:val="24"/>
          <w:highlight w:val="none"/>
        </w:rPr>
      </w:pPr>
      <w:r>
        <w:rPr>
          <w:rFonts w:hint="eastAsia" w:asciiTheme="minorEastAsia" w:hAnsiTheme="minorEastAsia" w:eastAsiaTheme="minorEastAsia"/>
          <w:color w:val="auto"/>
          <w:sz w:val="24"/>
          <w:highlight w:val="none"/>
          <w:lang w:val="en-US" w:eastAsia="zh-CN"/>
        </w:rPr>
        <w:t>12</w:t>
      </w:r>
      <w:r>
        <w:rPr>
          <w:rFonts w:hint="eastAsia" w:asciiTheme="minorEastAsia" w:hAnsiTheme="minorEastAsia" w:eastAsiaTheme="minorEastAsia"/>
          <w:color w:val="auto"/>
          <w:sz w:val="24"/>
          <w:highlight w:val="none"/>
        </w:rPr>
        <w:t>.4在响应文件提交截止时间之后，供应商不得对其响应文件做任何修改。</w:t>
      </w:r>
      <w:r>
        <w:rPr>
          <w:rFonts w:hint="eastAsia" w:ascii="宋体" w:hAnsi="宋体" w:eastAsia="宋体"/>
          <w:color w:val="auto"/>
          <w:sz w:val="24"/>
          <w:highlight w:val="none"/>
        </w:rPr>
        <w:t>但属于谈判小组在评审中发现的计算错误并进行核实的修改、按照谈判文件的变动情况和谈判小组的要求重新提交响应文件的，不在此列。</w:t>
      </w:r>
    </w:p>
    <w:p w14:paraId="62FDFB51">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w:t>
      </w:r>
      <w:r>
        <w:rPr>
          <w:rFonts w:hint="eastAsia" w:asciiTheme="minorEastAsia" w:hAnsiTheme="minorEastAsia" w:eastAsiaTheme="minorEastAsia"/>
          <w:b/>
          <w:color w:val="auto"/>
          <w:sz w:val="24"/>
          <w:highlight w:val="none"/>
          <w:lang w:val="en-US" w:eastAsia="zh-CN"/>
        </w:rPr>
        <w:t>3</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谈判小组</w:t>
      </w:r>
    </w:p>
    <w:p w14:paraId="1BBB0FAA">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3</w:t>
      </w:r>
      <w:r>
        <w:rPr>
          <w:rFonts w:asciiTheme="minorEastAsia" w:hAnsiTheme="minorEastAsia" w:eastAsiaTheme="minorEastAsia"/>
          <w:color w:val="auto"/>
          <w:sz w:val="24"/>
          <w:highlight w:val="none"/>
        </w:rPr>
        <w:t>.1本项目将依法组建谈判小组，谈判小组成员由3人以上单数组成，谈判小组及其成员应当依照政府采购的有关规定履行相关职责和义务。</w:t>
      </w:r>
    </w:p>
    <w:p w14:paraId="46832BA5">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3</w:t>
      </w:r>
      <w:r>
        <w:rPr>
          <w:rFonts w:asciiTheme="minorEastAsia" w:hAnsiTheme="minorEastAsia" w:eastAsiaTheme="minorEastAsia"/>
          <w:color w:val="auto"/>
          <w:sz w:val="24"/>
          <w:highlight w:val="none"/>
        </w:rPr>
        <w:t>.2谈判小组依法对响应文件进行评审，并根据谈判文件规定的程序、评定成交的标准等事项与实质性响应谈判文件要求的供应商进行谈判。</w:t>
      </w:r>
    </w:p>
    <w:p w14:paraId="6A633EA6">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3</w:t>
      </w:r>
      <w:r>
        <w:rPr>
          <w:rFonts w:asciiTheme="minorEastAsia" w:hAnsiTheme="minorEastAsia" w:eastAsiaTheme="minorEastAsia"/>
          <w:color w:val="auto"/>
          <w:sz w:val="24"/>
          <w:highlight w:val="none"/>
        </w:rPr>
        <w:t>.3谈判小组应当从质量和服务均能满足谈判文件实质性响应要求的供应商中，按照</w:t>
      </w:r>
      <w:r>
        <w:rPr>
          <w:rFonts w:hint="eastAsia" w:asciiTheme="minorEastAsia" w:hAnsiTheme="minorEastAsia" w:eastAsiaTheme="minorEastAsia"/>
          <w:color w:val="auto"/>
          <w:sz w:val="24"/>
          <w:highlight w:val="none"/>
        </w:rPr>
        <w:t>评审方法和标准推荐</w:t>
      </w:r>
      <w:r>
        <w:rPr>
          <w:rFonts w:asciiTheme="minorEastAsia" w:hAnsiTheme="minorEastAsia" w:eastAsiaTheme="minorEastAsia"/>
          <w:color w:val="auto"/>
          <w:sz w:val="24"/>
          <w:highlight w:val="none"/>
        </w:rPr>
        <w:t>成交候选人，并编写</w:t>
      </w:r>
      <w:r>
        <w:rPr>
          <w:rFonts w:hint="eastAsia" w:asciiTheme="minorEastAsia" w:hAnsiTheme="minorEastAsia" w:eastAsiaTheme="minorEastAsia"/>
          <w:color w:val="auto"/>
          <w:sz w:val="24"/>
          <w:highlight w:val="none"/>
        </w:rPr>
        <w:t>评审</w:t>
      </w:r>
      <w:r>
        <w:rPr>
          <w:rFonts w:asciiTheme="minorEastAsia" w:hAnsiTheme="minorEastAsia" w:eastAsiaTheme="minorEastAsia"/>
          <w:color w:val="auto"/>
          <w:sz w:val="24"/>
          <w:highlight w:val="none"/>
        </w:rPr>
        <w:t>报告。</w:t>
      </w:r>
    </w:p>
    <w:p w14:paraId="45BE5787">
      <w:pPr>
        <w:spacing w:line="360" w:lineRule="auto"/>
        <w:ind w:firstLine="437"/>
        <w:outlineLvl w:val="2"/>
        <w:rPr>
          <w:rFonts w:asciiTheme="minorEastAsia" w:hAnsiTheme="minorEastAsia" w:eastAsiaTheme="minorEastAsia"/>
          <w:b/>
          <w:color w:val="auto"/>
          <w:sz w:val="24"/>
          <w:highlight w:val="none"/>
        </w:rPr>
      </w:pPr>
      <w:r>
        <w:rPr>
          <w:rFonts w:asciiTheme="minorEastAsia" w:hAnsiTheme="minorEastAsia" w:eastAsiaTheme="minorEastAsia"/>
          <w:b/>
          <w:color w:val="auto"/>
          <w:sz w:val="24"/>
          <w:highlight w:val="none"/>
        </w:rPr>
        <w:t>1</w:t>
      </w:r>
      <w:r>
        <w:rPr>
          <w:rFonts w:hint="eastAsia" w:asciiTheme="minorEastAsia" w:hAnsiTheme="minorEastAsia" w:eastAsiaTheme="minorEastAsia"/>
          <w:b/>
          <w:color w:val="auto"/>
          <w:sz w:val="24"/>
          <w:highlight w:val="none"/>
          <w:lang w:val="en-US" w:eastAsia="zh-CN"/>
        </w:rPr>
        <w:t>4</w:t>
      </w:r>
      <w:r>
        <w:rPr>
          <w:rFonts w:asciiTheme="minorEastAsia" w:hAnsiTheme="minorEastAsia" w:eastAsiaTheme="minorEastAsia"/>
          <w:b/>
          <w:color w:val="auto"/>
          <w:sz w:val="24"/>
          <w:highlight w:val="none"/>
        </w:rPr>
        <w:t>.响应文件的评审与谈判</w:t>
      </w:r>
    </w:p>
    <w:p w14:paraId="66423E2C">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4</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1采购人和采购代理机构将在</w:t>
      </w:r>
      <w:r>
        <w:rPr>
          <w:rFonts w:hint="eastAsia" w:asciiTheme="minorEastAsia" w:hAnsiTheme="minorEastAsia" w:eastAsiaTheme="minorEastAsia"/>
          <w:color w:val="auto"/>
          <w:sz w:val="24"/>
          <w:highlight w:val="none"/>
          <w:u w:val="none"/>
          <w:lang w:val="en-US" w:eastAsia="zh-CN"/>
        </w:rPr>
        <w:t>竞争性谈判公告</w:t>
      </w:r>
      <w:r>
        <w:rPr>
          <w:rFonts w:hint="eastAsia" w:asciiTheme="minorEastAsia" w:hAnsiTheme="minorEastAsia" w:eastAsiaTheme="minorEastAsia"/>
          <w:color w:val="auto"/>
          <w:sz w:val="24"/>
          <w:highlight w:val="none"/>
        </w:rPr>
        <w:t>规定的时间和地点组织谈判。</w:t>
      </w:r>
    </w:p>
    <w:p w14:paraId="56FB8C16">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4</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2 竞争性谈判采用最低</w:t>
      </w:r>
      <w:r>
        <w:rPr>
          <w:rFonts w:hint="eastAsia" w:asciiTheme="minorEastAsia" w:hAnsiTheme="minorEastAsia" w:eastAsiaTheme="minorEastAsia"/>
          <w:color w:val="auto"/>
          <w:sz w:val="24"/>
          <w:highlight w:val="none"/>
          <w:lang w:val="en-US" w:eastAsia="zh-CN"/>
        </w:rPr>
        <w:t>价</w:t>
      </w:r>
      <w:r>
        <w:rPr>
          <w:rFonts w:hint="eastAsia" w:asciiTheme="minorEastAsia" w:hAnsiTheme="minorEastAsia" w:eastAsiaTheme="minorEastAsia"/>
          <w:color w:val="auto"/>
          <w:sz w:val="24"/>
          <w:highlight w:val="none"/>
        </w:rPr>
        <w:t>法评审。</w:t>
      </w:r>
    </w:p>
    <w:p w14:paraId="7776C97B">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最低价法，是指响应文件满足谈判文件全部实质性要求且最后报价最低的供应商为成交候选人的</w:t>
      </w:r>
      <w:r>
        <w:rPr>
          <w:rFonts w:hint="eastAsia" w:asciiTheme="minorEastAsia" w:hAnsiTheme="minorEastAsia" w:eastAsiaTheme="minorEastAsia"/>
          <w:color w:val="auto"/>
          <w:sz w:val="24"/>
          <w:highlight w:val="none"/>
          <w:lang w:val="en-US" w:eastAsia="zh-CN"/>
        </w:rPr>
        <w:t>评审</w:t>
      </w:r>
      <w:r>
        <w:rPr>
          <w:rFonts w:hint="eastAsia" w:asciiTheme="minorEastAsia" w:hAnsiTheme="minorEastAsia" w:eastAsiaTheme="minorEastAsia"/>
          <w:color w:val="auto"/>
          <w:sz w:val="24"/>
          <w:highlight w:val="none"/>
        </w:rPr>
        <w:t>方法。</w:t>
      </w:r>
    </w:p>
    <w:p w14:paraId="56C5A42D">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.3谈判小组将按照谈判文件规定的评审方法和标准对供应商独立进行评审。评审程序如下：</w:t>
      </w:r>
    </w:p>
    <w:p w14:paraId="61B8B60D">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.3.1初审。谈判小组对供应商必须满足和实质性响应的内容进行评审，供应商未实质性响应谈判文件要求导致响应无效的，谈判小组将以书面询标的方式告知有关供应商。</w:t>
      </w:r>
    </w:p>
    <w:p w14:paraId="48B08C51">
      <w:pPr>
        <w:spacing w:line="360" w:lineRule="auto"/>
        <w:ind w:firstLine="435"/>
        <w:rPr>
          <w:rFonts w:asciiTheme="minorEastAsia" w:hAnsiTheme="minorEastAsia" w:eastAsiaTheme="minorEastAsia"/>
          <w:color w:val="auto"/>
          <w:sz w:val="24"/>
          <w:highlight w:val="none"/>
        </w:rPr>
      </w:pPr>
      <w:r>
        <w:rPr>
          <w:rFonts w:hint="eastAsia" w:ascii="宋体" w:hAnsi="宋体" w:eastAsia="宋体" w:cs="宋体"/>
          <w:color w:val="auto"/>
          <w:sz w:val="24"/>
          <w:szCs w:val="24"/>
          <w:highlight w:val="none"/>
        </w:rPr>
        <w:t>信用查询记录，采购人或采购代理机构将下载查询结果页面后与其他采购文件一并保存。</w:t>
      </w:r>
      <w:r>
        <w:rPr>
          <w:rFonts w:hint="eastAsia" w:ascii="宋体" w:hAnsi="宋体" w:eastAsia="宋体" w:cs="宋体"/>
          <w:color w:val="auto"/>
          <w:sz w:val="24"/>
          <w:szCs w:val="24"/>
          <w:highlight w:val="none"/>
          <w:lang w:val="en-US" w:eastAsia="zh-CN"/>
        </w:rPr>
        <w:t>供应商</w:t>
      </w:r>
      <w:r>
        <w:rPr>
          <w:rFonts w:hint="eastAsia" w:ascii="宋体" w:hAnsi="宋体" w:eastAsia="宋体" w:cs="宋体"/>
          <w:color w:val="auto"/>
          <w:sz w:val="24"/>
          <w:szCs w:val="24"/>
          <w:highlight w:val="none"/>
        </w:rPr>
        <w:t>不良信用记录以采购人或采购代理机构查询结果为准。在本</w:t>
      </w:r>
      <w:r>
        <w:rPr>
          <w:rFonts w:hint="eastAsia" w:ascii="宋体" w:hAnsi="宋体" w:eastAsia="宋体" w:cs="宋体"/>
          <w:color w:val="auto"/>
          <w:sz w:val="24"/>
          <w:szCs w:val="24"/>
          <w:highlight w:val="none"/>
          <w:lang w:val="en-US" w:eastAsia="zh-CN"/>
        </w:rPr>
        <w:t>采购</w:t>
      </w:r>
      <w:r>
        <w:rPr>
          <w:rFonts w:hint="eastAsia" w:ascii="宋体" w:hAnsi="宋体" w:eastAsia="宋体" w:cs="宋体"/>
          <w:color w:val="auto"/>
          <w:sz w:val="24"/>
          <w:szCs w:val="24"/>
          <w:highlight w:val="none"/>
        </w:rPr>
        <w:t>文件规定的查询时间之外，网站信息发生的任何变更均不作为初审依据。</w:t>
      </w:r>
      <w:r>
        <w:rPr>
          <w:rFonts w:hint="eastAsia" w:ascii="宋体" w:hAnsi="宋体" w:eastAsia="宋体" w:cs="宋体"/>
          <w:color w:val="auto"/>
          <w:sz w:val="24"/>
          <w:szCs w:val="24"/>
          <w:highlight w:val="none"/>
          <w:lang w:val="en-US" w:eastAsia="zh-CN"/>
        </w:rPr>
        <w:t>供应商</w:t>
      </w:r>
      <w:r>
        <w:rPr>
          <w:rFonts w:hint="eastAsia" w:ascii="宋体" w:hAnsi="宋体" w:eastAsia="宋体" w:cs="宋体"/>
          <w:color w:val="auto"/>
          <w:sz w:val="24"/>
          <w:szCs w:val="24"/>
          <w:highlight w:val="none"/>
        </w:rPr>
        <w:t>自行提供的与网站信息不一致的其他证明材料亦不作为</w:t>
      </w:r>
      <w:r>
        <w:rPr>
          <w:rFonts w:hint="eastAsia" w:ascii="宋体" w:hAnsi="宋体" w:eastAsia="宋体" w:cs="宋体"/>
          <w:color w:val="auto"/>
          <w:sz w:val="24"/>
          <w:szCs w:val="24"/>
          <w:highlight w:val="none"/>
          <w:lang w:val="en-US" w:eastAsia="zh-CN"/>
        </w:rPr>
        <w:t>初审</w:t>
      </w:r>
      <w:r>
        <w:rPr>
          <w:rFonts w:hint="eastAsia" w:ascii="宋体" w:hAnsi="宋体" w:eastAsia="宋体" w:cs="宋体"/>
          <w:color w:val="auto"/>
          <w:sz w:val="24"/>
          <w:szCs w:val="24"/>
          <w:highlight w:val="none"/>
        </w:rPr>
        <w:t>依据。</w:t>
      </w:r>
    </w:p>
    <w:p w14:paraId="6E00D3D9">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.3.2谈判。初审合格后，谈判小组将按网上加密电子响应文件提交顺序集中与单一供应商分别进行谈判，并给予所有参加谈判的供应商平等的谈判机会。</w:t>
      </w:r>
    </w:p>
    <w:p w14:paraId="0CC550E0">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.3.3</w:t>
      </w:r>
      <w:r>
        <w:rPr>
          <w:rFonts w:asciiTheme="minorEastAsia" w:hAnsiTheme="minorEastAsia" w:eastAsiaTheme="minorEastAsia"/>
          <w:color w:val="auto"/>
          <w:sz w:val="24"/>
          <w:highlight w:val="none"/>
        </w:rPr>
        <w:t>报价</w:t>
      </w: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谈判结束后，谈判小组应当要求所有</w:t>
      </w:r>
      <w:r>
        <w:rPr>
          <w:rFonts w:hint="eastAsia" w:asciiTheme="minorEastAsia" w:hAnsiTheme="minorEastAsia" w:eastAsiaTheme="minorEastAsia"/>
          <w:color w:val="auto"/>
          <w:sz w:val="24"/>
          <w:highlight w:val="none"/>
        </w:rPr>
        <w:t>继续参加谈判</w:t>
      </w:r>
      <w:r>
        <w:rPr>
          <w:rFonts w:asciiTheme="minorEastAsia" w:hAnsiTheme="minorEastAsia" w:eastAsiaTheme="minorEastAsia"/>
          <w:color w:val="auto"/>
          <w:sz w:val="24"/>
          <w:highlight w:val="none"/>
        </w:rPr>
        <w:t>的供应商在规定时间内提交最后报价</w:t>
      </w:r>
      <w:r>
        <w:rPr>
          <w:rFonts w:hint="eastAsia" w:ascii="宋体" w:hAnsi="宋体" w:eastAsia="宋体"/>
          <w:color w:val="auto"/>
          <w:sz w:val="24"/>
          <w:highlight w:val="none"/>
        </w:rPr>
        <w:t>。</w:t>
      </w:r>
    </w:p>
    <w:p w14:paraId="30D6B070">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.4相关说明。</w:t>
      </w:r>
    </w:p>
    <w:p w14:paraId="68E4EE09">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.4.1为保证谈判活动顺利进行，供应商可派相关技术人员进行网上答疑；</w:t>
      </w:r>
    </w:p>
    <w:p w14:paraId="37AB19C3">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.4.2谈判</w:t>
      </w:r>
      <w:r>
        <w:rPr>
          <w:rFonts w:asciiTheme="minorEastAsia" w:hAnsiTheme="minorEastAsia" w:eastAsiaTheme="minorEastAsia"/>
          <w:color w:val="auto"/>
          <w:sz w:val="24"/>
          <w:highlight w:val="none"/>
        </w:rPr>
        <w:t>小组根据与</w:t>
      </w:r>
      <w:r>
        <w:rPr>
          <w:rFonts w:hint="eastAsia" w:asciiTheme="minorEastAsia" w:hAnsiTheme="minorEastAsia" w:eastAsiaTheme="minorEastAsia"/>
          <w:color w:val="auto"/>
          <w:sz w:val="24"/>
          <w:highlight w:val="none"/>
        </w:rPr>
        <w:t>供应商</w:t>
      </w:r>
      <w:r>
        <w:rPr>
          <w:rFonts w:asciiTheme="minorEastAsia" w:hAnsiTheme="minorEastAsia" w:eastAsiaTheme="minorEastAsia"/>
          <w:color w:val="auto"/>
          <w:sz w:val="24"/>
          <w:highlight w:val="none"/>
        </w:rPr>
        <w:t>谈判情况可能实质性变动</w:t>
      </w:r>
      <w:r>
        <w:rPr>
          <w:rFonts w:hint="eastAsia" w:asciiTheme="minorEastAsia" w:hAnsiTheme="minorEastAsia" w:eastAsiaTheme="minorEastAsia"/>
          <w:color w:val="auto"/>
          <w:sz w:val="24"/>
          <w:highlight w:val="none"/>
        </w:rPr>
        <w:t>谈判文件</w:t>
      </w:r>
      <w:r>
        <w:rPr>
          <w:rFonts w:asciiTheme="minorEastAsia" w:hAnsiTheme="minorEastAsia" w:eastAsiaTheme="minorEastAsia"/>
          <w:color w:val="auto"/>
          <w:sz w:val="24"/>
          <w:highlight w:val="none"/>
        </w:rPr>
        <w:t>的内容，包括采购需求中的技术、服务要求以及合同草案条款。谈判文件有实质性变动的，</w:t>
      </w:r>
      <w:r>
        <w:rPr>
          <w:rFonts w:hint="eastAsia" w:asciiTheme="minorEastAsia" w:hAnsiTheme="minorEastAsia" w:eastAsiaTheme="minorEastAsia"/>
          <w:color w:val="auto"/>
          <w:sz w:val="24"/>
          <w:highlight w:val="none"/>
        </w:rPr>
        <w:t>经采购人代表确认作为谈判文件的有效组成部分，</w:t>
      </w:r>
      <w:r>
        <w:rPr>
          <w:rFonts w:asciiTheme="minorEastAsia" w:hAnsiTheme="minorEastAsia" w:eastAsiaTheme="minorEastAsia"/>
          <w:color w:val="auto"/>
          <w:sz w:val="24"/>
          <w:highlight w:val="none"/>
        </w:rPr>
        <w:t>谈判小组</w:t>
      </w:r>
      <w:r>
        <w:rPr>
          <w:rFonts w:hint="eastAsia" w:asciiTheme="minorEastAsia" w:hAnsiTheme="minorEastAsia" w:eastAsiaTheme="minorEastAsia"/>
          <w:color w:val="auto"/>
          <w:sz w:val="24"/>
          <w:highlight w:val="none"/>
        </w:rPr>
        <w:t>将</w:t>
      </w:r>
      <w:r>
        <w:rPr>
          <w:rFonts w:asciiTheme="minorEastAsia" w:hAnsiTheme="minorEastAsia" w:eastAsiaTheme="minorEastAsia"/>
          <w:color w:val="auto"/>
          <w:sz w:val="24"/>
          <w:highlight w:val="none"/>
        </w:rPr>
        <w:t>以书面形式通知所有参加谈判的供应商。</w:t>
      </w:r>
    </w:p>
    <w:p w14:paraId="51B4B861">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4.3谈判小组发现供应商的报价或者某些分项报价明显低于其他通过初审的供应商的报价，有可能影响产品质量和不能诚信履约的，应当要求其在合理的时间内提供书面说明，必要时提交相关证明材料；供应商不能证明其报价合理性的，其响应文件将被认定为</w:t>
      </w:r>
      <w:r>
        <w:rPr>
          <w:rFonts w:hint="eastAsia" w:asciiTheme="minorEastAsia" w:hAnsiTheme="minorEastAsia" w:eastAsiaTheme="minorEastAsia"/>
          <w:b/>
          <w:color w:val="auto"/>
          <w:sz w:val="24"/>
          <w:highlight w:val="none"/>
        </w:rPr>
        <w:t>响应无效</w:t>
      </w:r>
      <w:r>
        <w:rPr>
          <w:rFonts w:hint="eastAsia" w:asciiTheme="minorEastAsia" w:hAnsiTheme="minorEastAsia" w:eastAsiaTheme="minorEastAsia"/>
          <w:color w:val="auto"/>
          <w:sz w:val="24"/>
          <w:highlight w:val="none"/>
        </w:rPr>
        <w:t>。</w:t>
      </w:r>
    </w:p>
    <w:p w14:paraId="2F5DD38A">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.4.4</w:t>
      </w:r>
      <w:r>
        <w:rPr>
          <w:rFonts w:asciiTheme="minorEastAsia" w:hAnsiTheme="minorEastAsia" w:eastAsiaTheme="minorEastAsia"/>
          <w:color w:val="auto"/>
          <w:sz w:val="24"/>
          <w:highlight w:val="none"/>
        </w:rPr>
        <w:t>无论何种原因，即使供应商</w:t>
      </w:r>
      <w:r>
        <w:rPr>
          <w:rFonts w:hint="eastAsia" w:asciiTheme="minorEastAsia" w:hAnsiTheme="minorEastAsia" w:eastAsiaTheme="minorEastAsia"/>
          <w:color w:val="auto"/>
          <w:sz w:val="24"/>
          <w:highlight w:val="none"/>
        </w:rPr>
        <w:t>谈判</w:t>
      </w:r>
      <w:r>
        <w:rPr>
          <w:rFonts w:asciiTheme="minorEastAsia" w:hAnsiTheme="minorEastAsia" w:eastAsiaTheme="minorEastAsia"/>
          <w:color w:val="auto"/>
          <w:sz w:val="24"/>
          <w:highlight w:val="none"/>
        </w:rPr>
        <w:t>时携带了证书材料的原件，但响应文件中未提供与之内容完全一致的</w:t>
      </w:r>
      <w:r>
        <w:rPr>
          <w:rFonts w:hint="eastAsia" w:asciiTheme="minorEastAsia" w:hAnsiTheme="minorEastAsia" w:eastAsiaTheme="minorEastAsia"/>
          <w:color w:val="auto"/>
          <w:sz w:val="24"/>
          <w:highlight w:val="none"/>
        </w:rPr>
        <w:t>扫描件</w:t>
      </w:r>
      <w:r>
        <w:rPr>
          <w:rFonts w:asciiTheme="minorEastAsia" w:hAnsiTheme="minorEastAsia" w:eastAsiaTheme="minorEastAsia"/>
          <w:color w:val="auto"/>
          <w:sz w:val="24"/>
          <w:highlight w:val="none"/>
        </w:rPr>
        <w:t>的，</w:t>
      </w:r>
      <w:r>
        <w:rPr>
          <w:rFonts w:hint="eastAsia" w:asciiTheme="minorEastAsia" w:hAnsiTheme="minorEastAsia" w:eastAsiaTheme="minorEastAsia"/>
          <w:color w:val="auto"/>
          <w:sz w:val="24"/>
          <w:highlight w:val="none"/>
        </w:rPr>
        <w:t>谈判</w:t>
      </w:r>
      <w:r>
        <w:rPr>
          <w:rFonts w:asciiTheme="minorEastAsia" w:hAnsiTheme="minorEastAsia" w:eastAsiaTheme="minorEastAsia"/>
          <w:color w:val="auto"/>
          <w:sz w:val="24"/>
          <w:highlight w:val="none"/>
        </w:rPr>
        <w:t>小组可以视同其未提供。</w:t>
      </w:r>
    </w:p>
    <w:p w14:paraId="7D371491">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.4.5谈判</w:t>
      </w:r>
      <w:r>
        <w:rPr>
          <w:rFonts w:asciiTheme="minorEastAsia" w:hAnsiTheme="minorEastAsia" w:eastAsiaTheme="minorEastAsia"/>
          <w:color w:val="auto"/>
          <w:sz w:val="24"/>
          <w:highlight w:val="none"/>
        </w:rPr>
        <w:t>小组决定响应文件的响应性及符合性只根据响应文件本身的内容，而不寻求其他外部证据。</w:t>
      </w:r>
    </w:p>
    <w:p w14:paraId="64950476">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4</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5</w:t>
      </w:r>
      <w:r>
        <w:rPr>
          <w:rFonts w:asciiTheme="minorEastAsia" w:hAnsiTheme="minorEastAsia" w:eastAsiaTheme="minorEastAsia"/>
          <w:color w:val="auto"/>
          <w:sz w:val="24"/>
          <w:highlight w:val="none"/>
        </w:rPr>
        <w:t>供应商</w:t>
      </w:r>
      <w:r>
        <w:rPr>
          <w:rFonts w:hint="eastAsia" w:asciiTheme="minorEastAsia" w:hAnsiTheme="minorEastAsia" w:eastAsiaTheme="minorEastAsia"/>
          <w:color w:val="auto"/>
          <w:sz w:val="24"/>
          <w:highlight w:val="none"/>
        </w:rPr>
        <w:t>授权</w:t>
      </w:r>
      <w:r>
        <w:rPr>
          <w:rFonts w:asciiTheme="minorEastAsia" w:hAnsiTheme="minorEastAsia" w:eastAsiaTheme="minorEastAsia"/>
          <w:color w:val="auto"/>
          <w:sz w:val="24"/>
          <w:highlight w:val="none"/>
        </w:rPr>
        <w:t>代表对</w:t>
      </w:r>
      <w:r>
        <w:rPr>
          <w:rFonts w:hint="eastAsia" w:asciiTheme="minorEastAsia" w:hAnsiTheme="minorEastAsia" w:eastAsiaTheme="minorEastAsia"/>
          <w:color w:val="auto"/>
          <w:sz w:val="24"/>
          <w:highlight w:val="none"/>
        </w:rPr>
        <w:t>谈判过程</w:t>
      </w:r>
      <w:r>
        <w:rPr>
          <w:rFonts w:asciiTheme="minorEastAsia" w:hAnsiTheme="minorEastAsia" w:eastAsiaTheme="minorEastAsia"/>
          <w:color w:val="auto"/>
          <w:sz w:val="24"/>
          <w:highlight w:val="none"/>
        </w:rPr>
        <w:t>有疑义，以及认为采购人、采购代理机构相关工作人员有需要回避的情形的，应当场提出询问或者回避申请</w:t>
      </w:r>
      <w:r>
        <w:rPr>
          <w:rFonts w:hint="eastAsia" w:asciiTheme="minorEastAsia" w:hAnsiTheme="minorEastAsia" w:eastAsiaTheme="minorEastAsia"/>
          <w:color w:val="auto"/>
          <w:sz w:val="24"/>
          <w:highlight w:val="none"/>
        </w:rPr>
        <w:t>，并说明理由。</w:t>
      </w:r>
      <w:r>
        <w:rPr>
          <w:rFonts w:asciiTheme="minorEastAsia" w:hAnsiTheme="minorEastAsia" w:eastAsiaTheme="minorEastAsia"/>
          <w:color w:val="auto"/>
          <w:sz w:val="24"/>
          <w:highlight w:val="none"/>
        </w:rPr>
        <w:t xml:space="preserve"> </w:t>
      </w:r>
    </w:p>
    <w:p w14:paraId="2C6704D4">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15</w:t>
      </w:r>
      <w:r>
        <w:rPr>
          <w:rFonts w:asciiTheme="minorEastAsia" w:hAnsiTheme="minorEastAsia" w:eastAsiaTheme="minorEastAsia"/>
          <w:b/>
          <w:color w:val="auto"/>
          <w:sz w:val="24"/>
          <w:highlight w:val="none"/>
        </w:rPr>
        <w:t>.终止竞争性谈判</w:t>
      </w:r>
    </w:p>
    <w:p w14:paraId="40FB8EFD">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15</w:t>
      </w:r>
      <w:r>
        <w:rPr>
          <w:rFonts w:hint="eastAsia" w:asciiTheme="minorEastAsia" w:hAnsiTheme="minorEastAsia" w:eastAsiaTheme="minorEastAsia"/>
          <w:color w:val="auto"/>
          <w:sz w:val="24"/>
          <w:highlight w:val="none"/>
        </w:rPr>
        <w:t>.1出现下列情况之一时，采购人和采购代理机构有权宣布终止竞争性谈判采购，并将理由通知所有供应商：</w:t>
      </w:r>
    </w:p>
    <w:p w14:paraId="11444048">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（1）有效供应商数量不足，导致本次谈判缺乏竞争的；</w:t>
      </w:r>
    </w:p>
    <w:p w14:paraId="2000F954">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（2）出现影响采购公正的违法、违规行为的；</w:t>
      </w:r>
    </w:p>
    <w:p w14:paraId="28788A11">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（3）因重大变故，采购任务取消的；</w:t>
      </w:r>
    </w:p>
    <w:p w14:paraId="7AAE3A01">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（4）政府采购法律法规规定的其他情形。</w:t>
      </w:r>
    </w:p>
    <w:p w14:paraId="3BBE4E93">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16</w:t>
      </w:r>
      <w:r>
        <w:rPr>
          <w:rFonts w:asciiTheme="minorEastAsia" w:hAnsiTheme="minorEastAsia" w:eastAsiaTheme="minorEastAsia"/>
          <w:b/>
          <w:color w:val="auto"/>
          <w:sz w:val="24"/>
          <w:highlight w:val="none"/>
        </w:rPr>
        <w:t>.响应文件的澄清、说明或</w:t>
      </w:r>
      <w:r>
        <w:rPr>
          <w:rFonts w:hint="eastAsia" w:asciiTheme="minorEastAsia" w:hAnsiTheme="minorEastAsia" w:eastAsiaTheme="minorEastAsia"/>
          <w:b/>
          <w:color w:val="auto"/>
          <w:sz w:val="24"/>
          <w:highlight w:val="none"/>
        </w:rPr>
        <w:t>更正</w:t>
      </w:r>
    </w:p>
    <w:p w14:paraId="6E8522F6">
      <w:pPr>
        <w:spacing w:line="360" w:lineRule="auto"/>
        <w:ind w:firstLine="470" w:firstLineChars="196"/>
        <w:rPr>
          <w:rFonts w:ascii="宋体" w:hAnsi="宋体" w:eastAsia="宋体"/>
          <w:color w:val="auto"/>
          <w:sz w:val="24"/>
          <w:highlight w:val="none"/>
        </w:rPr>
      </w:pPr>
      <w:r>
        <w:rPr>
          <w:rFonts w:hint="eastAsia" w:ascii="宋体" w:hAnsi="宋体" w:eastAsia="宋体"/>
          <w:color w:val="auto"/>
          <w:sz w:val="24"/>
          <w:highlight w:val="none"/>
          <w:lang w:val="en-US" w:eastAsia="zh-CN"/>
        </w:rPr>
        <w:t>16</w:t>
      </w:r>
      <w:r>
        <w:rPr>
          <w:rFonts w:hint="eastAsia" w:ascii="宋体" w:hAnsi="宋体" w:eastAsia="宋体"/>
          <w:color w:val="auto"/>
          <w:sz w:val="24"/>
          <w:highlight w:val="none"/>
        </w:rPr>
        <w:t>.1谈判小组将对响应文件的有效性、完整性和响应程度进行审查，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对不同文字文本响应文件的解释发生异议的，以中文文本为准。</w:t>
      </w:r>
    </w:p>
    <w:p w14:paraId="006ECB6C">
      <w:pPr>
        <w:spacing w:line="360" w:lineRule="auto"/>
        <w:ind w:firstLine="470" w:firstLineChars="196"/>
        <w:rPr>
          <w:rFonts w:ascii="宋体" w:hAnsi="宋体" w:eastAsia="宋体"/>
          <w:color w:val="auto"/>
          <w:sz w:val="24"/>
          <w:highlight w:val="none"/>
        </w:rPr>
      </w:pPr>
      <w:r>
        <w:rPr>
          <w:rFonts w:hint="eastAsia" w:ascii="宋体" w:hAnsi="宋体" w:eastAsia="宋体"/>
          <w:color w:val="auto"/>
          <w:sz w:val="24"/>
          <w:highlight w:val="none"/>
          <w:lang w:val="en-US" w:eastAsia="zh-CN"/>
        </w:rPr>
        <w:t>16</w:t>
      </w:r>
      <w:r>
        <w:rPr>
          <w:rFonts w:hint="eastAsia" w:ascii="宋体" w:hAnsi="宋体" w:eastAsia="宋体"/>
          <w:color w:val="auto"/>
          <w:sz w:val="24"/>
          <w:highlight w:val="none"/>
        </w:rPr>
        <w:t>.2谈判小组要求供应商澄清、说明或者更正响应文件应当以书面形式（询标）作出。供应商的澄清、说明或者更正应当由法定代表人或其授权代表签字或者加盖公章</w:t>
      </w:r>
      <w:r>
        <w:rPr>
          <w:rFonts w:hint="eastAsia" w:ascii="宋体" w:hAnsi="宋体" w:eastAsia="宋体"/>
          <w:color w:val="auto"/>
          <w:sz w:val="24"/>
          <w:highlight w:val="none"/>
          <w:lang w:eastAsia="zh-CN"/>
        </w:rPr>
        <w:t>（</w:t>
      </w:r>
      <w:r>
        <w:rPr>
          <w:rFonts w:hint="eastAsia" w:ascii="宋体" w:hAnsi="宋体" w:eastAsia="宋体"/>
          <w:color w:val="auto"/>
          <w:sz w:val="24"/>
          <w:highlight w:val="none"/>
          <w:lang w:val="en-US" w:eastAsia="zh-CN"/>
        </w:rPr>
        <w:t>电子签章</w:t>
      </w:r>
      <w:r>
        <w:rPr>
          <w:rFonts w:hint="eastAsia" w:ascii="宋体" w:hAnsi="宋体" w:eastAsia="宋体"/>
          <w:color w:val="auto"/>
          <w:sz w:val="24"/>
          <w:highlight w:val="none"/>
          <w:lang w:eastAsia="zh-CN"/>
        </w:rPr>
        <w:t>）</w:t>
      </w:r>
      <w:r>
        <w:rPr>
          <w:rFonts w:hint="eastAsia" w:ascii="宋体" w:hAnsi="宋体" w:eastAsia="宋体"/>
          <w:color w:val="auto"/>
          <w:sz w:val="24"/>
          <w:highlight w:val="none"/>
        </w:rPr>
        <w:t>。</w:t>
      </w:r>
    </w:p>
    <w:p w14:paraId="09437EE2">
      <w:pPr>
        <w:spacing w:line="360" w:lineRule="auto"/>
        <w:ind w:firstLine="435"/>
        <w:rPr>
          <w:rFonts w:ascii="宋体" w:hAnsi="宋体" w:eastAsia="宋体"/>
          <w:color w:val="auto"/>
          <w:sz w:val="24"/>
          <w:highlight w:val="none"/>
        </w:rPr>
      </w:pPr>
      <w:r>
        <w:rPr>
          <w:rFonts w:hint="eastAsia" w:ascii="宋体" w:hAnsi="宋体" w:eastAsia="宋体"/>
          <w:b/>
          <w:color w:val="auto"/>
          <w:sz w:val="24"/>
          <w:highlight w:val="none"/>
        </w:rPr>
        <w:t>如有询标，授权代表（或法定代表人）可通过远程登录的方式接受网上询标，也可凭本人有效身份证明参加询标。因授权代表联系不上</w:t>
      </w:r>
      <w:r>
        <w:rPr>
          <w:rFonts w:hint="eastAsia" w:ascii="宋体" w:hAnsi="宋体" w:eastAsia="宋体"/>
          <w:b/>
          <w:bCs/>
          <w:color w:val="auto"/>
          <w:sz w:val="24"/>
          <w:highlight w:val="none"/>
        </w:rPr>
        <w:t>、没有及时登录系统等情形</w:t>
      </w:r>
      <w:r>
        <w:rPr>
          <w:rFonts w:hint="eastAsia" w:ascii="宋体" w:hAnsi="宋体" w:eastAsia="宋体"/>
          <w:b/>
          <w:color w:val="auto"/>
          <w:sz w:val="24"/>
          <w:highlight w:val="none"/>
        </w:rPr>
        <w:t>而无法接受谈判小组询标的，供应商自行承担相关风险。</w:t>
      </w:r>
    </w:p>
    <w:p w14:paraId="02BB087B">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17</w:t>
      </w:r>
      <w:r>
        <w:rPr>
          <w:rFonts w:asciiTheme="minorEastAsia" w:hAnsiTheme="minorEastAsia" w:eastAsiaTheme="minorEastAsia"/>
          <w:b/>
          <w:color w:val="auto"/>
          <w:sz w:val="24"/>
          <w:highlight w:val="none"/>
        </w:rPr>
        <w:t>.最后报价</w:t>
      </w:r>
    </w:p>
    <w:p w14:paraId="46937590">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17</w:t>
      </w:r>
      <w:r>
        <w:rPr>
          <w:rFonts w:hint="eastAsia" w:asciiTheme="minorEastAsia" w:hAnsiTheme="minorEastAsia" w:eastAsiaTheme="minorEastAsia"/>
          <w:color w:val="auto"/>
          <w:sz w:val="24"/>
          <w:highlight w:val="none"/>
        </w:rPr>
        <w:t>.1</w:t>
      </w:r>
      <w:r>
        <w:rPr>
          <w:rFonts w:asciiTheme="minorEastAsia" w:hAnsiTheme="minorEastAsia" w:eastAsiaTheme="minorEastAsia"/>
          <w:color w:val="auto"/>
          <w:sz w:val="24"/>
          <w:highlight w:val="none"/>
        </w:rPr>
        <w:t>谈判并不限定只进行二轮报价，如果谈判小组认为有必要，可以要求供应商进行多轮报价。</w:t>
      </w:r>
      <w:r>
        <w:rPr>
          <w:rFonts w:hint="eastAsia" w:asciiTheme="minorEastAsia" w:hAnsiTheme="minorEastAsia" w:eastAsiaTheme="minorEastAsia"/>
          <w:b/>
          <w:bCs/>
          <w:color w:val="auto"/>
          <w:sz w:val="24"/>
          <w:highlight w:val="none"/>
        </w:rPr>
        <w:t>（本项目约定为二轮报价</w:t>
      </w:r>
      <w:r>
        <w:rPr>
          <w:rFonts w:hint="eastAsia" w:asciiTheme="minorEastAsia" w:hAnsiTheme="minorEastAsia" w:eastAsiaTheme="minorEastAsia"/>
          <w:b/>
          <w:bCs/>
          <w:color w:val="auto"/>
          <w:sz w:val="24"/>
          <w:highlight w:val="none"/>
          <w:lang w:eastAsia="zh-CN"/>
        </w:rPr>
        <w:t>，</w:t>
      </w:r>
      <w:r>
        <w:rPr>
          <w:rFonts w:hint="eastAsia" w:asciiTheme="minorEastAsia" w:hAnsiTheme="minorEastAsia" w:eastAsiaTheme="minorEastAsia"/>
          <w:b/>
          <w:bCs/>
          <w:color w:val="auto"/>
          <w:sz w:val="24"/>
          <w:highlight w:val="none"/>
          <w:lang w:val="en-US" w:eastAsia="zh-CN"/>
        </w:rPr>
        <w:t>第二次报价即为最后报价</w:t>
      </w:r>
      <w:r>
        <w:rPr>
          <w:rFonts w:hint="eastAsia" w:asciiTheme="minorEastAsia" w:hAnsiTheme="minorEastAsia" w:eastAsiaTheme="minorEastAsia"/>
          <w:b/>
          <w:bCs/>
          <w:color w:val="auto"/>
          <w:sz w:val="24"/>
          <w:highlight w:val="none"/>
        </w:rPr>
        <w:t>）</w:t>
      </w:r>
    </w:p>
    <w:p w14:paraId="217C22B2">
      <w:pPr>
        <w:spacing w:line="360" w:lineRule="auto"/>
        <w:ind w:firstLine="435"/>
        <w:rPr>
          <w:rFonts w:hint="eastAsia" w:asciiTheme="minorEastAsia" w:hAnsiTheme="minorEastAsia" w:eastAsiaTheme="minorEastAsia"/>
          <w:b/>
          <w:bCs/>
          <w:color w:val="auto"/>
          <w:sz w:val="24"/>
          <w:highlight w:val="none"/>
          <w:lang w:val="en-US" w:eastAsia="zh-CN"/>
        </w:rPr>
      </w:pPr>
      <w:r>
        <w:rPr>
          <w:rFonts w:hint="eastAsia" w:asciiTheme="minorEastAsia" w:hAnsiTheme="minorEastAsia" w:eastAsiaTheme="minorEastAsia"/>
          <w:b/>
          <w:bCs/>
          <w:color w:val="auto"/>
          <w:sz w:val="24"/>
          <w:highlight w:val="none"/>
          <w:lang w:val="en-US" w:eastAsia="zh-CN"/>
        </w:rPr>
        <w:t>第一轮报价为供应商在响应文件中填报的报价，第二轮报价在响应文件通过评审后，由谈判小组通过评标系统以询标方式，向响应文件评审有效的各供应商进行询标，各供应商应在评标系统询标规定的时间内，通过“评标澄清回复”进行第二轮报价。各供应商应及时查看系统质询问题并及时进行第二轮报价，第二轮报价即为最后报价，若供应商未在系统询标规定的时间内进行第二轮报价（最后报价）或第二轮报价被谈判小组认为不符合要求的，谈判小组默认其响应文件中填报的价格为供应商的最后报价，谈判价格以供应商的最后报价为准。望各供应商务必全程在线，及时进行回复，否则，因此给其造成相关后果，自行承担。</w:t>
      </w:r>
    </w:p>
    <w:p w14:paraId="146D69E0">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17</w:t>
      </w:r>
      <w:r>
        <w:rPr>
          <w:rFonts w:hint="eastAsia" w:asciiTheme="minorEastAsia" w:hAnsiTheme="minorEastAsia" w:eastAsiaTheme="minorEastAsia"/>
          <w:color w:val="auto"/>
          <w:sz w:val="24"/>
          <w:highlight w:val="none"/>
        </w:rPr>
        <w:t>.2</w:t>
      </w:r>
      <w:r>
        <w:rPr>
          <w:rFonts w:asciiTheme="minorEastAsia" w:hAnsiTheme="minorEastAsia" w:eastAsiaTheme="minorEastAsia"/>
          <w:color w:val="auto"/>
          <w:sz w:val="24"/>
          <w:highlight w:val="none"/>
        </w:rPr>
        <w:t>在谈判内容不做实质性变更或重大调整的前提下，供应商下轮报价不得高于上一轮报价</w:t>
      </w:r>
      <w:r>
        <w:rPr>
          <w:rFonts w:hint="eastAsia" w:asciiTheme="minorEastAsia" w:hAnsiTheme="minorEastAsia" w:eastAsiaTheme="minorEastAsia"/>
          <w:color w:val="auto"/>
          <w:sz w:val="24"/>
          <w:highlight w:val="none"/>
        </w:rPr>
        <w:t>。</w:t>
      </w:r>
    </w:p>
    <w:p w14:paraId="107F8FDA">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17</w:t>
      </w:r>
      <w:r>
        <w:rPr>
          <w:rFonts w:hint="eastAsia" w:asciiTheme="minorEastAsia" w:hAnsiTheme="minorEastAsia" w:eastAsiaTheme="minorEastAsia"/>
          <w:color w:val="auto"/>
          <w:sz w:val="24"/>
          <w:highlight w:val="none"/>
        </w:rPr>
        <w:t>.3</w:t>
      </w:r>
      <w:r>
        <w:rPr>
          <w:rFonts w:asciiTheme="minorEastAsia" w:hAnsiTheme="minorEastAsia" w:eastAsiaTheme="minorEastAsia"/>
          <w:color w:val="auto"/>
          <w:sz w:val="24"/>
          <w:highlight w:val="none"/>
        </w:rPr>
        <w:t>最后报价是供应商响应文件的有效组成部分，最后报价也是签订合同的依据。</w:t>
      </w:r>
    </w:p>
    <w:p w14:paraId="0D269448">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18</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成交候选人的推荐原则及标准</w:t>
      </w:r>
    </w:p>
    <w:p w14:paraId="6C3F67C1">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18</w:t>
      </w:r>
      <w:r>
        <w:rPr>
          <w:rFonts w:hint="eastAsia" w:asciiTheme="minorEastAsia" w:hAnsiTheme="minorEastAsia" w:eastAsiaTheme="minorEastAsia"/>
          <w:color w:val="auto"/>
          <w:sz w:val="24"/>
          <w:highlight w:val="none"/>
        </w:rPr>
        <w:t>.1谈判小组</w:t>
      </w:r>
      <w:r>
        <w:rPr>
          <w:rFonts w:asciiTheme="minorEastAsia" w:hAnsiTheme="minorEastAsia" w:eastAsiaTheme="minorEastAsia"/>
          <w:color w:val="auto"/>
          <w:sz w:val="24"/>
          <w:highlight w:val="none"/>
        </w:rPr>
        <w:t>依据本项目</w:t>
      </w:r>
      <w:r>
        <w:rPr>
          <w:rFonts w:hint="eastAsia" w:asciiTheme="minorEastAsia" w:hAnsiTheme="minorEastAsia" w:eastAsiaTheme="minorEastAsia"/>
          <w:color w:val="auto"/>
          <w:sz w:val="24"/>
          <w:highlight w:val="none"/>
        </w:rPr>
        <w:t>谈判</w:t>
      </w:r>
      <w:r>
        <w:rPr>
          <w:rFonts w:asciiTheme="minorEastAsia" w:hAnsiTheme="minorEastAsia" w:eastAsiaTheme="minorEastAsia"/>
          <w:color w:val="auto"/>
          <w:sz w:val="24"/>
          <w:highlight w:val="none"/>
        </w:rPr>
        <w:t>文件所约定的</w:t>
      </w:r>
      <w:r>
        <w:rPr>
          <w:rFonts w:hint="eastAsia" w:asciiTheme="minorEastAsia" w:hAnsiTheme="minorEastAsia" w:eastAsiaTheme="minorEastAsia"/>
          <w:color w:val="auto"/>
          <w:sz w:val="24"/>
          <w:highlight w:val="none"/>
        </w:rPr>
        <w:t>评审</w:t>
      </w:r>
      <w:r>
        <w:rPr>
          <w:rFonts w:asciiTheme="minorEastAsia" w:hAnsiTheme="minorEastAsia" w:eastAsiaTheme="minorEastAsia"/>
          <w:color w:val="auto"/>
          <w:sz w:val="24"/>
          <w:highlight w:val="none"/>
        </w:rPr>
        <w:t>方法</w:t>
      </w:r>
      <w:r>
        <w:rPr>
          <w:rFonts w:hint="eastAsia" w:asciiTheme="minorEastAsia" w:hAnsiTheme="minorEastAsia" w:eastAsiaTheme="minorEastAsia"/>
          <w:color w:val="auto"/>
          <w:sz w:val="24"/>
          <w:highlight w:val="none"/>
        </w:rPr>
        <w:t>和标准</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按照最后报价由低到高的顺序依次推荐成交候选人。最后报价相同的，</w:t>
      </w:r>
      <w:r>
        <w:rPr>
          <w:rFonts w:asciiTheme="minorEastAsia" w:hAnsiTheme="minorEastAsia" w:eastAsiaTheme="minorEastAsia"/>
          <w:color w:val="auto"/>
          <w:sz w:val="24"/>
          <w:highlight w:val="none"/>
        </w:rPr>
        <w:t>则</w:t>
      </w:r>
      <w:r>
        <w:rPr>
          <w:rFonts w:hint="eastAsia" w:asciiTheme="minorEastAsia" w:hAnsiTheme="minorEastAsia" w:eastAsiaTheme="minorEastAsia"/>
          <w:color w:val="auto"/>
          <w:sz w:val="24"/>
          <w:highlight w:val="none"/>
        </w:rPr>
        <w:t>由谈判小组采取随机抽取方式确定。</w:t>
      </w:r>
    </w:p>
    <w:p w14:paraId="10AB78BE">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19</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确定成交候选人和成交供应商</w:t>
      </w:r>
    </w:p>
    <w:p w14:paraId="678AFFCB">
      <w:pPr>
        <w:spacing w:line="360" w:lineRule="auto"/>
        <w:ind w:firstLine="435"/>
        <w:rPr>
          <w:rFonts w:ascii="宋体" w:hAnsi="宋体" w:eastAsia="宋体"/>
          <w:color w:val="auto"/>
          <w:sz w:val="24"/>
          <w:highlight w:val="none"/>
        </w:rPr>
      </w:pPr>
      <w:r>
        <w:rPr>
          <w:rFonts w:hint="eastAsia" w:asciiTheme="minorEastAsia" w:hAnsiTheme="minorEastAsia" w:eastAsiaTheme="minorEastAsia"/>
          <w:color w:val="auto"/>
          <w:sz w:val="24"/>
          <w:highlight w:val="none"/>
          <w:lang w:val="en-US" w:eastAsia="zh-CN"/>
        </w:rPr>
        <w:t>19</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1</w:t>
      </w:r>
      <w:r>
        <w:rPr>
          <w:rFonts w:hint="eastAsia" w:ascii="宋体" w:hAnsi="宋体" w:eastAsia="宋体"/>
          <w:color w:val="auto"/>
          <w:sz w:val="24"/>
          <w:highlight w:val="none"/>
        </w:rPr>
        <w:t>谈判小组按照最后报价由低到高的顺序和</w:t>
      </w:r>
      <w:r>
        <w:rPr>
          <w:rFonts w:hint="eastAsia" w:asciiTheme="minorEastAsia" w:hAnsiTheme="minorEastAsia" w:eastAsiaTheme="minorEastAsia"/>
          <w:color w:val="auto"/>
          <w:sz w:val="24"/>
          <w:highlight w:val="none"/>
          <w:u w:val="single"/>
        </w:rPr>
        <w:t>供应商</w:t>
      </w:r>
      <w:r>
        <w:rPr>
          <w:rFonts w:asciiTheme="minorEastAsia" w:hAnsiTheme="minorEastAsia" w:eastAsiaTheme="minorEastAsia"/>
          <w:color w:val="auto"/>
          <w:sz w:val="24"/>
          <w:highlight w:val="none"/>
          <w:u w:val="single"/>
        </w:rPr>
        <w:t>须知前附表</w:t>
      </w:r>
      <w:r>
        <w:rPr>
          <w:rFonts w:asciiTheme="minorEastAsia" w:hAnsiTheme="minorEastAsia" w:eastAsiaTheme="minorEastAsia"/>
          <w:color w:val="auto"/>
          <w:sz w:val="24"/>
          <w:highlight w:val="none"/>
        </w:rPr>
        <w:t>中规定</w:t>
      </w:r>
      <w:r>
        <w:rPr>
          <w:rFonts w:hint="eastAsia" w:ascii="宋体" w:hAnsi="宋体" w:eastAsia="宋体"/>
          <w:color w:val="auto"/>
          <w:sz w:val="24"/>
          <w:highlight w:val="none"/>
        </w:rPr>
        <w:t>确定成交候选人，并标明排列顺序。</w:t>
      </w:r>
      <w:r>
        <w:rPr>
          <w:rFonts w:hint="eastAsia" w:asciiTheme="minorEastAsia" w:hAnsiTheme="minorEastAsia" w:eastAsiaTheme="minorEastAsia"/>
          <w:color w:val="auto"/>
          <w:sz w:val="24"/>
          <w:highlight w:val="none"/>
        </w:rPr>
        <w:t>按</w:t>
      </w:r>
      <w:r>
        <w:rPr>
          <w:rFonts w:hint="eastAsia" w:asciiTheme="minorEastAsia" w:hAnsiTheme="minorEastAsia" w:eastAsiaTheme="minorEastAsia"/>
          <w:color w:val="auto"/>
          <w:sz w:val="24"/>
          <w:highlight w:val="none"/>
          <w:u w:val="single"/>
          <w:lang w:val="en-US" w:eastAsia="zh-CN"/>
        </w:rPr>
        <w:t>供应商</w:t>
      </w:r>
      <w:r>
        <w:rPr>
          <w:rFonts w:asciiTheme="minorEastAsia" w:hAnsiTheme="minorEastAsia" w:eastAsiaTheme="minorEastAsia"/>
          <w:color w:val="auto"/>
          <w:sz w:val="24"/>
          <w:highlight w:val="none"/>
          <w:u w:val="single"/>
        </w:rPr>
        <w:t>须知前附表</w:t>
      </w:r>
      <w:r>
        <w:rPr>
          <w:rFonts w:hint="eastAsia" w:asciiTheme="minorEastAsia" w:hAnsiTheme="minorEastAsia" w:eastAsiaTheme="minorEastAsia"/>
          <w:color w:val="auto"/>
          <w:sz w:val="24"/>
          <w:highlight w:val="none"/>
        </w:rPr>
        <w:t>中规定，</w:t>
      </w:r>
      <w:r>
        <w:rPr>
          <w:rFonts w:asciiTheme="minorEastAsia" w:hAnsiTheme="minorEastAsia" w:eastAsiaTheme="minorEastAsia"/>
          <w:color w:val="auto"/>
          <w:sz w:val="24"/>
          <w:highlight w:val="none"/>
        </w:rPr>
        <w:t>由</w:t>
      </w:r>
      <w:r>
        <w:rPr>
          <w:rFonts w:hint="eastAsia" w:asciiTheme="minorEastAsia" w:hAnsiTheme="minorEastAsia" w:eastAsiaTheme="minorEastAsia"/>
          <w:color w:val="auto"/>
          <w:sz w:val="24"/>
          <w:highlight w:val="none"/>
          <w:lang w:val="en-US" w:eastAsia="zh-CN"/>
        </w:rPr>
        <w:t>谈判小组</w:t>
      </w:r>
      <w:r>
        <w:rPr>
          <w:rFonts w:asciiTheme="minorEastAsia" w:hAnsiTheme="minorEastAsia" w:eastAsiaTheme="minorEastAsia"/>
          <w:color w:val="auto"/>
          <w:sz w:val="24"/>
          <w:highlight w:val="none"/>
        </w:rPr>
        <w:t>或采购人确定</w:t>
      </w:r>
      <w:r>
        <w:rPr>
          <w:rFonts w:hint="eastAsia" w:asciiTheme="minorEastAsia" w:hAnsiTheme="minorEastAsia" w:eastAsiaTheme="minorEastAsia"/>
          <w:color w:val="auto"/>
          <w:sz w:val="24"/>
          <w:highlight w:val="none"/>
          <w:lang w:val="en-US" w:eastAsia="zh-CN"/>
        </w:rPr>
        <w:t>成交供应商</w:t>
      </w:r>
      <w:r>
        <w:rPr>
          <w:rFonts w:asciiTheme="minorEastAsia" w:hAnsiTheme="minorEastAsia" w:eastAsiaTheme="minorEastAsia"/>
          <w:color w:val="auto"/>
          <w:sz w:val="24"/>
          <w:highlight w:val="none"/>
        </w:rPr>
        <w:t>。</w:t>
      </w:r>
    </w:p>
    <w:p w14:paraId="6DD4CC7A">
      <w:pPr>
        <w:spacing w:line="360" w:lineRule="auto"/>
        <w:ind w:firstLine="435"/>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20</w:t>
      </w:r>
      <w:r>
        <w:rPr>
          <w:rFonts w:asciiTheme="minorEastAsia" w:hAnsiTheme="minorEastAsia" w:eastAsiaTheme="minorEastAsia"/>
          <w:b/>
          <w:color w:val="auto"/>
          <w:sz w:val="24"/>
          <w:highlight w:val="none"/>
        </w:rPr>
        <w:t>.编写评审报告</w:t>
      </w:r>
    </w:p>
    <w:p w14:paraId="60D346A8">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20</w:t>
      </w:r>
      <w:r>
        <w:rPr>
          <w:rFonts w:hint="eastAsia" w:asciiTheme="minorEastAsia" w:hAnsiTheme="minorEastAsia" w:eastAsiaTheme="minorEastAsia"/>
          <w:color w:val="auto"/>
          <w:sz w:val="24"/>
          <w:highlight w:val="none"/>
        </w:rPr>
        <w:t>.1评审报告是根据全体谈判小组成员签字的原始评审记录和评审结果编写的报告，评审报告由谈判小组全体成员签字。对评审结论持有异议的谈判小组成员可以书面方式阐述其不同意见和理由。谈判小组成员拒绝在评审报告上签字且不陈述其不同意见和理由的，视为同意评审结论。</w:t>
      </w:r>
    </w:p>
    <w:p w14:paraId="1F6643E1">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w:t>
      </w:r>
      <w:r>
        <w:rPr>
          <w:rFonts w:hint="eastAsia" w:asciiTheme="minorEastAsia" w:hAnsiTheme="minorEastAsia" w:eastAsiaTheme="minorEastAsia"/>
          <w:b/>
          <w:color w:val="auto"/>
          <w:sz w:val="24"/>
          <w:highlight w:val="none"/>
          <w:lang w:val="en-US" w:eastAsia="zh-CN"/>
        </w:rPr>
        <w:t>1</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保密要求</w:t>
      </w:r>
    </w:p>
    <w:p w14:paraId="6F80D53E">
      <w:pPr>
        <w:spacing w:line="360" w:lineRule="auto"/>
        <w:ind w:firstLine="435"/>
        <w:rPr>
          <w:rFonts w:ascii="宋体" w:hAnsi="宋体" w:eastAsia="宋体"/>
          <w:color w:val="auto"/>
          <w:sz w:val="24"/>
          <w:highlight w:val="none"/>
        </w:rPr>
      </w:pPr>
      <w:r>
        <w:rPr>
          <w:rFonts w:ascii="宋体" w:hAnsi="宋体" w:eastAsia="宋体"/>
          <w:color w:val="auto"/>
          <w:sz w:val="24"/>
          <w:highlight w:val="none"/>
        </w:rPr>
        <w:t>2</w:t>
      </w:r>
      <w:r>
        <w:rPr>
          <w:rFonts w:hint="eastAsia" w:ascii="宋体" w:hAnsi="宋体" w:eastAsia="宋体"/>
          <w:color w:val="auto"/>
          <w:sz w:val="24"/>
          <w:highlight w:val="none"/>
          <w:lang w:val="en-US" w:eastAsia="zh-CN"/>
        </w:rPr>
        <w:t>1</w:t>
      </w:r>
      <w:r>
        <w:rPr>
          <w:rFonts w:hint="eastAsia" w:ascii="宋体" w:hAnsi="宋体" w:eastAsia="宋体"/>
          <w:color w:val="auto"/>
          <w:sz w:val="24"/>
          <w:highlight w:val="none"/>
        </w:rPr>
        <w:t>.1评审将在严格保密的情况下进行。</w:t>
      </w:r>
    </w:p>
    <w:p w14:paraId="5C95AE9A">
      <w:pPr>
        <w:spacing w:line="360" w:lineRule="auto"/>
        <w:ind w:firstLine="435"/>
        <w:rPr>
          <w:rFonts w:ascii="宋体" w:hAnsi="宋体" w:eastAsia="宋体"/>
          <w:color w:val="auto"/>
          <w:sz w:val="24"/>
          <w:highlight w:val="none"/>
        </w:rPr>
      </w:pPr>
      <w:r>
        <w:rPr>
          <w:rFonts w:ascii="宋体" w:hAnsi="宋体" w:eastAsia="宋体"/>
          <w:color w:val="auto"/>
          <w:sz w:val="24"/>
          <w:highlight w:val="none"/>
        </w:rPr>
        <w:t>2</w:t>
      </w:r>
      <w:r>
        <w:rPr>
          <w:rFonts w:hint="eastAsia" w:ascii="宋体" w:hAnsi="宋体" w:eastAsia="宋体"/>
          <w:color w:val="auto"/>
          <w:sz w:val="24"/>
          <w:highlight w:val="none"/>
          <w:lang w:val="en-US" w:eastAsia="zh-CN"/>
        </w:rPr>
        <w:t>1</w:t>
      </w:r>
      <w:r>
        <w:rPr>
          <w:rFonts w:hint="eastAsia" w:ascii="宋体" w:hAnsi="宋体" w:eastAsia="宋体"/>
          <w:color w:val="auto"/>
          <w:sz w:val="24"/>
          <w:highlight w:val="none"/>
        </w:rPr>
        <w:t>.2有关人员</w:t>
      </w:r>
      <w:r>
        <w:rPr>
          <w:rFonts w:ascii="宋体" w:hAnsi="宋体" w:eastAsia="宋体"/>
          <w:color w:val="auto"/>
          <w:sz w:val="24"/>
          <w:highlight w:val="none"/>
        </w:rPr>
        <w:t>应当</w:t>
      </w:r>
      <w:r>
        <w:rPr>
          <w:rFonts w:hint="eastAsia" w:ascii="宋体" w:hAnsi="宋体" w:eastAsia="宋体"/>
          <w:color w:val="auto"/>
          <w:sz w:val="24"/>
          <w:highlight w:val="none"/>
        </w:rPr>
        <w:t>遵</w:t>
      </w:r>
      <w:r>
        <w:rPr>
          <w:rFonts w:ascii="宋体" w:hAnsi="宋体" w:eastAsia="宋体"/>
          <w:color w:val="auto"/>
          <w:sz w:val="24"/>
          <w:highlight w:val="none"/>
        </w:rPr>
        <w:t>守</w:t>
      </w:r>
      <w:r>
        <w:rPr>
          <w:rFonts w:hint="eastAsia" w:ascii="宋体" w:hAnsi="宋体" w:eastAsia="宋体"/>
          <w:color w:val="auto"/>
          <w:sz w:val="24"/>
          <w:highlight w:val="none"/>
        </w:rPr>
        <w:t>评审</w:t>
      </w:r>
      <w:r>
        <w:rPr>
          <w:rFonts w:ascii="宋体" w:hAnsi="宋体" w:eastAsia="宋体"/>
          <w:color w:val="auto"/>
          <w:sz w:val="24"/>
          <w:highlight w:val="none"/>
        </w:rPr>
        <w:t>工作纪律，不得</w:t>
      </w:r>
      <w:r>
        <w:rPr>
          <w:rFonts w:hint="eastAsia" w:ascii="宋体" w:hAnsi="宋体" w:eastAsia="宋体"/>
          <w:color w:val="auto"/>
          <w:sz w:val="24"/>
          <w:highlight w:val="none"/>
        </w:rPr>
        <w:t>泄露评审文件</w:t>
      </w:r>
      <w:r>
        <w:rPr>
          <w:rFonts w:ascii="宋体" w:hAnsi="宋体" w:eastAsia="宋体"/>
          <w:color w:val="auto"/>
          <w:sz w:val="24"/>
          <w:highlight w:val="none"/>
        </w:rPr>
        <w:t>、</w:t>
      </w:r>
      <w:r>
        <w:rPr>
          <w:rFonts w:hint="eastAsia" w:ascii="宋体" w:hAnsi="宋体" w:eastAsia="宋体"/>
          <w:color w:val="auto"/>
          <w:sz w:val="24"/>
          <w:highlight w:val="none"/>
        </w:rPr>
        <w:t>评审</w:t>
      </w:r>
      <w:r>
        <w:rPr>
          <w:rFonts w:ascii="宋体" w:hAnsi="宋体" w:eastAsia="宋体"/>
          <w:color w:val="auto"/>
          <w:sz w:val="24"/>
          <w:highlight w:val="none"/>
        </w:rPr>
        <w:t>情况和</w:t>
      </w:r>
      <w:r>
        <w:rPr>
          <w:rFonts w:hint="eastAsia" w:ascii="宋体" w:hAnsi="宋体" w:eastAsia="宋体"/>
          <w:color w:val="auto"/>
          <w:sz w:val="24"/>
          <w:highlight w:val="none"/>
        </w:rPr>
        <w:t>评审</w:t>
      </w:r>
      <w:r>
        <w:rPr>
          <w:rFonts w:ascii="宋体" w:hAnsi="宋体" w:eastAsia="宋体"/>
          <w:color w:val="auto"/>
          <w:sz w:val="24"/>
          <w:highlight w:val="none"/>
        </w:rPr>
        <w:t>中获悉的</w:t>
      </w:r>
      <w:r>
        <w:rPr>
          <w:rFonts w:hint="eastAsia" w:ascii="宋体" w:hAnsi="宋体" w:eastAsia="宋体"/>
          <w:color w:val="auto"/>
          <w:sz w:val="24"/>
          <w:highlight w:val="none"/>
        </w:rPr>
        <w:t>国家秘密、</w:t>
      </w:r>
      <w:r>
        <w:rPr>
          <w:rFonts w:ascii="宋体" w:hAnsi="宋体" w:eastAsia="宋体"/>
          <w:color w:val="auto"/>
          <w:sz w:val="24"/>
          <w:highlight w:val="none"/>
        </w:rPr>
        <w:t>商业秘密。</w:t>
      </w:r>
    </w:p>
    <w:p w14:paraId="4F22A2E5">
      <w:pPr>
        <w:spacing w:line="360" w:lineRule="auto"/>
        <w:ind w:firstLine="437"/>
        <w:outlineLvl w:val="2"/>
        <w:rPr>
          <w:rFonts w:asciiTheme="minorEastAsia" w:hAnsiTheme="minorEastAsia" w:eastAsiaTheme="minorEastAsia"/>
          <w:b/>
          <w:color w:val="auto"/>
          <w:sz w:val="24"/>
          <w:highlight w:val="none"/>
        </w:rPr>
      </w:pPr>
      <w:r>
        <w:rPr>
          <w:rFonts w:asciiTheme="minorEastAsia" w:hAnsiTheme="minorEastAsia" w:eastAsiaTheme="minorEastAsia"/>
          <w:b/>
          <w:color w:val="auto"/>
          <w:sz w:val="24"/>
          <w:highlight w:val="none"/>
        </w:rPr>
        <w:t>2</w:t>
      </w:r>
      <w:r>
        <w:rPr>
          <w:rFonts w:hint="eastAsia" w:asciiTheme="minorEastAsia" w:hAnsiTheme="minorEastAsia" w:eastAsiaTheme="minorEastAsia"/>
          <w:b/>
          <w:color w:val="auto"/>
          <w:sz w:val="24"/>
          <w:highlight w:val="none"/>
          <w:lang w:val="en-US" w:eastAsia="zh-CN"/>
        </w:rPr>
        <w:t>2</w:t>
      </w:r>
      <w:r>
        <w:rPr>
          <w:rFonts w:asciiTheme="minorEastAsia" w:hAnsiTheme="minorEastAsia" w:eastAsiaTheme="minorEastAsia"/>
          <w:b/>
          <w:color w:val="auto"/>
          <w:sz w:val="24"/>
          <w:highlight w:val="none"/>
        </w:rPr>
        <w:t>.成交结果公告</w:t>
      </w:r>
    </w:p>
    <w:p w14:paraId="21BCBBF2">
      <w:pPr>
        <w:keepNext w:val="0"/>
        <w:keepLines w:val="0"/>
        <w:pageBreakBefore w:val="0"/>
        <w:widowControl w:val="0"/>
        <w:kinsoku/>
        <w:wordWrap w:val="0"/>
        <w:overflowPunct/>
        <w:topLinePunct w:val="0"/>
        <w:autoSpaceDE/>
        <w:autoSpaceDN/>
        <w:bidi w:val="0"/>
        <w:adjustRightInd/>
        <w:snapToGrid/>
        <w:spacing w:line="360" w:lineRule="auto"/>
        <w:ind w:firstLine="437"/>
        <w:textAlignment w:val="auto"/>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lang w:val="en-US" w:eastAsia="zh-CN"/>
        </w:rPr>
        <w:t>2</w:t>
      </w:r>
      <w:r>
        <w:rPr>
          <w:rFonts w:asciiTheme="minorEastAsia" w:hAnsiTheme="minorEastAsia" w:eastAsiaTheme="minorEastAsia"/>
          <w:color w:val="auto"/>
          <w:sz w:val="24"/>
          <w:highlight w:val="none"/>
        </w:rPr>
        <w:t>.1为体现“公开、公平、公正”的原则，谈判结束后，</w:t>
      </w:r>
      <w:r>
        <w:rPr>
          <w:rFonts w:hint="eastAsia" w:asciiTheme="minorEastAsia" w:hAnsiTheme="minorEastAsia" w:eastAsiaTheme="minorEastAsia"/>
          <w:color w:val="auto"/>
          <w:sz w:val="24"/>
          <w:highlight w:val="none"/>
        </w:rPr>
        <w:t>采购代理机构将</w:t>
      </w:r>
      <w:r>
        <w:rPr>
          <w:rFonts w:hint="eastAsia" w:ascii="宋体" w:hAnsi="宋体" w:eastAsia="宋体"/>
          <w:color w:val="auto"/>
          <w:sz w:val="24"/>
          <w:szCs w:val="18"/>
          <w:highlight w:val="none"/>
        </w:rPr>
        <w:t>在</w:t>
      </w:r>
      <w:r>
        <w:rPr>
          <w:rFonts w:hint="eastAsia" w:ascii="宋体" w:hAnsi="宋体" w:eastAsia="宋体"/>
          <w:color w:val="auto"/>
          <w:sz w:val="24"/>
          <w:szCs w:val="18"/>
          <w:highlight w:val="none"/>
          <w:lang w:val="en-US" w:eastAsia="zh-CN"/>
        </w:rPr>
        <w:t>滁州市城投工程咨询管理有限公司（https://www.czctgczx.com/）</w:t>
      </w:r>
      <w:r>
        <w:rPr>
          <w:rFonts w:hint="eastAsia" w:ascii="宋体" w:hAnsi="宋体" w:eastAsia="宋体"/>
          <w:color w:val="auto"/>
          <w:sz w:val="24"/>
          <w:szCs w:val="18"/>
          <w:highlight w:val="none"/>
        </w:rPr>
        <w:t>上</w:t>
      </w:r>
      <w:r>
        <w:rPr>
          <w:rFonts w:asciiTheme="minorEastAsia" w:hAnsiTheme="minorEastAsia" w:eastAsiaTheme="minorEastAsia"/>
          <w:color w:val="auto"/>
          <w:sz w:val="24"/>
          <w:highlight w:val="none"/>
        </w:rPr>
        <w:t>发布成交结果公告。</w:t>
      </w:r>
    </w:p>
    <w:p w14:paraId="64BBAFC9">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lang w:val="en-US" w:eastAsia="zh-CN"/>
        </w:rPr>
        <w:t>2</w:t>
      </w:r>
      <w:r>
        <w:rPr>
          <w:rFonts w:asciiTheme="minorEastAsia" w:hAnsiTheme="minorEastAsia" w:eastAsiaTheme="minorEastAsia"/>
          <w:color w:val="auto"/>
          <w:sz w:val="24"/>
          <w:highlight w:val="none"/>
        </w:rPr>
        <w:t>.2成交结果公告内容应当包括采购人及其委托的采购代理机构的名称、地址、联系方式，项目名称和项目编号，成交供应商名称、地址和成交金额，主要成交标的的名称</w:t>
      </w:r>
      <w:r>
        <w:rPr>
          <w:rFonts w:hint="eastAsia" w:asciiTheme="minorEastAsia" w:hAnsiTheme="minorEastAsia" w:eastAsiaTheme="minorEastAsia"/>
          <w:color w:val="auto"/>
          <w:sz w:val="24"/>
          <w:highlight w:val="none"/>
          <w:lang w:eastAsia="zh-CN"/>
        </w:rPr>
        <w:t>、</w:t>
      </w:r>
      <w:r>
        <w:rPr>
          <w:rFonts w:asciiTheme="minorEastAsia" w:hAnsiTheme="minorEastAsia" w:eastAsiaTheme="minorEastAsia"/>
          <w:color w:val="auto"/>
          <w:sz w:val="24"/>
          <w:highlight w:val="none"/>
        </w:rPr>
        <w:t>服务要求，成交结果公告期限以及</w:t>
      </w:r>
      <w:r>
        <w:rPr>
          <w:rFonts w:hint="eastAsia" w:asciiTheme="minorEastAsia" w:hAnsiTheme="minorEastAsia" w:eastAsiaTheme="minorEastAsia"/>
          <w:color w:val="auto"/>
          <w:sz w:val="24"/>
          <w:highlight w:val="none"/>
          <w:u w:val="single"/>
        </w:rPr>
        <w:t>供应商须知前附表</w:t>
      </w:r>
      <w:r>
        <w:rPr>
          <w:rFonts w:asciiTheme="minorEastAsia" w:hAnsiTheme="minorEastAsia" w:eastAsiaTheme="minorEastAsia"/>
          <w:color w:val="auto"/>
          <w:sz w:val="24"/>
          <w:highlight w:val="none"/>
        </w:rPr>
        <w:t>中约定进行公告的内容。</w:t>
      </w:r>
    </w:p>
    <w:p w14:paraId="44D49A21">
      <w:pPr>
        <w:spacing w:line="360" w:lineRule="auto"/>
        <w:ind w:firstLine="437"/>
        <w:outlineLvl w:val="2"/>
        <w:rPr>
          <w:rFonts w:ascii="宋体" w:hAnsi="宋体" w:eastAsia="宋体"/>
          <w:b/>
          <w:color w:val="auto"/>
          <w:sz w:val="24"/>
          <w:highlight w:val="none"/>
        </w:rPr>
      </w:pPr>
      <w:r>
        <w:rPr>
          <w:rFonts w:ascii="宋体" w:hAnsi="宋体" w:eastAsia="宋体"/>
          <w:b/>
          <w:color w:val="auto"/>
          <w:sz w:val="24"/>
          <w:highlight w:val="none"/>
        </w:rPr>
        <w:t>2</w:t>
      </w:r>
      <w:r>
        <w:rPr>
          <w:rFonts w:hint="eastAsia" w:ascii="宋体" w:hAnsi="宋体" w:eastAsia="宋体"/>
          <w:b/>
          <w:color w:val="auto"/>
          <w:sz w:val="24"/>
          <w:highlight w:val="none"/>
          <w:lang w:val="en-US" w:eastAsia="zh-CN"/>
        </w:rPr>
        <w:t>3</w:t>
      </w:r>
      <w:r>
        <w:rPr>
          <w:rFonts w:ascii="宋体" w:hAnsi="宋体" w:eastAsia="宋体"/>
          <w:b/>
          <w:color w:val="auto"/>
          <w:sz w:val="24"/>
          <w:highlight w:val="none"/>
        </w:rPr>
        <w:t>.成交通知书</w:t>
      </w:r>
    </w:p>
    <w:p w14:paraId="716DCF98">
      <w:pPr>
        <w:spacing w:line="360" w:lineRule="auto"/>
        <w:ind w:firstLine="435"/>
        <w:rPr>
          <w:rFonts w:ascii="宋体" w:hAnsi="宋体" w:eastAsia="宋体"/>
          <w:color w:val="auto"/>
          <w:sz w:val="24"/>
          <w:highlight w:val="none"/>
        </w:rPr>
      </w:pPr>
      <w:r>
        <w:rPr>
          <w:rFonts w:ascii="宋体" w:hAnsi="宋体" w:eastAsia="宋体"/>
          <w:color w:val="auto"/>
          <w:sz w:val="24"/>
          <w:highlight w:val="none"/>
        </w:rPr>
        <w:t>2</w:t>
      </w:r>
      <w:r>
        <w:rPr>
          <w:rFonts w:hint="eastAsia" w:ascii="宋体" w:hAnsi="宋体" w:eastAsia="宋体"/>
          <w:color w:val="auto"/>
          <w:sz w:val="24"/>
          <w:highlight w:val="none"/>
        </w:rPr>
        <w:t>3</w:t>
      </w:r>
      <w:r>
        <w:rPr>
          <w:rFonts w:ascii="宋体" w:hAnsi="宋体" w:eastAsia="宋体"/>
          <w:color w:val="auto"/>
          <w:sz w:val="24"/>
          <w:highlight w:val="none"/>
        </w:rPr>
        <w:t>.1采购代理机构发布成交结果公告的同时</w:t>
      </w:r>
      <w:r>
        <w:rPr>
          <w:rFonts w:asciiTheme="minorEastAsia" w:hAnsiTheme="minorEastAsia" w:eastAsiaTheme="minorEastAsia"/>
          <w:color w:val="auto"/>
          <w:sz w:val="24"/>
          <w:highlight w:val="none"/>
        </w:rPr>
        <w:t>以</w:t>
      </w:r>
      <w:r>
        <w:rPr>
          <w:rFonts w:hint="eastAsia" w:asciiTheme="minorEastAsia" w:hAnsiTheme="minorEastAsia" w:eastAsiaTheme="minorEastAsia"/>
          <w:color w:val="auto"/>
          <w:sz w:val="24"/>
          <w:highlight w:val="none"/>
          <w:u w:val="single"/>
        </w:rPr>
        <w:t>供应商须知前附表</w:t>
      </w:r>
      <w:r>
        <w:rPr>
          <w:rFonts w:hint="eastAsia" w:asciiTheme="minorEastAsia" w:hAnsiTheme="minorEastAsia" w:eastAsiaTheme="minorEastAsia"/>
          <w:color w:val="auto"/>
          <w:sz w:val="24"/>
          <w:highlight w:val="none"/>
        </w:rPr>
        <w:t>规定的</w:t>
      </w:r>
      <w:r>
        <w:rPr>
          <w:rFonts w:asciiTheme="minorEastAsia" w:hAnsiTheme="minorEastAsia" w:eastAsiaTheme="minorEastAsia"/>
          <w:color w:val="auto"/>
          <w:sz w:val="24"/>
          <w:highlight w:val="none"/>
        </w:rPr>
        <w:t>形式</w:t>
      </w:r>
      <w:r>
        <w:rPr>
          <w:rFonts w:ascii="宋体" w:hAnsi="宋体" w:eastAsia="宋体"/>
          <w:color w:val="auto"/>
          <w:sz w:val="24"/>
          <w:highlight w:val="none"/>
        </w:rPr>
        <w:t>向成交供应商发出成交通知书。</w:t>
      </w:r>
      <w:r>
        <w:rPr>
          <w:rFonts w:hint="eastAsia" w:asciiTheme="minorEastAsia" w:hAnsiTheme="minorEastAsia" w:eastAsiaTheme="minorEastAsia"/>
          <w:color w:val="auto"/>
          <w:sz w:val="24"/>
          <w:highlight w:val="none"/>
        </w:rPr>
        <w:t>成交通知书须加盖采购人、采购代理机构公章后，方可发出。</w:t>
      </w:r>
    </w:p>
    <w:p w14:paraId="627D1732">
      <w:pPr>
        <w:spacing w:line="360" w:lineRule="auto"/>
        <w:ind w:firstLine="435"/>
        <w:rPr>
          <w:rFonts w:ascii="宋体" w:hAnsi="宋体" w:eastAsia="宋体"/>
          <w:color w:val="auto"/>
          <w:sz w:val="24"/>
          <w:highlight w:val="none"/>
        </w:rPr>
      </w:pPr>
      <w:r>
        <w:rPr>
          <w:rFonts w:ascii="宋体" w:hAnsi="宋体" w:eastAsia="宋体"/>
          <w:color w:val="auto"/>
          <w:sz w:val="24"/>
          <w:highlight w:val="none"/>
        </w:rPr>
        <w:t>2</w:t>
      </w:r>
      <w:r>
        <w:rPr>
          <w:rFonts w:hint="eastAsia" w:ascii="宋体" w:hAnsi="宋体" w:eastAsia="宋体"/>
          <w:color w:val="auto"/>
          <w:sz w:val="24"/>
          <w:highlight w:val="none"/>
        </w:rPr>
        <w:t>3</w:t>
      </w:r>
      <w:r>
        <w:rPr>
          <w:rFonts w:ascii="宋体" w:hAnsi="宋体" w:eastAsia="宋体"/>
          <w:color w:val="auto"/>
          <w:sz w:val="24"/>
          <w:highlight w:val="none"/>
        </w:rPr>
        <w:t>.2成交通知书对采购人和成交供应商具有同等法律效力。成交通知书发出以后，采购人改变成交结果或者成交供应商放弃成交资格，应当承担相应的法律责任。</w:t>
      </w:r>
    </w:p>
    <w:p w14:paraId="5262B679">
      <w:pPr>
        <w:spacing w:line="360" w:lineRule="auto"/>
        <w:ind w:firstLine="435"/>
        <w:rPr>
          <w:rFonts w:ascii="宋体" w:hAnsi="宋体" w:eastAsia="宋体"/>
          <w:color w:val="auto"/>
          <w:sz w:val="24"/>
          <w:highlight w:val="none"/>
        </w:rPr>
      </w:pPr>
      <w:r>
        <w:rPr>
          <w:rFonts w:ascii="宋体" w:hAnsi="宋体" w:eastAsia="宋体"/>
          <w:color w:val="auto"/>
          <w:sz w:val="24"/>
          <w:highlight w:val="none"/>
        </w:rPr>
        <w:t>2</w:t>
      </w:r>
      <w:r>
        <w:rPr>
          <w:rFonts w:hint="eastAsia" w:ascii="宋体" w:hAnsi="宋体" w:eastAsia="宋体"/>
          <w:color w:val="auto"/>
          <w:sz w:val="24"/>
          <w:highlight w:val="none"/>
        </w:rPr>
        <w:t>3</w:t>
      </w:r>
      <w:r>
        <w:rPr>
          <w:rFonts w:ascii="宋体" w:hAnsi="宋体" w:eastAsia="宋体"/>
          <w:color w:val="auto"/>
          <w:sz w:val="24"/>
          <w:highlight w:val="none"/>
        </w:rPr>
        <w:t>.3成交通知书是合同的组成部分。</w:t>
      </w:r>
    </w:p>
    <w:p w14:paraId="2DAB3F60">
      <w:pPr>
        <w:spacing w:line="360" w:lineRule="auto"/>
        <w:ind w:firstLine="437"/>
        <w:outlineLvl w:val="2"/>
        <w:rPr>
          <w:rFonts w:ascii="宋体" w:hAnsi="宋体" w:eastAsia="宋体"/>
          <w:b/>
          <w:color w:val="auto"/>
          <w:sz w:val="24"/>
          <w:highlight w:val="none"/>
        </w:rPr>
      </w:pPr>
      <w:r>
        <w:rPr>
          <w:rFonts w:hint="eastAsia" w:ascii="宋体" w:hAnsi="宋体" w:eastAsia="宋体"/>
          <w:b/>
          <w:color w:val="auto"/>
          <w:sz w:val="24"/>
          <w:highlight w:val="none"/>
        </w:rPr>
        <w:t>2</w:t>
      </w:r>
      <w:r>
        <w:rPr>
          <w:rFonts w:hint="eastAsia" w:ascii="宋体" w:hAnsi="宋体" w:eastAsia="宋体"/>
          <w:b/>
          <w:color w:val="auto"/>
          <w:sz w:val="24"/>
          <w:highlight w:val="none"/>
          <w:lang w:val="en-US" w:eastAsia="zh-CN"/>
        </w:rPr>
        <w:t>4</w:t>
      </w:r>
      <w:r>
        <w:rPr>
          <w:rFonts w:ascii="宋体" w:hAnsi="宋体" w:eastAsia="宋体"/>
          <w:b/>
          <w:color w:val="auto"/>
          <w:sz w:val="24"/>
          <w:highlight w:val="none"/>
        </w:rPr>
        <w:t>.告知</w:t>
      </w:r>
      <w:r>
        <w:rPr>
          <w:rFonts w:hint="eastAsia" w:ascii="宋体" w:hAnsi="宋体" w:eastAsia="宋体"/>
          <w:b/>
          <w:color w:val="auto"/>
          <w:sz w:val="24"/>
          <w:highlight w:val="none"/>
        </w:rPr>
        <w:t>谈判</w:t>
      </w:r>
      <w:r>
        <w:rPr>
          <w:rFonts w:ascii="宋体" w:hAnsi="宋体" w:eastAsia="宋体"/>
          <w:b/>
          <w:color w:val="auto"/>
          <w:sz w:val="24"/>
          <w:highlight w:val="none"/>
        </w:rPr>
        <w:t>结果</w:t>
      </w:r>
    </w:p>
    <w:p w14:paraId="67EA52F2">
      <w:pPr>
        <w:spacing w:line="360" w:lineRule="auto"/>
        <w:ind w:firstLine="43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.1在公告成交结果的同时，采购代理机构同时以</w:t>
      </w:r>
      <w:r>
        <w:rPr>
          <w:rFonts w:hint="eastAsia" w:ascii="宋体" w:hAnsi="宋体" w:eastAsia="宋体" w:cs="宋体"/>
          <w:color w:val="auto"/>
          <w:sz w:val="24"/>
          <w:szCs w:val="24"/>
          <w:highlight w:val="none"/>
          <w:u w:val="single"/>
        </w:rPr>
        <w:t>供应商须知前附表</w:t>
      </w:r>
      <w:r>
        <w:rPr>
          <w:rFonts w:hint="eastAsia" w:ascii="宋体" w:hAnsi="宋体" w:eastAsia="宋体" w:cs="宋体"/>
          <w:color w:val="auto"/>
          <w:sz w:val="24"/>
          <w:szCs w:val="24"/>
          <w:highlight w:val="none"/>
        </w:rPr>
        <w:t>规定的形式告知未成交供应商本人的排序。</w:t>
      </w:r>
    </w:p>
    <w:p w14:paraId="6DEACD8B">
      <w:pPr>
        <w:spacing w:line="360" w:lineRule="auto"/>
        <w:ind w:firstLine="435"/>
        <w:rPr>
          <w:rFonts w:ascii="宋体" w:hAnsi="宋体" w:eastAsia="宋体"/>
          <w:color w:val="auto"/>
          <w:sz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采购代理机构对未成交的供应商不做未成交原因的解释。</w:t>
      </w:r>
    </w:p>
    <w:p w14:paraId="4354F1E2">
      <w:pPr>
        <w:spacing w:line="360" w:lineRule="auto"/>
        <w:ind w:firstLine="437"/>
        <w:outlineLvl w:val="2"/>
        <w:rPr>
          <w:rFonts w:ascii="宋体" w:hAnsi="宋体" w:eastAsia="宋体"/>
          <w:b/>
          <w:color w:val="auto"/>
          <w:sz w:val="24"/>
          <w:highlight w:val="none"/>
        </w:rPr>
      </w:pPr>
      <w:r>
        <w:rPr>
          <w:rFonts w:hint="eastAsia" w:ascii="宋体" w:hAnsi="宋体" w:eastAsia="宋体"/>
          <w:b/>
          <w:color w:val="auto"/>
          <w:sz w:val="24"/>
          <w:highlight w:val="none"/>
          <w:lang w:val="en-US" w:eastAsia="zh-CN"/>
        </w:rPr>
        <w:t>25</w:t>
      </w:r>
      <w:r>
        <w:rPr>
          <w:rFonts w:ascii="宋体" w:hAnsi="宋体" w:eastAsia="宋体"/>
          <w:b/>
          <w:color w:val="auto"/>
          <w:sz w:val="24"/>
          <w:highlight w:val="none"/>
        </w:rPr>
        <w:t>.履约</w:t>
      </w:r>
      <w:r>
        <w:rPr>
          <w:rFonts w:asciiTheme="minorEastAsia" w:hAnsiTheme="minorEastAsia" w:eastAsiaTheme="minorEastAsia"/>
          <w:b/>
          <w:color w:val="auto"/>
          <w:sz w:val="24"/>
          <w:highlight w:val="none"/>
        </w:rPr>
        <w:t>保证金</w:t>
      </w:r>
    </w:p>
    <w:p w14:paraId="6A601FDD">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25</w:t>
      </w:r>
      <w:r>
        <w:rPr>
          <w:rFonts w:ascii="宋体" w:hAnsi="宋体" w:eastAsia="宋体"/>
          <w:color w:val="auto"/>
          <w:sz w:val="24"/>
          <w:highlight w:val="none"/>
        </w:rPr>
        <w:t>.1成交供应商应按照</w:t>
      </w:r>
      <w:r>
        <w:rPr>
          <w:rFonts w:ascii="宋体" w:hAnsi="宋体" w:eastAsia="宋体"/>
          <w:color w:val="auto"/>
          <w:sz w:val="24"/>
          <w:highlight w:val="none"/>
          <w:u w:val="single"/>
        </w:rPr>
        <w:t>供应商须知前附表</w:t>
      </w:r>
      <w:r>
        <w:rPr>
          <w:rFonts w:ascii="宋体" w:hAnsi="宋体" w:eastAsia="宋体"/>
          <w:color w:val="auto"/>
          <w:sz w:val="24"/>
          <w:highlight w:val="none"/>
        </w:rPr>
        <w:t>规定</w:t>
      </w:r>
      <w:r>
        <w:rPr>
          <w:rFonts w:hint="eastAsia" w:ascii="宋体" w:hAnsi="宋体" w:eastAsia="宋体"/>
          <w:color w:val="auto"/>
          <w:sz w:val="24"/>
          <w:highlight w:val="none"/>
        </w:rPr>
        <w:t>缴纳</w:t>
      </w:r>
      <w:r>
        <w:rPr>
          <w:rFonts w:ascii="宋体" w:hAnsi="宋体" w:eastAsia="宋体"/>
          <w:color w:val="auto"/>
          <w:sz w:val="24"/>
          <w:highlight w:val="none"/>
        </w:rPr>
        <w:t>履约保证金。</w:t>
      </w:r>
    </w:p>
    <w:p w14:paraId="158A9746">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25</w:t>
      </w:r>
      <w:r>
        <w:rPr>
          <w:rFonts w:ascii="宋体" w:hAnsi="宋体" w:eastAsia="宋体"/>
          <w:color w:val="auto"/>
          <w:sz w:val="24"/>
          <w:highlight w:val="none"/>
        </w:rPr>
        <w:t>.2如果成交供应商没有按照上述履约保证金的规定执行，将视为放弃成交资格。在此情况下，采购人可确定下一成交候选人为成交供应商，也可以重新开展采购活动。</w:t>
      </w:r>
    </w:p>
    <w:p w14:paraId="19D69AB0">
      <w:pPr>
        <w:spacing w:line="360" w:lineRule="auto"/>
        <w:ind w:firstLine="437"/>
        <w:outlineLvl w:val="2"/>
        <w:rPr>
          <w:rFonts w:hint="eastAsia" w:ascii="宋体" w:hAnsi="宋体" w:eastAsia="宋体"/>
          <w:b/>
          <w:color w:val="auto"/>
          <w:sz w:val="24"/>
          <w:highlight w:val="none"/>
          <w:lang w:eastAsia="zh-CN"/>
        </w:rPr>
      </w:pPr>
      <w:r>
        <w:rPr>
          <w:rFonts w:hint="eastAsia" w:ascii="宋体" w:hAnsi="宋体" w:eastAsia="宋体"/>
          <w:b/>
          <w:color w:val="auto"/>
          <w:sz w:val="24"/>
          <w:highlight w:val="none"/>
          <w:lang w:val="en-US" w:eastAsia="zh-CN"/>
        </w:rPr>
        <w:t>26</w:t>
      </w:r>
      <w:r>
        <w:rPr>
          <w:rFonts w:ascii="宋体" w:hAnsi="宋体" w:eastAsia="宋体"/>
          <w:b/>
          <w:color w:val="auto"/>
          <w:sz w:val="24"/>
          <w:highlight w:val="none"/>
        </w:rPr>
        <w:t>.</w:t>
      </w:r>
      <w:r>
        <w:rPr>
          <w:rFonts w:hint="eastAsia" w:ascii="宋体" w:hAnsi="宋体" w:eastAsia="宋体"/>
          <w:b/>
          <w:color w:val="auto"/>
          <w:sz w:val="24"/>
          <w:highlight w:val="none"/>
          <w:lang w:val="en-US" w:eastAsia="zh-CN"/>
        </w:rPr>
        <w:t>代理费用</w:t>
      </w:r>
    </w:p>
    <w:p w14:paraId="2664CDF5">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26</w:t>
      </w:r>
      <w:r>
        <w:rPr>
          <w:rFonts w:ascii="宋体" w:hAnsi="宋体" w:eastAsia="宋体"/>
          <w:color w:val="auto"/>
          <w:sz w:val="24"/>
          <w:highlight w:val="none"/>
        </w:rPr>
        <w:t>.1本项目</w:t>
      </w:r>
      <w:r>
        <w:rPr>
          <w:rFonts w:hint="eastAsia" w:ascii="宋体" w:hAnsi="宋体" w:eastAsia="宋体"/>
          <w:color w:val="auto"/>
          <w:sz w:val="24"/>
          <w:highlight w:val="none"/>
          <w:lang w:val="en-US" w:eastAsia="zh-CN"/>
        </w:rPr>
        <w:t>代理费用</w:t>
      </w:r>
      <w:r>
        <w:rPr>
          <w:rFonts w:ascii="宋体" w:hAnsi="宋体" w:eastAsia="宋体"/>
          <w:color w:val="auto"/>
          <w:sz w:val="24"/>
          <w:highlight w:val="none"/>
        </w:rPr>
        <w:t>的收取按</w:t>
      </w:r>
      <w:r>
        <w:rPr>
          <w:rFonts w:hint="eastAsia" w:ascii="宋体" w:hAnsi="宋体" w:eastAsia="宋体"/>
          <w:color w:val="auto"/>
          <w:sz w:val="24"/>
          <w:highlight w:val="none"/>
          <w:u w:val="single"/>
        </w:rPr>
        <w:t>供应商</w:t>
      </w:r>
      <w:r>
        <w:rPr>
          <w:rFonts w:ascii="宋体" w:hAnsi="宋体" w:eastAsia="宋体"/>
          <w:color w:val="auto"/>
          <w:sz w:val="24"/>
          <w:highlight w:val="none"/>
          <w:u w:val="single"/>
        </w:rPr>
        <w:t>须知前附表</w:t>
      </w:r>
      <w:r>
        <w:rPr>
          <w:rFonts w:ascii="宋体" w:hAnsi="宋体" w:eastAsia="宋体"/>
          <w:color w:val="auto"/>
          <w:sz w:val="24"/>
          <w:highlight w:val="none"/>
        </w:rPr>
        <w:t>的规定执行。</w:t>
      </w:r>
    </w:p>
    <w:p w14:paraId="6C560AF5">
      <w:pPr>
        <w:spacing w:line="360" w:lineRule="auto"/>
        <w:ind w:firstLine="437"/>
        <w:outlineLvl w:val="2"/>
        <w:rPr>
          <w:rFonts w:ascii="宋体" w:hAnsi="宋体" w:eastAsia="宋体"/>
          <w:b/>
          <w:color w:val="auto"/>
          <w:sz w:val="24"/>
          <w:highlight w:val="none"/>
        </w:rPr>
      </w:pPr>
      <w:r>
        <w:rPr>
          <w:rFonts w:hint="eastAsia" w:ascii="宋体" w:hAnsi="宋体" w:eastAsia="宋体"/>
          <w:b/>
          <w:color w:val="auto"/>
          <w:sz w:val="24"/>
          <w:highlight w:val="none"/>
          <w:lang w:val="en-US" w:eastAsia="zh-CN"/>
        </w:rPr>
        <w:t>27</w:t>
      </w:r>
      <w:r>
        <w:rPr>
          <w:rFonts w:ascii="宋体" w:hAnsi="宋体" w:eastAsia="宋体"/>
          <w:b/>
          <w:color w:val="auto"/>
          <w:sz w:val="24"/>
          <w:highlight w:val="none"/>
        </w:rPr>
        <w:t>.签订合同</w:t>
      </w:r>
    </w:p>
    <w:p w14:paraId="2C1D0401">
      <w:pPr>
        <w:spacing w:line="360" w:lineRule="auto"/>
        <w:ind w:firstLine="435"/>
        <w:rPr>
          <w:rFonts w:ascii="宋体" w:hAnsi="宋体" w:eastAsia="宋体"/>
          <w:color w:val="auto"/>
          <w:sz w:val="24"/>
          <w:highlight w:val="none"/>
        </w:rPr>
      </w:pPr>
      <w:bookmarkStart w:id="24" w:name="_Hlk60264926"/>
      <w:r>
        <w:rPr>
          <w:rFonts w:hint="eastAsia" w:ascii="宋体" w:hAnsi="宋体" w:eastAsia="宋体"/>
          <w:color w:val="auto"/>
          <w:sz w:val="24"/>
          <w:highlight w:val="none"/>
        </w:rPr>
        <w:t>27</w:t>
      </w:r>
      <w:r>
        <w:rPr>
          <w:rFonts w:ascii="宋体" w:hAnsi="宋体" w:eastAsia="宋体"/>
          <w:color w:val="auto"/>
          <w:sz w:val="24"/>
          <w:highlight w:val="none"/>
        </w:rPr>
        <w:t>.1</w:t>
      </w:r>
      <w:r>
        <w:rPr>
          <w:rFonts w:hint="eastAsia" w:ascii="宋体" w:hAnsi="宋体" w:eastAsia="宋体" w:cs="宋体"/>
          <w:color w:val="auto"/>
          <w:sz w:val="24"/>
          <w:szCs w:val="24"/>
          <w:highlight w:val="none"/>
        </w:rPr>
        <w:t>采购人与成交供应商应当按照</w:t>
      </w:r>
      <w:r>
        <w:rPr>
          <w:rFonts w:hint="eastAsia" w:ascii="宋体" w:hAnsi="宋体" w:eastAsia="宋体" w:cs="宋体"/>
          <w:color w:val="auto"/>
          <w:sz w:val="24"/>
          <w:szCs w:val="24"/>
          <w:highlight w:val="none"/>
          <w:u w:val="single"/>
        </w:rPr>
        <w:t>供应商须知前附表</w:t>
      </w:r>
      <w:r>
        <w:rPr>
          <w:rFonts w:hint="eastAsia" w:ascii="宋体" w:hAnsi="宋体" w:eastAsia="宋体" w:cs="宋体"/>
          <w:color w:val="auto"/>
          <w:sz w:val="24"/>
          <w:szCs w:val="24"/>
          <w:highlight w:val="none"/>
        </w:rPr>
        <w:t>规定的时间内完成政府采购合同签订及合同公告。</w:t>
      </w:r>
    </w:p>
    <w:p w14:paraId="32D97B6B">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27</w:t>
      </w:r>
      <w:r>
        <w:rPr>
          <w:rFonts w:ascii="宋体" w:hAnsi="宋体" w:eastAsia="宋体"/>
          <w:color w:val="auto"/>
          <w:sz w:val="24"/>
          <w:highlight w:val="none"/>
        </w:rPr>
        <w:t>.2谈判文件、成交供应商的响应文件及其澄清文件等，均为签订合同的依据。</w:t>
      </w:r>
    </w:p>
    <w:p w14:paraId="7619D322">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27</w:t>
      </w:r>
      <w:r>
        <w:rPr>
          <w:rFonts w:ascii="宋体" w:hAnsi="宋体" w:eastAsia="宋体"/>
          <w:color w:val="auto"/>
          <w:sz w:val="24"/>
          <w:highlight w:val="none"/>
        </w:rPr>
        <w:t>.3成交供应商拒绝与采购人签订合同的，采购人可以按照评审报告推荐的成交候选人名单排序，确定下一成交候选人为成交供应商，也可以重新开展采购活动。</w:t>
      </w:r>
      <w:r>
        <w:rPr>
          <w:rFonts w:hint="eastAsia" w:ascii="宋体" w:hAnsi="宋体" w:eastAsia="宋体"/>
          <w:color w:val="auto"/>
          <w:sz w:val="24"/>
          <w:highlight w:val="none"/>
        </w:rPr>
        <w:t>成交供应商拒绝签订政府采购合同的</w:t>
      </w:r>
      <w:r>
        <w:rPr>
          <w:rFonts w:hint="eastAsia" w:ascii="宋体" w:hAnsi="宋体" w:eastAsia="宋体"/>
          <w:color w:val="auto"/>
          <w:sz w:val="24"/>
          <w:highlight w:val="none"/>
          <w:lang w:val="en-US" w:eastAsia="zh-CN"/>
        </w:rPr>
        <w:t>采购人有权上报监管部门，并保留追责权</w:t>
      </w:r>
      <w:r>
        <w:rPr>
          <w:rFonts w:hint="eastAsia" w:ascii="宋体" w:hAnsi="宋体" w:eastAsia="宋体"/>
          <w:color w:val="auto"/>
          <w:sz w:val="24"/>
          <w:highlight w:val="none"/>
        </w:rPr>
        <w:t>。</w:t>
      </w:r>
    </w:p>
    <w:bookmarkEnd w:id="24"/>
    <w:p w14:paraId="27EB49B1">
      <w:pPr>
        <w:spacing w:line="360" w:lineRule="auto"/>
        <w:ind w:firstLine="437"/>
        <w:outlineLvl w:val="2"/>
        <w:rPr>
          <w:rFonts w:ascii="宋体" w:hAnsi="宋体" w:eastAsia="宋体"/>
          <w:b/>
          <w:color w:val="auto"/>
          <w:sz w:val="24"/>
          <w:highlight w:val="none"/>
        </w:rPr>
      </w:pPr>
      <w:r>
        <w:rPr>
          <w:rFonts w:hint="eastAsia" w:ascii="宋体" w:hAnsi="宋体" w:eastAsia="宋体"/>
          <w:b/>
          <w:color w:val="auto"/>
          <w:sz w:val="24"/>
          <w:highlight w:val="none"/>
          <w:lang w:val="en-US" w:eastAsia="zh-CN"/>
        </w:rPr>
        <w:t>28</w:t>
      </w:r>
      <w:r>
        <w:rPr>
          <w:rFonts w:ascii="宋体" w:hAnsi="宋体" w:eastAsia="宋体"/>
          <w:b/>
          <w:color w:val="auto"/>
          <w:sz w:val="24"/>
          <w:highlight w:val="none"/>
        </w:rPr>
        <w:t>.廉洁自律规定</w:t>
      </w:r>
    </w:p>
    <w:p w14:paraId="1BEB9E4B">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28</w:t>
      </w:r>
      <w:r>
        <w:rPr>
          <w:rFonts w:ascii="宋体" w:hAnsi="宋体" w:eastAsia="宋体"/>
          <w:color w:val="auto"/>
          <w:sz w:val="24"/>
          <w:highlight w:val="none"/>
        </w:rPr>
        <w:t>.1采购代理机构工作人员不得以不正当手段获取政府采购代理业务，不得与采购人、供应商恶意串通。</w:t>
      </w:r>
    </w:p>
    <w:p w14:paraId="4F0BCA57">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28</w:t>
      </w:r>
      <w:r>
        <w:rPr>
          <w:rFonts w:ascii="宋体" w:hAnsi="宋体" w:eastAsia="宋体"/>
          <w:color w:val="auto"/>
          <w:sz w:val="24"/>
          <w:highlight w:val="none"/>
        </w:rPr>
        <w:t>.2采购代理机构工作人员不得接受采购人或者供应商组织的宴请、旅游、娱乐，不得收受礼品、现金、有价证券等，不得向采购人或者供应商报销应当由个人承担的费用。</w:t>
      </w:r>
    </w:p>
    <w:p w14:paraId="3B23E614">
      <w:pPr>
        <w:spacing w:line="360" w:lineRule="auto"/>
        <w:ind w:firstLine="437"/>
        <w:outlineLvl w:val="2"/>
        <w:rPr>
          <w:rFonts w:ascii="宋体" w:hAnsi="宋体" w:eastAsia="宋体"/>
          <w:b/>
          <w:color w:val="auto"/>
          <w:sz w:val="24"/>
          <w:highlight w:val="none"/>
        </w:rPr>
      </w:pPr>
      <w:r>
        <w:rPr>
          <w:rFonts w:hint="eastAsia" w:ascii="宋体" w:hAnsi="宋体" w:eastAsia="宋体"/>
          <w:b/>
          <w:color w:val="auto"/>
          <w:sz w:val="24"/>
          <w:highlight w:val="none"/>
          <w:lang w:val="en-US" w:eastAsia="zh-CN"/>
        </w:rPr>
        <w:t>29</w:t>
      </w:r>
      <w:r>
        <w:rPr>
          <w:rFonts w:ascii="宋体" w:hAnsi="宋体" w:eastAsia="宋体"/>
          <w:b/>
          <w:color w:val="auto"/>
          <w:sz w:val="24"/>
          <w:highlight w:val="none"/>
        </w:rPr>
        <w:t>.质疑的提出与接收</w:t>
      </w:r>
    </w:p>
    <w:p w14:paraId="50355302">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29.1供应商认为谈判文件、采购过程和成交结果使自己的权益受到损害的，可以在知道或者应知其权益受到损害之日起七个工作日内，以书面形式向采购人或其委托的采购代理机构提出质疑。</w:t>
      </w:r>
    </w:p>
    <w:p w14:paraId="4B382FBD">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29.2质疑供应商应按照财政部制定的《政府采购质疑函范本》格式和《政府采购质疑和投诉办法》的要求，在法定质疑期内以书面形式提出质疑，超出法定质疑期提交的质疑将被拒绝。针对同一采购程序环节的质疑应一次性提出。</w:t>
      </w:r>
    </w:p>
    <w:p w14:paraId="7FBBFFDC">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29.3采购代理机构质疑函接收部门、联系电话和通讯地址，见</w:t>
      </w:r>
      <w:r>
        <w:rPr>
          <w:rFonts w:hint="eastAsia" w:ascii="宋体" w:hAnsi="宋体" w:eastAsia="宋体"/>
          <w:color w:val="auto"/>
          <w:sz w:val="24"/>
          <w:highlight w:val="none"/>
          <w:u w:val="single"/>
        </w:rPr>
        <w:t>供应商须知前附表</w:t>
      </w:r>
      <w:r>
        <w:rPr>
          <w:rFonts w:hint="eastAsia" w:ascii="宋体" w:hAnsi="宋体" w:eastAsia="宋体"/>
          <w:color w:val="auto"/>
          <w:sz w:val="24"/>
          <w:highlight w:val="none"/>
        </w:rPr>
        <w:t>。</w:t>
      </w:r>
    </w:p>
    <w:p w14:paraId="14B3D180">
      <w:pPr>
        <w:spacing w:line="440" w:lineRule="exact"/>
        <w:ind w:firstLine="435"/>
        <w:rPr>
          <w:rFonts w:ascii="宋体" w:hAnsi="宋体" w:eastAsia="宋体"/>
          <w:color w:val="auto"/>
          <w:sz w:val="24"/>
          <w:highlight w:val="none"/>
        </w:rPr>
      </w:pPr>
      <w:r>
        <w:rPr>
          <w:rFonts w:hint="eastAsia" w:ascii="宋体" w:hAnsi="宋体" w:eastAsia="宋体"/>
          <w:color w:val="auto"/>
          <w:sz w:val="24"/>
          <w:highlight w:val="none"/>
        </w:rPr>
        <w:t>29.4采购人或采购代理机构在收到供应商的质疑函后，将审查质疑函的格式、内容以及所附的证明文件是否符合要求。如不符合，说明原因退回供应商；如符合要求，则接受该质疑函。供应商对评审过程、成交结果提出质疑的，采购人、采购代理机构可以组织原谈判小组协助答复质疑。处理质疑的时间，从实际接受供应商质疑函的时间开始计算。</w:t>
      </w:r>
    </w:p>
    <w:p w14:paraId="1AD68B08">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注：上述条款中所要求的书面形式包含通过电子交易系统递交方式</w:t>
      </w:r>
      <w:r>
        <w:rPr>
          <w:rFonts w:hint="eastAsia" w:ascii="宋体" w:hAnsi="宋体" w:eastAsia="宋体"/>
          <w:color w:val="auto"/>
          <w:sz w:val="24"/>
          <w:highlight w:val="none"/>
          <w:lang w:val="en-US" w:eastAsia="zh-CN"/>
        </w:rPr>
        <w:t>。</w:t>
      </w:r>
    </w:p>
    <w:p w14:paraId="35535D63">
      <w:pPr>
        <w:spacing w:line="360" w:lineRule="auto"/>
        <w:ind w:firstLine="437"/>
        <w:outlineLvl w:val="2"/>
        <w:rPr>
          <w:rFonts w:ascii="宋体" w:hAnsi="宋体" w:eastAsia="宋体"/>
          <w:b/>
          <w:color w:val="auto"/>
          <w:sz w:val="24"/>
          <w:highlight w:val="none"/>
        </w:rPr>
      </w:pPr>
      <w:r>
        <w:rPr>
          <w:rFonts w:hint="eastAsia" w:ascii="宋体" w:hAnsi="宋体" w:eastAsia="宋体"/>
          <w:b/>
          <w:color w:val="auto"/>
          <w:sz w:val="24"/>
          <w:highlight w:val="none"/>
        </w:rPr>
        <w:t>30</w:t>
      </w:r>
      <w:r>
        <w:rPr>
          <w:rFonts w:ascii="宋体" w:hAnsi="宋体" w:eastAsia="宋体"/>
          <w:b/>
          <w:color w:val="auto"/>
          <w:sz w:val="24"/>
          <w:highlight w:val="none"/>
        </w:rPr>
        <w:t>.</w:t>
      </w:r>
      <w:r>
        <w:rPr>
          <w:rFonts w:hint="eastAsia" w:ascii="宋体" w:hAnsi="宋体" w:eastAsia="宋体"/>
          <w:b/>
          <w:color w:val="auto"/>
          <w:sz w:val="24"/>
          <w:highlight w:val="none"/>
        </w:rPr>
        <w:t>投诉</w:t>
      </w:r>
    </w:p>
    <w:p w14:paraId="2E21DD4C">
      <w:pPr>
        <w:wordWrap w:val="0"/>
        <w:spacing w:line="360" w:lineRule="auto"/>
        <w:ind w:firstLine="437"/>
        <w:outlineLvl w:val="2"/>
        <w:rPr>
          <w:rFonts w:ascii="宋体" w:hAnsi="宋体" w:eastAsia="宋体"/>
          <w:bCs/>
          <w:color w:val="auto"/>
          <w:sz w:val="24"/>
          <w:highlight w:val="none"/>
        </w:rPr>
      </w:pPr>
      <w:r>
        <w:rPr>
          <w:rFonts w:hint="eastAsia" w:ascii="宋体" w:hAnsi="宋体" w:eastAsia="宋体"/>
          <w:bCs/>
          <w:color w:val="auto"/>
          <w:sz w:val="24"/>
          <w:highlight w:val="none"/>
        </w:rPr>
        <w:t>30.1质疑投标人对采购人、采购代理机构的答复不满意，或者采购人、采购代理机构未在规定的时间内答复的，可以在答复期满后十五个工作日内按有关规定，以书面形式向同级政府采购监督管理部门提出投诉。</w:t>
      </w:r>
    </w:p>
    <w:p w14:paraId="3637604F">
      <w:pPr>
        <w:spacing w:line="360" w:lineRule="auto"/>
        <w:ind w:firstLine="437"/>
        <w:outlineLvl w:val="2"/>
        <w:rPr>
          <w:rFonts w:ascii="宋体" w:hAnsi="宋体" w:eastAsia="宋体"/>
          <w:b/>
          <w:color w:val="auto"/>
          <w:sz w:val="24"/>
          <w:highlight w:val="none"/>
        </w:rPr>
      </w:pPr>
      <w:r>
        <w:rPr>
          <w:rFonts w:hint="eastAsia" w:ascii="宋体" w:hAnsi="宋体" w:eastAsia="宋体"/>
          <w:b/>
          <w:color w:val="auto"/>
          <w:sz w:val="24"/>
          <w:highlight w:val="none"/>
        </w:rPr>
        <w:t>31</w:t>
      </w:r>
      <w:r>
        <w:rPr>
          <w:rFonts w:ascii="宋体" w:hAnsi="宋体" w:eastAsia="宋体"/>
          <w:b/>
          <w:color w:val="auto"/>
          <w:sz w:val="24"/>
          <w:highlight w:val="none"/>
        </w:rPr>
        <w:t>.需要补充的其他内容</w:t>
      </w:r>
    </w:p>
    <w:p w14:paraId="6F1573EC">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需要补充的其他内容，见</w:t>
      </w:r>
      <w:r>
        <w:rPr>
          <w:rFonts w:hint="eastAsia" w:ascii="宋体" w:hAnsi="宋体" w:eastAsia="宋体"/>
          <w:color w:val="auto"/>
          <w:sz w:val="24"/>
          <w:highlight w:val="none"/>
          <w:u w:val="single"/>
        </w:rPr>
        <w:t>供应商须知前附表</w:t>
      </w:r>
      <w:r>
        <w:rPr>
          <w:rFonts w:hint="eastAsia" w:ascii="宋体" w:hAnsi="宋体" w:eastAsia="宋体"/>
          <w:color w:val="auto"/>
          <w:sz w:val="24"/>
          <w:highlight w:val="none"/>
        </w:rPr>
        <w:t>。</w:t>
      </w:r>
    </w:p>
    <w:p w14:paraId="340FA7FA">
      <w:pPr>
        <w:widowControl/>
        <w:jc w:val="left"/>
        <w:rPr>
          <w:rFonts w:asciiTheme="minorEastAsia" w:hAnsiTheme="minorEastAsia" w:eastAsiaTheme="minorEastAsia"/>
          <w:b/>
          <w:color w:val="auto"/>
          <w:sz w:val="28"/>
          <w:highlight w:val="none"/>
        </w:rPr>
      </w:pPr>
      <w:r>
        <w:rPr>
          <w:rFonts w:asciiTheme="minorEastAsia" w:hAnsiTheme="minorEastAsia" w:eastAsiaTheme="minorEastAsia"/>
          <w:color w:val="auto"/>
          <w:sz w:val="24"/>
          <w:highlight w:val="none"/>
        </w:rPr>
        <w:br w:type="page"/>
      </w:r>
    </w:p>
    <w:p w14:paraId="5F0C5A6B">
      <w:pPr>
        <w:spacing w:line="360" w:lineRule="auto"/>
        <w:jc w:val="center"/>
        <w:outlineLvl w:val="0"/>
        <w:rPr>
          <w:rFonts w:asciiTheme="minorEastAsia" w:hAnsiTheme="minorEastAsia" w:eastAsiaTheme="minorEastAsia"/>
          <w:b/>
          <w:color w:val="auto"/>
          <w:sz w:val="28"/>
          <w:highlight w:val="none"/>
        </w:rPr>
      </w:pPr>
      <w:bookmarkStart w:id="25" w:name="_Toc12846"/>
      <w:r>
        <w:rPr>
          <w:rFonts w:hint="eastAsia" w:asciiTheme="minorEastAsia" w:hAnsiTheme="minorEastAsia" w:eastAsiaTheme="minorEastAsia"/>
          <w:b/>
          <w:color w:val="auto"/>
          <w:sz w:val="28"/>
          <w:highlight w:val="none"/>
        </w:rPr>
        <w:t>第三章  采购需求</w:t>
      </w:r>
      <w:bookmarkEnd w:id="25"/>
    </w:p>
    <w:p w14:paraId="660A861B">
      <w:pPr>
        <w:pStyle w:val="24"/>
        <w:keepNext w:val="0"/>
        <w:keepLines w:val="0"/>
        <w:widowControl/>
        <w:suppressLineNumbers w:val="0"/>
        <w:shd w:val="clear" w:fill="FFFFFF"/>
        <w:spacing w:before="217" w:beforeAutospacing="0" w:after="217" w:afterAutospacing="0"/>
        <w:ind w:left="0" w:right="0" w:firstLine="0"/>
        <w:rPr>
          <w:rFonts w:ascii="Segoe UI" w:hAnsi="Segoe UI" w:eastAsia="Segoe UI" w:cs="Segoe UI"/>
          <w:i w:val="0"/>
          <w:iCs w:val="0"/>
          <w:caps w:val="0"/>
          <w:color w:val="auto"/>
          <w:spacing w:val="0"/>
          <w:sz w:val="24"/>
          <w:szCs w:val="24"/>
          <w:highlight w:val="none"/>
        </w:rPr>
      </w:pPr>
      <w:bookmarkStart w:id="26" w:name="_Hlk16461016"/>
      <w:bookmarkStart w:id="27" w:name="_Toc15927"/>
      <w:bookmarkStart w:id="28" w:name="_Toc30537"/>
      <w:r>
        <w:rPr>
          <w:rFonts w:hint="eastAsia" w:asciiTheme="minorEastAsia" w:hAnsiTheme="minorEastAsia" w:eastAsiaTheme="minorEastAsia"/>
          <w:b/>
          <w:bCs/>
          <w:color w:val="auto"/>
          <w:sz w:val="24"/>
          <w:highlight w:val="none"/>
          <w:lang w:val="en-US" w:eastAsia="zh-CN"/>
        </w:rPr>
        <w:t>一、</w:t>
      </w:r>
      <w:r>
        <w:rPr>
          <w:rFonts w:hint="default" w:ascii="Segoe UI" w:hAnsi="Segoe UI" w:eastAsia="Segoe UI" w:cs="Segoe UI"/>
          <w:b/>
          <w:bCs/>
          <w:i w:val="0"/>
          <w:iCs w:val="0"/>
          <w:caps w:val="0"/>
          <w:color w:val="auto"/>
          <w:spacing w:val="0"/>
          <w:sz w:val="24"/>
          <w:szCs w:val="24"/>
          <w:highlight w:val="none"/>
          <w:shd w:val="clear" w:fill="FFFFFF"/>
        </w:rPr>
        <w:t>项目概况</w:t>
      </w:r>
    </w:p>
    <w:p w14:paraId="1B8914F8">
      <w:pPr>
        <w:pStyle w:val="24"/>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440" w:lineRule="exact"/>
        <w:ind w:left="0" w:right="0" w:firstLine="480" w:firstLineChars="200"/>
        <w:textAlignment w:val="auto"/>
        <w:rPr>
          <w:rFonts w:hint="eastAsia" w:ascii="宋体" w:hAnsi="宋体" w:eastAsia="宋体" w:cs="@仿宋_GB2312"/>
          <w:bCs/>
          <w:color w:val="auto"/>
          <w:kern w:val="2"/>
          <w:sz w:val="24"/>
          <w:highlight w:val="none"/>
          <w:lang w:val="en-US" w:eastAsia="zh-CN" w:bidi="ar-SA"/>
        </w:rPr>
      </w:pPr>
      <w:r>
        <w:rPr>
          <w:rFonts w:hint="default" w:ascii="宋体" w:hAnsi="宋体" w:eastAsia="宋体" w:cs="@仿宋_GB2312"/>
          <w:bCs/>
          <w:color w:val="auto"/>
          <w:kern w:val="2"/>
          <w:sz w:val="24"/>
          <w:highlight w:val="none"/>
          <w:lang w:val="en-US" w:eastAsia="zh-CN" w:bidi="ar-SA"/>
        </w:rPr>
        <w:t>2026年滁州市就业创业政策及公共就业服务宣传项目</w:t>
      </w:r>
      <w:r>
        <w:rPr>
          <w:rFonts w:hint="eastAsia" w:ascii="宋体" w:hAnsi="宋体" w:eastAsia="宋体" w:cs="@仿宋_GB2312"/>
          <w:bCs/>
          <w:color w:val="auto"/>
          <w:kern w:val="2"/>
          <w:sz w:val="24"/>
          <w:highlight w:val="none"/>
          <w:lang w:val="en-US" w:eastAsia="zh-CN" w:bidi="ar-SA"/>
        </w:rPr>
        <w:t>（二次）</w:t>
      </w:r>
      <w:r>
        <w:rPr>
          <w:rFonts w:hint="default" w:ascii="宋体" w:hAnsi="宋体" w:eastAsia="宋体" w:cs="@仿宋_GB2312"/>
          <w:bCs/>
          <w:color w:val="auto"/>
          <w:kern w:val="2"/>
          <w:sz w:val="24"/>
          <w:highlight w:val="none"/>
          <w:lang w:val="en-US" w:eastAsia="zh-CN" w:bidi="ar-SA"/>
        </w:rPr>
        <w:t>，服务期为2026年</w:t>
      </w:r>
      <w:r>
        <w:rPr>
          <w:rFonts w:hint="eastAsia" w:ascii="宋体" w:hAnsi="宋体" w:eastAsia="宋体" w:cs="@仿宋_GB2312"/>
          <w:bCs/>
          <w:color w:val="auto"/>
          <w:kern w:val="2"/>
          <w:sz w:val="24"/>
          <w:highlight w:val="none"/>
          <w:lang w:val="en-US" w:eastAsia="zh-CN" w:bidi="ar-SA"/>
        </w:rPr>
        <w:t>9</w:t>
      </w:r>
      <w:r>
        <w:rPr>
          <w:rFonts w:hint="default" w:ascii="宋体" w:hAnsi="宋体" w:eastAsia="宋体" w:cs="@仿宋_GB2312"/>
          <w:bCs/>
          <w:color w:val="auto"/>
          <w:kern w:val="2"/>
          <w:sz w:val="24"/>
          <w:highlight w:val="none"/>
          <w:lang w:val="en-US" w:eastAsia="zh-CN" w:bidi="ar-SA"/>
        </w:rPr>
        <w:t>月至2027年7月。项目预算26万元，资金从中央就业补助资金中列支。采购人通过竞争性谈判方式择优选定一家供应商，承担本项目的全部宣传视频制作及配套宣传工作</w:t>
      </w:r>
      <w:r>
        <w:rPr>
          <w:rFonts w:hint="eastAsia" w:ascii="宋体" w:hAnsi="宋体" w:eastAsia="宋体" w:cs="@仿宋_GB2312"/>
          <w:bCs/>
          <w:color w:val="auto"/>
          <w:kern w:val="2"/>
          <w:sz w:val="24"/>
          <w:highlight w:val="none"/>
          <w:lang w:val="en-US" w:eastAsia="zh-CN" w:bidi="ar-SA"/>
        </w:rPr>
        <w:t>。</w:t>
      </w:r>
    </w:p>
    <w:p w14:paraId="6942607F">
      <w:pPr>
        <w:spacing w:line="360" w:lineRule="auto"/>
        <w:rPr>
          <w:rFonts w:hint="eastAsia" w:asciiTheme="minorEastAsia" w:hAnsiTheme="minorEastAsia" w:eastAsiaTheme="minorEastAsia"/>
          <w:b/>
          <w:bCs/>
          <w:color w:val="auto"/>
          <w:sz w:val="24"/>
          <w:highlight w:val="none"/>
          <w:lang w:val="en-US" w:eastAsia="zh-CN"/>
        </w:rPr>
      </w:pPr>
      <w:r>
        <w:rPr>
          <w:rFonts w:hint="eastAsia" w:asciiTheme="minorEastAsia" w:hAnsiTheme="minorEastAsia" w:eastAsiaTheme="minorEastAsia"/>
          <w:b/>
          <w:bCs/>
          <w:color w:val="auto"/>
          <w:sz w:val="24"/>
          <w:highlight w:val="none"/>
          <w:lang w:val="en-US" w:eastAsia="zh-CN"/>
        </w:rPr>
        <w:t>二、</w:t>
      </w:r>
      <w:r>
        <w:rPr>
          <w:rFonts w:ascii="Segoe UI" w:hAnsi="Segoe UI" w:eastAsia="Segoe UI" w:cs="Segoe UI"/>
          <w:b/>
          <w:bCs/>
          <w:i w:val="0"/>
          <w:iCs w:val="0"/>
          <w:caps w:val="0"/>
          <w:color w:val="auto"/>
          <w:spacing w:val="0"/>
          <w:sz w:val="24"/>
          <w:szCs w:val="24"/>
          <w:highlight w:val="none"/>
          <w:shd w:val="clear" w:fill="FFFFFF"/>
        </w:rPr>
        <w:t>服务内容及技术要</w:t>
      </w:r>
      <w:r>
        <w:rPr>
          <w:rFonts w:hint="eastAsia" w:asciiTheme="minorEastAsia" w:hAnsiTheme="minorEastAsia" w:eastAsiaTheme="minorEastAsia"/>
          <w:b/>
          <w:bCs/>
          <w:color w:val="auto"/>
          <w:sz w:val="24"/>
          <w:highlight w:val="none"/>
          <w:lang w:val="en-US" w:eastAsia="zh-CN"/>
        </w:rPr>
        <w:t>求</w:t>
      </w:r>
    </w:p>
    <w:p w14:paraId="606C07E5">
      <w:pPr>
        <w:spacing w:line="360" w:lineRule="auto"/>
        <w:ind w:firstLine="482" w:firstLineChars="200"/>
        <w:rPr>
          <w:rFonts w:hint="eastAsia" w:asciiTheme="minorEastAsia" w:hAnsiTheme="minorEastAsia" w:eastAsiaTheme="minorEastAsia"/>
          <w:b/>
          <w:bCs/>
          <w:color w:val="auto"/>
          <w:sz w:val="24"/>
          <w:highlight w:val="none"/>
          <w:lang w:val="en-US" w:eastAsia="zh-CN"/>
        </w:rPr>
      </w:pPr>
      <w:r>
        <w:rPr>
          <w:rFonts w:hint="eastAsia" w:asciiTheme="minorEastAsia" w:hAnsiTheme="minorEastAsia" w:eastAsiaTheme="minorEastAsia"/>
          <w:b/>
          <w:bCs/>
          <w:color w:val="auto"/>
          <w:sz w:val="24"/>
          <w:highlight w:val="none"/>
          <w:lang w:val="en-US" w:eastAsia="zh-CN"/>
        </w:rPr>
        <w:t>（一）政策业务宣传（18部视频）</w:t>
      </w:r>
    </w:p>
    <w:p w14:paraId="64A76501">
      <w:pPr>
        <w:spacing w:line="360" w:lineRule="auto"/>
        <w:ind w:firstLine="480" w:firstLineChars="200"/>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1.内容要求：聚焦群众与企业关切，紧扣就业创业服务高频需求，重点宣传公共就业服务事项、线上业务平台、标准化经办流程等18项核心内容。供应商应根据采购人提供的政策清单和业务素材，逐项完成视频策划、脚本撰写、动画/实拍制作、配音配乐、后期剪辑等全流程工作。</w:t>
      </w:r>
    </w:p>
    <w:p w14:paraId="426FED8D">
      <w:pPr>
        <w:spacing w:line="360" w:lineRule="auto"/>
        <w:ind w:firstLine="480" w:firstLineChars="200"/>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2.技术要求：</w:t>
      </w:r>
    </w:p>
    <w:p w14:paraId="4DF6C259">
      <w:pPr>
        <w:spacing w:line="360" w:lineRule="auto"/>
        <w:ind w:firstLine="480" w:firstLineChars="200"/>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每部时长不少于60秒；</w:t>
      </w:r>
    </w:p>
    <w:p w14:paraId="3BFDCDF5">
      <w:pPr>
        <w:spacing w:line="360" w:lineRule="auto"/>
        <w:ind w:firstLine="480" w:firstLineChars="200"/>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以MG动画（动态图形动画）为主要表现形式；</w:t>
      </w:r>
    </w:p>
    <w:p w14:paraId="36DE581A">
      <w:pPr>
        <w:spacing w:line="360" w:lineRule="auto"/>
        <w:ind w:firstLine="480" w:firstLineChars="200"/>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画质不低于1080P（1920×1080），帧率不低于25fps；</w:t>
      </w:r>
    </w:p>
    <w:p w14:paraId="0FAF03DE">
      <w:pPr>
        <w:spacing w:line="360" w:lineRule="auto"/>
        <w:ind w:firstLine="480" w:firstLineChars="200"/>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交付格式为MP4（H.264编码）及工程文件（源文件）各一份；</w:t>
      </w:r>
    </w:p>
    <w:p w14:paraId="75CAB033">
      <w:pPr>
        <w:spacing w:line="360" w:lineRule="auto"/>
        <w:ind w:firstLine="480" w:firstLineChars="200"/>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配音需使用标准普通话，语速适中，配乐应贴合政策宣传主题。</w:t>
      </w:r>
    </w:p>
    <w:p w14:paraId="4B6D3B48">
      <w:pPr>
        <w:spacing w:line="360" w:lineRule="auto"/>
        <w:ind w:firstLine="480" w:firstLineChars="200"/>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3.发布要求：依托地方主流媒体开展多维度宣传，确保18部视频全部发布，提升政策知晓度与经办落实率。</w:t>
      </w:r>
    </w:p>
    <w:p w14:paraId="5CC345CB">
      <w:pPr>
        <w:spacing w:line="360" w:lineRule="auto"/>
        <w:ind w:firstLine="482" w:firstLineChars="200"/>
        <w:rPr>
          <w:rFonts w:hint="eastAsia" w:asciiTheme="minorEastAsia" w:hAnsiTheme="minorEastAsia" w:eastAsiaTheme="minorEastAsia"/>
          <w:b/>
          <w:bCs/>
          <w:color w:val="auto"/>
          <w:sz w:val="24"/>
          <w:highlight w:val="none"/>
          <w:lang w:val="en-US" w:eastAsia="zh-CN"/>
        </w:rPr>
      </w:pPr>
      <w:r>
        <w:rPr>
          <w:rFonts w:hint="eastAsia" w:asciiTheme="minorEastAsia" w:hAnsiTheme="minorEastAsia" w:eastAsiaTheme="minorEastAsia"/>
          <w:b/>
          <w:bCs/>
          <w:color w:val="auto"/>
          <w:sz w:val="24"/>
          <w:highlight w:val="none"/>
          <w:lang w:val="en-US" w:eastAsia="zh-CN"/>
        </w:rPr>
        <w:t>（二）专项活动宣传（不少于18部视频）</w:t>
      </w:r>
    </w:p>
    <w:p w14:paraId="465FA9F8">
      <w:pPr>
        <w:spacing w:line="360" w:lineRule="auto"/>
        <w:ind w:firstLine="480" w:firstLineChars="200"/>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1.内容要求：围绕本年度就业招聘专项活动、创业大赛等人社重点活动，提供全程视频宣传保障。供应商应根据采购人全年活动计划，提前制定拍摄方案，确保活动当天或次日内完成素材采集。</w:t>
      </w:r>
    </w:p>
    <w:p w14:paraId="1A9FA469">
      <w:pPr>
        <w:spacing w:line="360" w:lineRule="auto"/>
        <w:ind w:firstLine="480" w:firstLineChars="200"/>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2.技术要求：</w:t>
      </w:r>
    </w:p>
    <w:p w14:paraId="0C197389">
      <w:pPr>
        <w:spacing w:line="360" w:lineRule="auto"/>
        <w:ind w:firstLine="480" w:firstLineChars="200"/>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全年制作活动视频不少于18部，每部时长不少于60秒；</w:t>
      </w:r>
    </w:p>
    <w:p w14:paraId="4E53AFA3">
      <w:pPr>
        <w:spacing w:line="360" w:lineRule="auto"/>
        <w:ind w:firstLine="480" w:firstLineChars="200"/>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以实拍+剪辑为主要形式，可根据需要加入少量动画元素；</w:t>
      </w:r>
    </w:p>
    <w:p w14:paraId="0D392C07">
      <w:pPr>
        <w:spacing w:line="360" w:lineRule="auto"/>
        <w:ind w:firstLine="480" w:firstLineChars="200"/>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画质不低于1080P（1920×1080）；</w:t>
      </w:r>
    </w:p>
    <w:p w14:paraId="37CFF41C">
      <w:pPr>
        <w:spacing w:line="360" w:lineRule="auto"/>
        <w:ind w:firstLine="480" w:firstLineChars="200"/>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交付格式为MP4及工程文件各一份。</w:t>
      </w:r>
    </w:p>
    <w:p w14:paraId="5A7E883A">
      <w:pPr>
        <w:spacing w:line="360" w:lineRule="auto"/>
        <w:ind w:firstLine="480" w:firstLineChars="200"/>
        <w:rPr>
          <w:rFonts w:hint="eastAsia" w:asciiTheme="minorEastAsia" w:hAnsiTheme="minorEastAsia" w:eastAsiaTheme="minorEastAsia"/>
          <w:color w:val="auto"/>
          <w:sz w:val="24"/>
          <w:highlight w:val="none"/>
          <w:lang w:val="en-US" w:eastAsia="zh-CN"/>
        </w:rPr>
      </w:pPr>
    </w:p>
    <w:p w14:paraId="1DAC1569">
      <w:pPr>
        <w:spacing w:line="360" w:lineRule="auto"/>
        <w:ind w:firstLine="480" w:firstLineChars="200"/>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发布要求：每场活动视频应在活动结束后2个工作日内交付成品，依托地方主流媒体发布，确保活动宣传有影响力、见实效。</w:t>
      </w:r>
    </w:p>
    <w:p w14:paraId="7542DCE1">
      <w:pPr>
        <w:spacing w:line="360" w:lineRule="auto"/>
        <w:ind w:firstLine="482" w:firstLineChars="200"/>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b/>
          <w:bCs/>
          <w:color w:val="auto"/>
          <w:sz w:val="24"/>
          <w:highlight w:val="none"/>
          <w:lang w:val="en-US" w:eastAsia="zh-CN"/>
        </w:rPr>
        <w:t>（三）重点优质企业形象展播（15部视频）</w:t>
      </w:r>
    </w:p>
    <w:p w14:paraId="038A3C1D">
      <w:pPr>
        <w:spacing w:line="360" w:lineRule="auto"/>
        <w:ind w:firstLine="480" w:firstLineChars="200"/>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1.内容要求：在苏滁现代产业园、滁州经济技术开发区选取15家高校毕业生需求量大的优质重点企业制作宣传视频，全面展示企业形象、岗位需求、待遇保障等关键信息，主要用于校园招聘服务，提升高校毕业生求职与企业引才匹配度。</w:t>
      </w:r>
    </w:p>
    <w:p w14:paraId="6238BFA7">
      <w:pPr>
        <w:spacing w:line="360" w:lineRule="auto"/>
        <w:ind w:firstLine="480" w:firstLineChars="200"/>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2.技术要求：</w:t>
      </w:r>
    </w:p>
    <w:p w14:paraId="7AFBA31A">
      <w:pPr>
        <w:spacing w:line="360" w:lineRule="auto"/>
        <w:ind w:firstLine="480" w:firstLineChars="200"/>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每部时长不少于120秒；</w:t>
      </w:r>
    </w:p>
    <w:p w14:paraId="65DA9674">
      <w:pPr>
        <w:spacing w:line="360" w:lineRule="auto"/>
        <w:ind w:firstLine="480" w:firstLineChars="200"/>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以实拍为主，可融入航拍、访谈、工作场景展示等多元手法；</w:t>
      </w:r>
    </w:p>
    <w:p w14:paraId="375DBE24">
      <w:pPr>
        <w:spacing w:line="360" w:lineRule="auto"/>
        <w:ind w:firstLine="480" w:firstLineChars="200"/>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画质不低于1080P（1920×1080）；</w:t>
      </w:r>
    </w:p>
    <w:p w14:paraId="6C4F0039">
      <w:pPr>
        <w:spacing w:line="360" w:lineRule="auto"/>
        <w:ind w:firstLine="480" w:firstLineChars="200"/>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交付格式为MP4及工程文件各一份；</w:t>
      </w:r>
    </w:p>
    <w:p w14:paraId="119B3325">
      <w:pPr>
        <w:spacing w:line="360" w:lineRule="auto"/>
        <w:ind w:firstLine="480" w:firstLineChars="200"/>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每部视频需配备适用于校园招聘场景的简短版本（时长30秒，用于新媒体传播）。</w:t>
      </w:r>
    </w:p>
    <w:p w14:paraId="033075A9">
      <w:pPr>
        <w:spacing w:line="360" w:lineRule="auto"/>
        <w:ind w:firstLine="480" w:firstLineChars="200"/>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交付节点：15部企业视频应在合同签订后4个月内分批完成交付。</w:t>
      </w:r>
    </w:p>
    <w:p w14:paraId="743E206E">
      <w:pPr>
        <w:spacing w:line="360" w:lineRule="auto"/>
        <w:ind w:firstLine="480" w:firstLineChars="200"/>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（四）其他工作要求</w:t>
      </w:r>
    </w:p>
    <w:p w14:paraId="3A1F9EF6">
      <w:pPr>
        <w:spacing w:line="360" w:lineRule="auto"/>
        <w:ind w:firstLine="480" w:firstLineChars="200"/>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1.前期策划：供应商须在合同签订后10个工作日内提交整体宣传策划方案（含月度/季度拍摄制作与发布详细计划），经采购人审核同意后实施。</w:t>
      </w:r>
    </w:p>
    <w:p w14:paraId="7C9D8CB1">
      <w:pPr>
        <w:spacing w:line="360" w:lineRule="auto"/>
        <w:ind w:firstLine="480" w:firstLineChars="200"/>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2.审核机制：所有宣传成品须经采购人各业务科室审核确认后方可发布。供应商应根据审核意见在3个工作日内完成修改。</w:t>
      </w:r>
    </w:p>
    <w:p w14:paraId="707B0699">
      <w:pPr>
        <w:spacing w:line="360" w:lineRule="auto"/>
        <w:ind w:firstLine="480" w:firstLineChars="200"/>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3.动态调整：合同履行期间，根据政策调整和活动进展，采购人有权要求供应商动态优化宣传重点和内容。</w:t>
      </w:r>
    </w:p>
    <w:p w14:paraId="7400B741">
      <w:pPr>
        <w:spacing w:line="360" w:lineRule="auto"/>
        <w:ind w:firstLine="480" w:firstLineChars="200"/>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4.人员配置：供应商应配备不少于3人的专业服务团队（含项目负责人1名、文案策划1名、视频制作人员至少1名），团队人员须保持相对稳定，更换主要人员须经采购人书面同意。</w:t>
      </w:r>
    </w:p>
    <w:p w14:paraId="13E138F6">
      <w:pPr>
        <w:spacing w:line="360" w:lineRule="auto"/>
        <w:ind w:firstLine="482" w:firstLineChars="200"/>
        <w:rPr>
          <w:rFonts w:ascii="Segoe UI" w:hAnsi="Segoe UI" w:eastAsia="Segoe UI" w:cs="Segoe UI"/>
          <w:b/>
          <w:bCs/>
          <w:i w:val="0"/>
          <w:iCs w:val="0"/>
          <w:caps w:val="0"/>
          <w:color w:val="auto"/>
          <w:spacing w:val="0"/>
          <w:sz w:val="24"/>
          <w:szCs w:val="24"/>
          <w:highlight w:val="none"/>
          <w:shd w:val="clear" w:fill="FFFFFF"/>
        </w:rPr>
      </w:pPr>
      <w:r>
        <w:rPr>
          <w:rFonts w:hint="eastAsia" w:asciiTheme="minorEastAsia" w:hAnsiTheme="minorEastAsia" w:eastAsiaTheme="minorEastAsia"/>
          <w:b/>
          <w:bCs/>
          <w:color w:val="auto"/>
          <w:sz w:val="24"/>
          <w:highlight w:val="none"/>
          <w:lang w:val="en-US" w:eastAsia="zh-CN"/>
        </w:rPr>
        <w:t>三、</w:t>
      </w:r>
      <w:r>
        <w:rPr>
          <w:rFonts w:ascii="Segoe UI" w:hAnsi="Segoe UI" w:eastAsia="Segoe UI" w:cs="Segoe UI"/>
          <w:b/>
          <w:bCs/>
          <w:i w:val="0"/>
          <w:iCs w:val="0"/>
          <w:caps w:val="0"/>
          <w:color w:val="auto"/>
          <w:spacing w:val="0"/>
          <w:sz w:val="24"/>
          <w:szCs w:val="24"/>
          <w:highlight w:val="none"/>
          <w:shd w:val="clear" w:fill="FFFFFF"/>
        </w:rPr>
        <w:t>知识产权要求</w:t>
      </w:r>
    </w:p>
    <w:p w14:paraId="30180CAD">
      <w:pPr>
        <w:spacing w:line="360" w:lineRule="auto"/>
        <w:ind w:firstLine="480" w:firstLineChars="200"/>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1.本次采购服务所产生的全部视频、图文等宣传素材，其完整知识产权（包括但不限于著作权、信息网络传播权、改编权等）归滁州市人力资源和社会保障局所有</w:t>
      </w:r>
      <w:r>
        <w:rPr>
          <w:rFonts w:hint="default" w:asciiTheme="minorEastAsia" w:hAnsiTheme="minorEastAsia" w:eastAsiaTheme="minorEastAsia"/>
          <w:color w:val="auto"/>
          <w:sz w:val="24"/>
          <w:highlight w:val="none"/>
          <w:lang w:val="en-US" w:eastAsia="zh-CN"/>
        </w:rPr>
        <w:t>。</w:t>
      </w:r>
    </w:p>
    <w:p w14:paraId="4EAFFBC3">
      <w:pPr>
        <w:spacing w:line="360" w:lineRule="auto"/>
        <w:ind w:firstLine="480" w:firstLineChars="200"/>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2.</w:t>
      </w:r>
      <w:r>
        <w:rPr>
          <w:rFonts w:hint="default" w:asciiTheme="minorEastAsia" w:hAnsiTheme="minorEastAsia" w:eastAsiaTheme="minorEastAsia"/>
          <w:color w:val="auto"/>
          <w:sz w:val="24"/>
          <w:highlight w:val="none"/>
          <w:lang w:val="en-US" w:eastAsia="zh-CN"/>
        </w:rPr>
        <w:t>供应商须保证所提供的服务或其任何一部分均不会侵犯任何第三方的知识产权（包括但不限于著作权、商标权、专利权等）。如因供应商原因引发任何第三方侵权指控，供应商须承担由此发生的一切责任、费用和赔偿。</w:t>
      </w:r>
    </w:p>
    <w:p w14:paraId="0D6F758D">
      <w:pPr>
        <w:spacing w:line="360" w:lineRule="auto"/>
        <w:ind w:firstLine="480" w:firstLineChars="200"/>
        <w:rPr>
          <w:rFonts w:hint="eastAsia"/>
          <w:color w:val="auto"/>
          <w:highlight w:val="none"/>
          <w:lang w:val="en-US" w:eastAsia="zh-CN"/>
        </w:rPr>
      </w:pPr>
      <w:r>
        <w:rPr>
          <w:rFonts w:hint="eastAsia" w:asciiTheme="minorEastAsia" w:hAnsiTheme="minorEastAsia" w:eastAsiaTheme="minorEastAsia"/>
          <w:color w:val="auto"/>
          <w:sz w:val="24"/>
          <w:highlight w:val="none"/>
          <w:lang w:val="en-US" w:eastAsia="zh-CN"/>
        </w:rPr>
        <w:t>3.</w:t>
      </w:r>
      <w:r>
        <w:rPr>
          <w:rFonts w:hint="default" w:asciiTheme="minorEastAsia" w:hAnsiTheme="minorEastAsia" w:eastAsiaTheme="minorEastAsia"/>
          <w:color w:val="auto"/>
          <w:sz w:val="24"/>
          <w:highlight w:val="none"/>
          <w:lang w:val="en-US" w:eastAsia="zh-CN"/>
        </w:rPr>
        <w:t>供应商交付的素材格式需满足二次编辑、转载、多平台传播等使用需求，确保后期长效复用。</w:t>
      </w:r>
    </w:p>
    <w:p w14:paraId="7FA23500">
      <w:pPr>
        <w:numPr>
          <w:ilvl w:val="0"/>
          <w:numId w:val="3"/>
        </w:numPr>
        <w:spacing w:line="360" w:lineRule="auto"/>
        <w:ind w:firstLine="482" w:firstLineChars="200"/>
        <w:rPr>
          <w:rFonts w:hint="eastAsia" w:asciiTheme="minorEastAsia" w:hAnsiTheme="minorEastAsia" w:eastAsiaTheme="minorEastAsia"/>
          <w:b/>
          <w:bCs/>
          <w:color w:val="auto"/>
          <w:sz w:val="24"/>
          <w:highlight w:val="none"/>
          <w:lang w:val="en-US" w:eastAsia="zh-CN"/>
        </w:rPr>
      </w:pPr>
      <w:r>
        <w:rPr>
          <w:rFonts w:hint="eastAsia" w:asciiTheme="minorEastAsia" w:hAnsiTheme="minorEastAsia" w:eastAsiaTheme="minorEastAsia"/>
          <w:b/>
          <w:bCs/>
          <w:color w:val="auto"/>
          <w:sz w:val="24"/>
          <w:highlight w:val="none"/>
          <w:lang w:val="en-US" w:eastAsia="zh-CN"/>
        </w:rPr>
        <w:t xml:space="preserve">交付物要求     </w:t>
      </w:r>
    </w:p>
    <w:p w14:paraId="1FCC1934">
      <w:pPr>
        <w:spacing w:line="360" w:lineRule="auto"/>
        <w:ind w:firstLine="480" w:firstLineChars="200"/>
        <w:rPr>
          <w:rFonts w:hint="default"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 xml:space="preserve"> </w:t>
      </w:r>
      <w:r>
        <w:rPr>
          <w:rFonts w:hint="default" w:asciiTheme="minorEastAsia" w:hAnsiTheme="minorEastAsia" w:eastAsiaTheme="minorEastAsia"/>
          <w:color w:val="auto"/>
          <w:sz w:val="24"/>
          <w:highlight w:val="none"/>
          <w:lang w:val="en-US" w:eastAsia="zh-CN"/>
        </w:rPr>
        <w:t>供应商在服务期内应向采购人交付以下成果：</w:t>
      </w:r>
    </w:p>
    <w:tbl>
      <w:tblPr>
        <w:tblStyle w:val="29"/>
        <w:tblW w:w="899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785"/>
        <w:gridCol w:w="2492"/>
        <w:gridCol w:w="1494"/>
        <w:gridCol w:w="4219"/>
      </w:tblGrid>
      <w:tr w14:paraId="77F45B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blHeader/>
        </w:trPr>
        <w:tc>
          <w:tcPr>
            <w:tcW w:w="785" w:type="dxa"/>
            <w:tcBorders>
              <w:top w:val="single" w:color="auto" w:sz="4" w:space="0"/>
              <w:left w:val="single" w:color="auto" w:sz="4" w:space="0"/>
              <w:bottom w:val="single" w:color="auto" w:sz="4" w:space="0"/>
              <w:right w:val="single" w:color="auto" w:sz="4" w:space="0"/>
            </w:tcBorders>
            <w:shd w:val="clear" w:color="auto" w:fill="auto"/>
            <w:tcMar>
              <w:top w:w="150" w:type="dxa"/>
              <w:left w:w="0" w:type="dxa"/>
              <w:bottom w:w="150" w:type="dxa"/>
              <w:right w:w="240" w:type="dxa"/>
            </w:tcMar>
            <w:vAlign w:val="center"/>
          </w:tcPr>
          <w:p w14:paraId="6E78C030">
            <w:pPr>
              <w:spacing w:line="360" w:lineRule="auto"/>
              <w:jc w:val="center"/>
              <w:rPr>
                <w:rFonts w:hint="default" w:asciiTheme="minorEastAsia" w:hAnsiTheme="minorEastAsia" w:eastAsiaTheme="minorEastAsia"/>
                <w:color w:val="auto"/>
                <w:sz w:val="24"/>
                <w:highlight w:val="none"/>
                <w:lang w:val="en-US" w:eastAsia="zh-CN"/>
              </w:rPr>
            </w:pPr>
            <w:r>
              <w:rPr>
                <w:rFonts w:hint="default" w:asciiTheme="minorEastAsia" w:hAnsiTheme="minorEastAsia" w:eastAsiaTheme="minorEastAsia"/>
                <w:color w:val="auto"/>
                <w:sz w:val="24"/>
                <w:highlight w:val="none"/>
                <w:lang w:val="en-US" w:eastAsia="zh-CN"/>
              </w:rPr>
              <w:t>序号</w:t>
            </w:r>
          </w:p>
        </w:tc>
        <w:tc>
          <w:tcPr>
            <w:tcW w:w="2492" w:type="dxa"/>
            <w:tcBorders>
              <w:top w:val="single" w:color="auto" w:sz="4" w:space="0"/>
              <w:left w:val="single" w:color="auto" w:sz="4" w:space="0"/>
              <w:bottom w:val="single" w:color="auto" w:sz="4" w:space="0"/>
              <w:right w:val="single" w:color="auto" w:sz="4" w:space="0"/>
            </w:tcBorders>
            <w:shd w:val="clear" w:color="auto" w:fill="auto"/>
            <w:tcMar>
              <w:top w:w="150" w:type="dxa"/>
              <w:left w:w="240" w:type="dxa"/>
              <w:bottom w:w="150" w:type="dxa"/>
              <w:right w:w="240" w:type="dxa"/>
            </w:tcMar>
            <w:vAlign w:val="center"/>
          </w:tcPr>
          <w:p w14:paraId="535B3E9D">
            <w:pPr>
              <w:spacing w:line="360" w:lineRule="auto"/>
              <w:jc w:val="center"/>
              <w:rPr>
                <w:rFonts w:hint="default" w:asciiTheme="minorEastAsia" w:hAnsiTheme="minorEastAsia" w:eastAsiaTheme="minorEastAsia"/>
                <w:color w:val="auto"/>
                <w:sz w:val="24"/>
                <w:highlight w:val="none"/>
                <w:lang w:val="en-US" w:eastAsia="zh-CN"/>
              </w:rPr>
            </w:pPr>
            <w:r>
              <w:rPr>
                <w:rFonts w:hint="default" w:asciiTheme="minorEastAsia" w:hAnsiTheme="minorEastAsia" w:eastAsiaTheme="minorEastAsia"/>
                <w:color w:val="auto"/>
                <w:sz w:val="24"/>
                <w:highlight w:val="none"/>
                <w:lang w:val="en-US" w:eastAsia="zh-CN"/>
              </w:rPr>
              <w:t>交付物名称</w:t>
            </w:r>
          </w:p>
        </w:tc>
        <w:tc>
          <w:tcPr>
            <w:tcW w:w="1494" w:type="dxa"/>
            <w:tcBorders>
              <w:top w:val="single" w:color="auto" w:sz="4" w:space="0"/>
              <w:left w:val="single" w:color="auto" w:sz="4" w:space="0"/>
              <w:bottom w:val="single" w:color="auto" w:sz="4" w:space="0"/>
              <w:right w:val="single" w:color="auto" w:sz="4" w:space="0"/>
            </w:tcBorders>
            <w:shd w:val="clear" w:color="auto" w:fill="auto"/>
            <w:tcMar>
              <w:top w:w="150" w:type="dxa"/>
              <w:left w:w="240" w:type="dxa"/>
              <w:bottom w:w="150" w:type="dxa"/>
              <w:right w:w="240" w:type="dxa"/>
            </w:tcMar>
            <w:vAlign w:val="center"/>
          </w:tcPr>
          <w:p w14:paraId="213F6690">
            <w:pPr>
              <w:spacing w:line="360" w:lineRule="auto"/>
              <w:jc w:val="center"/>
              <w:rPr>
                <w:rFonts w:hint="default" w:asciiTheme="minorEastAsia" w:hAnsiTheme="minorEastAsia" w:eastAsiaTheme="minorEastAsia"/>
                <w:color w:val="auto"/>
                <w:sz w:val="24"/>
                <w:highlight w:val="none"/>
                <w:lang w:val="en-US" w:eastAsia="zh-CN"/>
              </w:rPr>
            </w:pPr>
            <w:r>
              <w:rPr>
                <w:rFonts w:hint="default" w:asciiTheme="minorEastAsia" w:hAnsiTheme="minorEastAsia" w:eastAsiaTheme="minorEastAsia"/>
                <w:color w:val="auto"/>
                <w:sz w:val="24"/>
                <w:highlight w:val="none"/>
                <w:lang w:val="en-US" w:eastAsia="zh-CN"/>
              </w:rPr>
              <w:t>数量</w:t>
            </w:r>
          </w:p>
        </w:tc>
        <w:tc>
          <w:tcPr>
            <w:tcW w:w="4219" w:type="dxa"/>
            <w:tcBorders>
              <w:top w:val="single" w:color="auto" w:sz="4" w:space="0"/>
              <w:left w:val="single" w:color="auto" w:sz="4" w:space="0"/>
              <w:bottom w:val="single" w:color="auto" w:sz="4" w:space="0"/>
              <w:right w:val="single" w:color="auto" w:sz="4" w:space="0"/>
            </w:tcBorders>
            <w:shd w:val="clear" w:color="auto" w:fill="auto"/>
            <w:tcMar>
              <w:top w:w="150" w:type="dxa"/>
              <w:left w:w="240" w:type="dxa"/>
              <w:bottom w:w="150" w:type="dxa"/>
              <w:right w:w="240" w:type="dxa"/>
            </w:tcMar>
            <w:vAlign w:val="center"/>
          </w:tcPr>
          <w:p w14:paraId="08E4E207">
            <w:pPr>
              <w:spacing w:line="360" w:lineRule="auto"/>
              <w:jc w:val="center"/>
              <w:rPr>
                <w:rFonts w:hint="default" w:asciiTheme="minorEastAsia" w:hAnsiTheme="minorEastAsia" w:eastAsiaTheme="minorEastAsia"/>
                <w:color w:val="auto"/>
                <w:sz w:val="24"/>
                <w:highlight w:val="none"/>
                <w:lang w:val="en-US" w:eastAsia="zh-CN"/>
              </w:rPr>
            </w:pPr>
            <w:r>
              <w:rPr>
                <w:rFonts w:hint="default" w:asciiTheme="minorEastAsia" w:hAnsiTheme="minorEastAsia" w:eastAsiaTheme="minorEastAsia"/>
                <w:color w:val="auto"/>
                <w:sz w:val="24"/>
                <w:highlight w:val="none"/>
                <w:lang w:val="en-US" w:eastAsia="zh-CN"/>
              </w:rPr>
              <w:t>格式要求</w:t>
            </w:r>
          </w:p>
        </w:tc>
      </w:tr>
      <w:tr w14:paraId="0D7D21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785" w:type="dxa"/>
            <w:tcBorders>
              <w:top w:val="single" w:color="auto" w:sz="4" w:space="0"/>
              <w:left w:val="single" w:color="auto" w:sz="4" w:space="0"/>
              <w:bottom w:val="single" w:color="auto" w:sz="4" w:space="0"/>
              <w:right w:val="single" w:color="auto" w:sz="4" w:space="0"/>
            </w:tcBorders>
            <w:shd w:val="clear" w:color="auto" w:fill="auto"/>
            <w:tcMar>
              <w:top w:w="150" w:type="dxa"/>
              <w:left w:w="0" w:type="dxa"/>
              <w:bottom w:w="150" w:type="dxa"/>
              <w:right w:w="240" w:type="dxa"/>
            </w:tcMar>
            <w:vAlign w:val="center"/>
          </w:tcPr>
          <w:p w14:paraId="470B5395">
            <w:pPr>
              <w:spacing w:line="360" w:lineRule="auto"/>
              <w:jc w:val="center"/>
              <w:rPr>
                <w:rFonts w:hint="default" w:asciiTheme="minorEastAsia" w:hAnsiTheme="minorEastAsia" w:eastAsiaTheme="minorEastAsia"/>
                <w:color w:val="auto"/>
                <w:sz w:val="24"/>
                <w:highlight w:val="none"/>
                <w:lang w:val="en-US" w:eastAsia="zh-CN"/>
              </w:rPr>
            </w:pPr>
            <w:r>
              <w:rPr>
                <w:rFonts w:hint="default" w:asciiTheme="minorEastAsia" w:hAnsiTheme="minorEastAsia" w:eastAsiaTheme="minorEastAsia"/>
                <w:color w:val="auto"/>
                <w:sz w:val="24"/>
                <w:highlight w:val="none"/>
                <w:lang w:val="en-US" w:eastAsia="zh-CN"/>
              </w:rPr>
              <w:t>1</w:t>
            </w:r>
          </w:p>
        </w:tc>
        <w:tc>
          <w:tcPr>
            <w:tcW w:w="2492" w:type="dxa"/>
            <w:tcBorders>
              <w:top w:val="single" w:color="auto" w:sz="4" w:space="0"/>
              <w:left w:val="single" w:color="auto" w:sz="4" w:space="0"/>
              <w:bottom w:val="single" w:color="auto" w:sz="4" w:space="0"/>
              <w:right w:val="single" w:color="auto" w:sz="4" w:space="0"/>
            </w:tcBorders>
            <w:shd w:val="clear" w:color="auto" w:fill="auto"/>
            <w:tcMar>
              <w:top w:w="150" w:type="dxa"/>
              <w:left w:w="240" w:type="dxa"/>
              <w:bottom w:w="150" w:type="dxa"/>
              <w:right w:w="240" w:type="dxa"/>
            </w:tcMar>
            <w:vAlign w:val="center"/>
          </w:tcPr>
          <w:p w14:paraId="0B6835D9">
            <w:pPr>
              <w:spacing w:line="360" w:lineRule="auto"/>
              <w:jc w:val="center"/>
              <w:rPr>
                <w:rFonts w:hint="default" w:asciiTheme="minorEastAsia" w:hAnsiTheme="minorEastAsia" w:eastAsiaTheme="minorEastAsia"/>
                <w:color w:val="auto"/>
                <w:sz w:val="24"/>
                <w:highlight w:val="none"/>
                <w:lang w:val="en-US" w:eastAsia="zh-CN"/>
              </w:rPr>
            </w:pPr>
            <w:r>
              <w:rPr>
                <w:rFonts w:hint="default" w:asciiTheme="minorEastAsia" w:hAnsiTheme="minorEastAsia" w:eastAsiaTheme="minorEastAsia"/>
                <w:color w:val="auto"/>
                <w:sz w:val="24"/>
                <w:highlight w:val="none"/>
                <w:lang w:val="en-US" w:eastAsia="zh-CN"/>
              </w:rPr>
              <w:t>政策业务宣传视频</w:t>
            </w:r>
          </w:p>
        </w:tc>
        <w:tc>
          <w:tcPr>
            <w:tcW w:w="1494" w:type="dxa"/>
            <w:tcBorders>
              <w:top w:val="single" w:color="auto" w:sz="4" w:space="0"/>
              <w:left w:val="single" w:color="auto" w:sz="4" w:space="0"/>
              <w:bottom w:val="single" w:color="auto" w:sz="4" w:space="0"/>
              <w:right w:val="single" w:color="auto" w:sz="4" w:space="0"/>
            </w:tcBorders>
            <w:shd w:val="clear" w:color="auto" w:fill="auto"/>
            <w:tcMar>
              <w:top w:w="150" w:type="dxa"/>
              <w:left w:w="240" w:type="dxa"/>
              <w:bottom w:w="150" w:type="dxa"/>
              <w:right w:w="240" w:type="dxa"/>
            </w:tcMar>
            <w:vAlign w:val="center"/>
          </w:tcPr>
          <w:p w14:paraId="0FF113D2">
            <w:pPr>
              <w:spacing w:line="360" w:lineRule="auto"/>
              <w:jc w:val="center"/>
              <w:rPr>
                <w:rFonts w:hint="default" w:asciiTheme="minorEastAsia" w:hAnsiTheme="minorEastAsia" w:eastAsiaTheme="minorEastAsia"/>
                <w:color w:val="auto"/>
                <w:sz w:val="24"/>
                <w:highlight w:val="none"/>
                <w:lang w:val="en-US" w:eastAsia="zh-CN"/>
              </w:rPr>
            </w:pPr>
            <w:r>
              <w:rPr>
                <w:rFonts w:hint="default" w:asciiTheme="minorEastAsia" w:hAnsiTheme="minorEastAsia" w:eastAsiaTheme="minorEastAsia"/>
                <w:color w:val="auto"/>
                <w:sz w:val="24"/>
                <w:highlight w:val="none"/>
                <w:lang w:val="en-US" w:eastAsia="zh-CN"/>
              </w:rPr>
              <w:t>18部</w:t>
            </w:r>
          </w:p>
        </w:tc>
        <w:tc>
          <w:tcPr>
            <w:tcW w:w="4219" w:type="dxa"/>
            <w:tcBorders>
              <w:top w:val="single" w:color="auto" w:sz="4" w:space="0"/>
              <w:left w:val="single" w:color="auto" w:sz="4" w:space="0"/>
              <w:bottom w:val="single" w:color="auto" w:sz="4" w:space="0"/>
              <w:right w:val="single" w:color="auto" w:sz="4" w:space="0"/>
            </w:tcBorders>
            <w:shd w:val="clear" w:color="auto" w:fill="auto"/>
            <w:tcMar>
              <w:top w:w="150" w:type="dxa"/>
              <w:left w:w="240" w:type="dxa"/>
              <w:bottom w:w="150" w:type="dxa"/>
              <w:right w:w="0" w:type="dxa"/>
            </w:tcMar>
            <w:vAlign w:val="center"/>
          </w:tcPr>
          <w:p w14:paraId="2A528A1F">
            <w:pPr>
              <w:spacing w:line="360" w:lineRule="auto"/>
              <w:jc w:val="center"/>
              <w:rPr>
                <w:rFonts w:hint="default" w:asciiTheme="minorEastAsia" w:hAnsiTheme="minorEastAsia" w:eastAsiaTheme="minorEastAsia"/>
                <w:color w:val="auto"/>
                <w:sz w:val="24"/>
                <w:highlight w:val="none"/>
                <w:lang w:val="en-US" w:eastAsia="zh-CN"/>
              </w:rPr>
            </w:pPr>
            <w:r>
              <w:rPr>
                <w:rFonts w:hint="default" w:asciiTheme="minorEastAsia" w:hAnsiTheme="minorEastAsia" w:eastAsiaTheme="minorEastAsia"/>
                <w:color w:val="auto"/>
                <w:sz w:val="24"/>
                <w:highlight w:val="none"/>
                <w:lang w:val="en-US" w:eastAsia="zh-CN"/>
              </w:rPr>
              <w:t>MP4+工程文件</w:t>
            </w:r>
            <w:r>
              <w:rPr>
                <w:rFonts w:hint="eastAsia" w:asciiTheme="minorEastAsia" w:hAnsiTheme="minorEastAsia" w:eastAsiaTheme="minorEastAsia"/>
                <w:color w:val="auto"/>
                <w:sz w:val="24"/>
                <w:highlight w:val="none"/>
                <w:lang w:val="en-US" w:eastAsia="zh-CN"/>
              </w:rPr>
              <w:t>，视频需提供横版和竖版各一份。</w:t>
            </w:r>
          </w:p>
        </w:tc>
      </w:tr>
      <w:tr w14:paraId="3A9502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785" w:type="dxa"/>
            <w:tcBorders>
              <w:top w:val="single" w:color="auto" w:sz="4" w:space="0"/>
              <w:left w:val="single" w:color="auto" w:sz="4" w:space="0"/>
              <w:bottom w:val="single" w:color="auto" w:sz="4" w:space="0"/>
              <w:right w:val="single" w:color="auto" w:sz="4" w:space="0"/>
            </w:tcBorders>
            <w:shd w:val="clear" w:color="auto" w:fill="auto"/>
            <w:tcMar>
              <w:top w:w="150" w:type="dxa"/>
              <w:left w:w="0" w:type="dxa"/>
              <w:bottom w:w="150" w:type="dxa"/>
              <w:right w:w="240" w:type="dxa"/>
            </w:tcMar>
            <w:vAlign w:val="center"/>
          </w:tcPr>
          <w:p w14:paraId="4B446143">
            <w:pPr>
              <w:spacing w:line="360" w:lineRule="auto"/>
              <w:jc w:val="center"/>
              <w:rPr>
                <w:rFonts w:hint="default" w:asciiTheme="minorEastAsia" w:hAnsiTheme="minorEastAsia" w:eastAsiaTheme="minorEastAsia"/>
                <w:color w:val="auto"/>
                <w:sz w:val="24"/>
                <w:highlight w:val="none"/>
                <w:lang w:val="en-US" w:eastAsia="zh-CN"/>
              </w:rPr>
            </w:pPr>
            <w:r>
              <w:rPr>
                <w:rFonts w:hint="default" w:asciiTheme="minorEastAsia" w:hAnsiTheme="minorEastAsia" w:eastAsiaTheme="minorEastAsia"/>
                <w:color w:val="auto"/>
                <w:sz w:val="24"/>
                <w:highlight w:val="none"/>
                <w:lang w:val="en-US" w:eastAsia="zh-CN"/>
              </w:rPr>
              <w:t>2</w:t>
            </w:r>
          </w:p>
        </w:tc>
        <w:tc>
          <w:tcPr>
            <w:tcW w:w="2492" w:type="dxa"/>
            <w:tcBorders>
              <w:top w:val="single" w:color="auto" w:sz="4" w:space="0"/>
              <w:left w:val="single" w:color="auto" w:sz="4" w:space="0"/>
              <w:bottom w:val="single" w:color="auto" w:sz="4" w:space="0"/>
              <w:right w:val="single" w:color="auto" w:sz="4" w:space="0"/>
            </w:tcBorders>
            <w:shd w:val="clear" w:color="auto" w:fill="auto"/>
            <w:tcMar>
              <w:top w:w="150" w:type="dxa"/>
              <w:left w:w="240" w:type="dxa"/>
              <w:bottom w:w="150" w:type="dxa"/>
              <w:right w:w="240" w:type="dxa"/>
            </w:tcMar>
            <w:vAlign w:val="center"/>
          </w:tcPr>
          <w:p w14:paraId="20A48E56">
            <w:pPr>
              <w:spacing w:line="360" w:lineRule="auto"/>
              <w:jc w:val="center"/>
              <w:rPr>
                <w:rFonts w:hint="default" w:asciiTheme="minorEastAsia" w:hAnsiTheme="minorEastAsia" w:eastAsiaTheme="minorEastAsia"/>
                <w:color w:val="auto"/>
                <w:sz w:val="24"/>
                <w:highlight w:val="none"/>
                <w:lang w:val="en-US" w:eastAsia="zh-CN"/>
              </w:rPr>
            </w:pPr>
            <w:r>
              <w:rPr>
                <w:rFonts w:hint="default" w:asciiTheme="minorEastAsia" w:hAnsiTheme="minorEastAsia" w:eastAsiaTheme="minorEastAsia"/>
                <w:color w:val="auto"/>
                <w:sz w:val="24"/>
                <w:highlight w:val="none"/>
                <w:lang w:val="en-US" w:eastAsia="zh-CN"/>
              </w:rPr>
              <w:t>专项活动宣传视频</w:t>
            </w:r>
          </w:p>
        </w:tc>
        <w:tc>
          <w:tcPr>
            <w:tcW w:w="1494" w:type="dxa"/>
            <w:tcBorders>
              <w:top w:val="single" w:color="auto" w:sz="4" w:space="0"/>
              <w:left w:val="single" w:color="auto" w:sz="4" w:space="0"/>
              <w:bottom w:val="single" w:color="auto" w:sz="4" w:space="0"/>
              <w:right w:val="single" w:color="auto" w:sz="4" w:space="0"/>
            </w:tcBorders>
            <w:shd w:val="clear" w:color="auto" w:fill="auto"/>
            <w:tcMar>
              <w:top w:w="150" w:type="dxa"/>
              <w:left w:w="240" w:type="dxa"/>
              <w:bottom w:w="150" w:type="dxa"/>
              <w:right w:w="240" w:type="dxa"/>
            </w:tcMar>
            <w:vAlign w:val="center"/>
          </w:tcPr>
          <w:p w14:paraId="39751E1D">
            <w:pPr>
              <w:spacing w:line="360" w:lineRule="auto"/>
              <w:jc w:val="center"/>
              <w:rPr>
                <w:rFonts w:hint="default" w:asciiTheme="minorEastAsia" w:hAnsiTheme="minorEastAsia" w:eastAsiaTheme="minorEastAsia"/>
                <w:color w:val="auto"/>
                <w:sz w:val="24"/>
                <w:highlight w:val="none"/>
                <w:lang w:val="en-US" w:eastAsia="zh-CN"/>
              </w:rPr>
            </w:pPr>
            <w:r>
              <w:rPr>
                <w:rFonts w:hint="default" w:asciiTheme="minorEastAsia" w:hAnsiTheme="minorEastAsia" w:eastAsiaTheme="minorEastAsia"/>
                <w:color w:val="auto"/>
                <w:sz w:val="24"/>
                <w:highlight w:val="none"/>
                <w:lang w:val="en-US" w:eastAsia="zh-CN"/>
              </w:rPr>
              <w:t>≥18部</w:t>
            </w:r>
          </w:p>
        </w:tc>
        <w:tc>
          <w:tcPr>
            <w:tcW w:w="4219" w:type="dxa"/>
            <w:tcBorders>
              <w:top w:val="single" w:color="auto" w:sz="4" w:space="0"/>
              <w:left w:val="single" w:color="auto" w:sz="4" w:space="0"/>
              <w:bottom w:val="single" w:color="auto" w:sz="4" w:space="0"/>
              <w:right w:val="single" w:color="auto" w:sz="4" w:space="0"/>
            </w:tcBorders>
            <w:shd w:val="clear" w:color="auto" w:fill="auto"/>
            <w:tcMar>
              <w:top w:w="150" w:type="dxa"/>
              <w:left w:w="240" w:type="dxa"/>
              <w:bottom w:w="150" w:type="dxa"/>
              <w:right w:w="0" w:type="dxa"/>
            </w:tcMar>
            <w:vAlign w:val="center"/>
          </w:tcPr>
          <w:p w14:paraId="22FC3785">
            <w:pPr>
              <w:spacing w:line="360" w:lineRule="auto"/>
              <w:jc w:val="center"/>
              <w:rPr>
                <w:rFonts w:hint="default" w:asciiTheme="minorEastAsia" w:hAnsiTheme="minorEastAsia" w:eastAsiaTheme="minorEastAsia"/>
                <w:color w:val="auto"/>
                <w:sz w:val="24"/>
                <w:highlight w:val="none"/>
                <w:lang w:val="en-US" w:eastAsia="zh-CN"/>
              </w:rPr>
            </w:pPr>
            <w:r>
              <w:rPr>
                <w:rFonts w:hint="default" w:asciiTheme="minorEastAsia" w:hAnsiTheme="minorEastAsia" w:eastAsiaTheme="minorEastAsia"/>
                <w:color w:val="auto"/>
                <w:sz w:val="24"/>
                <w:highlight w:val="none"/>
                <w:lang w:val="en-US" w:eastAsia="zh-CN"/>
              </w:rPr>
              <w:t>MP4+工程文件</w:t>
            </w:r>
            <w:r>
              <w:rPr>
                <w:rFonts w:hint="eastAsia" w:asciiTheme="minorEastAsia" w:hAnsiTheme="minorEastAsia" w:eastAsiaTheme="minorEastAsia"/>
                <w:color w:val="auto"/>
                <w:sz w:val="24"/>
                <w:highlight w:val="none"/>
                <w:lang w:val="en-US" w:eastAsia="zh-CN"/>
              </w:rPr>
              <w:t>，视频需提供横版和竖版各一份。</w:t>
            </w:r>
          </w:p>
        </w:tc>
      </w:tr>
      <w:tr w14:paraId="661508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1074" w:hRule="atLeast"/>
        </w:trPr>
        <w:tc>
          <w:tcPr>
            <w:tcW w:w="785" w:type="dxa"/>
            <w:tcBorders>
              <w:top w:val="single" w:color="auto" w:sz="4" w:space="0"/>
              <w:left w:val="single" w:color="auto" w:sz="4" w:space="0"/>
              <w:bottom w:val="single" w:color="auto" w:sz="4" w:space="0"/>
              <w:right w:val="single" w:color="auto" w:sz="4" w:space="0"/>
            </w:tcBorders>
            <w:shd w:val="clear" w:color="auto" w:fill="auto"/>
            <w:tcMar>
              <w:top w:w="150" w:type="dxa"/>
              <w:left w:w="0" w:type="dxa"/>
              <w:bottom w:w="150" w:type="dxa"/>
              <w:right w:w="240" w:type="dxa"/>
            </w:tcMar>
            <w:vAlign w:val="center"/>
          </w:tcPr>
          <w:p w14:paraId="36EBB326">
            <w:pPr>
              <w:spacing w:line="360" w:lineRule="auto"/>
              <w:jc w:val="center"/>
              <w:rPr>
                <w:rFonts w:hint="default" w:asciiTheme="minorEastAsia" w:hAnsiTheme="minorEastAsia" w:eastAsiaTheme="minorEastAsia"/>
                <w:color w:val="auto"/>
                <w:sz w:val="24"/>
                <w:highlight w:val="none"/>
                <w:lang w:val="en-US" w:eastAsia="zh-CN"/>
              </w:rPr>
            </w:pPr>
            <w:r>
              <w:rPr>
                <w:rFonts w:hint="default" w:asciiTheme="minorEastAsia" w:hAnsiTheme="minorEastAsia" w:eastAsiaTheme="minorEastAsia"/>
                <w:color w:val="auto"/>
                <w:sz w:val="24"/>
                <w:highlight w:val="none"/>
                <w:lang w:val="en-US" w:eastAsia="zh-CN"/>
              </w:rPr>
              <w:t>3</w:t>
            </w:r>
          </w:p>
        </w:tc>
        <w:tc>
          <w:tcPr>
            <w:tcW w:w="2492" w:type="dxa"/>
            <w:tcBorders>
              <w:top w:val="single" w:color="auto" w:sz="4" w:space="0"/>
              <w:left w:val="single" w:color="auto" w:sz="4" w:space="0"/>
              <w:bottom w:val="single" w:color="auto" w:sz="4" w:space="0"/>
              <w:right w:val="single" w:color="auto" w:sz="4" w:space="0"/>
            </w:tcBorders>
            <w:shd w:val="clear" w:color="auto" w:fill="auto"/>
            <w:tcMar>
              <w:top w:w="150" w:type="dxa"/>
              <w:left w:w="240" w:type="dxa"/>
              <w:bottom w:w="150" w:type="dxa"/>
              <w:right w:w="240" w:type="dxa"/>
            </w:tcMar>
            <w:vAlign w:val="center"/>
          </w:tcPr>
          <w:p w14:paraId="4594D8BF">
            <w:pPr>
              <w:spacing w:line="360" w:lineRule="auto"/>
              <w:jc w:val="center"/>
              <w:rPr>
                <w:rFonts w:hint="default" w:asciiTheme="minorEastAsia" w:hAnsiTheme="minorEastAsia" w:eastAsiaTheme="minorEastAsia"/>
                <w:color w:val="auto"/>
                <w:sz w:val="24"/>
                <w:highlight w:val="none"/>
                <w:lang w:val="en-US" w:eastAsia="zh-CN"/>
              </w:rPr>
            </w:pPr>
            <w:r>
              <w:rPr>
                <w:rFonts w:hint="default" w:asciiTheme="minorEastAsia" w:hAnsiTheme="minorEastAsia" w:eastAsiaTheme="minorEastAsia"/>
                <w:color w:val="auto"/>
                <w:sz w:val="24"/>
                <w:highlight w:val="none"/>
                <w:lang w:val="en-US" w:eastAsia="zh-CN"/>
              </w:rPr>
              <w:t>重点优质企业形象展播视频</w:t>
            </w:r>
          </w:p>
        </w:tc>
        <w:tc>
          <w:tcPr>
            <w:tcW w:w="1494" w:type="dxa"/>
            <w:tcBorders>
              <w:top w:val="single" w:color="auto" w:sz="4" w:space="0"/>
              <w:left w:val="single" w:color="auto" w:sz="4" w:space="0"/>
              <w:bottom w:val="single" w:color="auto" w:sz="4" w:space="0"/>
              <w:right w:val="single" w:color="auto" w:sz="4" w:space="0"/>
            </w:tcBorders>
            <w:shd w:val="clear" w:color="auto" w:fill="auto"/>
            <w:tcMar>
              <w:top w:w="150" w:type="dxa"/>
              <w:left w:w="240" w:type="dxa"/>
              <w:bottom w:w="150" w:type="dxa"/>
              <w:right w:w="240" w:type="dxa"/>
            </w:tcMar>
            <w:vAlign w:val="center"/>
          </w:tcPr>
          <w:p w14:paraId="605B233D">
            <w:pPr>
              <w:spacing w:line="360" w:lineRule="auto"/>
              <w:jc w:val="center"/>
              <w:rPr>
                <w:rFonts w:hint="default" w:asciiTheme="minorEastAsia" w:hAnsiTheme="minorEastAsia" w:eastAsiaTheme="minorEastAsia"/>
                <w:color w:val="auto"/>
                <w:sz w:val="24"/>
                <w:highlight w:val="none"/>
                <w:lang w:val="en-US" w:eastAsia="zh-CN"/>
              </w:rPr>
            </w:pPr>
            <w:r>
              <w:rPr>
                <w:rFonts w:hint="default" w:asciiTheme="minorEastAsia" w:hAnsiTheme="minorEastAsia" w:eastAsiaTheme="minorEastAsia"/>
                <w:color w:val="auto"/>
                <w:sz w:val="24"/>
                <w:highlight w:val="none"/>
                <w:lang w:val="en-US" w:eastAsia="zh-CN"/>
              </w:rPr>
              <w:t>15部</w:t>
            </w:r>
          </w:p>
        </w:tc>
        <w:tc>
          <w:tcPr>
            <w:tcW w:w="4219" w:type="dxa"/>
            <w:tcBorders>
              <w:top w:val="single" w:color="auto" w:sz="4" w:space="0"/>
              <w:left w:val="single" w:color="auto" w:sz="4" w:space="0"/>
              <w:bottom w:val="single" w:color="auto" w:sz="4" w:space="0"/>
              <w:right w:val="single" w:color="auto" w:sz="4" w:space="0"/>
            </w:tcBorders>
            <w:shd w:val="clear" w:color="auto" w:fill="auto"/>
            <w:tcMar>
              <w:top w:w="150" w:type="dxa"/>
              <w:left w:w="240" w:type="dxa"/>
              <w:bottom w:w="150" w:type="dxa"/>
              <w:right w:w="0" w:type="dxa"/>
            </w:tcMar>
            <w:vAlign w:val="center"/>
          </w:tcPr>
          <w:p w14:paraId="0A092CBC">
            <w:pPr>
              <w:spacing w:line="360" w:lineRule="auto"/>
              <w:jc w:val="center"/>
              <w:rPr>
                <w:rFonts w:hint="default" w:asciiTheme="minorEastAsia" w:hAnsiTheme="minorEastAsia" w:eastAsiaTheme="minorEastAsia"/>
                <w:color w:val="auto"/>
                <w:sz w:val="24"/>
                <w:highlight w:val="none"/>
                <w:lang w:val="en-US" w:eastAsia="zh-CN"/>
              </w:rPr>
            </w:pPr>
            <w:r>
              <w:rPr>
                <w:rFonts w:hint="default" w:asciiTheme="minorEastAsia" w:hAnsiTheme="minorEastAsia" w:eastAsiaTheme="minorEastAsia"/>
                <w:color w:val="auto"/>
                <w:sz w:val="24"/>
                <w:highlight w:val="none"/>
                <w:lang w:val="en-US" w:eastAsia="zh-CN"/>
              </w:rPr>
              <w:t>MP4+工程文件</w:t>
            </w:r>
            <w:r>
              <w:rPr>
                <w:rFonts w:hint="eastAsia" w:asciiTheme="minorEastAsia" w:hAnsiTheme="minorEastAsia" w:eastAsiaTheme="minorEastAsia"/>
                <w:color w:val="auto"/>
                <w:sz w:val="24"/>
                <w:highlight w:val="none"/>
                <w:lang w:val="en-US" w:eastAsia="zh-CN"/>
              </w:rPr>
              <w:t>，视频需提供横版和竖版各一份。</w:t>
            </w:r>
          </w:p>
        </w:tc>
      </w:tr>
      <w:tr w14:paraId="67B686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973" w:hRule="atLeast"/>
        </w:trPr>
        <w:tc>
          <w:tcPr>
            <w:tcW w:w="785" w:type="dxa"/>
            <w:tcBorders>
              <w:top w:val="single" w:color="auto" w:sz="4" w:space="0"/>
              <w:left w:val="single" w:color="auto" w:sz="4" w:space="0"/>
              <w:bottom w:val="single" w:color="auto" w:sz="4" w:space="0"/>
              <w:right w:val="single" w:color="auto" w:sz="4" w:space="0"/>
            </w:tcBorders>
            <w:shd w:val="clear" w:color="auto" w:fill="auto"/>
            <w:tcMar>
              <w:top w:w="150" w:type="dxa"/>
              <w:left w:w="0" w:type="dxa"/>
              <w:bottom w:w="150" w:type="dxa"/>
              <w:right w:w="240" w:type="dxa"/>
            </w:tcMar>
            <w:vAlign w:val="center"/>
          </w:tcPr>
          <w:p w14:paraId="3612E6E3">
            <w:pPr>
              <w:spacing w:line="360" w:lineRule="auto"/>
              <w:jc w:val="center"/>
              <w:rPr>
                <w:rFonts w:hint="default" w:asciiTheme="minorEastAsia" w:hAnsiTheme="minorEastAsia" w:eastAsiaTheme="minorEastAsia"/>
                <w:color w:val="auto"/>
                <w:sz w:val="24"/>
                <w:highlight w:val="none"/>
                <w:lang w:val="en-US" w:eastAsia="zh-CN"/>
              </w:rPr>
            </w:pPr>
            <w:r>
              <w:rPr>
                <w:rFonts w:hint="default" w:asciiTheme="minorEastAsia" w:hAnsiTheme="minorEastAsia" w:eastAsiaTheme="minorEastAsia"/>
                <w:color w:val="auto"/>
                <w:sz w:val="24"/>
                <w:highlight w:val="none"/>
                <w:lang w:val="en-US" w:eastAsia="zh-CN"/>
              </w:rPr>
              <w:t>4</w:t>
            </w:r>
          </w:p>
        </w:tc>
        <w:tc>
          <w:tcPr>
            <w:tcW w:w="2492" w:type="dxa"/>
            <w:tcBorders>
              <w:top w:val="single" w:color="auto" w:sz="4" w:space="0"/>
              <w:left w:val="single" w:color="auto" w:sz="4" w:space="0"/>
              <w:bottom w:val="single" w:color="auto" w:sz="4" w:space="0"/>
              <w:right w:val="single" w:color="auto" w:sz="4" w:space="0"/>
            </w:tcBorders>
            <w:shd w:val="clear" w:color="auto" w:fill="auto"/>
            <w:tcMar>
              <w:top w:w="150" w:type="dxa"/>
              <w:left w:w="240" w:type="dxa"/>
              <w:bottom w:w="150" w:type="dxa"/>
              <w:right w:w="240" w:type="dxa"/>
            </w:tcMar>
            <w:vAlign w:val="center"/>
          </w:tcPr>
          <w:p w14:paraId="52BEBB22">
            <w:pPr>
              <w:spacing w:line="360" w:lineRule="auto"/>
              <w:jc w:val="center"/>
              <w:rPr>
                <w:rFonts w:hint="default" w:asciiTheme="minorEastAsia" w:hAnsiTheme="minorEastAsia" w:eastAsiaTheme="minorEastAsia"/>
                <w:color w:val="auto"/>
                <w:sz w:val="24"/>
                <w:highlight w:val="none"/>
                <w:lang w:val="en-US" w:eastAsia="zh-CN"/>
              </w:rPr>
            </w:pPr>
            <w:r>
              <w:rPr>
                <w:rFonts w:hint="default" w:asciiTheme="minorEastAsia" w:hAnsiTheme="minorEastAsia" w:eastAsiaTheme="minorEastAsia"/>
                <w:color w:val="auto"/>
                <w:sz w:val="24"/>
                <w:highlight w:val="none"/>
                <w:lang w:val="en-US" w:eastAsia="zh-CN"/>
              </w:rPr>
              <w:t>企业视频简短版（30秒）</w:t>
            </w:r>
          </w:p>
        </w:tc>
        <w:tc>
          <w:tcPr>
            <w:tcW w:w="1494" w:type="dxa"/>
            <w:tcBorders>
              <w:top w:val="single" w:color="auto" w:sz="4" w:space="0"/>
              <w:left w:val="single" w:color="auto" w:sz="4" w:space="0"/>
              <w:bottom w:val="single" w:color="auto" w:sz="4" w:space="0"/>
              <w:right w:val="single" w:color="auto" w:sz="4" w:space="0"/>
            </w:tcBorders>
            <w:shd w:val="clear" w:color="auto" w:fill="auto"/>
            <w:tcMar>
              <w:top w:w="150" w:type="dxa"/>
              <w:left w:w="240" w:type="dxa"/>
              <w:bottom w:w="150" w:type="dxa"/>
              <w:right w:w="240" w:type="dxa"/>
            </w:tcMar>
            <w:vAlign w:val="center"/>
          </w:tcPr>
          <w:p w14:paraId="194DBBE3">
            <w:pPr>
              <w:spacing w:line="360" w:lineRule="auto"/>
              <w:jc w:val="center"/>
              <w:rPr>
                <w:rFonts w:hint="default" w:asciiTheme="minorEastAsia" w:hAnsiTheme="minorEastAsia" w:eastAsiaTheme="minorEastAsia"/>
                <w:color w:val="auto"/>
                <w:sz w:val="24"/>
                <w:highlight w:val="none"/>
                <w:lang w:val="en-US" w:eastAsia="zh-CN"/>
              </w:rPr>
            </w:pPr>
            <w:r>
              <w:rPr>
                <w:rFonts w:hint="default" w:asciiTheme="minorEastAsia" w:hAnsiTheme="minorEastAsia" w:eastAsiaTheme="minorEastAsia"/>
                <w:color w:val="auto"/>
                <w:sz w:val="24"/>
                <w:highlight w:val="none"/>
                <w:lang w:val="en-US" w:eastAsia="zh-CN"/>
              </w:rPr>
              <w:t>15部</w:t>
            </w:r>
          </w:p>
        </w:tc>
        <w:tc>
          <w:tcPr>
            <w:tcW w:w="4219" w:type="dxa"/>
            <w:tcBorders>
              <w:top w:val="single" w:color="auto" w:sz="4" w:space="0"/>
              <w:left w:val="single" w:color="auto" w:sz="4" w:space="0"/>
              <w:bottom w:val="single" w:color="auto" w:sz="4" w:space="0"/>
              <w:right w:val="single" w:color="auto" w:sz="4" w:space="0"/>
            </w:tcBorders>
            <w:shd w:val="clear" w:color="auto" w:fill="auto"/>
            <w:tcMar>
              <w:top w:w="150" w:type="dxa"/>
              <w:left w:w="240" w:type="dxa"/>
              <w:bottom w:w="150" w:type="dxa"/>
              <w:right w:w="0" w:type="dxa"/>
            </w:tcMar>
            <w:vAlign w:val="center"/>
          </w:tcPr>
          <w:p w14:paraId="7B0B24C1">
            <w:pPr>
              <w:spacing w:line="360" w:lineRule="auto"/>
              <w:jc w:val="center"/>
              <w:rPr>
                <w:rFonts w:hint="default" w:asciiTheme="minorEastAsia" w:hAnsiTheme="minorEastAsia" w:eastAsiaTheme="minorEastAsia"/>
                <w:color w:val="auto"/>
                <w:sz w:val="24"/>
                <w:highlight w:val="none"/>
                <w:lang w:val="en-US" w:eastAsia="zh-CN"/>
              </w:rPr>
            </w:pPr>
            <w:r>
              <w:rPr>
                <w:rFonts w:hint="default" w:asciiTheme="minorEastAsia" w:hAnsiTheme="minorEastAsia" w:eastAsiaTheme="minorEastAsia"/>
                <w:color w:val="auto"/>
                <w:sz w:val="24"/>
                <w:highlight w:val="none"/>
                <w:lang w:val="en-US" w:eastAsia="zh-CN"/>
              </w:rPr>
              <w:t>MP4</w:t>
            </w:r>
            <w:r>
              <w:rPr>
                <w:rFonts w:hint="eastAsia" w:asciiTheme="minorEastAsia" w:hAnsiTheme="minorEastAsia" w:eastAsiaTheme="minorEastAsia"/>
                <w:color w:val="auto"/>
                <w:sz w:val="24"/>
                <w:highlight w:val="none"/>
                <w:lang w:val="en-US" w:eastAsia="zh-CN"/>
              </w:rPr>
              <w:t>，视频需提供横版和竖版各一份。</w:t>
            </w:r>
          </w:p>
        </w:tc>
      </w:tr>
      <w:tr w14:paraId="5F14F9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785" w:type="dxa"/>
            <w:tcBorders>
              <w:top w:val="single" w:color="auto" w:sz="4" w:space="0"/>
              <w:left w:val="single" w:color="auto" w:sz="4" w:space="0"/>
              <w:bottom w:val="single" w:color="auto" w:sz="4" w:space="0"/>
              <w:right w:val="single" w:color="auto" w:sz="4" w:space="0"/>
            </w:tcBorders>
            <w:shd w:val="clear" w:color="auto" w:fill="auto"/>
            <w:tcMar>
              <w:top w:w="150" w:type="dxa"/>
              <w:left w:w="0" w:type="dxa"/>
              <w:bottom w:w="150" w:type="dxa"/>
              <w:right w:w="240" w:type="dxa"/>
            </w:tcMar>
            <w:vAlign w:val="center"/>
          </w:tcPr>
          <w:p w14:paraId="35ADF669">
            <w:pPr>
              <w:spacing w:line="360" w:lineRule="auto"/>
              <w:jc w:val="center"/>
              <w:rPr>
                <w:rFonts w:hint="default" w:asciiTheme="minorEastAsia" w:hAnsiTheme="minorEastAsia" w:eastAsiaTheme="minorEastAsia"/>
                <w:color w:val="auto"/>
                <w:sz w:val="24"/>
                <w:highlight w:val="none"/>
                <w:lang w:val="en-US" w:eastAsia="zh-CN"/>
              </w:rPr>
            </w:pPr>
            <w:r>
              <w:rPr>
                <w:rFonts w:hint="default" w:asciiTheme="minorEastAsia" w:hAnsiTheme="minorEastAsia" w:eastAsiaTheme="minorEastAsia"/>
                <w:color w:val="auto"/>
                <w:sz w:val="24"/>
                <w:highlight w:val="none"/>
                <w:lang w:val="en-US" w:eastAsia="zh-CN"/>
              </w:rPr>
              <w:t>5</w:t>
            </w:r>
          </w:p>
        </w:tc>
        <w:tc>
          <w:tcPr>
            <w:tcW w:w="2492" w:type="dxa"/>
            <w:tcBorders>
              <w:top w:val="single" w:color="auto" w:sz="4" w:space="0"/>
              <w:left w:val="single" w:color="auto" w:sz="4" w:space="0"/>
              <w:bottom w:val="single" w:color="auto" w:sz="4" w:space="0"/>
              <w:right w:val="single" w:color="auto" w:sz="4" w:space="0"/>
            </w:tcBorders>
            <w:shd w:val="clear" w:color="auto" w:fill="auto"/>
            <w:tcMar>
              <w:top w:w="150" w:type="dxa"/>
              <w:left w:w="240" w:type="dxa"/>
              <w:bottom w:w="150" w:type="dxa"/>
              <w:right w:w="240" w:type="dxa"/>
            </w:tcMar>
            <w:vAlign w:val="center"/>
          </w:tcPr>
          <w:p w14:paraId="6993BAF4">
            <w:pPr>
              <w:spacing w:line="360" w:lineRule="auto"/>
              <w:jc w:val="center"/>
              <w:rPr>
                <w:rFonts w:hint="default" w:asciiTheme="minorEastAsia" w:hAnsiTheme="minorEastAsia" w:eastAsiaTheme="minorEastAsia"/>
                <w:color w:val="auto"/>
                <w:sz w:val="24"/>
                <w:highlight w:val="none"/>
                <w:lang w:val="en-US" w:eastAsia="zh-CN"/>
              </w:rPr>
            </w:pPr>
            <w:r>
              <w:rPr>
                <w:rFonts w:hint="default" w:asciiTheme="minorEastAsia" w:hAnsiTheme="minorEastAsia" w:eastAsiaTheme="minorEastAsia"/>
                <w:color w:val="auto"/>
                <w:sz w:val="24"/>
                <w:highlight w:val="none"/>
                <w:lang w:val="en-US" w:eastAsia="zh-CN"/>
              </w:rPr>
              <w:t>宣传策划方案</w:t>
            </w:r>
          </w:p>
        </w:tc>
        <w:tc>
          <w:tcPr>
            <w:tcW w:w="1494" w:type="dxa"/>
            <w:tcBorders>
              <w:top w:val="single" w:color="auto" w:sz="4" w:space="0"/>
              <w:left w:val="single" w:color="auto" w:sz="4" w:space="0"/>
              <w:bottom w:val="single" w:color="auto" w:sz="4" w:space="0"/>
              <w:right w:val="single" w:color="auto" w:sz="4" w:space="0"/>
            </w:tcBorders>
            <w:shd w:val="clear" w:color="auto" w:fill="auto"/>
            <w:tcMar>
              <w:top w:w="150" w:type="dxa"/>
              <w:left w:w="240" w:type="dxa"/>
              <w:bottom w:w="150" w:type="dxa"/>
              <w:right w:w="240" w:type="dxa"/>
            </w:tcMar>
            <w:vAlign w:val="center"/>
          </w:tcPr>
          <w:p w14:paraId="225D4D44">
            <w:pPr>
              <w:spacing w:line="360" w:lineRule="auto"/>
              <w:jc w:val="center"/>
              <w:rPr>
                <w:rFonts w:hint="default" w:asciiTheme="minorEastAsia" w:hAnsiTheme="minorEastAsia" w:eastAsiaTheme="minorEastAsia"/>
                <w:color w:val="auto"/>
                <w:sz w:val="24"/>
                <w:highlight w:val="none"/>
                <w:lang w:val="en-US" w:eastAsia="zh-CN"/>
              </w:rPr>
            </w:pPr>
            <w:r>
              <w:rPr>
                <w:rFonts w:hint="default" w:asciiTheme="minorEastAsia" w:hAnsiTheme="minorEastAsia" w:eastAsiaTheme="minorEastAsia"/>
                <w:color w:val="auto"/>
                <w:sz w:val="24"/>
                <w:highlight w:val="none"/>
                <w:lang w:val="en-US" w:eastAsia="zh-CN"/>
              </w:rPr>
              <w:t>1份</w:t>
            </w:r>
          </w:p>
        </w:tc>
        <w:tc>
          <w:tcPr>
            <w:tcW w:w="4219" w:type="dxa"/>
            <w:tcBorders>
              <w:top w:val="single" w:color="auto" w:sz="4" w:space="0"/>
              <w:left w:val="single" w:color="auto" w:sz="4" w:space="0"/>
              <w:bottom w:val="single" w:color="auto" w:sz="4" w:space="0"/>
              <w:right w:val="single" w:color="auto" w:sz="4" w:space="0"/>
            </w:tcBorders>
            <w:shd w:val="clear" w:color="auto" w:fill="auto"/>
            <w:tcMar>
              <w:top w:w="150" w:type="dxa"/>
              <w:left w:w="240" w:type="dxa"/>
              <w:bottom w:w="150" w:type="dxa"/>
              <w:right w:w="0" w:type="dxa"/>
            </w:tcMar>
            <w:vAlign w:val="center"/>
          </w:tcPr>
          <w:p w14:paraId="6BE10A14">
            <w:pPr>
              <w:spacing w:line="360" w:lineRule="auto"/>
              <w:jc w:val="center"/>
              <w:rPr>
                <w:rFonts w:hint="default" w:asciiTheme="minorEastAsia" w:hAnsiTheme="minorEastAsia" w:eastAsiaTheme="minorEastAsia"/>
                <w:color w:val="auto"/>
                <w:sz w:val="24"/>
                <w:highlight w:val="none"/>
                <w:lang w:val="en-US" w:eastAsia="zh-CN"/>
              </w:rPr>
            </w:pPr>
            <w:r>
              <w:rPr>
                <w:rFonts w:hint="default" w:asciiTheme="minorEastAsia" w:hAnsiTheme="minorEastAsia" w:eastAsiaTheme="minorEastAsia"/>
                <w:color w:val="auto"/>
                <w:sz w:val="24"/>
                <w:highlight w:val="none"/>
                <w:lang w:val="en-US" w:eastAsia="zh-CN"/>
              </w:rPr>
              <w:t>PDF/Word</w:t>
            </w:r>
          </w:p>
        </w:tc>
      </w:tr>
      <w:tr w14:paraId="6DEB72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785" w:type="dxa"/>
            <w:tcBorders>
              <w:top w:val="single" w:color="auto" w:sz="4" w:space="0"/>
              <w:left w:val="single" w:color="auto" w:sz="4" w:space="0"/>
              <w:bottom w:val="single" w:color="auto" w:sz="4" w:space="0"/>
              <w:right w:val="single" w:color="auto" w:sz="4" w:space="0"/>
            </w:tcBorders>
            <w:shd w:val="clear" w:color="auto" w:fill="auto"/>
            <w:tcMar>
              <w:top w:w="150" w:type="dxa"/>
              <w:left w:w="0" w:type="dxa"/>
              <w:bottom w:w="150" w:type="dxa"/>
              <w:right w:w="240" w:type="dxa"/>
            </w:tcMar>
            <w:vAlign w:val="center"/>
          </w:tcPr>
          <w:p w14:paraId="697BFC5D">
            <w:pPr>
              <w:spacing w:line="360" w:lineRule="auto"/>
              <w:jc w:val="center"/>
              <w:rPr>
                <w:rFonts w:hint="default" w:asciiTheme="minorEastAsia" w:hAnsiTheme="minorEastAsia" w:eastAsiaTheme="minorEastAsia"/>
                <w:color w:val="auto"/>
                <w:sz w:val="24"/>
                <w:highlight w:val="none"/>
                <w:lang w:val="en-US" w:eastAsia="zh-CN"/>
              </w:rPr>
            </w:pPr>
            <w:r>
              <w:rPr>
                <w:rFonts w:hint="default" w:asciiTheme="minorEastAsia" w:hAnsiTheme="minorEastAsia" w:eastAsiaTheme="minorEastAsia"/>
                <w:color w:val="auto"/>
                <w:sz w:val="24"/>
                <w:highlight w:val="none"/>
                <w:lang w:val="en-US" w:eastAsia="zh-CN"/>
              </w:rPr>
              <w:t>6</w:t>
            </w:r>
          </w:p>
        </w:tc>
        <w:tc>
          <w:tcPr>
            <w:tcW w:w="2492" w:type="dxa"/>
            <w:tcBorders>
              <w:top w:val="single" w:color="auto" w:sz="4" w:space="0"/>
              <w:left w:val="single" w:color="auto" w:sz="4" w:space="0"/>
              <w:bottom w:val="single" w:color="auto" w:sz="4" w:space="0"/>
              <w:right w:val="single" w:color="auto" w:sz="4" w:space="0"/>
            </w:tcBorders>
            <w:shd w:val="clear" w:color="auto" w:fill="auto"/>
            <w:tcMar>
              <w:top w:w="150" w:type="dxa"/>
              <w:left w:w="240" w:type="dxa"/>
              <w:bottom w:w="150" w:type="dxa"/>
              <w:right w:w="240" w:type="dxa"/>
            </w:tcMar>
            <w:vAlign w:val="center"/>
          </w:tcPr>
          <w:p w14:paraId="31D97037">
            <w:pPr>
              <w:spacing w:line="360" w:lineRule="auto"/>
              <w:jc w:val="center"/>
              <w:rPr>
                <w:rFonts w:hint="default" w:asciiTheme="minorEastAsia" w:hAnsiTheme="minorEastAsia" w:eastAsiaTheme="minorEastAsia"/>
                <w:color w:val="auto"/>
                <w:sz w:val="24"/>
                <w:highlight w:val="none"/>
                <w:lang w:val="en-US" w:eastAsia="zh-CN"/>
              </w:rPr>
            </w:pPr>
            <w:r>
              <w:rPr>
                <w:rFonts w:hint="default" w:asciiTheme="minorEastAsia" w:hAnsiTheme="minorEastAsia" w:eastAsiaTheme="minorEastAsia"/>
                <w:color w:val="auto"/>
                <w:sz w:val="24"/>
                <w:highlight w:val="none"/>
                <w:lang w:val="en-US" w:eastAsia="zh-CN"/>
              </w:rPr>
              <w:t>验收总结报告</w:t>
            </w:r>
          </w:p>
        </w:tc>
        <w:tc>
          <w:tcPr>
            <w:tcW w:w="1494" w:type="dxa"/>
            <w:tcBorders>
              <w:top w:val="single" w:color="auto" w:sz="4" w:space="0"/>
              <w:left w:val="single" w:color="auto" w:sz="4" w:space="0"/>
              <w:bottom w:val="single" w:color="auto" w:sz="4" w:space="0"/>
              <w:right w:val="single" w:color="auto" w:sz="4" w:space="0"/>
            </w:tcBorders>
            <w:shd w:val="clear" w:color="auto" w:fill="auto"/>
            <w:tcMar>
              <w:top w:w="150" w:type="dxa"/>
              <w:left w:w="240" w:type="dxa"/>
              <w:bottom w:w="150" w:type="dxa"/>
              <w:right w:w="240" w:type="dxa"/>
            </w:tcMar>
            <w:vAlign w:val="center"/>
          </w:tcPr>
          <w:p w14:paraId="17008C94">
            <w:pPr>
              <w:spacing w:line="360" w:lineRule="auto"/>
              <w:jc w:val="center"/>
              <w:rPr>
                <w:rFonts w:hint="default" w:asciiTheme="minorEastAsia" w:hAnsiTheme="minorEastAsia" w:eastAsiaTheme="minorEastAsia"/>
                <w:color w:val="auto"/>
                <w:sz w:val="24"/>
                <w:highlight w:val="none"/>
                <w:lang w:val="en-US" w:eastAsia="zh-CN"/>
              </w:rPr>
            </w:pPr>
            <w:r>
              <w:rPr>
                <w:rFonts w:hint="default" w:asciiTheme="minorEastAsia" w:hAnsiTheme="minorEastAsia" w:eastAsiaTheme="minorEastAsia"/>
                <w:color w:val="auto"/>
                <w:sz w:val="24"/>
                <w:highlight w:val="none"/>
                <w:lang w:val="en-US" w:eastAsia="zh-CN"/>
              </w:rPr>
              <w:t>1份</w:t>
            </w:r>
          </w:p>
        </w:tc>
        <w:tc>
          <w:tcPr>
            <w:tcW w:w="4219" w:type="dxa"/>
            <w:tcBorders>
              <w:top w:val="single" w:color="auto" w:sz="4" w:space="0"/>
              <w:left w:val="single" w:color="auto" w:sz="4" w:space="0"/>
              <w:bottom w:val="single" w:color="auto" w:sz="4" w:space="0"/>
              <w:right w:val="single" w:color="auto" w:sz="4" w:space="0"/>
            </w:tcBorders>
            <w:shd w:val="clear" w:color="auto" w:fill="auto"/>
            <w:tcMar>
              <w:top w:w="150" w:type="dxa"/>
              <w:left w:w="240" w:type="dxa"/>
              <w:bottom w:w="150" w:type="dxa"/>
              <w:right w:w="0" w:type="dxa"/>
            </w:tcMar>
            <w:vAlign w:val="center"/>
          </w:tcPr>
          <w:p w14:paraId="625B9223">
            <w:pPr>
              <w:spacing w:line="360" w:lineRule="auto"/>
              <w:jc w:val="center"/>
              <w:rPr>
                <w:rFonts w:hint="default" w:asciiTheme="minorEastAsia" w:hAnsiTheme="minorEastAsia" w:eastAsiaTheme="minorEastAsia"/>
                <w:color w:val="auto"/>
                <w:sz w:val="24"/>
                <w:highlight w:val="none"/>
                <w:lang w:val="en-US" w:eastAsia="zh-CN"/>
              </w:rPr>
            </w:pPr>
            <w:r>
              <w:rPr>
                <w:rFonts w:hint="default" w:asciiTheme="minorEastAsia" w:hAnsiTheme="minorEastAsia" w:eastAsiaTheme="minorEastAsia"/>
                <w:color w:val="auto"/>
                <w:sz w:val="24"/>
                <w:highlight w:val="none"/>
                <w:lang w:val="en-US" w:eastAsia="zh-CN"/>
              </w:rPr>
              <w:t>PDF/Word</w:t>
            </w:r>
          </w:p>
        </w:tc>
      </w:tr>
    </w:tbl>
    <w:p w14:paraId="7CDC306C">
      <w:pPr>
        <w:spacing w:line="360" w:lineRule="auto"/>
        <w:ind w:firstLine="482" w:firstLineChars="200"/>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b/>
          <w:bCs/>
          <w:color w:val="auto"/>
          <w:sz w:val="24"/>
          <w:highlight w:val="none"/>
          <w:lang w:val="en-US" w:eastAsia="zh-CN"/>
        </w:rPr>
        <w:t>五、</w:t>
      </w:r>
      <w:r>
        <w:rPr>
          <w:rFonts w:hint="eastAsia" w:ascii="宋体" w:hAnsi="宋体" w:eastAsia="宋体"/>
          <w:b/>
          <w:color w:val="auto"/>
          <w:sz w:val="24"/>
          <w:szCs w:val="18"/>
          <w:highlight w:val="none"/>
        </w:rPr>
        <w:t>报价要求</w:t>
      </w:r>
    </w:p>
    <w:p w14:paraId="7CFD1582">
      <w:pPr>
        <w:spacing w:line="360" w:lineRule="auto"/>
        <w:ind w:firstLine="480" w:firstLineChars="200"/>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报价应包含完成本项目所需全部费用，包括但不限于：视频策划费、拍摄制作费、配音配乐费、设备租赁费、人员劳务费、交通差旅费、后期修改费、管理费、税金等。供应商漏报或不报，采购人将视为该漏报或不报部分的费用已包括在总报价中而不予另行支付。</w:t>
      </w:r>
    </w:p>
    <w:p w14:paraId="421953C5">
      <w:pPr>
        <w:spacing w:line="360" w:lineRule="auto"/>
        <w:ind w:firstLine="482" w:firstLineChars="200"/>
        <w:rPr>
          <w:rFonts w:hint="eastAsia" w:asciiTheme="minorEastAsia" w:hAnsiTheme="minorEastAsia" w:eastAsiaTheme="minorEastAsia"/>
          <w:b/>
          <w:bCs/>
          <w:color w:val="auto"/>
          <w:sz w:val="24"/>
          <w:highlight w:val="none"/>
          <w:lang w:val="en-US" w:eastAsia="zh-CN"/>
        </w:rPr>
      </w:pPr>
      <w:r>
        <w:rPr>
          <w:rFonts w:hint="eastAsia" w:asciiTheme="minorEastAsia" w:hAnsiTheme="minorEastAsia" w:eastAsiaTheme="minorEastAsia"/>
          <w:b/>
          <w:bCs/>
          <w:color w:val="auto"/>
          <w:sz w:val="24"/>
          <w:highlight w:val="none"/>
          <w:lang w:val="en-US" w:eastAsia="zh-CN"/>
        </w:rPr>
        <w:t>六、付款方式：采用分期付款方式：</w:t>
      </w:r>
    </w:p>
    <w:p w14:paraId="1B3FD05A">
      <w:pPr>
        <w:spacing w:line="360" w:lineRule="auto"/>
        <w:ind w:firstLine="482" w:firstLineChars="200"/>
        <w:rPr>
          <w:rFonts w:hint="eastAsia" w:asciiTheme="minorEastAsia" w:hAnsiTheme="minorEastAsia" w:eastAsiaTheme="minorEastAsia"/>
          <w:b/>
          <w:bCs/>
          <w:color w:val="auto"/>
          <w:sz w:val="24"/>
          <w:highlight w:val="none"/>
          <w:lang w:val="en-US" w:eastAsia="zh-CN"/>
        </w:rPr>
      </w:pPr>
      <w:r>
        <w:rPr>
          <w:rFonts w:hint="eastAsia" w:asciiTheme="minorEastAsia" w:hAnsiTheme="minorEastAsia" w:eastAsiaTheme="minorEastAsia"/>
          <w:b/>
          <w:bCs/>
          <w:color w:val="auto"/>
          <w:sz w:val="24"/>
          <w:highlight w:val="none"/>
          <w:lang w:val="en-US" w:eastAsia="zh-CN"/>
        </w:rPr>
        <w:t>合同签订后15个工作日内，支付合同总金额的30%作为预付款；</w:t>
      </w:r>
    </w:p>
    <w:p w14:paraId="0B22D0E5">
      <w:pPr>
        <w:spacing w:line="360" w:lineRule="auto"/>
        <w:ind w:firstLine="482" w:firstLineChars="200"/>
        <w:rPr>
          <w:rFonts w:hint="eastAsia" w:asciiTheme="minorEastAsia" w:hAnsiTheme="minorEastAsia" w:eastAsiaTheme="minorEastAsia"/>
          <w:b/>
          <w:bCs/>
          <w:color w:val="auto"/>
          <w:sz w:val="24"/>
          <w:highlight w:val="none"/>
          <w:lang w:val="en-US" w:eastAsia="zh-CN"/>
        </w:rPr>
      </w:pPr>
      <w:r>
        <w:rPr>
          <w:rFonts w:hint="eastAsia" w:asciiTheme="minorEastAsia" w:hAnsiTheme="minorEastAsia" w:eastAsiaTheme="minorEastAsia"/>
          <w:b/>
          <w:bCs/>
          <w:color w:val="auto"/>
          <w:sz w:val="24"/>
          <w:highlight w:val="none"/>
          <w:lang w:val="en-US" w:eastAsia="zh-CN"/>
        </w:rPr>
        <w:t>政策业务宣传18部视频全部验收合格后，支付合同总金额的30%；</w:t>
      </w:r>
    </w:p>
    <w:p w14:paraId="487CFEBC">
      <w:pPr>
        <w:spacing w:line="360" w:lineRule="auto"/>
        <w:ind w:firstLine="482" w:firstLineChars="200"/>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b/>
          <w:bCs/>
          <w:color w:val="auto"/>
          <w:sz w:val="24"/>
          <w:highlight w:val="none"/>
          <w:lang w:val="en-US" w:eastAsia="zh-CN"/>
        </w:rPr>
        <w:t>全部服务内容完成并经最终验收合格后，支付剩余40%的合同款项。</w:t>
      </w:r>
      <w:bookmarkEnd w:id="26"/>
      <w:bookmarkEnd w:id="27"/>
      <w:bookmarkEnd w:id="28"/>
    </w:p>
    <w:p w14:paraId="1482EF0A">
      <w:pPr>
        <w:spacing w:line="360" w:lineRule="auto"/>
        <w:jc w:val="center"/>
        <w:outlineLvl w:val="0"/>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br w:type="page"/>
      </w:r>
      <w:bookmarkStart w:id="29" w:name="_Toc23236"/>
      <w:r>
        <w:rPr>
          <w:rFonts w:hint="eastAsia" w:asciiTheme="minorEastAsia" w:hAnsiTheme="minorEastAsia" w:eastAsiaTheme="minorEastAsia"/>
          <w:b/>
          <w:color w:val="auto"/>
          <w:sz w:val="28"/>
          <w:highlight w:val="none"/>
        </w:rPr>
        <w:t>第四章  评审方法和标准</w:t>
      </w:r>
      <w:bookmarkEnd w:id="29"/>
    </w:p>
    <w:p w14:paraId="7340748B">
      <w:pPr>
        <w:spacing w:line="360" w:lineRule="auto"/>
        <w:ind w:firstLine="437"/>
        <w:outlineLvl w:val="1"/>
        <w:rPr>
          <w:rFonts w:asciiTheme="minorEastAsia" w:hAnsiTheme="minorEastAsia" w:eastAsiaTheme="minorEastAsia"/>
          <w:b/>
          <w:color w:val="auto"/>
          <w:sz w:val="24"/>
          <w:highlight w:val="none"/>
        </w:rPr>
      </w:pPr>
      <w:bookmarkStart w:id="30" w:name="_Toc16905"/>
      <w:bookmarkStart w:id="31" w:name="_Toc20577"/>
      <w:r>
        <w:rPr>
          <w:rFonts w:hint="eastAsia" w:asciiTheme="minorEastAsia" w:hAnsiTheme="minorEastAsia" w:eastAsiaTheme="minorEastAsia"/>
          <w:b/>
          <w:color w:val="auto"/>
          <w:sz w:val="24"/>
          <w:highlight w:val="none"/>
        </w:rPr>
        <w:t>一、总则</w:t>
      </w:r>
      <w:bookmarkEnd w:id="30"/>
      <w:bookmarkEnd w:id="31"/>
    </w:p>
    <w:p w14:paraId="4F105931">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本项目将按照谈判文件第二章 供应商须知的相关要求</w:t>
      </w:r>
      <w:r>
        <w:rPr>
          <w:rFonts w:asciiTheme="minorEastAsia" w:hAnsiTheme="minorEastAsia" w:eastAsiaTheme="minorEastAsia"/>
          <w:color w:val="auto"/>
          <w:sz w:val="24"/>
          <w:highlight w:val="none"/>
        </w:rPr>
        <w:t>及本章的规定</w:t>
      </w:r>
      <w:r>
        <w:rPr>
          <w:rFonts w:hint="eastAsia" w:asciiTheme="minorEastAsia" w:hAnsiTheme="minorEastAsia" w:eastAsiaTheme="minorEastAsia"/>
          <w:color w:val="auto"/>
          <w:sz w:val="24"/>
          <w:highlight w:val="none"/>
        </w:rPr>
        <w:t>评审</w:t>
      </w:r>
      <w:r>
        <w:rPr>
          <w:rFonts w:asciiTheme="minorEastAsia" w:hAnsiTheme="minorEastAsia" w:eastAsiaTheme="minorEastAsia"/>
          <w:color w:val="auto"/>
          <w:sz w:val="24"/>
          <w:highlight w:val="none"/>
        </w:rPr>
        <w:t>。</w:t>
      </w:r>
    </w:p>
    <w:p w14:paraId="144D5D08">
      <w:pPr>
        <w:spacing w:line="360" w:lineRule="auto"/>
        <w:ind w:firstLine="437"/>
        <w:outlineLvl w:val="1"/>
        <w:rPr>
          <w:rFonts w:asciiTheme="minorEastAsia" w:hAnsiTheme="minorEastAsia" w:eastAsiaTheme="minorEastAsia"/>
          <w:b/>
          <w:color w:val="auto"/>
          <w:sz w:val="24"/>
          <w:highlight w:val="none"/>
        </w:rPr>
      </w:pPr>
      <w:bookmarkStart w:id="32" w:name="_Toc28634"/>
      <w:bookmarkStart w:id="33" w:name="_Toc14705"/>
      <w:r>
        <w:rPr>
          <w:rFonts w:hint="eastAsia" w:asciiTheme="minorEastAsia" w:hAnsiTheme="minorEastAsia" w:eastAsiaTheme="minorEastAsia"/>
          <w:b/>
          <w:color w:val="auto"/>
          <w:sz w:val="24"/>
          <w:highlight w:val="none"/>
        </w:rPr>
        <w:t>二、评审方法</w:t>
      </w:r>
      <w:bookmarkEnd w:id="32"/>
      <w:bookmarkEnd w:id="33"/>
    </w:p>
    <w:p w14:paraId="32C325D3">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谈判小组对供应商的响应文件进行初审，以确定其是否满足谈判文件的实质性要求。初审表如下：</w:t>
      </w:r>
    </w:p>
    <w:tbl>
      <w:tblPr>
        <w:tblStyle w:val="29"/>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53"/>
        <w:gridCol w:w="1490"/>
        <w:gridCol w:w="4891"/>
        <w:gridCol w:w="2153"/>
      </w:tblGrid>
      <w:tr w14:paraId="5AE5E4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5000" w:type="pct"/>
            <w:gridSpan w:val="4"/>
            <w:tcBorders>
              <w:bottom w:val="single" w:color="auto" w:sz="4" w:space="0"/>
            </w:tcBorders>
            <w:vAlign w:val="center"/>
          </w:tcPr>
          <w:p w14:paraId="5C660574">
            <w:pPr>
              <w:adjustRightInd w:val="0"/>
              <w:snapToGrid w:val="0"/>
              <w:spacing w:line="360" w:lineRule="auto"/>
              <w:ind w:right="-10"/>
              <w:jc w:val="center"/>
              <w:rPr>
                <w:rFonts w:ascii="宋体" w:hAnsi="宋体" w:eastAsia="宋体"/>
                <w:color w:val="auto"/>
                <w:sz w:val="24"/>
                <w:highlight w:val="none"/>
              </w:rPr>
            </w:pPr>
            <w:bookmarkStart w:id="34" w:name="_Hlk60612144"/>
            <w:r>
              <w:rPr>
                <w:rFonts w:hint="eastAsia" w:ascii="宋体" w:hAnsi="宋体" w:eastAsia="宋体"/>
                <w:b/>
                <w:color w:val="auto"/>
                <w:sz w:val="24"/>
                <w:szCs w:val="22"/>
                <w:highlight w:val="none"/>
              </w:rPr>
              <w:t>初审表</w:t>
            </w:r>
          </w:p>
        </w:tc>
      </w:tr>
      <w:tr w14:paraId="1B2984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6" w:type="pct"/>
            <w:tcBorders>
              <w:bottom w:val="single" w:color="auto" w:sz="4" w:space="0"/>
            </w:tcBorders>
            <w:vAlign w:val="center"/>
          </w:tcPr>
          <w:p w14:paraId="45308D3F">
            <w:pPr>
              <w:adjustRightInd w:val="0"/>
              <w:snapToGrid w:val="0"/>
              <w:spacing w:line="360" w:lineRule="auto"/>
              <w:ind w:right="-10"/>
              <w:jc w:val="center"/>
              <w:rPr>
                <w:rFonts w:ascii="宋体" w:hAnsi="宋体" w:eastAsia="宋体"/>
                <w:color w:val="auto"/>
                <w:sz w:val="24"/>
                <w:highlight w:val="none"/>
              </w:rPr>
            </w:pPr>
            <w:r>
              <w:rPr>
                <w:rFonts w:hint="eastAsia" w:ascii="宋体" w:hAnsi="宋体" w:eastAsia="宋体"/>
                <w:color w:val="auto"/>
                <w:sz w:val="24"/>
                <w:highlight w:val="none"/>
              </w:rPr>
              <w:t>序号</w:t>
            </w:r>
          </w:p>
        </w:tc>
        <w:tc>
          <w:tcPr>
            <w:tcW w:w="802" w:type="pct"/>
            <w:tcBorders>
              <w:bottom w:val="single" w:color="auto" w:sz="4" w:space="0"/>
            </w:tcBorders>
            <w:vAlign w:val="center"/>
          </w:tcPr>
          <w:p w14:paraId="4EEAFAFF">
            <w:pPr>
              <w:pStyle w:val="47"/>
              <w:pBdr>
                <w:bottom w:val="none" w:color="auto" w:sz="0" w:space="0"/>
              </w:pBdr>
              <w:tabs>
                <w:tab w:val="clear" w:pos="4153"/>
                <w:tab w:val="clear" w:pos="8306"/>
              </w:tabs>
              <w:snapToGrid w:val="0"/>
              <w:spacing w:line="360" w:lineRule="auto"/>
              <w:ind w:right="-10"/>
              <w:textAlignment w:val="auto"/>
              <w:rPr>
                <w:rFonts w:ascii="宋体" w:hAnsi="宋体" w:eastAsia="宋体"/>
                <w:color w:val="auto"/>
                <w:kern w:val="2"/>
                <w:szCs w:val="24"/>
                <w:highlight w:val="none"/>
              </w:rPr>
            </w:pPr>
            <w:r>
              <w:rPr>
                <w:rFonts w:hint="eastAsia" w:ascii="宋体" w:hAnsi="宋体" w:eastAsia="宋体"/>
                <w:color w:val="auto"/>
                <w:kern w:val="2"/>
                <w:szCs w:val="24"/>
                <w:highlight w:val="none"/>
                <w:lang w:val="en-US" w:eastAsia="zh-CN"/>
              </w:rPr>
              <w:t>审查</w:t>
            </w:r>
            <w:r>
              <w:rPr>
                <w:rFonts w:hint="eastAsia" w:ascii="宋体" w:hAnsi="宋体" w:eastAsia="宋体"/>
                <w:color w:val="auto"/>
                <w:kern w:val="2"/>
                <w:szCs w:val="24"/>
                <w:highlight w:val="none"/>
              </w:rPr>
              <w:t>指标</w:t>
            </w:r>
          </w:p>
        </w:tc>
        <w:tc>
          <w:tcPr>
            <w:tcW w:w="2633" w:type="pct"/>
            <w:tcBorders>
              <w:bottom w:val="single" w:color="auto" w:sz="4" w:space="0"/>
            </w:tcBorders>
            <w:vAlign w:val="center"/>
          </w:tcPr>
          <w:p w14:paraId="60A03AA3">
            <w:pPr>
              <w:adjustRightInd w:val="0"/>
              <w:snapToGrid w:val="0"/>
              <w:spacing w:line="360" w:lineRule="auto"/>
              <w:ind w:right="-10"/>
              <w:jc w:val="center"/>
              <w:rPr>
                <w:rFonts w:ascii="宋体" w:hAnsi="宋体" w:eastAsia="宋体"/>
                <w:color w:val="auto"/>
                <w:sz w:val="24"/>
                <w:highlight w:val="none"/>
              </w:rPr>
            </w:pPr>
            <w:r>
              <w:rPr>
                <w:rFonts w:hint="eastAsia" w:ascii="宋体" w:hAnsi="宋体" w:eastAsia="宋体"/>
                <w:color w:val="auto"/>
                <w:sz w:val="24"/>
                <w:highlight w:val="none"/>
                <w:lang w:val="en-US" w:eastAsia="zh-CN"/>
              </w:rPr>
              <w:t>审查</w:t>
            </w:r>
            <w:r>
              <w:rPr>
                <w:rFonts w:hint="eastAsia" w:ascii="宋体" w:hAnsi="宋体" w:eastAsia="宋体"/>
                <w:color w:val="auto"/>
                <w:sz w:val="24"/>
                <w:highlight w:val="none"/>
              </w:rPr>
              <w:t>标准</w:t>
            </w:r>
          </w:p>
        </w:tc>
        <w:tc>
          <w:tcPr>
            <w:tcW w:w="1157" w:type="pct"/>
            <w:tcBorders>
              <w:bottom w:val="single" w:color="auto" w:sz="4" w:space="0"/>
            </w:tcBorders>
            <w:vAlign w:val="center"/>
          </w:tcPr>
          <w:p w14:paraId="3298F7B3">
            <w:pPr>
              <w:adjustRightInd w:val="0"/>
              <w:snapToGrid w:val="0"/>
              <w:spacing w:line="360" w:lineRule="auto"/>
              <w:ind w:right="-10"/>
              <w:jc w:val="center"/>
              <w:rPr>
                <w:rFonts w:ascii="宋体" w:hAnsi="宋体" w:eastAsia="宋体"/>
                <w:color w:val="auto"/>
                <w:sz w:val="24"/>
                <w:highlight w:val="none"/>
              </w:rPr>
            </w:pPr>
            <w:r>
              <w:rPr>
                <w:rFonts w:hint="eastAsia" w:ascii="宋体" w:hAnsi="宋体" w:eastAsia="宋体"/>
                <w:color w:val="auto"/>
                <w:sz w:val="24"/>
                <w:highlight w:val="none"/>
              </w:rPr>
              <w:t>格式要求</w:t>
            </w:r>
          </w:p>
        </w:tc>
      </w:tr>
      <w:tr w14:paraId="661160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5" w:hRule="atLeast"/>
          <w:jc w:val="center"/>
        </w:trPr>
        <w:tc>
          <w:tcPr>
            <w:tcW w:w="406" w:type="pct"/>
            <w:tcBorders>
              <w:bottom w:val="single" w:color="auto" w:sz="4" w:space="0"/>
            </w:tcBorders>
            <w:vAlign w:val="center"/>
          </w:tcPr>
          <w:p w14:paraId="7DE76299">
            <w:pPr>
              <w:adjustRightInd w:val="0"/>
              <w:snapToGrid w:val="0"/>
              <w:spacing w:line="360" w:lineRule="auto"/>
              <w:ind w:right="-10" w:rightChars="0"/>
              <w:jc w:val="center"/>
              <w:rPr>
                <w:rFonts w:ascii="宋体" w:hAnsi="宋体" w:eastAsia="宋体" w:cs="@仿宋_GB2312"/>
                <w:color w:val="auto"/>
                <w:kern w:val="2"/>
                <w:sz w:val="24"/>
                <w:highlight w:val="none"/>
                <w:lang w:val="en-US" w:eastAsia="zh-CN" w:bidi="ar-SA"/>
              </w:rPr>
            </w:pPr>
            <w:r>
              <w:rPr>
                <w:rFonts w:hint="eastAsia" w:ascii="宋体" w:hAnsi="宋体" w:eastAsia="宋体"/>
                <w:color w:val="auto"/>
                <w:sz w:val="24"/>
                <w:highlight w:val="none"/>
              </w:rPr>
              <w:t>1</w:t>
            </w:r>
          </w:p>
        </w:tc>
        <w:tc>
          <w:tcPr>
            <w:tcW w:w="802" w:type="pct"/>
            <w:tcBorders>
              <w:bottom w:val="single" w:color="auto" w:sz="4" w:space="0"/>
            </w:tcBorders>
            <w:vAlign w:val="center"/>
          </w:tcPr>
          <w:p w14:paraId="0BDD2905">
            <w:pPr>
              <w:spacing w:after="50" w:line="360" w:lineRule="auto"/>
              <w:ind w:right="-10" w:rightChars="0"/>
              <w:jc w:val="center"/>
              <w:rPr>
                <w:rFonts w:ascii="宋体" w:hAnsi="宋体" w:eastAsia="宋体" w:cs="@仿宋_GB2312"/>
                <w:color w:val="auto"/>
                <w:kern w:val="2"/>
                <w:sz w:val="24"/>
                <w:szCs w:val="28"/>
                <w:highlight w:val="none"/>
                <w:lang w:val="en-US" w:eastAsia="zh-CN" w:bidi="ar-SA"/>
              </w:rPr>
            </w:pPr>
            <w:r>
              <w:rPr>
                <w:rFonts w:ascii="宋体" w:hAnsi="宋体" w:eastAsia="宋体" w:cs="宋体"/>
                <w:color w:val="auto"/>
                <w:spacing w:val="9"/>
                <w:sz w:val="24"/>
                <w:szCs w:val="24"/>
                <w:highlight w:val="none"/>
              </w:rPr>
              <w:t>营业执照等证明</w:t>
            </w:r>
            <w:r>
              <w:rPr>
                <w:rFonts w:ascii="宋体" w:hAnsi="宋体" w:eastAsia="宋体" w:cs="宋体"/>
                <w:color w:val="auto"/>
                <w:spacing w:val="-3"/>
                <w:sz w:val="24"/>
                <w:szCs w:val="24"/>
                <w:highlight w:val="none"/>
              </w:rPr>
              <w:t>文件</w:t>
            </w:r>
          </w:p>
        </w:tc>
        <w:tc>
          <w:tcPr>
            <w:tcW w:w="2633" w:type="pct"/>
            <w:tcBorders>
              <w:bottom w:val="single" w:color="auto" w:sz="4" w:space="0"/>
            </w:tcBorders>
            <w:vAlign w:val="center"/>
          </w:tcPr>
          <w:p w14:paraId="0EE54BDE">
            <w:pPr>
              <w:keepNext w:val="0"/>
              <w:keepLines w:val="0"/>
              <w:pageBreakBefore w:val="0"/>
              <w:widowControl w:val="0"/>
              <w:kinsoku/>
              <w:wordWrap/>
              <w:overflowPunct/>
              <w:topLinePunct w:val="0"/>
              <w:autoSpaceDE/>
              <w:autoSpaceDN/>
              <w:bidi w:val="0"/>
              <w:adjustRightInd/>
              <w:snapToGrid/>
              <w:spacing w:line="360" w:lineRule="auto"/>
              <w:ind w:right="0" w:rightChars="0"/>
              <w:jc w:val="left"/>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供应商</w:t>
            </w:r>
            <w:r>
              <w:rPr>
                <w:rFonts w:ascii="宋体" w:hAnsi="宋体" w:eastAsia="宋体" w:cs="宋体"/>
                <w:color w:val="auto"/>
                <w:sz w:val="24"/>
                <w:szCs w:val="24"/>
                <w:highlight w:val="none"/>
              </w:rPr>
              <w:t>为企业（包括合伙企业）的，应</w:t>
            </w:r>
            <w:r>
              <w:rPr>
                <w:rFonts w:hint="eastAsia" w:ascii="宋体" w:hAnsi="宋体" w:eastAsia="宋体" w:cs="宋体"/>
                <w:color w:val="auto"/>
                <w:sz w:val="24"/>
                <w:szCs w:val="24"/>
                <w:highlight w:val="none"/>
                <w:lang w:val="en-US" w:eastAsia="zh-CN"/>
              </w:rPr>
              <w:t>提</w:t>
            </w:r>
            <w:r>
              <w:rPr>
                <w:rFonts w:ascii="宋体" w:hAnsi="宋体" w:eastAsia="宋体" w:cs="宋体"/>
                <w:color w:val="auto"/>
                <w:sz w:val="24"/>
                <w:szCs w:val="24"/>
                <w:highlight w:val="none"/>
              </w:rPr>
              <w:t>供有效的营业执照；</w:t>
            </w:r>
          </w:p>
          <w:p w14:paraId="37FF43C6">
            <w:pPr>
              <w:keepNext w:val="0"/>
              <w:keepLines w:val="0"/>
              <w:pageBreakBefore w:val="0"/>
              <w:widowControl w:val="0"/>
              <w:kinsoku/>
              <w:wordWrap/>
              <w:overflowPunct/>
              <w:topLinePunct w:val="0"/>
              <w:autoSpaceDE/>
              <w:autoSpaceDN/>
              <w:bidi w:val="0"/>
              <w:adjustRightInd/>
              <w:snapToGrid/>
              <w:spacing w:line="360" w:lineRule="auto"/>
              <w:ind w:right="0" w:rightChars="0"/>
              <w:jc w:val="left"/>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供应商</w:t>
            </w:r>
            <w:r>
              <w:rPr>
                <w:rFonts w:ascii="宋体" w:hAnsi="宋体" w:eastAsia="宋体" w:cs="宋体"/>
                <w:color w:val="auto"/>
                <w:sz w:val="24"/>
                <w:szCs w:val="24"/>
                <w:highlight w:val="none"/>
              </w:rPr>
              <w:t>为事业单位的，应</w:t>
            </w:r>
            <w:r>
              <w:rPr>
                <w:rFonts w:hint="eastAsia" w:ascii="宋体" w:hAnsi="宋体" w:eastAsia="宋体" w:cs="宋体"/>
                <w:color w:val="auto"/>
                <w:sz w:val="24"/>
                <w:szCs w:val="24"/>
                <w:highlight w:val="none"/>
                <w:lang w:val="en-US" w:eastAsia="zh-CN"/>
              </w:rPr>
              <w:t>提</w:t>
            </w:r>
            <w:r>
              <w:rPr>
                <w:rFonts w:ascii="宋体" w:hAnsi="宋体" w:eastAsia="宋体" w:cs="宋体"/>
                <w:color w:val="auto"/>
                <w:sz w:val="24"/>
                <w:szCs w:val="24"/>
                <w:highlight w:val="none"/>
              </w:rPr>
              <w:t>供有效的事业单位法人证书；</w:t>
            </w:r>
          </w:p>
          <w:p w14:paraId="04D49E3B">
            <w:pPr>
              <w:keepNext w:val="0"/>
              <w:keepLines w:val="0"/>
              <w:pageBreakBefore w:val="0"/>
              <w:widowControl w:val="0"/>
              <w:kinsoku/>
              <w:wordWrap/>
              <w:overflowPunct/>
              <w:topLinePunct w:val="0"/>
              <w:autoSpaceDE/>
              <w:autoSpaceDN/>
              <w:bidi w:val="0"/>
              <w:adjustRightInd/>
              <w:snapToGrid/>
              <w:spacing w:line="360" w:lineRule="auto"/>
              <w:ind w:right="0" w:rightChars="0"/>
              <w:jc w:val="left"/>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供应商</w:t>
            </w:r>
            <w:r>
              <w:rPr>
                <w:rFonts w:ascii="宋体" w:hAnsi="宋体" w:eastAsia="宋体" w:cs="宋体"/>
                <w:color w:val="auto"/>
                <w:sz w:val="24"/>
                <w:szCs w:val="24"/>
                <w:highlight w:val="none"/>
              </w:rPr>
              <w:t>是非企业机构的，应</w:t>
            </w:r>
            <w:r>
              <w:rPr>
                <w:rFonts w:hint="eastAsia" w:ascii="宋体" w:hAnsi="宋体" w:eastAsia="宋体" w:cs="宋体"/>
                <w:color w:val="auto"/>
                <w:sz w:val="24"/>
                <w:szCs w:val="24"/>
                <w:highlight w:val="none"/>
                <w:lang w:val="en-US" w:eastAsia="zh-CN"/>
              </w:rPr>
              <w:t>提</w:t>
            </w:r>
            <w:r>
              <w:rPr>
                <w:rFonts w:ascii="宋体" w:hAnsi="宋体" w:eastAsia="宋体" w:cs="宋体"/>
                <w:color w:val="auto"/>
                <w:sz w:val="24"/>
                <w:szCs w:val="24"/>
                <w:highlight w:val="none"/>
              </w:rPr>
              <w:t>供有效的执业许可证</w:t>
            </w:r>
            <w:r>
              <w:rPr>
                <w:rFonts w:hint="eastAsia" w:ascii="宋体" w:hAnsi="宋体" w:eastAsia="宋体" w:cs="宋体"/>
                <w:color w:val="auto"/>
                <w:sz w:val="24"/>
                <w:szCs w:val="24"/>
                <w:highlight w:val="none"/>
                <w:lang w:val="en-US" w:eastAsia="zh-CN"/>
              </w:rPr>
              <w:t>或</w:t>
            </w:r>
            <w:r>
              <w:rPr>
                <w:rFonts w:ascii="宋体" w:hAnsi="宋体" w:eastAsia="宋体" w:cs="宋体"/>
                <w:color w:val="auto"/>
                <w:sz w:val="24"/>
                <w:szCs w:val="24"/>
                <w:highlight w:val="none"/>
              </w:rPr>
              <w:t>登记证书等证明文件；</w:t>
            </w:r>
          </w:p>
          <w:p w14:paraId="53E11C42">
            <w:pPr>
              <w:keepNext w:val="0"/>
              <w:keepLines w:val="0"/>
              <w:pageBreakBefore w:val="0"/>
              <w:widowControl w:val="0"/>
              <w:kinsoku/>
              <w:wordWrap/>
              <w:overflowPunct/>
              <w:topLinePunct w:val="0"/>
              <w:autoSpaceDE/>
              <w:autoSpaceDN/>
              <w:bidi w:val="0"/>
              <w:adjustRightInd/>
              <w:snapToGrid/>
              <w:spacing w:line="360" w:lineRule="auto"/>
              <w:ind w:right="0" w:rightChars="0"/>
              <w:jc w:val="left"/>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供应商</w:t>
            </w:r>
            <w:r>
              <w:rPr>
                <w:rFonts w:ascii="宋体" w:hAnsi="宋体" w:eastAsia="宋体" w:cs="宋体"/>
                <w:color w:val="auto"/>
                <w:sz w:val="24"/>
                <w:szCs w:val="24"/>
                <w:highlight w:val="none"/>
              </w:rPr>
              <w:t>是个体工商户的，应</w:t>
            </w:r>
            <w:r>
              <w:rPr>
                <w:rFonts w:hint="eastAsia" w:ascii="宋体" w:hAnsi="宋体" w:eastAsia="宋体" w:cs="宋体"/>
                <w:color w:val="auto"/>
                <w:sz w:val="24"/>
                <w:szCs w:val="24"/>
                <w:highlight w:val="none"/>
                <w:lang w:val="en-US" w:eastAsia="zh-CN"/>
              </w:rPr>
              <w:t>提</w:t>
            </w:r>
            <w:r>
              <w:rPr>
                <w:rFonts w:ascii="宋体" w:hAnsi="宋体" w:eastAsia="宋体" w:cs="宋体"/>
                <w:color w:val="auto"/>
                <w:sz w:val="24"/>
                <w:szCs w:val="24"/>
                <w:highlight w:val="none"/>
              </w:rPr>
              <w:t>供有效的个体工商户营业执照；</w:t>
            </w:r>
          </w:p>
          <w:p w14:paraId="188544FB">
            <w:pPr>
              <w:keepNext w:val="0"/>
              <w:keepLines w:val="0"/>
              <w:pageBreakBefore w:val="0"/>
              <w:widowControl w:val="0"/>
              <w:kinsoku/>
              <w:wordWrap/>
              <w:overflowPunct/>
              <w:topLinePunct w:val="0"/>
              <w:autoSpaceDE/>
              <w:autoSpaceDN/>
              <w:bidi w:val="0"/>
              <w:adjustRightInd/>
              <w:snapToGrid/>
              <w:spacing w:line="360" w:lineRule="auto"/>
              <w:ind w:right="0" w:rightChars="0"/>
              <w:jc w:val="left"/>
              <w:textAlignment w:val="auto"/>
              <w:rPr>
                <w:rFonts w:ascii="宋体" w:hAnsi="宋体" w:eastAsia="宋体" w:cs="@仿宋_GB2312"/>
                <w:color w:val="auto"/>
                <w:kern w:val="2"/>
                <w:sz w:val="24"/>
                <w:szCs w:val="28"/>
                <w:highlight w:val="none"/>
                <w:lang w:val="en-US" w:eastAsia="zh-CN" w:bidi="ar-SA"/>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供应商</w:t>
            </w:r>
            <w:r>
              <w:rPr>
                <w:rFonts w:ascii="宋体" w:hAnsi="宋体" w:eastAsia="宋体" w:cs="宋体"/>
                <w:color w:val="auto"/>
                <w:sz w:val="24"/>
                <w:szCs w:val="24"/>
                <w:highlight w:val="none"/>
              </w:rPr>
              <w:t>是自然人的，应</w:t>
            </w:r>
            <w:r>
              <w:rPr>
                <w:rFonts w:hint="eastAsia" w:ascii="宋体" w:hAnsi="宋体" w:eastAsia="宋体" w:cs="宋体"/>
                <w:color w:val="auto"/>
                <w:sz w:val="24"/>
                <w:szCs w:val="24"/>
                <w:highlight w:val="none"/>
                <w:lang w:val="en-US" w:eastAsia="zh-CN"/>
              </w:rPr>
              <w:t>提</w:t>
            </w:r>
            <w:r>
              <w:rPr>
                <w:rFonts w:ascii="宋体" w:hAnsi="宋体" w:eastAsia="宋体" w:cs="宋体"/>
                <w:color w:val="auto"/>
                <w:sz w:val="24"/>
                <w:szCs w:val="24"/>
                <w:highlight w:val="none"/>
              </w:rPr>
              <w:t>供有效的自然人身份证明</w:t>
            </w:r>
            <w:r>
              <w:rPr>
                <w:rFonts w:hint="eastAsia" w:ascii="宋体" w:hAnsi="宋体" w:eastAsia="宋体" w:cs="宋体"/>
                <w:color w:val="auto"/>
                <w:sz w:val="24"/>
                <w:szCs w:val="24"/>
                <w:highlight w:val="none"/>
                <w:lang w:eastAsia="zh-CN"/>
              </w:rPr>
              <w:t>；</w:t>
            </w:r>
          </w:p>
        </w:tc>
        <w:tc>
          <w:tcPr>
            <w:tcW w:w="1157" w:type="pct"/>
            <w:vAlign w:val="center"/>
          </w:tcPr>
          <w:p w14:paraId="1F22FBEC">
            <w:pPr>
              <w:spacing w:line="360" w:lineRule="auto"/>
              <w:jc w:val="left"/>
              <w:rPr>
                <w:rFonts w:ascii="宋体" w:hAnsi="宋体" w:eastAsia="宋体" w:cs="@仿宋_GB2312"/>
                <w:color w:val="auto"/>
                <w:kern w:val="2"/>
                <w:sz w:val="24"/>
                <w:highlight w:val="none"/>
                <w:lang w:val="en-US" w:eastAsia="zh-CN" w:bidi="ar-SA"/>
              </w:rPr>
            </w:pPr>
            <w:r>
              <w:rPr>
                <w:rFonts w:hint="eastAsia" w:ascii="宋体" w:hAnsi="宋体" w:eastAsia="宋体" w:cs="宋体"/>
                <w:b w:val="0"/>
                <w:bCs w:val="0"/>
                <w:color w:val="auto"/>
                <w:sz w:val="24"/>
                <w:szCs w:val="24"/>
                <w:highlight w:val="none"/>
              </w:rPr>
              <w:t>提供</w:t>
            </w:r>
            <w:r>
              <w:rPr>
                <w:rFonts w:hint="eastAsia" w:ascii="宋体" w:hAnsi="宋体" w:eastAsia="宋体" w:cs="宋体"/>
                <w:b w:val="0"/>
                <w:bCs w:val="0"/>
                <w:color w:val="auto"/>
                <w:sz w:val="24"/>
                <w:szCs w:val="24"/>
                <w:highlight w:val="none"/>
                <w:lang w:val="en-US" w:eastAsia="zh-CN"/>
              </w:rPr>
              <w:t>材料</w:t>
            </w:r>
            <w:r>
              <w:rPr>
                <w:rFonts w:hint="eastAsia" w:ascii="宋体" w:hAnsi="宋体" w:eastAsia="宋体" w:cs="宋体"/>
                <w:b w:val="0"/>
                <w:bCs w:val="0"/>
                <w:color w:val="auto"/>
                <w:sz w:val="24"/>
                <w:szCs w:val="24"/>
                <w:highlight w:val="none"/>
              </w:rPr>
              <w:t>扫描件</w:t>
            </w:r>
            <w:r>
              <w:rPr>
                <w:rFonts w:hint="eastAsia" w:ascii="宋体" w:hAnsi="宋体" w:eastAsia="宋体" w:cs="宋体"/>
                <w:b w:val="0"/>
                <w:bCs w:val="0"/>
                <w:color w:val="auto"/>
                <w:sz w:val="24"/>
                <w:szCs w:val="24"/>
                <w:highlight w:val="none"/>
                <w:lang w:val="en-US" w:eastAsia="zh-CN"/>
              </w:rPr>
              <w:t>或电子证照</w:t>
            </w:r>
            <w:r>
              <w:rPr>
                <w:rFonts w:hint="eastAsia" w:ascii="宋体" w:hAnsi="宋体" w:eastAsia="宋体" w:cs="宋体"/>
                <w:b w:val="0"/>
                <w:bCs w:val="0"/>
                <w:color w:val="auto"/>
                <w:sz w:val="24"/>
                <w:szCs w:val="24"/>
                <w:highlight w:val="none"/>
              </w:rPr>
              <w:t>，应完整的体现出</w:t>
            </w:r>
            <w:r>
              <w:rPr>
                <w:rFonts w:hint="eastAsia" w:ascii="宋体" w:hAnsi="宋体" w:eastAsia="宋体" w:cs="宋体"/>
                <w:b w:val="0"/>
                <w:bCs w:val="0"/>
                <w:color w:val="auto"/>
                <w:sz w:val="24"/>
                <w:szCs w:val="24"/>
                <w:highlight w:val="none"/>
                <w:lang w:val="en-US" w:eastAsia="zh-CN"/>
              </w:rPr>
              <w:t>材料或电子证照</w:t>
            </w:r>
            <w:r>
              <w:rPr>
                <w:rFonts w:hint="eastAsia" w:ascii="宋体" w:hAnsi="宋体" w:eastAsia="宋体" w:cs="宋体"/>
                <w:b w:val="0"/>
                <w:bCs w:val="0"/>
                <w:color w:val="auto"/>
                <w:sz w:val="24"/>
                <w:szCs w:val="24"/>
                <w:highlight w:val="none"/>
              </w:rPr>
              <w:t>全部内容。联合体</w:t>
            </w:r>
            <w:r>
              <w:rPr>
                <w:rFonts w:hint="eastAsia" w:ascii="宋体" w:hAnsi="宋体" w:eastAsia="宋体"/>
                <w:color w:val="auto"/>
                <w:sz w:val="24"/>
                <w:highlight w:val="none"/>
              </w:rPr>
              <w:t>参加</w:t>
            </w:r>
            <w:r>
              <w:rPr>
                <w:rFonts w:hint="eastAsia" w:ascii="宋体" w:hAnsi="宋体" w:eastAsia="宋体"/>
                <w:color w:val="auto"/>
                <w:sz w:val="24"/>
                <w:highlight w:val="none"/>
                <w:lang w:eastAsia="zh-CN"/>
              </w:rPr>
              <w:t>谈判</w:t>
            </w:r>
            <w:r>
              <w:rPr>
                <w:rFonts w:hint="eastAsia" w:ascii="宋体" w:hAnsi="宋体" w:eastAsia="宋体"/>
                <w:color w:val="auto"/>
                <w:sz w:val="24"/>
                <w:highlight w:val="none"/>
                <w:lang w:val="en-US" w:eastAsia="zh-CN"/>
              </w:rPr>
              <w:t>的</w:t>
            </w:r>
            <w:r>
              <w:rPr>
                <w:rFonts w:hint="eastAsia" w:ascii="宋体" w:hAnsi="宋体" w:eastAsia="宋体" w:cs="宋体"/>
                <w:b w:val="0"/>
                <w:bCs w:val="0"/>
                <w:color w:val="auto"/>
                <w:sz w:val="24"/>
                <w:szCs w:val="24"/>
                <w:highlight w:val="none"/>
              </w:rPr>
              <w:t>联合体各方均须提供。</w:t>
            </w:r>
          </w:p>
        </w:tc>
      </w:tr>
      <w:tr w14:paraId="5B8F02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6" w:type="pct"/>
            <w:tcBorders>
              <w:bottom w:val="single" w:color="auto" w:sz="4" w:space="0"/>
            </w:tcBorders>
            <w:vAlign w:val="center"/>
          </w:tcPr>
          <w:p w14:paraId="61B93CF7">
            <w:pPr>
              <w:adjustRightInd w:val="0"/>
              <w:snapToGrid w:val="0"/>
              <w:spacing w:line="360" w:lineRule="auto"/>
              <w:ind w:right="-10"/>
              <w:jc w:val="center"/>
              <w:rPr>
                <w:rFonts w:hint="eastAsia" w:ascii="宋体" w:hAnsi="宋体" w:eastAsia="宋体"/>
                <w:color w:val="auto"/>
                <w:sz w:val="24"/>
                <w:highlight w:val="none"/>
                <w:lang w:val="en-US" w:eastAsia="zh-CN"/>
              </w:rPr>
            </w:pPr>
            <w:r>
              <w:rPr>
                <w:rFonts w:hint="eastAsia" w:ascii="宋体" w:hAnsi="宋体" w:eastAsia="宋体"/>
                <w:color w:val="auto"/>
                <w:sz w:val="24"/>
                <w:highlight w:val="none"/>
                <w:lang w:val="en-US" w:eastAsia="zh-CN"/>
              </w:rPr>
              <w:t>2</w:t>
            </w:r>
          </w:p>
        </w:tc>
        <w:tc>
          <w:tcPr>
            <w:tcW w:w="802" w:type="pct"/>
            <w:tcBorders>
              <w:bottom w:val="single" w:color="auto" w:sz="4" w:space="0"/>
            </w:tcBorders>
            <w:vAlign w:val="center"/>
          </w:tcPr>
          <w:p w14:paraId="0D88B71A">
            <w:pPr>
              <w:spacing w:after="50" w:line="360" w:lineRule="auto"/>
              <w:ind w:right="-10" w:rightChars="0"/>
              <w:jc w:val="center"/>
              <w:rPr>
                <w:rFonts w:hint="default" w:ascii="宋体" w:hAnsi="宋体" w:eastAsia="宋体" w:cs="@仿宋_GB2312"/>
                <w:color w:val="auto"/>
                <w:kern w:val="2"/>
                <w:sz w:val="24"/>
                <w:szCs w:val="28"/>
                <w:highlight w:val="none"/>
                <w:lang w:val="en-US" w:eastAsia="zh-CN" w:bidi="ar-SA"/>
              </w:rPr>
            </w:pPr>
            <w:r>
              <w:rPr>
                <w:rFonts w:hint="eastAsia" w:ascii="宋体" w:hAnsi="宋体" w:eastAsia="宋体"/>
                <w:color w:val="auto"/>
                <w:sz w:val="24"/>
                <w:szCs w:val="18"/>
                <w:highlight w:val="none"/>
                <w:lang w:val="en-US" w:eastAsia="zh-CN"/>
              </w:rPr>
              <w:t>供应商资格声明书</w:t>
            </w:r>
          </w:p>
        </w:tc>
        <w:tc>
          <w:tcPr>
            <w:tcW w:w="2633" w:type="pct"/>
            <w:tcBorders>
              <w:bottom w:val="single" w:color="auto" w:sz="4" w:space="0"/>
            </w:tcBorders>
            <w:vAlign w:val="center"/>
          </w:tcPr>
          <w:p w14:paraId="261B1409">
            <w:pPr>
              <w:spacing w:after="50" w:line="360" w:lineRule="auto"/>
              <w:ind w:right="-10" w:rightChars="0"/>
              <w:jc w:val="left"/>
              <w:rPr>
                <w:rFonts w:hint="eastAsia" w:ascii="宋体" w:hAnsi="宋体" w:eastAsia="宋体" w:cs="@仿宋_GB2312"/>
                <w:color w:val="auto"/>
                <w:kern w:val="2"/>
                <w:sz w:val="24"/>
                <w:szCs w:val="28"/>
                <w:highlight w:val="none"/>
                <w:lang w:val="en-US" w:eastAsia="zh-CN" w:bidi="ar-SA"/>
              </w:rPr>
            </w:pPr>
            <w:r>
              <w:rPr>
                <w:rFonts w:hint="eastAsia" w:ascii="宋体" w:hAnsi="宋体" w:eastAsia="宋体" w:cs="宋体"/>
                <w:color w:val="auto"/>
                <w:sz w:val="24"/>
                <w:szCs w:val="24"/>
                <w:highlight w:val="none"/>
                <w:lang w:val="en-US" w:eastAsia="zh-CN"/>
              </w:rPr>
              <w:t>提</w:t>
            </w:r>
            <w:r>
              <w:rPr>
                <w:rFonts w:ascii="宋体" w:hAnsi="宋体" w:eastAsia="宋体" w:cs="宋体"/>
                <w:color w:val="auto"/>
                <w:sz w:val="24"/>
                <w:szCs w:val="24"/>
                <w:highlight w:val="none"/>
              </w:rPr>
              <w:t>供符合</w:t>
            </w:r>
            <w:r>
              <w:rPr>
                <w:rFonts w:hint="eastAsia" w:ascii="宋体" w:hAnsi="宋体" w:eastAsia="宋体" w:cs="宋体"/>
                <w:color w:val="auto"/>
                <w:sz w:val="24"/>
                <w:szCs w:val="24"/>
                <w:highlight w:val="none"/>
                <w:lang w:val="en-US" w:eastAsia="zh-CN"/>
              </w:rPr>
              <w:t>谈判</w:t>
            </w:r>
            <w:r>
              <w:rPr>
                <w:rFonts w:ascii="宋体" w:hAnsi="宋体" w:eastAsia="宋体" w:cs="宋体"/>
                <w:color w:val="auto"/>
                <w:sz w:val="24"/>
                <w:szCs w:val="24"/>
                <w:highlight w:val="none"/>
              </w:rPr>
              <w:t>文件要求的《</w:t>
            </w:r>
            <w:r>
              <w:rPr>
                <w:rFonts w:hint="eastAsia" w:ascii="宋体" w:hAnsi="宋体" w:eastAsia="宋体" w:cs="宋体"/>
                <w:color w:val="auto"/>
                <w:sz w:val="24"/>
                <w:szCs w:val="24"/>
                <w:highlight w:val="none"/>
                <w:lang w:val="en-US" w:eastAsia="zh-CN"/>
              </w:rPr>
              <w:t>供应商</w:t>
            </w:r>
            <w:r>
              <w:rPr>
                <w:rFonts w:ascii="宋体" w:hAnsi="宋体" w:eastAsia="宋体" w:cs="宋体"/>
                <w:color w:val="auto"/>
                <w:sz w:val="24"/>
                <w:szCs w:val="24"/>
                <w:highlight w:val="none"/>
              </w:rPr>
              <w:t>资格声明书》</w:t>
            </w:r>
            <w:r>
              <w:rPr>
                <w:rFonts w:hint="eastAsia" w:ascii="宋体" w:hAnsi="宋体" w:eastAsia="宋体" w:cs="宋体"/>
                <w:color w:val="auto"/>
                <w:sz w:val="24"/>
                <w:szCs w:val="24"/>
                <w:highlight w:val="none"/>
                <w:lang w:eastAsia="zh-CN"/>
              </w:rPr>
              <w:t>。</w:t>
            </w:r>
          </w:p>
        </w:tc>
        <w:tc>
          <w:tcPr>
            <w:tcW w:w="1157" w:type="pct"/>
            <w:tcBorders>
              <w:bottom w:val="single" w:color="auto" w:sz="4" w:space="0"/>
            </w:tcBorders>
            <w:vAlign w:val="center"/>
          </w:tcPr>
          <w:p w14:paraId="022A5EC0">
            <w:pPr>
              <w:spacing w:line="360" w:lineRule="auto"/>
              <w:jc w:val="left"/>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olor w:val="auto"/>
                <w:sz w:val="24"/>
                <w:highlight w:val="none"/>
              </w:rPr>
              <w:t>详见第六章</w:t>
            </w:r>
            <w:r>
              <w:rPr>
                <w:rFonts w:hint="eastAsia" w:ascii="宋体" w:hAnsi="宋体" w:eastAsia="宋体"/>
                <w:color w:val="auto"/>
                <w:sz w:val="24"/>
                <w:highlight w:val="none"/>
                <w:lang w:val="en-US" w:eastAsia="zh-CN"/>
              </w:rPr>
              <w:t>响应</w:t>
            </w:r>
            <w:r>
              <w:rPr>
                <w:rFonts w:hint="eastAsia" w:ascii="宋体" w:hAnsi="宋体" w:eastAsia="宋体"/>
                <w:color w:val="auto"/>
                <w:sz w:val="24"/>
                <w:highlight w:val="none"/>
              </w:rPr>
              <w:t>文件格式</w:t>
            </w:r>
            <w:r>
              <w:rPr>
                <w:rFonts w:hint="eastAsia" w:ascii="宋体" w:hAnsi="宋体" w:eastAsia="宋体"/>
                <w:color w:val="auto"/>
                <w:sz w:val="24"/>
                <w:highlight w:val="none"/>
                <w:lang w:eastAsia="zh-CN"/>
              </w:rPr>
              <w:t>。</w:t>
            </w:r>
          </w:p>
        </w:tc>
      </w:tr>
      <w:tr w14:paraId="079C1C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6" w:type="pct"/>
            <w:tcBorders>
              <w:bottom w:val="single" w:color="auto" w:sz="4" w:space="0"/>
            </w:tcBorders>
            <w:vAlign w:val="center"/>
          </w:tcPr>
          <w:p w14:paraId="4307C2C0">
            <w:pPr>
              <w:adjustRightInd w:val="0"/>
              <w:snapToGrid w:val="0"/>
              <w:spacing w:line="360" w:lineRule="auto"/>
              <w:ind w:right="-10" w:rightChars="0"/>
              <w:jc w:val="center"/>
              <w:rPr>
                <w:rFonts w:ascii="宋体" w:hAnsi="宋体" w:eastAsia="宋体" w:cs="@仿宋_GB2312"/>
                <w:color w:val="auto"/>
                <w:kern w:val="2"/>
                <w:sz w:val="24"/>
                <w:highlight w:val="none"/>
                <w:lang w:val="en-US" w:eastAsia="zh-CN" w:bidi="ar-SA"/>
              </w:rPr>
            </w:pPr>
            <w:r>
              <w:rPr>
                <w:rFonts w:hint="eastAsia" w:ascii="宋体" w:hAnsi="宋体" w:eastAsia="宋体"/>
                <w:color w:val="auto"/>
                <w:sz w:val="24"/>
                <w:highlight w:val="none"/>
              </w:rPr>
              <w:t>3</w:t>
            </w:r>
          </w:p>
        </w:tc>
        <w:tc>
          <w:tcPr>
            <w:tcW w:w="802" w:type="pct"/>
            <w:tcBorders>
              <w:bottom w:val="single" w:color="auto" w:sz="4" w:space="0"/>
            </w:tcBorders>
            <w:vAlign w:val="center"/>
          </w:tcPr>
          <w:p w14:paraId="6FFDE6EC">
            <w:pPr>
              <w:spacing w:after="50" w:line="360" w:lineRule="auto"/>
              <w:ind w:right="-10" w:rightChars="0"/>
              <w:jc w:val="center"/>
              <w:rPr>
                <w:rFonts w:ascii="宋体" w:hAnsi="宋体" w:eastAsia="宋体" w:cs="@仿宋_GB2312"/>
                <w:color w:val="auto"/>
                <w:kern w:val="2"/>
                <w:sz w:val="24"/>
                <w:szCs w:val="28"/>
                <w:highlight w:val="none"/>
                <w:lang w:val="en-US" w:eastAsia="zh-CN" w:bidi="ar-SA"/>
              </w:rPr>
            </w:pPr>
            <w:r>
              <w:rPr>
                <w:rFonts w:hint="eastAsia" w:ascii="宋体" w:hAnsi="宋体" w:eastAsia="宋体" w:cs="宋体"/>
                <w:color w:val="auto"/>
                <w:sz w:val="24"/>
                <w:szCs w:val="24"/>
                <w:highlight w:val="none"/>
                <w:lang w:val="en-US" w:eastAsia="zh-CN"/>
              </w:rPr>
              <w:t>供应商</w:t>
            </w:r>
            <w:r>
              <w:rPr>
                <w:rFonts w:hint="eastAsia" w:ascii="宋体" w:hAnsi="宋体" w:eastAsia="宋体" w:cs="宋体"/>
                <w:color w:val="auto"/>
                <w:sz w:val="24"/>
                <w:szCs w:val="24"/>
                <w:highlight w:val="none"/>
              </w:rPr>
              <w:t>信用记录</w:t>
            </w:r>
          </w:p>
        </w:tc>
        <w:tc>
          <w:tcPr>
            <w:tcW w:w="2633" w:type="pct"/>
            <w:tcBorders>
              <w:bottom w:val="single" w:color="auto" w:sz="4" w:space="0"/>
            </w:tcBorders>
            <w:vAlign w:val="center"/>
          </w:tcPr>
          <w:p w14:paraId="3BABE716">
            <w:pPr>
              <w:keepNext w:val="0"/>
              <w:keepLines w:val="0"/>
              <w:pageBreakBefore w:val="0"/>
              <w:widowControl w:val="0"/>
              <w:kinsoku/>
              <w:wordWrap w:val="0"/>
              <w:overflowPunct/>
              <w:topLinePunct w:val="0"/>
              <w:autoSpaceDE/>
              <w:autoSpaceDN/>
              <w:bidi w:val="0"/>
              <w:adjustRightInd/>
              <w:snapToGrid/>
              <w:spacing w:after="50" w:line="360" w:lineRule="auto"/>
              <w:ind w:right="-11" w:rightChars="0"/>
              <w:jc w:val="left"/>
              <w:textAlignment w:val="auto"/>
              <w:rPr>
                <w:rFonts w:ascii="@仿宋_GB2312" w:hAnsi="@仿宋_GB2312" w:eastAsia="@仿宋_GB2312" w:cs="@仿宋_GB2312"/>
                <w:color w:val="auto"/>
                <w:kern w:val="2"/>
                <w:sz w:val="21"/>
                <w:highlight w:val="none"/>
                <w:lang w:val="en-US" w:eastAsia="zh-CN" w:bidi="ar-SA"/>
              </w:rPr>
            </w:pPr>
            <w:r>
              <w:rPr>
                <w:rFonts w:hint="eastAsia" w:ascii="宋体" w:hAnsi="宋体" w:eastAsia="宋体" w:cs="宋体"/>
                <w:color w:val="auto"/>
                <w:sz w:val="24"/>
                <w:szCs w:val="24"/>
                <w:highlight w:val="none"/>
                <w:lang w:val="en-US" w:eastAsia="zh-CN"/>
              </w:rPr>
              <w:t>供应商</w:t>
            </w:r>
            <w:r>
              <w:rPr>
                <w:rFonts w:hint="eastAsia" w:ascii="宋体" w:hAnsi="宋体" w:eastAsia="宋体" w:cs="宋体"/>
                <w:color w:val="auto"/>
                <w:sz w:val="24"/>
                <w:szCs w:val="24"/>
                <w:highlight w:val="none"/>
                <w:lang w:val="zh-CN" w:eastAsia="zh-CN"/>
              </w:rPr>
              <w:t>不得存在</w:t>
            </w:r>
            <w:r>
              <w:rPr>
                <w:rFonts w:hint="eastAsia" w:ascii="宋体" w:hAnsi="宋体" w:eastAsia="宋体" w:cs="宋体"/>
                <w:color w:val="auto"/>
                <w:sz w:val="24"/>
                <w:szCs w:val="24"/>
                <w:highlight w:val="none"/>
                <w:lang w:val="en-US" w:eastAsia="zh-CN"/>
              </w:rPr>
              <w:t>第一章谈判邀请中申请人资格要求中的</w:t>
            </w:r>
            <w:r>
              <w:rPr>
                <w:rFonts w:hint="eastAsia" w:ascii="宋体" w:hAnsi="宋体" w:eastAsia="宋体"/>
                <w:color w:val="auto"/>
                <w:sz w:val="24"/>
                <w:szCs w:val="18"/>
                <w:highlight w:val="none"/>
              </w:rPr>
              <w:t>不良信用记录情形</w:t>
            </w:r>
          </w:p>
        </w:tc>
        <w:tc>
          <w:tcPr>
            <w:tcW w:w="1157" w:type="pct"/>
            <w:tcBorders>
              <w:bottom w:val="single" w:color="auto" w:sz="4" w:space="0"/>
            </w:tcBorders>
            <w:vAlign w:val="center"/>
          </w:tcPr>
          <w:p w14:paraId="7620D26D">
            <w:pPr>
              <w:spacing w:line="360" w:lineRule="auto"/>
              <w:jc w:val="left"/>
              <w:rPr>
                <w:rFonts w:ascii="@仿宋_GB2312" w:hAnsi="@仿宋_GB2312" w:eastAsia="@仿宋_GB2312" w:cs="@仿宋_GB2312"/>
                <w:color w:val="auto"/>
                <w:kern w:val="2"/>
                <w:sz w:val="21"/>
                <w:highlight w:val="none"/>
                <w:lang w:val="en-US" w:eastAsia="zh-CN" w:bidi="ar-SA"/>
              </w:rPr>
            </w:pPr>
            <w:r>
              <w:rPr>
                <w:rFonts w:hint="eastAsia" w:ascii="宋体" w:hAnsi="宋体" w:eastAsia="宋体" w:cs="宋体"/>
                <w:color w:val="auto"/>
                <w:sz w:val="24"/>
                <w:szCs w:val="24"/>
                <w:highlight w:val="none"/>
              </w:rPr>
              <w:t>无须</w:t>
            </w:r>
            <w:r>
              <w:rPr>
                <w:rFonts w:hint="eastAsia" w:ascii="宋体" w:hAnsi="宋体" w:eastAsia="宋体" w:cs="宋体"/>
                <w:color w:val="auto"/>
                <w:sz w:val="24"/>
                <w:szCs w:val="24"/>
                <w:highlight w:val="none"/>
                <w:lang w:val="en-US" w:eastAsia="zh-CN"/>
              </w:rPr>
              <w:t>供应商提</w:t>
            </w:r>
            <w:r>
              <w:rPr>
                <w:rFonts w:hint="eastAsia" w:ascii="宋体" w:hAnsi="宋体" w:eastAsia="宋体" w:cs="宋体"/>
                <w:color w:val="auto"/>
                <w:sz w:val="24"/>
                <w:szCs w:val="24"/>
                <w:highlight w:val="none"/>
              </w:rPr>
              <w:t>供，由采购人或采购代理机构查询。</w:t>
            </w:r>
          </w:p>
        </w:tc>
      </w:tr>
      <w:tr w14:paraId="475EEA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6" w:type="pct"/>
            <w:vAlign w:val="center"/>
          </w:tcPr>
          <w:p w14:paraId="18FABB30">
            <w:pPr>
              <w:adjustRightInd w:val="0"/>
              <w:snapToGrid w:val="0"/>
              <w:spacing w:line="360" w:lineRule="auto"/>
              <w:ind w:right="-10" w:rightChars="0"/>
              <w:jc w:val="center"/>
              <w:rPr>
                <w:rFonts w:hint="eastAsia" w:cs="@仿宋_GB2312" w:asciiTheme="majorEastAsia" w:hAnsiTheme="majorEastAsia" w:eastAsiaTheme="majorEastAsia"/>
                <w:color w:val="auto"/>
                <w:kern w:val="2"/>
                <w:sz w:val="24"/>
                <w:highlight w:val="none"/>
                <w:lang w:val="en-US" w:eastAsia="zh-CN" w:bidi="ar-SA"/>
              </w:rPr>
            </w:pPr>
            <w:r>
              <w:rPr>
                <w:rFonts w:hint="eastAsia" w:asciiTheme="majorEastAsia" w:hAnsiTheme="majorEastAsia" w:eastAsiaTheme="majorEastAsia"/>
                <w:color w:val="auto"/>
                <w:sz w:val="24"/>
                <w:highlight w:val="none"/>
                <w:lang w:val="en-US" w:eastAsia="zh-CN"/>
              </w:rPr>
              <w:t>4</w:t>
            </w:r>
          </w:p>
        </w:tc>
        <w:tc>
          <w:tcPr>
            <w:tcW w:w="802" w:type="pct"/>
            <w:vAlign w:val="center"/>
          </w:tcPr>
          <w:p w14:paraId="49874CC2">
            <w:pPr>
              <w:spacing w:after="50" w:line="360" w:lineRule="auto"/>
              <w:ind w:right="-10" w:rightChars="0"/>
              <w:jc w:val="center"/>
              <w:rPr>
                <w:rFonts w:ascii="宋体" w:hAnsi="宋体" w:eastAsia="宋体" w:cs="宋体"/>
                <w:color w:val="auto"/>
                <w:spacing w:val="10"/>
                <w:kern w:val="2"/>
                <w:sz w:val="24"/>
                <w:szCs w:val="24"/>
                <w:highlight w:val="none"/>
                <w:lang w:val="en-US" w:eastAsia="zh-CN" w:bidi="ar-SA"/>
              </w:rPr>
            </w:pPr>
            <w:r>
              <w:rPr>
                <w:rFonts w:ascii="宋体" w:hAnsi="宋体" w:eastAsia="宋体" w:cs="宋体"/>
                <w:color w:val="auto"/>
                <w:spacing w:val="10"/>
                <w:sz w:val="24"/>
                <w:szCs w:val="24"/>
                <w:highlight w:val="none"/>
              </w:rPr>
              <w:t>其他资格要求</w:t>
            </w:r>
          </w:p>
        </w:tc>
        <w:tc>
          <w:tcPr>
            <w:tcW w:w="2633" w:type="pct"/>
            <w:vAlign w:val="center"/>
          </w:tcPr>
          <w:p w14:paraId="31B2B534">
            <w:pPr>
              <w:spacing w:after="50" w:line="360" w:lineRule="auto"/>
              <w:ind w:right="-10" w:rightChars="0"/>
              <w:jc w:val="center"/>
              <w:rPr>
                <w:rFonts w:hint="default" w:ascii="宋体" w:hAnsi="宋体" w:eastAsia="宋体" w:cs="宋体"/>
                <w:color w:val="auto"/>
                <w:spacing w:val="10"/>
                <w:kern w:val="2"/>
                <w:sz w:val="24"/>
                <w:szCs w:val="24"/>
                <w:highlight w:val="none"/>
                <w:lang w:val="en-US" w:eastAsia="zh-CN" w:bidi="ar-SA"/>
              </w:rPr>
            </w:pPr>
            <w:r>
              <w:rPr>
                <w:rFonts w:hint="eastAsia" w:ascii="宋体" w:hAnsi="宋体" w:eastAsia="宋体" w:cs="宋体"/>
                <w:color w:val="auto"/>
                <w:spacing w:val="10"/>
                <w:kern w:val="2"/>
                <w:sz w:val="24"/>
                <w:szCs w:val="24"/>
                <w:highlight w:val="none"/>
                <w:lang w:val="en-US" w:eastAsia="zh-CN" w:bidi="ar-SA"/>
              </w:rPr>
              <w:t>/</w:t>
            </w:r>
          </w:p>
        </w:tc>
        <w:tc>
          <w:tcPr>
            <w:tcW w:w="1157" w:type="pct"/>
            <w:vAlign w:val="center"/>
          </w:tcPr>
          <w:p w14:paraId="70E45834">
            <w:pPr>
              <w:spacing w:after="50" w:line="360" w:lineRule="auto"/>
              <w:ind w:right="-10" w:rightChars="0"/>
              <w:jc w:val="center"/>
              <w:rPr>
                <w:rFonts w:ascii="宋体" w:hAnsi="宋体" w:eastAsia="宋体" w:cs="宋体"/>
                <w:color w:val="auto"/>
                <w:spacing w:val="10"/>
                <w:kern w:val="2"/>
                <w:sz w:val="24"/>
                <w:szCs w:val="24"/>
                <w:highlight w:val="none"/>
                <w:lang w:val="en-US" w:eastAsia="zh-CN" w:bidi="ar-SA"/>
              </w:rPr>
            </w:pPr>
            <w:r>
              <w:rPr>
                <w:rFonts w:hint="eastAsia" w:ascii="宋体" w:hAnsi="宋体" w:eastAsia="宋体" w:cs="宋体"/>
                <w:b w:val="0"/>
                <w:bCs w:val="0"/>
                <w:color w:val="auto"/>
                <w:sz w:val="24"/>
                <w:szCs w:val="24"/>
                <w:highlight w:val="none"/>
                <w:lang w:val="en-US" w:eastAsia="zh-CN"/>
              </w:rPr>
              <w:t>/</w:t>
            </w:r>
          </w:p>
        </w:tc>
      </w:tr>
      <w:tr w14:paraId="0CE68F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6" w:type="pct"/>
            <w:vAlign w:val="center"/>
          </w:tcPr>
          <w:p w14:paraId="2FB7EE27">
            <w:pPr>
              <w:adjustRightInd w:val="0"/>
              <w:snapToGrid w:val="0"/>
              <w:spacing w:line="360" w:lineRule="auto"/>
              <w:ind w:right="-10" w:rightChars="0"/>
              <w:jc w:val="center"/>
              <w:rPr>
                <w:rFonts w:hint="eastAsia" w:cs="@仿宋_GB2312" w:asciiTheme="majorEastAsia" w:hAnsiTheme="majorEastAsia" w:eastAsiaTheme="majorEastAsia"/>
                <w:color w:val="auto"/>
                <w:kern w:val="2"/>
                <w:sz w:val="24"/>
                <w:highlight w:val="none"/>
                <w:lang w:val="en-US" w:eastAsia="zh-CN" w:bidi="ar-SA"/>
              </w:rPr>
            </w:pPr>
            <w:r>
              <w:rPr>
                <w:rFonts w:hint="eastAsia" w:asciiTheme="majorEastAsia" w:hAnsiTheme="majorEastAsia" w:eastAsiaTheme="majorEastAsia"/>
                <w:color w:val="auto"/>
                <w:sz w:val="24"/>
                <w:highlight w:val="none"/>
                <w:lang w:val="en-US" w:eastAsia="zh-CN"/>
              </w:rPr>
              <w:t>5</w:t>
            </w:r>
          </w:p>
        </w:tc>
        <w:tc>
          <w:tcPr>
            <w:tcW w:w="802" w:type="pct"/>
            <w:vAlign w:val="center"/>
          </w:tcPr>
          <w:p w14:paraId="76F97625">
            <w:pPr>
              <w:spacing w:after="50" w:line="360" w:lineRule="auto"/>
              <w:ind w:right="-10" w:rightChars="0"/>
              <w:jc w:val="center"/>
              <w:rPr>
                <w:rFonts w:cs="@仿宋_GB2312" w:asciiTheme="minorEastAsia" w:hAnsiTheme="minorEastAsia" w:eastAsiaTheme="minorEastAsia"/>
                <w:color w:val="auto"/>
                <w:kern w:val="2"/>
                <w:sz w:val="24"/>
                <w:szCs w:val="28"/>
                <w:highlight w:val="none"/>
                <w:lang w:val="en-US" w:eastAsia="zh-CN" w:bidi="ar-SA"/>
              </w:rPr>
            </w:pPr>
            <w:r>
              <w:rPr>
                <w:rFonts w:hint="eastAsia" w:asciiTheme="minorEastAsia" w:hAnsiTheme="minorEastAsia" w:eastAsiaTheme="minorEastAsia"/>
                <w:color w:val="auto"/>
                <w:sz w:val="24"/>
                <w:szCs w:val="28"/>
                <w:highlight w:val="none"/>
                <w:lang w:val="en-US" w:eastAsia="zh-CN"/>
              </w:rPr>
              <w:t>谈判响应</w:t>
            </w:r>
            <w:r>
              <w:rPr>
                <w:rFonts w:hint="eastAsia" w:asciiTheme="minorEastAsia" w:hAnsiTheme="minorEastAsia" w:eastAsiaTheme="minorEastAsia"/>
                <w:color w:val="auto"/>
                <w:sz w:val="24"/>
                <w:szCs w:val="28"/>
                <w:highlight w:val="none"/>
              </w:rPr>
              <w:t>函</w:t>
            </w:r>
          </w:p>
        </w:tc>
        <w:tc>
          <w:tcPr>
            <w:tcW w:w="2633" w:type="pct"/>
            <w:vAlign w:val="center"/>
          </w:tcPr>
          <w:p w14:paraId="23E6C1C5">
            <w:pPr>
              <w:spacing w:after="50" w:line="360" w:lineRule="auto"/>
              <w:ind w:right="-10" w:rightChars="0"/>
              <w:jc w:val="center"/>
              <w:rPr>
                <w:rFonts w:cs="@仿宋_GB2312" w:asciiTheme="minorEastAsia" w:hAnsiTheme="minorEastAsia" w:eastAsiaTheme="minorEastAsia"/>
                <w:color w:val="auto"/>
                <w:kern w:val="2"/>
                <w:sz w:val="24"/>
                <w:szCs w:val="28"/>
                <w:highlight w:val="none"/>
                <w:lang w:val="en-US" w:eastAsia="zh-CN" w:bidi="ar-SA"/>
              </w:rPr>
            </w:pPr>
            <w:r>
              <w:rPr>
                <w:rFonts w:hint="eastAsia" w:asciiTheme="minorEastAsia" w:hAnsiTheme="minorEastAsia" w:eastAsiaTheme="minorEastAsia"/>
                <w:color w:val="auto"/>
                <w:sz w:val="24"/>
                <w:szCs w:val="28"/>
                <w:highlight w:val="none"/>
              </w:rPr>
              <w:t>格式、填写要求符合</w:t>
            </w:r>
            <w:r>
              <w:rPr>
                <w:rFonts w:hint="eastAsia" w:asciiTheme="minorEastAsia" w:hAnsiTheme="minorEastAsia" w:eastAsiaTheme="minorEastAsia"/>
                <w:color w:val="auto"/>
                <w:sz w:val="24"/>
                <w:szCs w:val="28"/>
                <w:highlight w:val="none"/>
                <w:lang w:val="en-US" w:eastAsia="zh-CN"/>
              </w:rPr>
              <w:t>谈判</w:t>
            </w:r>
            <w:r>
              <w:rPr>
                <w:rFonts w:hint="eastAsia" w:asciiTheme="minorEastAsia" w:hAnsiTheme="minorEastAsia" w:eastAsiaTheme="minorEastAsia"/>
                <w:color w:val="auto"/>
                <w:sz w:val="24"/>
                <w:szCs w:val="28"/>
                <w:highlight w:val="none"/>
              </w:rPr>
              <w:t>文件规定并加盖</w:t>
            </w:r>
            <w:r>
              <w:rPr>
                <w:rFonts w:hint="eastAsia" w:asciiTheme="minorEastAsia" w:hAnsiTheme="minorEastAsia" w:eastAsiaTheme="minorEastAsia"/>
                <w:color w:val="auto"/>
                <w:sz w:val="24"/>
                <w:szCs w:val="28"/>
                <w:highlight w:val="none"/>
                <w:lang w:val="en-US" w:eastAsia="zh-CN"/>
              </w:rPr>
              <w:t>供应商</w:t>
            </w:r>
            <w:r>
              <w:rPr>
                <w:rFonts w:hint="eastAsia" w:asciiTheme="minorEastAsia" w:hAnsiTheme="minorEastAsia" w:eastAsiaTheme="minorEastAsia"/>
                <w:color w:val="auto"/>
                <w:sz w:val="24"/>
                <w:szCs w:val="28"/>
                <w:highlight w:val="none"/>
              </w:rPr>
              <w:t>电子签章</w:t>
            </w:r>
          </w:p>
        </w:tc>
        <w:tc>
          <w:tcPr>
            <w:tcW w:w="1157" w:type="pct"/>
            <w:vAlign w:val="center"/>
          </w:tcPr>
          <w:p w14:paraId="3A5B75D8">
            <w:pPr>
              <w:adjustRightInd w:val="0"/>
              <w:snapToGrid w:val="0"/>
              <w:spacing w:line="360" w:lineRule="auto"/>
              <w:ind w:right="-10" w:rightChars="0"/>
              <w:jc w:val="center"/>
              <w:rPr>
                <w:rFonts w:cs="@仿宋_GB2312" w:asciiTheme="minorEastAsia" w:hAnsiTheme="minorEastAsia" w:eastAsiaTheme="minorEastAsia"/>
                <w:color w:val="auto"/>
                <w:kern w:val="2"/>
                <w:sz w:val="24"/>
                <w:highlight w:val="none"/>
                <w:lang w:val="en-US" w:eastAsia="zh-CN" w:bidi="ar-SA"/>
              </w:rPr>
            </w:pPr>
            <w:r>
              <w:rPr>
                <w:rFonts w:hint="eastAsia" w:ascii="宋体" w:hAnsi="宋体" w:eastAsia="宋体"/>
                <w:color w:val="auto"/>
                <w:sz w:val="24"/>
                <w:highlight w:val="none"/>
              </w:rPr>
              <w:t>详见第六章</w:t>
            </w:r>
            <w:r>
              <w:rPr>
                <w:rFonts w:hint="eastAsia" w:ascii="宋体" w:hAnsi="宋体" w:eastAsia="宋体"/>
                <w:color w:val="auto"/>
                <w:sz w:val="24"/>
                <w:highlight w:val="none"/>
                <w:lang w:val="en-US" w:eastAsia="zh-CN"/>
              </w:rPr>
              <w:t>响应</w:t>
            </w:r>
            <w:r>
              <w:rPr>
                <w:rFonts w:hint="eastAsia" w:ascii="宋体" w:hAnsi="宋体" w:eastAsia="宋体"/>
                <w:color w:val="auto"/>
                <w:sz w:val="24"/>
                <w:highlight w:val="none"/>
              </w:rPr>
              <w:t>文件格式</w:t>
            </w:r>
            <w:r>
              <w:rPr>
                <w:rFonts w:hint="eastAsia" w:ascii="宋体" w:hAnsi="宋体" w:eastAsia="宋体"/>
                <w:color w:val="auto"/>
                <w:sz w:val="24"/>
                <w:highlight w:val="none"/>
                <w:lang w:eastAsia="zh-CN"/>
              </w:rPr>
              <w:t>。</w:t>
            </w:r>
          </w:p>
        </w:tc>
      </w:tr>
      <w:tr w14:paraId="694901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6" w:type="pct"/>
            <w:vAlign w:val="center"/>
          </w:tcPr>
          <w:p w14:paraId="2C876926">
            <w:pPr>
              <w:adjustRightInd w:val="0"/>
              <w:snapToGrid w:val="0"/>
              <w:spacing w:line="360" w:lineRule="auto"/>
              <w:ind w:right="-10" w:rightChars="0"/>
              <w:jc w:val="center"/>
              <w:rPr>
                <w:rFonts w:hint="eastAsia" w:ascii="宋体" w:hAnsi="宋体" w:eastAsia="宋体" w:cs="@仿宋_GB2312"/>
                <w:color w:val="auto"/>
                <w:kern w:val="2"/>
                <w:sz w:val="24"/>
                <w:highlight w:val="none"/>
                <w:lang w:val="en-US" w:eastAsia="zh-CN" w:bidi="ar-SA"/>
              </w:rPr>
            </w:pPr>
            <w:r>
              <w:rPr>
                <w:rFonts w:hint="eastAsia" w:ascii="宋体" w:hAnsi="宋体" w:eastAsia="宋体"/>
                <w:color w:val="auto"/>
                <w:sz w:val="24"/>
                <w:highlight w:val="none"/>
                <w:lang w:val="en-US" w:eastAsia="zh-CN"/>
              </w:rPr>
              <w:t>6</w:t>
            </w:r>
          </w:p>
        </w:tc>
        <w:tc>
          <w:tcPr>
            <w:tcW w:w="802" w:type="pct"/>
            <w:vAlign w:val="center"/>
          </w:tcPr>
          <w:p w14:paraId="0D34806E">
            <w:pPr>
              <w:spacing w:after="50" w:line="360" w:lineRule="auto"/>
              <w:ind w:right="-10" w:rightChars="0"/>
              <w:jc w:val="center"/>
              <w:rPr>
                <w:rFonts w:cs="@仿宋_GB2312" w:asciiTheme="minorEastAsia" w:hAnsiTheme="minorEastAsia" w:eastAsiaTheme="minorEastAsia"/>
                <w:color w:val="auto"/>
                <w:kern w:val="2"/>
                <w:sz w:val="24"/>
                <w:szCs w:val="28"/>
                <w:highlight w:val="none"/>
                <w:lang w:val="en-US" w:eastAsia="zh-CN" w:bidi="ar-SA"/>
              </w:rPr>
            </w:pPr>
            <w:r>
              <w:rPr>
                <w:rFonts w:hint="eastAsia" w:asciiTheme="minorEastAsia" w:hAnsiTheme="minorEastAsia" w:eastAsiaTheme="minorEastAsia"/>
                <w:color w:val="auto"/>
                <w:sz w:val="24"/>
                <w:szCs w:val="28"/>
                <w:highlight w:val="none"/>
              </w:rPr>
              <w:t>授权书</w:t>
            </w:r>
          </w:p>
        </w:tc>
        <w:tc>
          <w:tcPr>
            <w:tcW w:w="2633" w:type="pct"/>
            <w:vAlign w:val="center"/>
          </w:tcPr>
          <w:p w14:paraId="5405A495">
            <w:pPr>
              <w:spacing w:after="50" w:line="360" w:lineRule="auto"/>
              <w:ind w:right="-10" w:rightChars="0"/>
              <w:jc w:val="center"/>
              <w:rPr>
                <w:rFonts w:cs="@仿宋_GB2312" w:asciiTheme="minorEastAsia" w:hAnsiTheme="minorEastAsia" w:eastAsiaTheme="minorEastAsia"/>
                <w:color w:val="auto"/>
                <w:kern w:val="2"/>
                <w:sz w:val="24"/>
                <w:szCs w:val="28"/>
                <w:highlight w:val="none"/>
                <w:lang w:val="en-US" w:eastAsia="zh-CN" w:bidi="ar-SA"/>
              </w:rPr>
            </w:pPr>
            <w:r>
              <w:rPr>
                <w:rFonts w:hint="eastAsia" w:asciiTheme="minorEastAsia" w:hAnsiTheme="minorEastAsia" w:eastAsiaTheme="minorEastAsia"/>
                <w:color w:val="auto"/>
                <w:sz w:val="24"/>
                <w:szCs w:val="28"/>
                <w:highlight w:val="none"/>
              </w:rPr>
              <w:t>格式、填写要求符合</w:t>
            </w:r>
            <w:r>
              <w:rPr>
                <w:rFonts w:hint="eastAsia" w:asciiTheme="minorEastAsia" w:hAnsiTheme="minorEastAsia" w:eastAsiaTheme="minorEastAsia"/>
                <w:color w:val="auto"/>
                <w:sz w:val="24"/>
                <w:szCs w:val="28"/>
                <w:highlight w:val="none"/>
                <w:lang w:val="en-US" w:eastAsia="zh-CN"/>
              </w:rPr>
              <w:t>谈判</w:t>
            </w:r>
            <w:r>
              <w:rPr>
                <w:rFonts w:hint="eastAsia" w:asciiTheme="minorEastAsia" w:hAnsiTheme="minorEastAsia" w:eastAsiaTheme="minorEastAsia"/>
                <w:color w:val="auto"/>
                <w:sz w:val="24"/>
                <w:szCs w:val="28"/>
                <w:highlight w:val="none"/>
              </w:rPr>
              <w:t>文件规定并加盖</w:t>
            </w:r>
            <w:r>
              <w:rPr>
                <w:rFonts w:hint="eastAsia" w:asciiTheme="minorEastAsia" w:hAnsiTheme="minorEastAsia" w:eastAsiaTheme="minorEastAsia"/>
                <w:color w:val="auto"/>
                <w:sz w:val="24"/>
                <w:szCs w:val="28"/>
                <w:highlight w:val="none"/>
                <w:lang w:val="en-US" w:eastAsia="zh-CN"/>
              </w:rPr>
              <w:t>供应商</w:t>
            </w:r>
            <w:r>
              <w:rPr>
                <w:rFonts w:hint="eastAsia" w:asciiTheme="minorEastAsia" w:hAnsiTheme="minorEastAsia" w:eastAsiaTheme="minorEastAsia"/>
                <w:color w:val="auto"/>
                <w:sz w:val="24"/>
                <w:szCs w:val="28"/>
                <w:highlight w:val="none"/>
              </w:rPr>
              <w:t>电子签章</w:t>
            </w:r>
          </w:p>
        </w:tc>
        <w:tc>
          <w:tcPr>
            <w:tcW w:w="1157" w:type="pct"/>
            <w:vAlign w:val="center"/>
          </w:tcPr>
          <w:p w14:paraId="7884B484">
            <w:pPr>
              <w:adjustRightInd w:val="0"/>
              <w:snapToGrid w:val="0"/>
              <w:spacing w:line="360" w:lineRule="auto"/>
              <w:ind w:right="-10" w:rightChars="0"/>
              <w:jc w:val="center"/>
              <w:rPr>
                <w:rFonts w:hint="eastAsia" w:cs="@仿宋_GB2312" w:asciiTheme="minorEastAsia" w:hAnsiTheme="minorEastAsia" w:eastAsiaTheme="minorEastAsia"/>
                <w:color w:val="auto"/>
                <w:kern w:val="2"/>
                <w:sz w:val="24"/>
                <w:highlight w:val="none"/>
                <w:lang w:val="en-US" w:eastAsia="zh-CN" w:bidi="ar-SA"/>
              </w:rPr>
            </w:pPr>
            <w:r>
              <w:rPr>
                <w:rFonts w:hint="eastAsia" w:asciiTheme="minorEastAsia" w:hAnsiTheme="minorEastAsia" w:eastAsiaTheme="minorEastAsia"/>
                <w:color w:val="auto"/>
                <w:sz w:val="24"/>
                <w:highlight w:val="none"/>
              </w:rPr>
              <w:t>法定代表人参加</w:t>
            </w:r>
            <w:r>
              <w:rPr>
                <w:rFonts w:hint="eastAsia" w:asciiTheme="minorEastAsia" w:hAnsiTheme="minorEastAsia" w:eastAsiaTheme="minorEastAsia"/>
                <w:color w:val="auto"/>
                <w:sz w:val="24"/>
                <w:highlight w:val="none"/>
                <w:lang w:val="en-US" w:eastAsia="zh-CN"/>
              </w:rPr>
              <w:t>谈判</w:t>
            </w:r>
            <w:r>
              <w:rPr>
                <w:rFonts w:hint="eastAsia" w:asciiTheme="minorEastAsia" w:hAnsiTheme="minorEastAsia" w:eastAsiaTheme="minorEastAsia"/>
                <w:color w:val="auto"/>
                <w:sz w:val="24"/>
                <w:highlight w:val="none"/>
              </w:rPr>
              <w:t>的无需此件，提供身份证明即可。</w:t>
            </w:r>
            <w:r>
              <w:rPr>
                <w:rFonts w:hint="eastAsia" w:ascii="宋体" w:hAnsi="宋体" w:eastAsia="宋体"/>
                <w:color w:val="auto"/>
                <w:sz w:val="24"/>
                <w:highlight w:val="none"/>
              </w:rPr>
              <w:t>详见第六章</w:t>
            </w:r>
            <w:r>
              <w:rPr>
                <w:rFonts w:hint="eastAsia" w:ascii="宋体" w:hAnsi="宋体" w:eastAsia="宋体"/>
                <w:color w:val="auto"/>
                <w:sz w:val="24"/>
                <w:highlight w:val="none"/>
                <w:lang w:val="en-US" w:eastAsia="zh-CN"/>
              </w:rPr>
              <w:t>响应</w:t>
            </w:r>
            <w:r>
              <w:rPr>
                <w:rFonts w:hint="eastAsia" w:ascii="宋体" w:hAnsi="宋体" w:eastAsia="宋体"/>
                <w:color w:val="auto"/>
                <w:sz w:val="24"/>
                <w:highlight w:val="none"/>
              </w:rPr>
              <w:t>文件格式</w:t>
            </w:r>
            <w:r>
              <w:rPr>
                <w:rFonts w:hint="eastAsia" w:ascii="宋体" w:hAnsi="宋体" w:eastAsia="宋体"/>
                <w:color w:val="auto"/>
                <w:sz w:val="24"/>
                <w:highlight w:val="none"/>
                <w:lang w:eastAsia="zh-CN"/>
              </w:rPr>
              <w:t>。</w:t>
            </w:r>
          </w:p>
        </w:tc>
      </w:tr>
      <w:tr w14:paraId="2DFC6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6" w:type="pct"/>
            <w:vAlign w:val="center"/>
          </w:tcPr>
          <w:p w14:paraId="23D073A8">
            <w:pPr>
              <w:adjustRightInd w:val="0"/>
              <w:snapToGrid w:val="0"/>
              <w:spacing w:line="360" w:lineRule="auto"/>
              <w:ind w:right="-10" w:rightChars="0"/>
              <w:jc w:val="center"/>
              <w:rPr>
                <w:rFonts w:hint="eastAsia" w:ascii="宋体" w:hAnsi="宋体" w:eastAsia="宋体" w:cs="@仿宋_GB2312"/>
                <w:color w:val="auto"/>
                <w:kern w:val="2"/>
                <w:sz w:val="24"/>
                <w:highlight w:val="none"/>
                <w:lang w:val="en-US" w:eastAsia="zh-CN" w:bidi="ar-SA"/>
              </w:rPr>
            </w:pPr>
            <w:r>
              <w:rPr>
                <w:rFonts w:hint="eastAsia" w:ascii="宋体" w:hAnsi="宋体" w:eastAsia="宋体"/>
                <w:color w:val="auto"/>
                <w:sz w:val="24"/>
                <w:highlight w:val="none"/>
                <w:lang w:val="en-US" w:eastAsia="zh-CN"/>
              </w:rPr>
              <w:t>7</w:t>
            </w:r>
          </w:p>
        </w:tc>
        <w:tc>
          <w:tcPr>
            <w:tcW w:w="802" w:type="pct"/>
            <w:vAlign w:val="center"/>
          </w:tcPr>
          <w:p w14:paraId="5F4ED450">
            <w:pPr>
              <w:spacing w:after="50" w:line="360" w:lineRule="auto"/>
              <w:ind w:right="-10" w:rightChars="0"/>
              <w:jc w:val="center"/>
              <w:rPr>
                <w:rFonts w:cs="@仿宋_GB2312" w:asciiTheme="minorEastAsia" w:hAnsiTheme="minorEastAsia" w:eastAsiaTheme="minorEastAsia"/>
                <w:color w:val="auto"/>
                <w:kern w:val="2"/>
                <w:sz w:val="24"/>
                <w:szCs w:val="28"/>
                <w:highlight w:val="none"/>
                <w:lang w:val="en-US" w:eastAsia="zh-CN" w:bidi="ar-SA"/>
              </w:rPr>
            </w:pPr>
            <w:r>
              <w:rPr>
                <w:rFonts w:hint="eastAsia" w:asciiTheme="minorEastAsia" w:hAnsiTheme="minorEastAsia" w:eastAsiaTheme="minorEastAsia"/>
                <w:color w:val="auto"/>
                <w:sz w:val="24"/>
                <w:szCs w:val="28"/>
                <w:highlight w:val="none"/>
                <w:lang w:val="en-US" w:eastAsia="zh-CN"/>
              </w:rPr>
              <w:t>谈判</w:t>
            </w:r>
            <w:r>
              <w:rPr>
                <w:rFonts w:hint="eastAsia" w:asciiTheme="minorEastAsia" w:hAnsiTheme="minorEastAsia" w:eastAsiaTheme="minorEastAsia"/>
                <w:color w:val="auto"/>
                <w:sz w:val="24"/>
                <w:szCs w:val="28"/>
                <w:highlight w:val="none"/>
              </w:rPr>
              <w:t>报价</w:t>
            </w:r>
          </w:p>
        </w:tc>
        <w:tc>
          <w:tcPr>
            <w:tcW w:w="2633" w:type="pct"/>
            <w:vAlign w:val="center"/>
          </w:tcPr>
          <w:p w14:paraId="2246D79C">
            <w:pPr>
              <w:spacing w:after="50" w:line="360" w:lineRule="auto"/>
              <w:ind w:right="-10" w:rightChars="0"/>
              <w:jc w:val="center"/>
              <w:rPr>
                <w:rFonts w:cs="@仿宋_GB2312" w:asciiTheme="minorEastAsia" w:hAnsiTheme="minorEastAsia" w:eastAsiaTheme="minorEastAsia"/>
                <w:color w:val="auto"/>
                <w:kern w:val="2"/>
                <w:sz w:val="24"/>
                <w:szCs w:val="28"/>
                <w:highlight w:val="none"/>
                <w:lang w:val="en-US" w:eastAsia="zh-CN" w:bidi="ar-SA"/>
              </w:rPr>
            </w:pPr>
            <w:r>
              <w:rPr>
                <w:rFonts w:hint="eastAsia" w:asciiTheme="minorEastAsia" w:hAnsiTheme="minorEastAsia" w:eastAsiaTheme="minorEastAsia"/>
                <w:color w:val="auto"/>
                <w:sz w:val="24"/>
                <w:szCs w:val="28"/>
                <w:highlight w:val="none"/>
              </w:rPr>
              <w:t>符合</w:t>
            </w:r>
            <w:r>
              <w:rPr>
                <w:rFonts w:hint="eastAsia" w:asciiTheme="minorEastAsia" w:hAnsiTheme="minorEastAsia" w:eastAsiaTheme="minorEastAsia"/>
                <w:color w:val="auto"/>
                <w:sz w:val="24"/>
                <w:highlight w:val="none"/>
                <w:lang w:val="en-US" w:eastAsia="zh-CN"/>
              </w:rPr>
              <w:t>谈判</w:t>
            </w:r>
            <w:r>
              <w:rPr>
                <w:rFonts w:hint="eastAsia" w:asciiTheme="minorEastAsia" w:hAnsiTheme="minorEastAsia" w:eastAsiaTheme="minorEastAsia"/>
                <w:color w:val="auto"/>
                <w:sz w:val="24"/>
                <w:highlight w:val="none"/>
              </w:rPr>
              <w:t>文件</w:t>
            </w:r>
            <w:r>
              <w:rPr>
                <w:rFonts w:hint="eastAsia" w:asciiTheme="minorEastAsia" w:hAnsiTheme="minorEastAsia" w:eastAsiaTheme="minorEastAsia"/>
                <w:color w:val="auto"/>
                <w:sz w:val="24"/>
                <w:highlight w:val="none"/>
                <w:lang w:val="en-US" w:eastAsia="zh-CN"/>
              </w:rPr>
              <w:t>供应商</w:t>
            </w:r>
            <w:r>
              <w:rPr>
                <w:rFonts w:hint="eastAsia" w:asciiTheme="minorEastAsia" w:hAnsiTheme="minorEastAsia" w:eastAsiaTheme="minorEastAsia"/>
                <w:color w:val="auto"/>
                <w:sz w:val="24"/>
                <w:highlight w:val="none"/>
              </w:rPr>
              <w:t>须知正文第</w:t>
            </w:r>
            <w:r>
              <w:rPr>
                <w:rFonts w:hint="eastAsia" w:asciiTheme="minorEastAsia" w:hAnsiTheme="minorEastAsia" w:eastAsiaTheme="minorEastAsia"/>
                <w:color w:val="auto"/>
                <w:sz w:val="24"/>
                <w:highlight w:val="none"/>
                <w:lang w:val="en-US" w:eastAsia="zh-CN"/>
              </w:rPr>
              <w:t>9</w:t>
            </w:r>
            <w:r>
              <w:rPr>
                <w:rFonts w:hint="eastAsia" w:asciiTheme="minorEastAsia" w:hAnsiTheme="minorEastAsia" w:eastAsiaTheme="minorEastAsia"/>
                <w:color w:val="auto"/>
                <w:sz w:val="24"/>
                <w:highlight w:val="none"/>
              </w:rPr>
              <w:t>条要求</w:t>
            </w:r>
          </w:p>
        </w:tc>
        <w:tc>
          <w:tcPr>
            <w:tcW w:w="1157" w:type="pct"/>
            <w:vAlign w:val="center"/>
          </w:tcPr>
          <w:p w14:paraId="2151BADA">
            <w:pPr>
              <w:adjustRightInd w:val="0"/>
              <w:snapToGrid w:val="0"/>
              <w:spacing w:line="360" w:lineRule="auto"/>
              <w:ind w:right="-10" w:rightChars="0"/>
              <w:jc w:val="center"/>
              <w:rPr>
                <w:rFonts w:hint="eastAsia" w:cs="@仿宋_GB2312" w:asciiTheme="minorEastAsia" w:hAnsiTheme="minorEastAsia" w:eastAsiaTheme="minorEastAsia"/>
                <w:color w:val="auto"/>
                <w:kern w:val="2"/>
                <w:sz w:val="24"/>
                <w:highlight w:val="none"/>
                <w:lang w:val="en-US" w:eastAsia="zh-CN" w:bidi="ar-SA"/>
              </w:rPr>
            </w:pPr>
            <w:r>
              <w:rPr>
                <w:rFonts w:hint="eastAsia" w:ascii="宋体" w:hAnsi="宋体" w:eastAsia="宋体"/>
                <w:color w:val="auto"/>
                <w:sz w:val="24"/>
                <w:highlight w:val="none"/>
              </w:rPr>
              <w:t>详见第六章</w:t>
            </w:r>
            <w:r>
              <w:rPr>
                <w:rFonts w:hint="eastAsia" w:ascii="宋体" w:hAnsi="宋体" w:eastAsia="宋体"/>
                <w:color w:val="auto"/>
                <w:sz w:val="24"/>
                <w:highlight w:val="none"/>
                <w:lang w:val="en-US" w:eastAsia="zh-CN"/>
              </w:rPr>
              <w:t>响应</w:t>
            </w:r>
            <w:r>
              <w:rPr>
                <w:rFonts w:hint="eastAsia" w:ascii="宋体" w:hAnsi="宋体" w:eastAsia="宋体"/>
                <w:color w:val="auto"/>
                <w:sz w:val="24"/>
                <w:highlight w:val="none"/>
              </w:rPr>
              <w:t>文件格式</w:t>
            </w:r>
            <w:r>
              <w:rPr>
                <w:rFonts w:hint="eastAsia" w:ascii="宋体" w:hAnsi="宋体" w:eastAsia="宋体"/>
                <w:color w:val="auto"/>
                <w:sz w:val="24"/>
                <w:highlight w:val="none"/>
                <w:lang w:eastAsia="zh-CN"/>
              </w:rPr>
              <w:t>。</w:t>
            </w:r>
          </w:p>
        </w:tc>
      </w:tr>
      <w:tr w14:paraId="09DAC6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6" w:type="pct"/>
            <w:vAlign w:val="center"/>
          </w:tcPr>
          <w:p w14:paraId="4456986C">
            <w:pPr>
              <w:adjustRightInd w:val="0"/>
              <w:snapToGrid w:val="0"/>
              <w:spacing w:line="360" w:lineRule="auto"/>
              <w:ind w:right="-10" w:rightChars="0"/>
              <w:jc w:val="center"/>
              <w:rPr>
                <w:rFonts w:hint="default" w:ascii="宋体" w:hAnsi="宋体" w:eastAsia="宋体"/>
                <w:color w:val="auto"/>
                <w:sz w:val="24"/>
                <w:highlight w:val="none"/>
                <w:lang w:val="en-US" w:eastAsia="zh-CN"/>
              </w:rPr>
            </w:pPr>
            <w:r>
              <w:rPr>
                <w:rFonts w:hint="eastAsia" w:ascii="宋体" w:hAnsi="宋体" w:eastAsia="宋体"/>
                <w:color w:val="auto"/>
                <w:sz w:val="24"/>
                <w:highlight w:val="none"/>
                <w:lang w:val="en-US" w:eastAsia="zh-CN"/>
              </w:rPr>
              <w:t>8</w:t>
            </w:r>
          </w:p>
        </w:tc>
        <w:tc>
          <w:tcPr>
            <w:tcW w:w="802" w:type="pct"/>
            <w:vAlign w:val="center"/>
          </w:tcPr>
          <w:p w14:paraId="49F5B321">
            <w:pPr>
              <w:spacing w:after="50" w:line="480" w:lineRule="exact"/>
              <w:ind w:right="-10" w:rightChars="0"/>
              <w:jc w:val="center"/>
              <w:rPr>
                <w:rFonts w:hint="eastAsia" w:asciiTheme="minorEastAsia" w:hAnsiTheme="minorEastAsia" w:eastAsiaTheme="minorEastAsia"/>
                <w:color w:val="auto"/>
                <w:sz w:val="24"/>
                <w:szCs w:val="28"/>
                <w:highlight w:val="none"/>
                <w:lang w:val="en-US" w:eastAsia="zh-CN"/>
              </w:rPr>
            </w:pPr>
            <w:r>
              <w:rPr>
                <w:rFonts w:hint="eastAsia" w:asciiTheme="minorEastAsia" w:hAnsiTheme="minorEastAsia" w:eastAsiaTheme="minorEastAsia"/>
                <w:color w:val="auto"/>
                <w:sz w:val="24"/>
                <w:szCs w:val="28"/>
                <w:highlight w:val="none"/>
              </w:rPr>
              <w:t>商务响应情况</w:t>
            </w:r>
          </w:p>
        </w:tc>
        <w:tc>
          <w:tcPr>
            <w:tcW w:w="2633" w:type="pct"/>
            <w:vAlign w:val="center"/>
          </w:tcPr>
          <w:p w14:paraId="39FD1F80">
            <w:pPr>
              <w:spacing w:after="50" w:line="480" w:lineRule="exact"/>
              <w:ind w:right="-10" w:rightChars="0"/>
              <w:jc w:val="center"/>
              <w:rPr>
                <w:rFonts w:hint="eastAsia"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符合</w:t>
            </w:r>
            <w:r>
              <w:rPr>
                <w:rFonts w:hint="eastAsia" w:asciiTheme="minorEastAsia" w:hAnsiTheme="minorEastAsia" w:eastAsiaTheme="minorEastAsia"/>
                <w:color w:val="auto"/>
                <w:sz w:val="24"/>
                <w:highlight w:val="none"/>
              </w:rPr>
              <w:t>谈判</w:t>
            </w:r>
            <w:r>
              <w:rPr>
                <w:rFonts w:hint="eastAsia" w:asciiTheme="minorEastAsia" w:hAnsiTheme="minorEastAsia" w:eastAsiaTheme="minorEastAsia"/>
                <w:color w:val="auto"/>
                <w:sz w:val="24"/>
                <w:szCs w:val="28"/>
                <w:highlight w:val="none"/>
              </w:rPr>
              <w:t>文件采购需求中对付款方式、</w:t>
            </w:r>
            <w:r>
              <w:rPr>
                <w:rFonts w:hint="eastAsia" w:asciiTheme="minorEastAsia" w:hAnsiTheme="minorEastAsia" w:eastAsiaTheme="minorEastAsia"/>
                <w:color w:val="auto"/>
                <w:sz w:val="24"/>
                <w:szCs w:val="28"/>
                <w:highlight w:val="none"/>
                <w:lang w:eastAsia="zh-CN"/>
              </w:rPr>
              <w:t>服务期</w:t>
            </w:r>
            <w:r>
              <w:rPr>
                <w:rFonts w:hint="eastAsia" w:asciiTheme="minorEastAsia" w:hAnsiTheme="minorEastAsia" w:eastAsiaTheme="minorEastAsia"/>
                <w:color w:val="auto"/>
                <w:sz w:val="24"/>
                <w:szCs w:val="28"/>
                <w:highlight w:val="none"/>
              </w:rPr>
              <w:t>、</w:t>
            </w:r>
            <w:r>
              <w:rPr>
                <w:rFonts w:hint="eastAsia" w:asciiTheme="minorEastAsia" w:hAnsiTheme="minorEastAsia" w:eastAsiaTheme="minorEastAsia"/>
                <w:color w:val="auto"/>
                <w:sz w:val="24"/>
                <w:szCs w:val="28"/>
                <w:highlight w:val="none"/>
                <w:lang w:eastAsia="zh-CN"/>
              </w:rPr>
              <w:t>服务地点</w:t>
            </w:r>
            <w:r>
              <w:rPr>
                <w:rFonts w:hint="eastAsia" w:asciiTheme="minorEastAsia" w:hAnsiTheme="minorEastAsia" w:eastAsiaTheme="minorEastAsia"/>
                <w:color w:val="auto"/>
                <w:sz w:val="24"/>
                <w:szCs w:val="28"/>
                <w:highlight w:val="none"/>
              </w:rPr>
              <w:t>等实质性要求</w:t>
            </w:r>
          </w:p>
        </w:tc>
        <w:tc>
          <w:tcPr>
            <w:tcW w:w="1157" w:type="pct"/>
            <w:vAlign w:val="center"/>
          </w:tcPr>
          <w:p w14:paraId="4B43F5C1">
            <w:pPr>
              <w:adjustRightInd w:val="0"/>
              <w:snapToGrid w:val="0"/>
              <w:spacing w:line="480" w:lineRule="exact"/>
              <w:ind w:right="-10" w:rightChars="0"/>
              <w:jc w:val="center"/>
              <w:rPr>
                <w:rFonts w:hint="eastAsia" w:ascii="宋体" w:hAnsi="宋体" w:eastAsia="宋体"/>
                <w:color w:val="auto"/>
                <w:sz w:val="24"/>
                <w:highlight w:val="none"/>
              </w:rPr>
            </w:pPr>
            <w:r>
              <w:rPr>
                <w:rFonts w:hint="eastAsia" w:ascii="宋体" w:hAnsi="宋体" w:eastAsia="宋体"/>
                <w:color w:val="auto"/>
                <w:sz w:val="24"/>
                <w:highlight w:val="none"/>
              </w:rPr>
              <w:t>详见第六章响应文件格式。</w:t>
            </w:r>
          </w:p>
        </w:tc>
      </w:tr>
      <w:bookmarkEnd w:id="34"/>
    </w:tbl>
    <w:p w14:paraId="64C2FB91">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b/>
          <w:bCs/>
          <w:color w:val="auto"/>
          <w:sz w:val="24"/>
          <w:highlight w:val="none"/>
        </w:rPr>
        <w:t>初审指标通过标准：</w:t>
      </w:r>
      <w:r>
        <w:rPr>
          <w:rFonts w:hint="eastAsia" w:asciiTheme="minorEastAsia" w:hAnsiTheme="minorEastAsia" w:eastAsiaTheme="minorEastAsia"/>
          <w:color w:val="auto"/>
          <w:sz w:val="24"/>
          <w:highlight w:val="none"/>
        </w:rPr>
        <w:t>供应商必须通过初审表中的全部评审指标。</w:t>
      </w:r>
    </w:p>
    <w:p w14:paraId="649505BB">
      <w:pPr>
        <w:widowControl/>
        <w:jc w:val="left"/>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br w:type="page"/>
      </w:r>
    </w:p>
    <w:p w14:paraId="7BF1FCEA">
      <w:pPr>
        <w:spacing w:line="360" w:lineRule="auto"/>
        <w:ind w:firstLine="437"/>
        <w:outlineLvl w:val="1"/>
        <w:rPr>
          <w:rFonts w:asciiTheme="minorEastAsia" w:hAnsiTheme="minorEastAsia" w:eastAsiaTheme="minorEastAsia"/>
          <w:b/>
          <w:color w:val="auto"/>
          <w:sz w:val="24"/>
          <w:highlight w:val="none"/>
        </w:rPr>
      </w:pPr>
      <w:bookmarkStart w:id="35" w:name="_Toc27310"/>
      <w:bookmarkStart w:id="36" w:name="_Toc35526206"/>
      <w:r>
        <w:rPr>
          <w:rFonts w:hint="eastAsia" w:asciiTheme="minorEastAsia" w:hAnsiTheme="minorEastAsia" w:eastAsiaTheme="minorEastAsia"/>
          <w:b/>
          <w:color w:val="auto"/>
          <w:sz w:val="24"/>
          <w:highlight w:val="none"/>
        </w:rPr>
        <w:t>三、无效响应条款</w:t>
      </w:r>
    </w:p>
    <w:p w14:paraId="18622253">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3.1响应文件有下列情形之一的,其响应文件拒收:</w:t>
      </w:r>
    </w:p>
    <w:p w14:paraId="62F05603">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(1)未在响应文件递交截止时间前通过网上招标投标系统递交有效电子响应文件的，系统不予接收，其将被拒绝。</w:t>
      </w:r>
    </w:p>
    <w:p w14:paraId="08E1EA6E">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(2)供应商接到远程解密指令后，须在规定时间内解密。因供应商自身原因导致响应文件在规定时间内未能解密、解密失败或解密超时，响应文件无效。</w:t>
      </w:r>
    </w:p>
    <w:p w14:paraId="7433155D">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3.2供应商有下列情形之一的,资格审查后其作无效响应处理：</w:t>
      </w:r>
    </w:p>
    <w:p w14:paraId="62786AD3">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（1）供应商为本项目提供采购代理服务的；</w:t>
      </w:r>
    </w:p>
    <w:p w14:paraId="3479F9AD">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（2）供应商与在本项目代理机构存在相互任职或工作的；</w:t>
      </w:r>
    </w:p>
    <w:p w14:paraId="0A90182C">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（3）与采购人存在利害关系可能影响采购公正性的法人、其他组织或者个人；</w:t>
      </w:r>
    </w:p>
    <w:p w14:paraId="66BC8BEF">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（4）无法查看并检验电子响应文件中相关资料的；</w:t>
      </w:r>
    </w:p>
    <w:p w14:paraId="7F09B8B9">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5</w:t>
      </w:r>
      <w:r>
        <w:rPr>
          <w:rFonts w:hint="eastAsia" w:asciiTheme="minorEastAsia" w:hAnsiTheme="minorEastAsia" w:eastAsiaTheme="minorEastAsia"/>
          <w:color w:val="auto"/>
          <w:sz w:val="24"/>
          <w:highlight w:val="none"/>
        </w:rPr>
        <w:t>）责令停产停业的；</w:t>
      </w:r>
    </w:p>
    <w:p w14:paraId="11DBE370">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6</w:t>
      </w:r>
      <w:r>
        <w:rPr>
          <w:rFonts w:hint="eastAsia" w:asciiTheme="minorEastAsia" w:hAnsiTheme="minorEastAsia" w:eastAsiaTheme="minorEastAsia"/>
          <w:color w:val="auto"/>
          <w:sz w:val="24"/>
          <w:highlight w:val="none"/>
        </w:rPr>
        <w:t>）暂停或者取消参与政府采购项目资格的；</w:t>
      </w:r>
    </w:p>
    <w:p w14:paraId="28CEFF1F">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7</w:t>
      </w:r>
      <w:r>
        <w:rPr>
          <w:rFonts w:hint="eastAsia" w:asciiTheme="minorEastAsia" w:hAnsiTheme="minorEastAsia" w:eastAsiaTheme="minorEastAsia"/>
          <w:color w:val="auto"/>
          <w:sz w:val="24"/>
          <w:highlight w:val="none"/>
        </w:rPr>
        <w:t>）单位负责人为同一人或者存在直接控股、管理关系的不同单位的；</w:t>
      </w:r>
    </w:p>
    <w:p w14:paraId="430E1849">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8</w:t>
      </w:r>
      <w:r>
        <w:rPr>
          <w:rFonts w:hint="eastAsia" w:asciiTheme="minorEastAsia" w:hAnsiTheme="minorEastAsia" w:eastAsiaTheme="minorEastAsia"/>
          <w:color w:val="auto"/>
          <w:sz w:val="24"/>
          <w:highlight w:val="none"/>
        </w:rPr>
        <w:t>）供应商基本资格条件和特定资格条件中有一项及以上不符合要求的；</w:t>
      </w:r>
    </w:p>
    <w:p w14:paraId="0F49F640">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9</w:t>
      </w:r>
      <w:r>
        <w:rPr>
          <w:rFonts w:hint="eastAsia" w:asciiTheme="minorEastAsia" w:hAnsiTheme="minorEastAsia" w:eastAsiaTheme="minorEastAsia"/>
          <w:color w:val="auto"/>
          <w:sz w:val="24"/>
          <w:highlight w:val="none"/>
        </w:rPr>
        <w:t>）谈判评审时查询响应文件制作机器码、文件创建标识码及造价软件加密锁号。若存在响应文件制作机器码或创建标识码或造价软件加密锁号信息与其他供应商雷同的，响应无效、进行信用信息披露，行政监管部门将依据线索依法查处；</w:t>
      </w:r>
    </w:p>
    <w:p w14:paraId="613B5CF0">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10</w:t>
      </w:r>
      <w:r>
        <w:rPr>
          <w:rFonts w:hint="eastAsia" w:asciiTheme="minorEastAsia" w:hAnsiTheme="minorEastAsia" w:eastAsiaTheme="minorEastAsia"/>
          <w:color w:val="auto"/>
          <w:sz w:val="24"/>
          <w:highlight w:val="none"/>
        </w:rPr>
        <w:t>）其它情形按无效响应处理；</w:t>
      </w:r>
    </w:p>
    <w:p w14:paraId="19CBDE08">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1</w:t>
      </w:r>
      <w:r>
        <w:rPr>
          <w:rFonts w:hint="eastAsia" w:asciiTheme="minorEastAsia" w:hAnsiTheme="minorEastAsia" w:eastAsiaTheme="minorEastAsia"/>
          <w:color w:val="auto"/>
          <w:sz w:val="24"/>
          <w:highlight w:val="none"/>
        </w:rPr>
        <w:t>）供应商响应MAC地址或供应商联系人或联系电话相同的，由谈判小组否决其响应；</w:t>
      </w:r>
    </w:p>
    <w:p w14:paraId="04E22572">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2</w:t>
      </w:r>
      <w:r>
        <w:rPr>
          <w:rFonts w:hint="eastAsia" w:asciiTheme="minorEastAsia" w:hAnsiTheme="minorEastAsia" w:eastAsiaTheme="minorEastAsia"/>
          <w:color w:val="auto"/>
          <w:sz w:val="24"/>
          <w:highlight w:val="none"/>
        </w:rPr>
        <w:t>）供应商单方面出现其他供应商材料的；</w:t>
      </w:r>
    </w:p>
    <w:p w14:paraId="05B34C96">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3</w:t>
      </w:r>
      <w:r>
        <w:rPr>
          <w:rFonts w:hint="eastAsia" w:asciiTheme="minorEastAsia" w:hAnsiTheme="minorEastAsia" w:eastAsiaTheme="minorEastAsia"/>
          <w:color w:val="auto"/>
          <w:sz w:val="24"/>
          <w:highlight w:val="none"/>
        </w:rPr>
        <w:t>）谈判文件规定的其它无效情形。</w:t>
      </w:r>
    </w:p>
    <w:p w14:paraId="34180622">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3.3 供应商有下列情形之一的,符合性审查后其按无效响应处理：</w:t>
      </w:r>
    </w:p>
    <w:p w14:paraId="60D7DB44">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（1）响应文件签章不全，经谈判小组一致认定对响应内容有实质性影响；</w:t>
      </w:r>
    </w:p>
    <w:p w14:paraId="48B16062">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（2）未按规定的格式填写导致实质性内容不全以及实质上不响应，或者关键字迹模糊、无法辨认；</w:t>
      </w:r>
    </w:p>
    <w:p w14:paraId="40CC29A9">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（3）同一供应商提交两个或以上不同的响应文件或者报价，但谈判文件规定提交备选方案的除外；</w:t>
      </w:r>
    </w:p>
    <w:p w14:paraId="65837102">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（4）响应文件没有对谈判文件的实质性要求和条件作出响应；</w:t>
      </w:r>
    </w:p>
    <w:p w14:paraId="5A7469C2">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（5）报价超出规定的最高限价或公布的采购预算的或供应商的报价各项单价高于谈判文件给定的单价最高限价；</w:t>
      </w:r>
    </w:p>
    <w:p w14:paraId="18E009A1">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（6）不按谈判小组要求澄清、说明或补正的，或者谈判小组根据谈判文件的规定对谈判文件的计算错误进行修正后，供应商不接受修正的报价的。</w:t>
      </w:r>
    </w:p>
    <w:p w14:paraId="486FE0EA">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（7）其它情形，经谈判小组提出按无效响应处理；</w:t>
      </w:r>
    </w:p>
    <w:p w14:paraId="488F8B8B">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（8）响应文件含有采购人不能接受的附加条件的；</w:t>
      </w:r>
    </w:p>
    <w:p w14:paraId="13FD142D">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（9）谈判文件规定的其它无效响应情形。</w:t>
      </w:r>
    </w:p>
    <w:p w14:paraId="7B65B167">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3.4 供应商有下列情形之一的, 详细评审后其按无效响应处理：</w:t>
      </w:r>
    </w:p>
    <w:p w14:paraId="01544AC2">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（1）产品不符合必须强制执行的国家标准的；</w:t>
      </w:r>
    </w:p>
    <w:p w14:paraId="1D586D26">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（2）供应商有串通、弄虚作假、行贿等违法行为；</w:t>
      </w:r>
    </w:p>
    <w:p w14:paraId="71A0A420">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（3）响应文件含有违反国家法律、法规的内容，或附有采购人不能接受的条件的；</w:t>
      </w:r>
    </w:p>
    <w:p w14:paraId="29E1C361">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（4）报价明显低于其他供应商，且不能证明报价合理性的响应无效；</w:t>
      </w:r>
    </w:p>
    <w:p w14:paraId="6C1E176C">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（5）拒不确认谈判小组评审修正的响应无效；</w:t>
      </w:r>
    </w:p>
    <w:p w14:paraId="3CF08C34">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（6）其它情形，经谈判小组提出按无效响应处理；</w:t>
      </w:r>
    </w:p>
    <w:p w14:paraId="6266226D">
      <w:pPr>
        <w:spacing w:line="360" w:lineRule="auto"/>
        <w:ind w:firstLine="480" w:firstLineChars="200"/>
        <w:jc w:val="left"/>
        <w:outlineLvl w:val="0"/>
        <w:rPr>
          <w:rFonts w:hint="eastAsia" w:asciiTheme="minorEastAsia" w:hAnsiTheme="minorEastAsia" w:eastAsiaTheme="minorEastAsia"/>
          <w:color w:val="auto"/>
          <w:sz w:val="24"/>
          <w:highlight w:val="none"/>
          <w:lang w:eastAsia="zh-CN"/>
        </w:rPr>
      </w:pPr>
      <w:r>
        <w:rPr>
          <w:rFonts w:hint="eastAsia" w:asciiTheme="minorEastAsia" w:hAnsiTheme="minorEastAsia" w:eastAsiaTheme="minorEastAsia"/>
          <w:color w:val="auto"/>
          <w:sz w:val="24"/>
          <w:highlight w:val="none"/>
        </w:rPr>
        <w:t>（7）谈判文件规定的其它无效响应情形</w:t>
      </w:r>
      <w:r>
        <w:rPr>
          <w:rFonts w:hint="eastAsia" w:asciiTheme="minorEastAsia" w:hAnsiTheme="minorEastAsia" w:eastAsiaTheme="minorEastAsia"/>
          <w:color w:val="auto"/>
          <w:sz w:val="24"/>
          <w:highlight w:val="none"/>
          <w:lang w:eastAsia="zh-CN"/>
        </w:rPr>
        <w:t>。</w:t>
      </w:r>
    </w:p>
    <w:p w14:paraId="3D043DDE">
      <w:pPr>
        <w:spacing w:line="360" w:lineRule="auto"/>
        <w:jc w:val="center"/>
        <w:outlineLvl w:val="0"/>
        <w:rPr>
          <w:rFonts w:hint="eastAsia" w:asciiTheme="minorEastAsia" w:hAnsiTheme="minorEastAsia" w:eastAsiaTheme="minorEastAsia"/>
          <w:color w:val="auto"/>
          <w:sz w:val="24"/>
          <w:highlight w:val="none"/>
          <w:lang w:eastAsia="zh-CN"/>
        </w:rPr>
      </w:pPr>
    </w:p>
    <w:p w14:paraId="130EF251">
      <w:pPr>
        <w:spacing w:line="360" w:lineRule="auto"/>
        <w:jc w:val="center"/>
        <w:outlineLvl w:val="0"/>
        <w:rPr>
          <w:rFonts w:hint="eastAsia" w:asciiTheme="minorEastAsia" w:hAnsiTheme="minorEastAsia" w:eastAsiaTheme="minorEastAsia"/>
          <w:color w:val="auto"/>
          <w:sz w:val="24"/>
          <w:highlight w:val="none"/>
          <w:lang w:eastAsia="zh-CN"/>
        </w:rPr>
      </w:pPr>
    </w:p>
    <w:p w14:paraId="6BB830E9">
      <w:pPr>
        <w:spacing w:line="360" w:lineRule="auto"/>
        <w:jc w:val="center"/>
        <w:outlineLvl w:val="0"/>
        <w:rPr>
          <w:rFonts w:hint="eastAsia" w:asciiTheme="minorEastAsia" w:hAnsiTheme="minorEastAsia" w:eastAsiaTheme="minorEastAsia"/>
          <w:color w:val="auto"/>
          <w:sz w:val="24"/>
          <w:highlight w:val="none"/>
          <w:lang w:eastAsia="zh-CN"/>
        </w:rPr>
      </w:pPr>
    </w:p>
    <w:p w14:paraId="5B350ABE">
      <w:pPr>
        <w:spacing w:line="360" w:lineRule="auto"/>
        <w:jc w:val="center"/>
        <w:outlineLvl w:val="0"/>
        <w:rPr>
          <w:rFonts w:hint="eastAsia" w:asciiTheme="minorEastAsia" w:hAnsiTheme="minorEastAsia" w:eastAsiaTheme="minorEastAsia"/>
          <w:color w:val="auto"/>
          <w:sz w:val="24"/>
          <w:highlight w:val="none"/>
          <w:lang w:eastAsia="zh-CN"/>
        </w:rPr>
      </w:pPr>
    </w:p>
    <w:p w14:paraId="5D4E78EC">
      <w:pPr>
        <w:spacing w:line="360" w:lineRule="auto"/>
        <w:jc w:val="center"/>
        <w:outlineLvl w:val="0"/>
        <w:rPr>
          <w:rFonts w:hint="eastAsia" w:asciiTheme="minorEastAsia" w:hAnsiTheme="minorEastAsia" w:eastAsiaTheme="minorEastAsia"/>
          <w:b/>
          <w:color w:val="auto"/>
          <w:sz w:val="28"/>
          <w:highlight w:val="none"/>
        </w:rPr>
      </w:pPr>
    </w:p>
    <w:p w14:paraId="3B7B5610">
      <w:pPr>
        <w:spacing w:line="360" w:lineRule="auto"/>
        <w:jc w:val="center"/>
        <w:outlineLvl w:val="0"/>
        <w:rPr>
          <w:rFonts w:hint="eastAsia" w:asciiTheme="minorEastAsia" w:hAnsiTheme="minorEastAsia" w:eastAsiaTheme="minorEastAsia"/>
          <w:b/>
          <w:color w:val="auto"/>
          <w:sz w:val="28"/>
          <w:highlight w:val="none"/>
        </w:rPr>
      </w:pPr>
    </w:p>
    <w:p w14:paraId="765CA1AC">
      <w:pPr>
        <w:spacing w:line="360" w:lineRule="auto"/>
        <w:jc w:val="center"/>
        <w:outlineLvl w:val="0"/>
        <w:rPr>
          <w:rFonts w:hint="eastAsia" w:asciiTheme="minorEastAsia" w:hAnsiTheme="minorEastAsia" w:eastAsiaTheme="minorEastAsia"/>
          <w:b/>
          <w:color w:val="auto"/>
          <w:sz w:val="28"/>
          <w:highlight w:val="none"/>
        </w:rPr>
      </w:pPr>
    </w:p>
    <w:p w14:paraId="0FFCD9FE">
      <w:pPr>
        <w:spacing w:line="360" w:lineRule="auto"/>
        <w:jc w:val="center"/>
        <w:outlineLvl w:val="0"/>
        <w:rPr>
          <w:rFonts w:hint="eastAsia" w:asciiTheme="minorEastAsia" w:hAnsiTheme="minorEastAsia" w:eastAsiaTheme="minorEastAsia"/>
          <w:b/>
          <w:color w:val="auto"/>
          <w:sz w:val="28"/>
          <w:highlight w:val="none"/>
        </w:rPr>
      </w:pPr>
    </w:p>
    <w:p w14:paraId="39710A91">
      <w:pPr>
        <w:spacing w:line="360" w:lineRule="auto"/>
        <w:jc w:val="center"/>
        <w:outlineLvl w:val="0"/>
        <w:rPr>
          <w:rFonts w:hint="eastAsia" w:asciiTheme="minorEastAsia" w:hAnsiTheme="minorEastAsia" w:eastAsiaTheme="minorEastAsia"/>
          <w:b/>
          <w:color w:val="auto"/>
          <w:sz w:val="28"/>
          <w:highlight w:val="none"/>
        </w:rPr>
      </w:pPr>
    </w:p>
    <w:p w14:paraId="5ECC1BFF">
      <w:pPr>
        <w:pStyle w:val="2"/>
        <w:rPr>
          <w:rFonts w:hint="eastAsia" w:asciiTheme="minorEastAsia" w:hAnsiTheme="minorEastAsia" w:eastAsiaTheme="minorEastAsia"/>
          <w:b/>
          <w:color w:val="auto"/>
          <w:sz w:val="28"/>
          <w:highlight w:val="none"/>
        </w:rPr>
      </w:pPr>
    </w:p>
    <w:p w14:paraId="728E6FF3">
      <w:pPr>
        <w:pStyle w:val="2"/>
        <w:rPr>
          <w:rFonts w:hint="eastAsia" w:asciiTheme="minorEastAsia" w:hAnsiTheme="minorEastAsia" w:eastAsiaTheme="minorEastAsia"/>
          <w:b/>
          <w:color w:val="auto"/>
          <w:sz w:val="28"/>
          <w:highlight w:val="none"/>
        </w:rPr>
      </w:pPr>
    </w:p>
    <w:p w14:paraId="5864AAFA">
      <w:pPr>
        <w:spacing w:line="360" w:lineRule="auto"/>
        <w:jc w:val="center"/>
        <w:outlineLvl w:val="0"/>
        <w:rPr>
          <w:rFonts w:hint="eastAsia" w:asciiTheme="minorEastAsia" w:hAnsiTheme="minorEastAsia" w:eastAsiaTheme="minorEastAsia"/>
          <w:b/>
          <w:color w:val="auto"/>
          <w:sz w:val="28"/>
          <w:highlight w:val="none"/>
        </w:rPr>
      </w:pPr>
    </w:p>
    <w:p w14:paraId="4391A57C">
      <w:pPr>
        <w:spacing w:line="360" w:lineRule="auto"/>
        <w:jc w:val="center"/>
        <w:outlineLvl w:val="0"/>
        <w:rPr>
          <w:rFonts w:hint="eastAsia" w:ascii="仿宋" w:hAnsi="仿宋" w:eastAsia="仿宋" w:cs="仿宋"/>
          <w:b/>
          <w:color w:val="auto"/>
          <w:sz w:val="28"/>
          <w:highlight w:val="none"/>
        </w:rPr>
      </w:pPr>
      <w:r>
        <w:rPr>
          <w:rFonts w:hint="eastAsia" w:ascii="仿宋" w:hAnsi="仿宋" w:eastAsia="仿宋" w:cs="仿宋"/>
          <w:b/>
          <w:color w:val="auto"/>
          <w:sz w:val="28"/>
          <w:highlight w:val="none"/>
        </w:rPr>
        <w:t>第五章  政府采购合同</w:t>
      </w:r>
      <w:bookmarkEnd w:id="35"/>
      <w:bookmarkEnd w:id="36"/>
    </w:p>
    <w:p w14:paraId="44EA432B">
      <w:pPr>
        <w:snapToGrid w:val="0"/>
        <w:spacing w:line="348" w:lineRule="auto"/>
        <w:jc w:val="center"/>
        <w:rPr>
          <w:rFonts w:hint="eastAsia" w:ascii="仿宋" w:hAnsi="仿宋" w:eastAsia="仿宋" w:cs="仿宋"/>
          <w:bCs/>
          <w:color w:val="auto"/>
          <w:sz w:val="24"/>
          <w:szCs w:val="24"/>
          <w:highlight w:val="none"/>
        </w:rPr>
      </w:pPr>
      <w:bookmarkStart w:id="37" w:name="_Toc29374"/>
    </w:p>
    <w:p w14:paraId="394EEF8B">
      <w:pPr>
        <w:snapToGrid w:val="0"/>
        <w:spacing w:line="348" w:lineRule="auto"/>
        <w:jc w:val="center"/>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（签订合同时，仅以此文本为基准，补充条款双方协定）</w:t>
      </w:r>
    </w:p>
    <w:p w14:paraId="594D69F2">
      <w:pPr>
        <w:spacing w:line="480" w:lineRule="auto"/>
        <w:jc w:val="center"/>
        <w:rPr>
          <w:rFonts w:hint="eastAsia" w:ascii="宋体" w:hAnsi="宋体" w:eastAsia="宋体" w:cs="宋体"/>
          <w:b/>
          <w:color w:val="auto"/>
          <w:sz w:val="24"/>
          <w:szCs w:val="24"/>
          <w:highlight w:val="none"/>
        </w:rPr>
      </w:pPr>
    </w:p>
    <w:p w14:paraId="37E70E4C">
      <w:pPr>
        <w:spacing w:line="480" w:lineRule="auto"/>
        <w:jc w:val="center"/>
        <w:outlineLvl w:val="1"/>
        <w:rPr>
          <w:rFonts w:hint="eastAsia" w:ascii="宋体" w:hAnsi="宋体" w:eastAsia="宋体" w:cs="宋体"/>
          <w:b/>
          <w:color w:val="auto"/>
          <w:sz w:val="32"/>
          <w:szCs w:val="32"/>
          <w:highlight w:val="none"/>
        </w:rPr>
      </w:pPr>
      <w:bookmarkStart w:id="38" w:name="_Toc9456"/>
      <w:r>
        <w:rPr>
          <w:rFonts w:hint="eastAsia" w:ascii="宋体" w:hAnsi="宋体" w:eastAsia="宋体" w:cs="宋体"/>
          <w:b/>
          <w:color w:val="auto"/>
          <w:sz w:val="32"/>
          <w:szCs w:val="32"/>
          <w:highlight w:val="none"/>
        </w:rPr>
        <w:t>政府采购合同参考范本</w:t>
      </w:r>
      <w:bookmarkEnd w:id="38"/>
    </w:p>
    <w:p w14:paraId="284A5E71">
      <w:pPr>
        <w:spacing w:line="480" w:lineRule="auto"/>
        <w:jc w:val="center"/>
        <w:outlineLvl w:val="1"/>
        <w:rPr>
          <w:rFonts w:hint="eastAsia" w:ascii="宋体" w:hAnsi="宋体" w:eastAsia="宋体" w:cs="宋体"/>
          <w:b/>
          <w:color w:val="auto"/>
          <w:sz w:val="32"/>
          <w:szCs w:val="32"/>
          <w:highlight w:val="none"/>
        </w:rPr>
      </w:pPr>
      <w:bookmarkStart w:id="39" w:name="_Toc26618"/>
      <w:r>
        <w:rPr>
          <w:rFonts w:hint="eastAsia" w:ascii="宋体" w:hAnsi="宋体" w:eastAsia="宋体" w:cs="宋体"/>
          <w:b/>
          <w:color w:val="auto"/>
          <w:sz w:val="32"/>
          <w:szCs w:val="32"/>
          <w:highlight w:val="none"/>
        </w:rPr>
        <w:t>（服务类）</w:t>
      </w:r>
      <w:bookmarkEnd w:id="39"/>
    </w:p>
    <w:p w14:paraId="31EF80A8">
      <w:pPr>
        <w:spacing w:line="480" w:lineRule="auto"/>
        <w:jc w:val="center"/>
        <w:rPr>
          <w:rFonts w:hint="eastAsia" w:ascii="宋体" w:hAnsi="宋体" w:eastAsia="宋体" w:cs="宋体"/>
          <w:b/>
          <w:color w:val="auto"/>
          <w:sz w:val="24"/>
          <w:highlight w:val="none"/>
        </w:rPr>
      </w:pPr>
    </w:p>
    <w:p w14:paraId="6B88F705">
      <w:pPr>
        <w:spacing w:line="480" w:lineRule="auto"/>
        <w:jc w:val="center"/>
        <w:rPr>
          <w:rFonts w:hint="eastAsia" w:ascii="宋体" w:hAnsi="宋体" w:eastAsia="宋体" w:cs="宋体"/>
          <w:b/>
          <w:color w:val="auto"/>
          <w:sz w:val="24"/>
          <w:highlight w:val="none"/>
        </w:rPr>
      </w:pPr>
    </w:p>
    <w:p w14:paraId="2051DF87">
      <w:pPr>
        <w:spacing w:line="480" w:lineRule="auto"/>
        <w:jc w:val="center"/>
        <w:rPr>
          <w:rFonts w:hint="eastAsia" w:ascii="宋体" w:hAnsi="宋体" w:eastAsia="宋体" w:cs="宋体"/>
          <w:b/>
          <w:color w:val="auto"/>
          <w:sz w:val="24"/>
          <w:highlight w:val="none"/>
        </w:rPr>
      </w:pPr>
    </w:p>
    <w:p w14:paraId="79010D69">
      <w:pPr>
        <w:spacing w:line="480" w:lineRule="auto"/>
        <w:jc w:val="center"/>
        <w:outlineLvl w:val="1"/>
        <w:rPr>
          <w:rFonts w:hint="eastAsia" w:ascii="宋体" w:hAnsi="宋体" w:eastAsia="宋体" w:cs="宋体"/>
          <w:b/>
          <w:color w:val="auto"/>
          <w:sz w:val="32"/>
          <w:szCs w:val="32"/>
          <w:highlight w:val="none"/>
        </w:rPr>
      </w:pPr>
      <w:bookmarkStart w:id="40" w:name="_Toc18055"/>
      <w:r>
        <w:rPr>
          <w:rFonts w:hint="eastAsia" w:ascii="宋体" w:hAnsi="宋体" w:eastAsia="宋体" w:cs="宋体"/>
          <w:b/>
          <w:color w:val="auto"/>
          <w:sz w:val="32"/>
          <w:szCs w:val="32"/>
          <w:highlight w:val="none"/>
        </w:rPr>
        <w:t>第一部分 合同书</w:t>
      </w:r>
      <w:bookmarkEnd w:id="40"/>
    </w:p>
    <w:p w14:paraId="71302577">
      <w:pPr>
        <w:spacing w:line="480" w:lineRule="auto"/>
        <w:jc w:val="center"/>
        <w:rPr>
          <w:rFonts w:hint="eastAsia" w:ascii="宋体" w:hAnsi="宋体" w:eastAsia="宋体" w:cs="宋体"/>
          <w:b/>
          <w:color w:val="auto"/>
          <w:sz w:val="24"/>
          <w:highlight w:val="none"/>
        </w:rPr>
      </w:pPr>
    </w:p>
    <w:p w14:paraId="1B297039">
      <w:pPr>
        <w:spacing w:line="480" w:lineRule="auto"/>
        <w:jc w:val="center"/>
        <w:rPr>
          <w:rFonts w:hint="eastAsia" w:ascii="宋体" w:hAnsi="宋体" w:eastAsia="宋体" w:cs="宋体"/>
          <w:b/>
          <w:color w:val="auto"/>
          <w:sz w:val="24"/>
          <w:highlight w:val="none"/>
        </w:rPr>
      </w:pPr>
    </w:p>
    <w:p w14:paraId="0388C7A4">
      <w:pPr>
        <w:spacing w:line="480" w:lineRule="auto"/>
        <w:jc w:val="center"/>
        <w:rPr>
          <w:rFonts w:hint="eastAsia" w:ascii="宋体" w:hAnsi="宋体" w:eastAsia="宋体" w:cs="宋体"/>
          <w:b/>
          <w:color w:val="auto"/>
          <w:sz w:val="24"/>
          <w:highlight w:val="none"/>
        </w:rPr>
      </w:pPr>
    </w:p>
    <w:p w14:paraId="7E64A1DE">
      <w:pPr>
        <w:spacing w:before="120" w:line="480" w:lineRule="auto"/>
        <w:ind w:left="960"/>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rPr>
        <w:t>项目名称：</w:t>
      </w:r>
      <w:r>
        <w:rPr>
          <w:rFonts w:hint="eastAsia" w:ascii="宋体" w:hAnsi="宋体" w:eastAsia="宋体" w:cs="宋体"/>
          <w:color w:val="auto"/>
          <w:sz w:val="24"/>
          <w:szCs w:val="24"/>
          <w:highlight w:val="none"/>
          <w:u w:val="single"/>
          <w:lang w:val="en-US" w:eastAsia="zh-CN"/>
        </w:rPr>
        <w:t xml:space="preserve">                                         </w:t>
      </w:r>
    </w:p>
    <w:p w14:paraId="48AEDCF0">
      <w:pPr>
        <w:spacing w:before="120" w:line="480" w:lineRule="auto"/>
        <w:ind w:left="960"/>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甲方（采购人）：</w:t>
      </w:r>
      <w:r>
        <w:rPr>
          <w:rFonts w:hint="eastAsia" w:ascii="宋体" w:hAnsi="宋体" w:eastAsia="宋体" w:cs="宋体"/>
          <w:color w:val="auto"/>
          <w:sz w:val="24"/>
          <w:szCs w:val="24"/>
          <w:highlight w:val="none"/>
          <w:u w:val="single"/>
        </w:rPr>
        <w:t xml:space="preserve">                                 </w:t>
      </w:r>
    </w:p>
    <w:p w14:paraId="4DBE1FFA">
      <w:pPr>
        <w:spacing w:before="120" w:line="480" w:lineRule="auto"/>
        <w:ind w:left="960"/>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乙方（成交供应商）：</w:t>
      </w:r>
      <w:r>
        <w:rPr>
          <w:rFonts w:hint="eastAsia" w:ascii="宋体" w:hAnsi="宋体" w:eastAsia="宋体" w:cs="宋体"/>
          <w:color w:val="auto"/>
          <w:sz w:val="24"/>
          <w:highlight w:val="none"/>
          <w:u w:val="single"/>
        </w:rPr>
        <w:t xml:space="preserve">                          </w:t>
      </w:r>
    </w:p>
    <w:p w14:paraId="4C099B1A">
      <w:pPr>
        <w:spacing w:before="120" w:line="480" w:lineRule="auto"/>
        <w:ind w:firstLine="960" w:firstLineChars="400"/>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签订地：</w:t>
      </w:r>
      <w:r>
        <w:rPr>
          <w:rFonts w:hint="eastAsia" w:ascii="宋体" w:hAnsi="宋体" w:eastAsia="宋体" w:cs="宋体"/>
          <w:color w:val="auto"/>
          <w:sz w:val="24"/>
          <w:szCs w:val="24"/>
          <w:highlight w:val="none"/>
          <w:u w:val="single"/>
        </w:rPr>
        <w:t xml:space="preserve">                                  </w:t>
      </w:r>
    </w:p>
    <w:p w14:paraId="15C18978">
      <w:pPr>
        <w:spacing w:before="120" w:line="480" w:lineRule="auto"/>
        <w:ind w:firstLine="960" w:firstLineChars="400"/>
        <w:rPr>
          <w:rFonts w:hint="eastAsia" w:ascii="宋体" w:hAnsi="宋体" w:eastAsia="宋体" w:cs="宋体"/>
          <w:color w:val="auto"/>
          <w:sz w:val="24"/>
          <w:highlight w:val="none"/>
        </w:rPr>
      </w:pPr>
      <w:r>
        <w:rPr>
          <w:rFonts w:hint="eastAsia" w:ascii="宋体" w:hAnsi="宋体" w:eastAsia="宋体" w:cs="宋体"/>
          <w:color w:val="auto"/>
          <w:sz w:val="24"/>
          <w:highlight w:val="none"/>
        </w:rPr>
        <w:t>签订日期：</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年</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月</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日</w:t>
      </w:r>
    </w:p>
    <w:p w14:paraId="30D81350">
      <w:pPr>
        <w:widowControl/>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br w:type="page"/>
      </w:r>
    </w:p>
    <w:p w14:paraId="42AD883C">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zh-CN"/>
        </w:rPr>
        <w:t>以下简称：甲方</w:t>
      </w:r>
      <w:r>
        <w:rPr>
          <w:rFonts w:hint="eastAsia" w:ascii="宋体" w:hAnsi="宋体" w:eastAsia="宋体" w:cs="宋体"/>
          <w:color w:val="auto"/>
          <w:sz w:val="24"/>
          <w:highlight w:val="none"/>
        </w:rPr>
        <w:t xml:space="preserve">）通过 </w:t>
      </w:r>
      <w:r>
        <w:rPr>
          <w:rFonts w:hint="eastAsia" w:ascii="宋体" w:hAnsi="宋体" w:eastAsia="宋体" w:cs="宋体"/>
          <w:color w:val="auto"/>
          <w:sz w:val="24"/>
          <w:highlight w:val="none"/>
          <w:u w:val="single"/>
        </w:rPr>
        <w:t>滁州市城投工程咨询管理有限公司</w:t>
      </w:r>
      <w:r>
        <w:rPr>
          <w:rFonts w:hint="eastAsia" w:ascii="宋体" w:hAnsi="宋体" w:eastAsia="宋体" w:cs="宋体"/>
          <w:color w:val="auto"/>
          <w:sz w:val="24"/>
          <w:highlight w:val="none"/>
        </w:rPr>
        <w:t>组织的竞争性</w:t>
      </w:r>
      <w:r>
        <w:rPr>
          <w:rFonts w:hint="eastAsia" w:ascii="宋体" w:hAnsi="宋体" w:eastAsia="宋体" w:cs="宋体"/>
          <w:color w:val="auto"/>
          <w:sz w:val="24"/>
          <w:highlight w:val="none"/>
          <w:lang w:val="en-US" w:eastAsia="zh-CN"/>
        </w:rPr>
        <w:t>谈判</w:t>
      </w:r>
      <w:r>
        <w:rPr>
          <w:rFonts w:hint="eastAsia" w:ascii="宋体" w:hAnsi="宋体" w:eastAsia="宋体" w:cs="宋体"/>
          <w:color w:val="auto"/>
          <w:sz w:val="24"/>
          <w:highlight w:val="none"/>
        </w:rPr>
        <w:t>方式采购活动，经</w:t>
      </w:r>
      <w:r>
        <w:rPr>
          <w:rFonts w:hint="eastAsia" w:ascii="宋体" w:hAnsi="宋体" w:eastAsia="宋体" w:cs="宋体"/>
          <w:color w:val="auto"/>
          <w:sz w:val="24"/>
          <w:highlight w:val="none"/>
          <w:lang w:val="en-US" w:eastAsia="zh-CN"/>
        </w:rPr>
        <w:t>谈判</w:t>
      </w:r>
      <w:r>
        <w:rPr>
          <w:rFonts w:hint="eastAsia" w:ascii="宋体" w:hAnsi="宋体" w:eastAsia="宋体" w:cs="宋体"/>
          <w:color w:val="auto"/>
          <w:sz w:val="24"/>
          <w:highlight w:val="none"/>
        </w:rPr>
        <w:t>小组评定，</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zh-CN"/>
        </w:rPr>
        <w:t>以下简称：乙方</w:t>
      </w:r>
      <w:r>
        <w:rPr>
          <w:rFonts w:hint="eastAsia" w:ascii="宋体" w:hAnsi="宋体" w:eastAsia="宋体" w:cs="宋体"/>
          <w:color w:val="auto"/>
          <w:sz w:val="24"/>
          <w:highlight w:val="none"/>
        </w:rPr>
        <w:t>）为本项目成交供应商，现按照采购文件确定的事项签订本合同。</w:t>
      </w:r>
    </w:p>
    <w:p w14:paraId="2EBDD0A5">
      <w:pPr>
        <w:spacing w:line="360" w:lineRule="auto"/>
        <w:ind w:firstLine="435"/>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rPr>
        <w:t>参照《中华人民共和国民法典》、《中华人民共和国政府采购法》等相关法律法规之规定，按照平等、自愿、公平和诚实信用的原则，经甲方和乙方协商一致，约定以下合同条款，以兹共同遵守、全面履行。</w:t>
      </w:r>
    </w:p>
    <w:p w14:paraId="7895C7AB">
      <w:pPr>
        <w:spacing w:line="360" w:lineRule="auto"/>
        <w:ind w:firstLine="437"/>
        <w:outlineLvl w:val="2"/>
        <w:rPr>
          <w:rFonts w:hint="eastAsia" w:ascii="宋体" w:hAnsi="宋体" w:eastAsia="宋体" w:cs="宋体"/>
          <w:b/>
          <w:bCs/>
          <w:color w:val="auto"/>
          <w:sz w:val="24"/>
          <w:highlight w:val="none"/>
          <w:lang w:val="zh-CN"/>
        </w:rPr>
      </w:pPr>
      <w:bookmarkStart w:id="41" w:name="_Toc2232"/>
      <w:bookmarkStart w:id="42" w:name="_Toc24059"/>
      <w:bookmarkStart w:id="43" w:name="_Toc3029"/>
      <w:r>
        <w:rPr>
          <w:rFonts w:hint="eastAsia" w:ascii="宋体" w:hAnsi="宋体" w:eastAsia="宋体" w:cs="宋体"/>
          <w:b/>
          <w:bCs/>
          <w:color w:val="auto"/>
          <w:sz w:val="24"/>
          <w:highlight w:val="none"/>
          <w:lang w:val="zh-CN"/>
        </w:rPr>
        <w:t>1.1 合同组成部分</w:t>
      </w:r>
      <w:bookmarkEnd w:id="41"/>
      <w:bookmarkEnd w:id="42"/>
      <w:bookmarkEnd w:id="43"/>
    </w:p>
    <w:p w14:paraId="0BC330B5">
      <w:pPr>
        <w:spacing w:line="360" w:lineRule="auto"/>
        <w:ind w:firstLine="435"/>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下列文件为本合同的组成部分，并构成一个整体，需综合解释、相互补充。如果下列文件内容出现不一致的情形，那么在保证按照采购文件确定的事项前提下，组成本合同的多个文件的优先适用顺序如下：</w:t>
      </w:r>
    </w:p>
    <w:p w14:paraId="5AA72932">
      <w:pPr>
        <w:spacing w:line="360" w:lineRule="auto"/>
        <w:ind w:firstLine="435"/>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1.1.1本合同及其补充合同、变更协议；</w:t>
      </w:r>
    </w:p>
    <w:p w14:paraId="00CCBC8F">
      <w:pPr>
        <w:spacing w:line="360" w:lineRule="auto"/>
        <w:ind w:firstLine="435"/>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1.1.2成交通知书；</w:t>
      </w:r>
    </w:p>
    <w:p w14:paraId="0A168FD6">
      <w:pPr>
        <w:spacing w:line="360" w:lineRule="auto"/>
        <w:ind w:firstLine="435"/>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1.1.3响应文件（含澄清或者说明文件）；</w:t>
      </w:r>
    </w:p>
    <w:p w14:paraId="2E3892A8">
      <w:pPr>
        <w:spacing w:line="360" w:lineRule="auto"/>
        <w:ind w:firstLine="435"/>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1.1.4</w:t>
      </w:r>
      <w:r>
        <w:rPr>
          <w:rFonts w:hint="eastAsia" w:ascii="宋体" w:hAnsi="宋体" w:eastAsia="宋体" w:cs="宋体"/>
          <w:color w:val="auto"/>
          <w:sz w:val="24"/>
          <w:highlight w:val="none"/>
          <w:lang w:val="en-US" w:eastAsia="zh-CN"/>
        </w:rPr>
        <w:t>谈判</w:t>
      </w:r>
      <w:r>
        <w:rPr>
          <w:rFonts w:hint="eastAsia" w:ascii="宋体" w:hAnsi="宋体" w:eastAsia="宋体" w:cs="宋体"/>
          <w:color w:val="auto"/>
          <w:sz w:val="24"/>
          <w:highlight w:val="none"/>
          <w:lang w:val="zh-CN"/>
        </w:rPr>
        <w:t>文件（含澄清或者修改文件）；</w:t>
      </w:r>
    </w:p>
    <w:p w14:paraId="0DB5F300">
      <w:pPr>
        <w:spacing w:line="360" w:lineRule="auto"/>
        <w:ind w:firstLine="435"/>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1.1.5其他相关采购文件。</w:t>
      </w:r>
    </w:p>
    <w:p w14:paraId="2E2F6CFB">
      <w:pPr>
        <w:spacing w:line="360" w:lineRule="auto"/>
        <w:ind w:firstLine="437"/>
        <w:outlineLvl w:val="2"/>
        <w:rPr>
          <w:rFonts w:hint="eastAsia" w:ascii="宋体" w:hAnsi="宋体" w:eastAsia="宋体" w:cs="宋体"/>
          <w:b/>
          <w:bCs/>
          <w:color w:val="auto"/>
          <w:sz w:val="24"/>
          <w:highlight w:val="none"/>
          <w:lang w:val="zh-CN"/>
        </w:rPr>
      </w:pPr>
      <w:bookmarkStart w:id="44" w:name="_Toc27126"/>
      <w:bookmarkStart w:id="45" w:name="_Toc21295"/>
      <w:bookmarkStart w:id="46" w:name="_Toc24300"/>
      <w:r>
        <w:rPr>
          <w:rFonts w:hint="eastAsia" w:ascii="宋体" w:hAnsi="宋体" w:eastAsia="宋体" w:cs="宋体"/>
          <w:b/>
          <w:bCs/>
          <w:color w:val="auto"/>
          <w:sz w:val="24"/>
          <w:highlight w:val="none"/>
          <w:lang w:val="zh-CN"/>
        </w:rPr>
        <w:t xml:space="preserve">1.2 </w:t>
      </w:r>
      <w:bookmarkEnd w:id="44"/>
      <w:bookmarkEnd w:id="45"/>
      <w:bookmarkEnd w:id="46"/>
      <w:r>
        <w:rPr>
          <w:rFonts w:hint="eastAsia" w:ascii="宋体" w:hAnsi="宋体" w:eastAsia="宋体" w:cs="宋体"/>
          <w:b/>
          <w:bCs/>
          <w:color w:val="auto"/>
          <w:sz w:val="24"/>
          <w:highlight w:val="none"/>
          <w:lang w:val="zh-CN"/>
        </w:rPr>
        <w:t>服务</w:t>
      </w:r>
    </w:p>
    <w:p w14:paraId="4266A0B1">
      <w:pPr>
        <w:spacing w:line="360" w:lineRule="auto"/>
        <w:ind w:firstLine="435"/>
        <w:rPr>
          <w:rFonts w:hint="eastAsia" w:ascii="宋体" w:hAnsi="宋体" w:eastAsia="宋体" w:cs="宋体"/>
          <w:color w:val="auto"/>
          <w:sz w:val="24"/>
          <w:szCs w:val="24"/>
          <w:highlight w:val="none"/>
          <w:u w:val="single"/>
        </w:rPr>
      </w:pPr>
      <w:bookmarkStart w:id="47" w:name="_Toc21551"/>
      <w:bookmarkStart w:id="48" w:name="_Toc21631"/>
      <w:bookmarkStart w:id="49" w:name="_Toc23292"/>
      <w:r>
        <w:rPr>
          <w:rFonts w:hint="eastAsia" w:ascii="宋体" w:hAnsi="宋体" w:eastAsia="宋体" w:cs="宋体"/>
          <w:color w:val="auto"/>
          <w:sz w:val="24"/>
          <w:szCs w:val="24"/>
          <w:highlight w:val="none"/>
          <w:lang w:bidi="ar"/>
        </w:rPr>
        <w:t>1.2.1服务名称：</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lang w:bidi="ar"/>
        </w:rPr>
        <w:t>；</w:t>
      </w:r>
    </w:p>
    <w:p w14:paraId="1D18283D">
      <w:pPr>
        <w:spacing w:line="360" w:lineRule="auto"/>
        <w:ind w:firstLine="435"/>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lang w:bidi="ar"/>
        </w:rPr>
        <w:t>1.2.2服务内容：</w:t>
      </w:r>
      <w:r>
        <w:rPr>
          <w:rFonts w:hint="eastAsia" w:ascii="宋体" w:hAnsi="宋体" w:eastAsia="宋体" w:cs="宋体"/>
          <w:color w:val="auto"/>
          <w:sz w:val="24"/>
          <w:highlight w:val="none"/>
          <w:u w:val="single"/>
          <w:lang w:val="en-US" w:eastAsia="zh-CN"/>
        </w:rPr>
        <w:t>谈判</w:t>
      </w:r>
      <w:r>
        <w:rPr>
          <w:rFonts w:hint="eastAsia" w:ascii="宋体" w:hAnsi="宋体" w:eastAsia="宋体" w:cs="宋体"/>
          <w:color w:val="auto"/>
          <w:sz w:val="24"/>
          <w:highlight w:val="none"/>
          <w:u w:val="single"/>
          <w:lang w:val="zh-CN"/>
        </w:rPr>
        <w:t>文件</w:t>
      </w:r>
      <w:r>
        <w:rPr>
          <w:rFonts w:hint="eastAsia" w:ascii="宋体" w:hAnsi="宋体" w:eastAsia="宋体" w:cs="宋体"/>
          <w:color w:val="auto"/>
          <w:sz w:val="24"/>
          <w:highlight w:val="none"/>
          <w:u w:val="single"/>
        </w:rPr>
        <w:t>采购需求全部内容</w:t>
      </w:r>
      <w:r>
        <w:rPr>
          <w:rFonts w:hint="eastAsia" w:ascii="宋体" w:hAnsi="宋体" w:eastAsia="宋体" w:cs="宋体"/>
          <w:color w:val="auto"/>
          <w:sz w:val="24"/>
          <w:szCs w:val="24"/>
          <w:highlight w:val="none"/>
          <w:lang w:bidi="ar"/>
        </w:rPr>
        <w:t>；</w:t>
      </w:r>
    </w:p>
    <w:p w14:paraId="37CAA551">
      <w:pPr>
        <w:spacing w:line="360" w:lineRule="auto"/>
        <w:ind w:firstLine="435"/>
        <w:rPr>
          <w:rFonts w:hint="eastAsia" w:ascii="宋体" w:hAnsi="宋体" w:eastAsia="宋体" w:cs="宋体"/>
          <w:color w:val="auto"/>
          <w:sz w:val="24"/>
          <w:szCs w:val="24"/>
          <w:highlight w:val="none"/>
          <w:lang w:bidi="ar"/>
        </w:rPr>
      </w:pPr>
      <w:r>
        <w:rPr>
          <w:rFonts w:hint="eastAsia" w:ascii="宋体" w:hAnsi="宋体" w:eastAsia="宋体" w:cs="宋体"/>
          <w:color w:val="auto"/>
          <w:sz w:val="24"/>
          <w:szCs w:val="24"/>
          <w:highlight w:val="none"/>
          <w:lang w:bidi="ar"/>
        </w:rPr>
        <w:t>1.2.3服务质量：</w:t>
      </w:r>
      <w:r>
        <w:rPr>
          <w:rFonts w:hint="eastAsia" w:ascii="宋体" w:hAnsi="宋体" w:eastAsia="宋体" w:cs="宋体"/>
          <w:color w:val="auto"/>
          <w:sz w:val="24"/>
          <w:szCs w:val="24"/>
          <w:highlight w:val="none"/>
          <w:u w:val="single"/>
        </w:rPr>
        <w:t>满足</w:t>
      </w:r>
      <w:r>
        <w:rPr>
          <w:rFonts w:hint="eastAsia" w:ascii="宋体" w:hAnsi="宋体" w:eastAsia="宋体" w:cs="宋体"/>
          <w:color w:val="auto"/>
          <w:sz w:val="24"/>
          <w:szCs w:val="24"/>
          <w:highlight w:val="none"/>
          <w:u w:val="single"/>
          <w:lang w:val="en-US" w:eastAsia="zh-CN"/>
        </w:rPr>
        <w:t>谈判</w:t>
      </w:r>
      <w:r>
        <w:rPr>
          <w:rFonts w:hint="eastAsia" w:ascii="宋体" w:hAnsi="宋体" w:eastAsia="宋体" w:cs="宋体"/>
          <w:color w:val="auto"/>
          <w:sz w:val="24"/>
          <w:szCs w:val="24"/>
          <w:highlight w:val="none"/>
          <w:u w:val="single"/>
          <w:lang w:val="zh-CN"/>
        </w:rPr>
        <w:t>文件</w:t>
      </w:r>
      <w:r>
        <w:rPr>
          <w:rFonts w:hint="eastAsia" w:ascii="宋体" w:hAnsi="宋体" w:eastAsia="宋体" w:cs="宋体"/>
          <w:color w:val="auto"/>
          <w:sz w:val="24"/>
          <w:szCs w:val="24"/>
          <w:highlight w:val="none"/>
          <w:u w:val="single"/>
        </w:rPr>
        <w:t>要求及采购人相关要求</w:t>
      </w:r>
      <w:r>
        <w:rPr>
          <w:rFonts w:hint="eastAsia" w:ascii="宋体" w:hAnsi="宋体" w:eastAsia="宋体" w:cs="宋体"/>
          <w:color w:val="auto"/>
          <w:sz w:val="24"/>
          <w:szCs w:val="24"/>
          <w:highlight w:val="none"/>
          <w:lang w:bidi="ar"/>
        </w:rPr>
        <w:t>。</w:t>
      </w:r>
    </w:p>
    <w:p w14:paraId="33E675E0">
      <w:pPr>
        <w:spacing w:line="360" w:lineRule="auto"/>
        <w:ind w:firstLine="437"/>
        <w:outlineLvl w:val="2"/>
        <w:rPr>
          <w:rFonts w:hint="eastAsia" w:ascii="宋体" w:hAnsi="宋体" w:eastAsia="宋体" w:cs="宋体"/>
          <w:b/>
          <w:bCs/>
          <w:color w:val="auto"/>
          <w:sz w:val="24"/>
          <w:highlight w:val="none"/>
          <w:lang w:val="zh-CN"/>
        </w:rPr>
      </w:pPr>
      <w:r>
        <w:rPr>
          <w:rFonts w:hint="eastAsia" w:ascii="宋体" w:hAnsi="宋体" w:eastAsia="宋体" w:cs="宋体"/>
          <w:b/>
          <w:bCs/>
          <w:color w:val="auto"/>
          <w:sz w:val="24"/>
          <w:highlight w:val="none"/>
          <w:lang w:val="zh-CN"/>
        </w:rPr>
        <w:t>1.3 价款</w:t>
      </w:r>
      <w:bookmarkEnd w:id="47"/>
      <w:bookmarkEnd w:id="48"/>
      <w:bookmarkEnd w:id="49"/>
    </w:p>
    <w:p w14:paraId="3F59E037">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本合同</w:t>
      </w:r>
      <w:r>
        <w:rPr>
          <w:rFonts w:hint="eastAsia" w:ascii="宋体" w:hAnsi="宋体" w:eastAsia="宋体" w:cs="宋体"/>
          <w:color w:val="auto"/>
          <w:sz w:val="24"/>
          <w:highlight w:val="none"/>
          <w:lang w:val="en-US" w:eastAsia="zh-CN"/>
        </w:rPr>
        <w:t>价格</w:t>
      </w:r>
      <w:r>
        <w:rPr>
          <w:rFonts w:hint="eastAsia" w:ascii="宋体" w:hAnsi="宋体" w:eastAsia="宋体" w:cs="宋体"/>
          <w:color w:val="auto"/>
          <w:sz w:val="24"/>
          <w:highlight w:val="none"/>
        </w:rPr>
        <w:t>为：</w:t>
      </w:r>
      <w:r>
        <w:rPr>
          <w:rFonts w:hint="eastAsia" w:ascii="宋体" w:hAnsi="宋体" w:eastAsia="宋体" w:cs="宋体"/>
          <w:color w:val="auto"/>
          <w:sz w:val="24"/>
          <w:highlight w:val="none"/>
          <w:lang w:val="en-US" w:eastAsia="zh-CN"/>
        </w:rPr>
        <w:t xml:space="preserve"> </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sz w:val="24"/>
          <w:highlight w:val="none"/>
          <w:lang w:val="en-US" w:eastAsia="zh-CN"/>
        </w:rPr>
        <w:t xml:space="preserve"> </w:t>
      </w:r>
      <w:r>
        <w:rPr>
          <w:rFonts w:hint="eastAsia" w:ascii="宋体" w:hAnsi="宋体" w:eastAsia="宋体" w:cs="宋体"/>
          <w:color w:val="auto"/>
          <w:sz w:val="24"/>
          <w:highlight w:val="none"/>
        </w:rPr>
        <w:t>。</w:t>
      </w:r>
    </w:p>
    <w:p w14:paraId="2052FD76">
      <w:pPr>
        <w:spacing w:line="360" w:lineRule="auto"/>
        <w:ind w:firstLine="437"/>
        <w:outlineLvl w:val="2"/>
        <w:rPr>
          <w:rFonts w:hint="eastAsia" w:ascii="宋体" w:hAnsi="宋体" w:eastAsia="宋体" w:cs="宋体"/>
          <w:b/>
          <w:bCs/>
          <w:color w:val="auto"/>
          <w:sz w:val="24"/>
          <w:highlight w:val="none"/>
          <w:lang w:val="zh-CN"/>
        </w:rPr>
      </w:pPr>
      <w:bookmarkStart w:id="50" w:name="_Toc1814"/>
      <w:bookmarkStart w:id="51" w:name="_Toc10340"/>
      <w:bookmarkStart w:id="52" w:name="_Toc22618"/>
      <w:r>
        <w:rPr>
          <w:rFonts w:hint="eastAsia" w:ascii="宋体" w:hAnsi="宋体" w:eastAsia="宋体" w:cs="宋体"/>
          <w:b/>
          <w:bCs/>
          <w:color w:val="auto"/>
          <w:sz w:val="24"/>
          <w:highlight w:val="none"/>
          <w:lang w:val="zh-CN"/>
        </w:rPr>
        <w:t>1.4 付款方式和发票开具方式</w:t>
      </w:r>
      <w:bookmarkEnd w:id="50"/>
      <w:bookmarkEnd w:id="51"/>
      <w:bookmarkEnd w:id="52"/>
    </w:p>
    <w:p w14:paraId="465B05E5">
      <w:pPr>
        <w:pStyle w:val="46"/>
        <w:widowControl w:val="0"/>
        <w:spacing w:before="0" w:beforeAutospacing="0" w:after="0" w:afterAutospacing="0" w:line="360" w:lineRule="auto"/>
        <w:ind w:firstLine="482" w:firstLineChars="200"/>
        <w:jc w:val="both"/>
        <w:rPr>
          <w:rFonts w:hint="eastAsia" w:ascii="宋体" w:hAnsi="宋体" w:eastAsia="宋体" w:cs="宋体"/>
          <w:b w:val="0"/>
          <w:color w:val="auto"/>
          <w:sz w:val="24"/>
          <w:highlight w:val="none"/>
          <w:u w:val="single"/>
          <w:lang w:val="en-US" w:eastAsia="zh-CN"/>
        </w:rPr>
      </w:pPr>
      <w:r>
        <w:rPr>
          <w:rFonts w:hint="eastAsia" w:ascii="宋体" w:hAnsi="宋体" w:eastAsia="宋体" w:cs="宋体"/>
          <w:color w:val="auto"/>
          <w:sz w:val="24"/>
          <w:highlight w:val="none"/>
        </w:rPr>
        <w:t>1.4.1付款方式：</w:t>
      </w:r>
      <w:r>
        <w:rPr>
          <w:rFonts w:hint="eastAsia" w:ascii="宋体" w:hAnsi="宋体" w:eastAsia="宋体" w:cs="宋体"/>
          <w:b w:val="0"/>
          <w:color w:val="auto"/>
          <w:sz w:val="24"/>
          <w:highlight w:val="none"/>
          <w:u w:val="single"/>
          <w:lang w:val="en-US" w:eastAsia="zh-CN"/>
        </w:rPr>
        <w:t xml:space="preserve">                 </w:t>
      </w:r>
      <w:r>
        <w:rPr>
          <w:rFonts w:hint="eastAsia" w:ascii="宋体" w:hAnsi="宋体" w:eastAsia="宋体" w:cs="宋体"/>
          <w:b w:val="0"/>
          <w:color w:val="auto"/>
          <w:sz w:val="24"/>
          <w:highlight w:val="none"/>
          <w:u w:val="none"/>
          <w:lang w:val="en-US" w:eastAsia="zh-CN"/>
        </w:rPr>
        <w:t>。</w:t>
      </w:r>
    </w:p>
    <w:p w14:paraId="735785A0">
      <w:pPr>
        <w:pStyle w:val="46"/>
        <w:widowControl w:val="0"/>
        <w:spacing w:before="0" w:beforeAutospacing="0" w:after="0" w:afterAutospacing="0" w:line="360" w:lineRule="auto"/>
        <w:ind w:firstLine="482" w:firstLineChars="200"/>
        <w:jc w:val="both"/>
        <w:rPr>
          <w:rFonts w:hint="eastAsia" w:ascii="宋体" w:hAnsi="宋体" w:eastAsia="宋体" w:cs="宋体"/>
          <w:color w:val="auto"/>
          <w:sz w:val="24"/>
          <w:highlight w:val="none"/>
        </w:rPr>
      </w:pPr>
      <w:r>
        <w:rPr>
          <w:rFonts w:hint="eastAsia" w:ascii="宋体" w:hAnsi="宋体" w:eastAsia="宋体" w:cs="宋体"/>
          <w:color w:val="auto"/>
          <w:sz w:val="24"/>
          <w:highlight w:val="none"/>
        </w:rPr>
        <w:t>1.4.2发票开具方式：</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w:t>
      </w:r>
    </w:p>
    <w:p w14:paraId="74782037">
      <w:pPr>
        <w:spacing w:line="360" w:lineRule="auto"/>
        <w:ind w:firstLine="437"/>
        <w:outlineLvl w:val="2"/>
        <w:rPr>
          <w:rFonts w:hint="eastAsia" w:ascii="宋体" w:hAnsi="宋体" w:eastAsia="宋体" w:cs="宋体"/>
          <w:b/>
          <w:bCs/>
          <w:color w:val="auto"/>
          <w:sz w:val="24"/>
          <w:highlight w:val="none"/>
          <w:lang w:val="zh-CN"/>
        </w:rPr>
      </w:pPr>
      <w:bookmarkStart w:id="53" w:name="_Toc2846"/>
      <w:bookmarkStart w:id="54" w:name="_Toc32071"/>
      <w:bookmarkStart w:id="55" w:name="_Toc19304"/>
      <w:r>
        <w:rPr>
          <w:rFonts w:hint="eastAsia" w:ascii="宋体" w:hAnsi="宋体" w:eastAsia="宋体" w:cs="宋体"/>
          <w:b/>
          <w:bCs/>
          <w:color w:val="auto"/>
          <w:sz w:val="24"/>
          <w:highlight w:val="none"/>
          <w:lang w:val="zh-CN"/>
        </w:rPr>
        <w:t xml:space="preserve">1.5 </w:t>
      </w:r>
      <w:bookmarkEnd w:id="53"/>
      <w:bookmarkEnd w:id="54"/>
      <w:bookmarkEnd w:id="55"/>
      <w:r>
        <w:rPr>
          <w:rFonts w:hint="eastAsia" w:ascii="宋体" w:hAnsi="宋体" w:eastAsia="宋体" w:cs="宋体"/>
          <w:b/>
          <w:bCs/>
          <w:color w:val="auto"/>
          <w:sz w:val="24"/>
          <w:highlight w:val="none"/>
          <w:lang w:val="zh-CN"/>
        </w:rPr>
        <w:t>服务期限、地点和方式</w:t>
      </w:r>
    </w:p>
    <w:p w14:paraId="029FDC67">
      <w:pPr>
        <w:autoSpaceDE w:val="0"/>
        <w:autoSpaceDN w:val="0"/>
        <w:adjustRightInd w:val="0"/>
        <w:spacing w:line="480" w:lineRule="exact"/>
        <w:ind w:firstLine="436" w:firstLineChars="182"/>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1.5.1服务期限：</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highlight w:val="none"/>
        </w:rPr>
        <w:t>；</w:t>
      </w:r>
    </w:p>
    <w:p w14:paraId="59379094">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1.5.2服务地点：</w:t>
      </w:r>
      <w:r>
        <w:rPr>
          <w:rFonts w:hint="eastAsia" w:ascii="宋体" w:hAnsi="宋体" w:eastAsia="宋体" w:cs="宋体"/>
          <w:color w:val="auto"/>
          <w:sz w:val="24"/>
          <w:szCs w:val="24"/>
          <w:highlight w:val="none"/>
          <w:u w:val="single"/>
        </w:rPr>
        <w:t>甲方指定地点</w:t>
      </w:r>
      <w:r>
        <w:rPr>
          <w:rFonts w:hint="eastAsia" w:ascii="宋体" w:hAnsi="宋体" w:eastAsia="宋体" w:cs="宋体"/>
          <w:color w:val="auto"/>
          <w:sz w:val="24"/>
          <w:highlight w:val="none"/>
        </w:rPr>
        <w:t>；</w:t>
      </w:r>
    </w:p>
    <w:p w14:paraId="61E4BC88">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1.5.3服务方式：</w:t>
      </w:r>
      <w:r>
        <w:rPr>
          <w:rFonts w:hint="eastAsia" w:ascii="宋体" w:hAnsi="宋体" w:eastAsia="宋体" w:cs="宋体"/>
          <w:color w:val="auto"/>
          <w:sz w:val="24"/>
          <w:szCs w:val="24"/>
          <w:highlight w:val="none"/>
          <w:u w:val="single"/>
        </w:rPr>
        <w:t>甲方指定方式</w:t>
      </w:r>
      <w:r>
        <w:rPr>
          <w:rFonts w:hint="eastAsia" w:ascii="宋体" w:hAnsi="宋体" w:eastAsia="宋体" w:cs="宋体"/>
          <w:color w:val="auto"/>
          <w:sz w:val="24"/>
          <w:highlight w:val="none"/>
        </w:rPr>
        <w:t>。</w:t>
      </w:r>
    </w:p>
    <w:p w14:paraId="70B3AA16">
      <w:pPr>
        <w:spacing w:line="360" w:lineRule="auto"/>
        <w:ind w:firstLine="437"/>
        <w:outlineLvl w:val="2"/>
        <w:rPr>
          <w:rFonts w:hint="eastAsia" w:ascii="宋体" w:hAnsi="宋体" w:eastAsia="宋体" w:cs="宋体"/>
          <w:b/>
          <w:bCs/>
          <w:color w:val="auto"/>
          <w:sz w:val="24"/>
          <w:highlight w:val="none"/>
          <w:lang w:val="zh-CN"/>
        </w:rPr>
      </w:pPr>
      <w:bookmarkStart w:id="56" w:name="_Toc19554"/>
      <w:bookmarkStart w:id="57" w:name="_Toc27250"/>
      <w:bookmarkStart w:id="58" w:name="_Toc21423"/>
      <w:r>
        <w:rPr>
          <w:rFonts w:hint="eastAsia" w:ascii="宋体" w:hAnsi="宋体" w:eastAsia="宋体" w:cs="宋体"/>
          <w:b/>
          <w:bCs/>
          <w:color w:val="auto"/>
          <w:sz w:val="24"/>
          <w:highlight w:val="none"/>
          <w:lang w:val="zh-CN"/>
        </w:rPr>
        <w:t>1.6 违约责任</w:t>
      </w:r>
      <w:bookmarkEnd w:id="56"/>
      <w:bookmarkEnd w:id="57"/>
      <w:bookmarkEnd w:id="58"/>
    </w:p>
    <w:p w14:paraId="599D58AD">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1.6.1除不可抗力外，如果乙方没有按照本合同约定的期限、地点和方式履行，那么甲方可要求乙方支付违约金，违约金按每迟延履行一日的应提供而未提供服务价格的</w:t>
      </w:r>
      <w:r>
        <w:rPr>
          <w:rFonts w:hint="eastAsia" w:ascii="宋体" w:hAnsi="宋体" w:eastAsia="宋体" w:cs="宋体"/>
          <w:color w:val="auto"/>
          <w:sz w:val="24"/>
          <w:highlight w:val="none"/>
          <w:u w:val="single"/>
        </w:rPr>
        <w:t xml:space="preserve"> 0.1 </w:t>
      </w:r>
      <w:r>
        <w:rPr>
          <w:rFonts w:hint="eastAsia" w:ascii="宋体" w:hAnsi="宋体" w:eastAsia="宋体" w:cs="宋体"/>
          <w:color w:val="auto"/>
          <w:sz w:val="24"/>
          <w:highlight w:val="none"/>
        </w:rPr>
        <w:t>%计算，最高限额为本合同总价的</w:t>
      </w:r>
      <w:r>
        <w:rPr>
          <w:rFonts w:hint="eastAsia" w:ascii="宋体" w:hAnsi="宋体" w:eastAsia="宋体" w:cs="宋体"/>
          <w:color w:val="auto"/>
          <w:sz w:val="24"/>
          <w:highlight w:val="none"/>
          <w:u w:val="single"/>
        </w:rPr>
        <w:t xml:space="preserve"> 10 </w:t>
      </w:r>
      <w:r>
        <w:rPr>
          <w:rFonts w:hint="eastAsia" w:ascii="宋体" w:hAnsi="宋体" w:eastAsia="宋体" w:cs="宋体"/>
          <w:color w:val="auto"/>
          <w:sz w:val="24"/>
          <w:highlight w:val="none"/>
        </w:rPr>
        <w:t>%；迟延履行的违约金计算数额达到前述最高限额之日起，甲方有权在要求乙方支付违约金的同时，书面通知乙方解除本合同；</w:t>
      </w:r>
    </w:p>
    <w:p w14:paraId="339EE663">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1.6.2除不可抗力外，如果甲方没有按照本合同约定的付款方式付款，那么乙方可要求甲方支付违约金，违约金按每迟延付款一日的应付而未付款的</w:t>
      </w:r>
      <w:r>
        <w:rPr>
          <w:rFonts w:hint="eastAsia" w:ascii="宋体" w:hAnsi="宋体" w:eastAsia="宋体" w:cs="宋体"/>
          <w:color w:val="auto"/>
          <w:sz w:val="24"/>
          <w:highlight w:val="none"/>
          <w:u w:val="single"/>
        </w:rPr>
        <w:t xml:space="preserve"> 0.1 </w:t>
      </w:r>
      <w:r>
        <w:rPr>
          <w:rFonts w:hint="eastAsia" w:ascii="宋体" w:hAnsi="宋体" w:eastAsia="宋体" w:cs="宋体"/>
          <w:color w:val="auto"/>
          <w:sz w:val="24"/>
          <w:highlight w:val="none"/>
        </w:rPr>
        <w:t>%计算，最高限额为本合同总价的</w:t>
      </w:r>
      <w:r>
        <w:rPr>
          <w:rFonts w:hint="eastAsia" w:ascii="宋体" w:hAnsi="宋体" w:eastAsia="宋体" w:cs="宋体"/>
          <w:color w:val="auto"/>
          <w:sz w:val="24"/>
          <w:highlight w:val="none"/>
          <w:u w:val="single"/>
        </w:rPr>
        <w:t xml:space="preserve"> 10 </w:t>
      </w:r>
      <w:r>
        <w:rPr>
          <w:rFonts w:hint="eastAsia" w:ascii="宋体" w:hAnsi="宋体" w:eastAsia="宋体" w:cs="宋体"/>
          <w:color w:val="auto"/>
          <w:sz w:val="24"/>
          <w:highlight w:val="none"/>
        </w:rPr>
        <w:t>%；迟延付款的违约金计算数额达到前述最高限额之日起，乙方有权在要求甲方支付违约金的同时，书面通知甲方解除本合同；</w:t>
      </w:r>
    </w:p>
    <w:p w14:paraId="45079C2D">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1.6.3除不可抗力外，任何一方未能履行本合同约定的其他主要义务，经催告后在合理期限内仍未履行的，或者任何一方有其他违约行为致使不能实现合同目的的，或者任何一方有腐败行为（即：提供或给予或接受或索取任何财物或其他好处或者采取其他不正当手段影响对方当事人在合同签订、履行过程中的行为）或者欺诈行为（即：以谎报事实或者隐瞒真相的方法来影响对方当事人在合同签订、履行过程中的行为）的，对方当事人可以书面通知违约方解除本合同；</w:t>
      </w:r>
    </w:p>
    <w:p w14:paraId="2C2E5ACC">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1.6.4任何一方按照前述约定要求违约方支付违约金的同时，仍有权要求违约方继续履行合同、采取补救措施，并有权按照己方实际损失情况要求违约方赔偿损失；任何一方按照前述约定要求解除本合同的同时，仍有权要求违约方支付违约金和按照己方实际损失情况要求违约方赔偿损失；且守约方行使的任何权利救济方式均不视为其放弃了其他法定或者约定的权利救济方式；</w:t>
      </w:r>
    </w:p>
    <w:p w14:paraId="01EC7E48">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1.6.5除前述约定外，除不可抗力外，任何一方未能履行本合同约定的义务，对方当事人均有权要求继续履行、采取补救措施或者赔偿损失等，且对方当事人行使的任何权利救济方式均不视为其放弃了其他法定或者约定的权利救济方式；</w:t>
      </w:r>
    </w:p>
    <w:p w14:paraId="3C973678">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1.6.6如果出现政府采购监督管理部门在处理投诉事项期间，书面通知甲方暂停采购活动的情形，或者询问或质疑事项可能影响中标结果的，导致甲方中止履行合同的情形，均不视为甲方违约。</w:t>
      </w:r>
    </w:p>
    <w:p w14:paraId="686497F2">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1.6.7因甲方未按合同约定支付价款、未按合同约定受领标的物、擅自解除合同、逾期退还履约保证金导致乙方遭受的直接损失，乙方可向甲方申请赔偿，赔偿金额由双方协商一致；针对因政策变化等原因不能签订合同或解除合同时，造成乙方合法利益受损的情形，可以给予乙方合理补偿，补偿金额不得超过乙方的直接损失</w:t>
      </w:r>
      <w:r>
        <w:rPr>
          <w:rFonts w:hint="eastAsia" w:ascii="宋体" w:hAnsi="宋体" w:eastAsia="宋体" w:cs="宋体"/>
          <w:color w:val="auto"/>
          <w:sz w:val="24"/>
          <w:szCs w:val="24"/>
          <w:highlight w:val="none"/>
        </w:rPr>
        <w:t>。</w:t>
      </w:r>
    </w:p>
    <w:p w14:paraId="0650551C">
      <w:pPr>
        <w:spacing w:line="360" w:lineRule="auto"/>
        <w:ind w:firstLine="437"/>
        <w:outlineLvl w:val="2"/>
        <w:rPr>
          <w:rFonts w:hint="eastAsia" w:ascii="宋体" w:hAnsi="宋体" w:eastAsia="宋体" w:cs="宋体"/>
          <w:b/>
          <w:bCs/>
          <w:color w:val="auto"/>
          <w:sz w:val="24"/>
          <w:highlight w:val="none"/>
          <w:lang w:val="zh-CN"/>
        </w:rPr>
      </w:pPr>
      <w:bookmarkStart w:id="59" w:name="_Toc15583"/>
      <w:bookmarkStart w:id="60" w:name="_Toc28375"/>
      <w:bookmarkStart w:id="61" w:name="_Toc16021"/>
      <w:r>
        <w:rPr>
          <w:rFonts w:hint="eastAsia" w:ascii="宋体" w:hAnsi="宋体" w:eastAsia="宋体" w:cs="宋体"/>
          <w:b/>
          <w:bCs/>
          <w:color w:val="auto"/>
          <w:sz w:val="24"/>
          <w:highlight w:val="none"/>
          <w:lang w:val="zh-CN"/>
        </w:rPr>
        <w:t>1.7 合同争议的解决</w:t>
      </w:r>
      <w:bookmarkEnd w:id="59"/>
      <w:bookmarkEnd w:id="60"/>
      <w:bookmarkEnd w:id="61"/>
    </w:p>
    <w:p w14:paraId="10D497BC">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本合同履行过程中发生的任何争议，双方当事人均可通过和解或者调解解决；不愿和解、调解或者和解、调解不成的，可以选择下列第</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种方式解决：</w:t>
      </w:r>
    </w:p>
    <w:p w14:paraId="1FC6B5A2">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1.7.1将争议提交</w:t>
      </w:r>
      <w:r>
        <w:rPr>
          <w:rFonts w:hint="eastAsia" w:ascii="宋体" w:hAnsi="宋体" w:eastAsia="宋体" w:cs="宋体"/>
          <w:color w:val="auto"/>
          <w:sz w:val="24"/>
          <w:highlight w:val="none"/>
          <w:u w:val="single"/>
        </w:rPr>
        <w:t xml:space="preserve">  滁州 </w:t>
      </w:r>
      <w:r>
        <w:rPr>
          <w:rFonts w:hint="eastAsia" w:ascii="宋体" w:hAnsi="宋体" w:eastAsia="宋体" w:cs="宋体"/>
          <w:color w:val="auto"/>
          <w:sz w:val="24"/>
          <w:highlight w:val="none"/>
        </w:rPr>
        <w:t>仲裁委员会依申请仲裁时其现行有效的仲裁规则裁决；</w:t>
      </w:r>
    </w:p>
    <w:p w14:paraId="26485A04">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1.7.2向</w:t>
      </w:r>
      <w:r>
        <w:rPr>
          <w:rFonts w:hint="eastAsia" w:ascii="宋体" w:hAnsi="宋体" w:eastAsia="宋体" w:cs="宋体"/>
          <w:color w:val="auto"/>
          <w:sz w:val="24"/>
          <w:highlight w:val="none"/>
          <w:u w:val="single"/>
        </w:rPr>
        <w:t xml:space="preserve">  甲方（采购人）所在地  </w:t>
      </w:r>
      <w:r>
        <w:rPr>
          <w:rFonts w:hint="eastAsia" w:ascii="宋体" w:hAnsi="宋体" w:eastAsia="宋体" w:cs="宋体"/>
          <w:color w:val="auto"/>
          <w:sz w:val="24"/>
          <w:highlight w:val="none"/>
        </w:rPr>
        <w:t>人民法院起诉。</w:t>
      </w:r>
    </w:p>
    <w:p w14:paraId="0599BA51">
      <w:pPr>
        <w:spacing w:line="360" w:lineRule="auto"/>
        <w:ind w:firstLine="437"/>
        <w:outlineLvl w:val="2"/>
        <w:rPr>
          <w:rFonts w:hint="eastAsia" w:ascii="宋体" w:hAnsi="宋体" w:eastAsia="宋体" w:cs="宋体"/>
          <w:b/>
          <w:bCs/>
          <w:color w:val="auto"/>
          <w:sz w:val="24"/>
          <w:highlight w:val="none"/>
          <w:lang w:val="zh-CN"/>
        </w:rPr>
      </w:pPr>
      <w:bookmarkStart w:id="62" w:name="_Toc11173"/>
      <w:bookmarkStart w:id="63" w:name="_Toc15322"/>
      <w:bookmarkStart w:id="64" w:name="_Toc7245"/>
      <w:r>
        <w:rPr>
          <w:rFonts w:hint="eastAsia" w:ascii="宋体" w:hAnsi="宋体" w:eastAsia="宋体" w:cs="宋体"/>
          <w:b/>
          <w:bCs/>
          <w:color w:val="auto"/>
          <w:sz w:val="24"/>
          <w:highlight w:val="none"/>
          <w:lang w:val="zh-CN"/>
        </w:rPr>
        <w:t>1.8 合同生效</w:t>
      </w:r>
      <w:bookmarkEnd w:id="62"/>
      <w:bookmarkEnd w:id="63"/>
      <w:bookmarkEnd w:id="64"/>
    </w:p>
    <w:p w14:paraId="58A7688D">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本合同自双方当事人盖章时生效。</w:t>
      </w:r>
    </w:p>
    <w:p w14:paraId="17980551">
      <w:pPr>
        <w:autoSpaceDE w:val="0"/>
        <w:autoSpaceDN w:val="0"/>
        <w:adjustRightInd w:val="0"/>
        <w:spacing w:line="560" w:lineRule="exact"/>
        <w:rPr>
          <w:rFonts w:hint="eastAsia" w:ascii="宋体" w:hAnsi="宋体" w:eastAsia="宋体" w:cs="宋体"/>
          <w:color w:val="auto"/>
          <w:sz w:val="24"/>
          <w:highlight w:val="none"/>
          <w:lang w:val="zh-CN"/>
        </w:rPr>
      </w:pPr>
    </w:p>
    <w:p w14:paraId="67576A21">
      <w:pPr>
        <w:autoSpaceDE w:val="0"/>
        <w:autoSpaceDN w:val="0"/>
        <w:adjustRightInd w:val="0"/>
        <w:spacing w:line="560" w:lineRule="exact"/>
        <w:rPr>
          <w:rFonts w:hint="eastAsia" w:ascii="宋体" w:hAnsi="宋体" w:eastAsia="宋体" w:cs="宋体"/>
          <w:bCs/>
          <w:color w:val="auto"/>
          <w:sz w:val="24"/>
          <w:szCs w:val="24"/>
          <w:highlight w:val="none"/>
          <w:lang w:val="zh-CN"/>
        </w:rPr>
      </w:pPr>
      <w:bookmarkStart w:id="65" w:name="_Toc331685783"/>
      <w:r>
        <w:rPr>
          <w:rFonts w:hint="eastAsia" w:ascii="宋体" w:hAnsi="宋体" w:eastAsia="宋体" w:cs="宋体"/>
          <w:bCs/>
          <w:color w:val="auto"/>
          <w:sz w:val="24"/>
          <w:szCs w:val="24"/>
          <w:highlight w:val="none"/>
          <w:lang w:val="zh-CN"/>
        </w:rPr>
        <w:t>甲    方：</w:t>
      </w:r>
      <w:r>
        <w:rPr>
          <w:rFonts w:hint="eastAsia" w:ascii="宋体" w:hAnsi="宋体" w:eastAsia="宋体" w:cs="宋体"/>
          <w:bCs/>
          <w:color w:val="auto"/>
          <w:sz w:val="24"/>
          <w:szCs w:val="24"/>
          <w:highlight w:val="none"/>
          <w:u w:val="single"/>
          <w:lang w:val="zh-CN"/>
        </w:rPr>
        <w:t xml:space="preserve">    （单位盖章）     </w:t>
      </w:r>
      <w:r>
        <w:rPr>
          <w:rFonts w:hint="eastAsia" w:ascii="宋体" w:hAnsi="宋体" w:eastAsia="宋体" w:cs="宋体"/>
          <w:bCs/>
          <w:color w:val="auto"/>
          <w:sz w:val="24"/>
          <w:szCs w:val="24"/>
          <w:highlight w:val="none"/>
          <w:lang w:val="zh-CN"/>
        </w:rPr>
        <w:t xml:space="preserve">          乙方：</w:t>
      </w:r>
      <w:r>
        <w:rPr>
          <w:rFonts w:hint="eastAsia" w:ascii="宋体" w:hAnsi="宋体" w:eastAsia="宋体" w:cs="宋体"/>
          <w:bCs/>
          <w:color w:val="auto"/>
          <w:sz w:val="24"/>
          <w:szCs w:val="24"/>
          <w:highlight w:val="none"/>
          <w:u w:val="single"/>
          <w:lang w:val="zh-CN"/>
        </w:rPr>
        <w:t xml:space="preserve">    （单位盖章）     </w:t>
      </w:r>
    </w:p>
    <w:p w14:paraId="2CCE9703">
      <w:pPr>
        <w:autoSpaceDE w:val="0"/>
        <w:autoSpaceDN w:val="0"/>
        <w:adjustRightInd w:val="0"/>
        <w:spacing w:line="560" w:lineRule="exact"/>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法定代表人                               法定代表人</w:t>
      </w:r>
    </w:p>
    <w:p w14:paraId="46EF1EBE">
      <w:pPr>
        <w:autoSpaceDE w:val="0"/>
        <w:autoSpaceDN w:val="0"/>
        <w:adjustRightInd w:val="0"/>
        <w:spacing w:line="560" w:lineRule="exact"/>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或授权代表（签字）：                      或授权代表（签字）：</w:t>
      </w:r>
    </w:p>
    <w:p w14:paraId="29AD0219">
      <w:pPr>
        <w:widowControl/>
        <w:spacing w:line="560" w:lineRule="exact"/>
        <w:jc w:val="left"/>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时间：</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年</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月</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日               时间：</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年</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月</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日</w:t>
      </w:r>
    </w:p>
    <w:p w14:paraId="1B3C8583">
      <w:pPr>
        <w:widowControl/>
        <w:spacing w:line="560" w:lineRule="exact"/>
        <w:jc w:val="left"/>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 xml:space="preserve">                                        乙方账户信息</w:t>
      </w:r>
    </w:p>
    <w:p w14:paraId="5625E079">
      <w:pPr>
        <w:widowControl/>
        <w:spacing w:line="560" w:lineRule="exact"/>
        <w:jc w:val="left"/>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 xml:space="preserve">                                        户名：</w:t>
      </w:r>
      <w:r>
        <w:rPr>
          <w:rFonts w:hint="eastAsia" w:ascii="宋体" w:hAnsi="宋体" w:eastAsia="宋体" w:cs="宋体"/>
          <w:bCs/>
          <w:color w:val="auto"/>
          <w:sz w:val="24"/>
          <w:szCs w:val="24"/>
          <w:highlight w:val="none"/>
          <w:u w:val="single"/>
        </w:rPr>
        <w:t xml:space="preserve">                    </w:t>
      </w:r>
    </w:p>
    <w:p w14:paraId="325622A8">
      <w:pPr>
        <w:widowControl/>
        <w:spacing w:line="560" w:lineRule="exact"/>
        <w:jc w:val="left"/>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 xml:space="preserve">                                        账号：</w:t>
      </w:r>
      <w:r>
        <w:rPr>
          <w:rFonts w:hint="eastAsia" w:ascii="宋体" w:hAnsi="宋体" w:eastAsia="宋体" w:cs="宋体"/>
          <w:bCs/>
          <w:color w:val="auto"/>
          <w:sz w:val="24"/>
          <w:szCs w:val="24"/>
          <w:highlight w:val="none"/>
          <w:u w:val="single"/>
        </w:rPr>
        <w:t xml:space="preserve">                    </w:t>
      </w:r>
    </w:p>
    <w:p w14:paraId="3000592D">
      <w:pPr>
        <w:widowControl/>
        <w:spacing w:line="560" w:lineRule="exact"/>
        <w:jc w:val="left"/>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 xml:space="preserve">                                        开户银行：</w:t>
      </w:r>
      <w:r>
        <w:rPr>
          <w:rFonts w:hint="eastAsia" w:ascii="宋体" w:hAnsi="宋体" w:eastAsia="宋体" w:cs="宋体"/>
          <w:bCs/>
          <w:color w:val="auto"/>
          <w:sz w:val="24"/>
          <w:szCs w:val="24"/>
          <w:highlight w:val="none"/>
          <w:u w:val="single"/>
        </w:rPr>
        <w:t xml:space="preserve">                </w:t>
      </w:r>
    </w:p>
    <w:p w14:paraId="3795565C">
      <w:pPr>
        <w:widowControl/>
        <w:jc w:val="left"/>
        <w:rPr>
          <w:rFonts w:hint="eastAsia" w:ascii="宋体" w:hAnsi="宋体" w:eastAsia="宋体" w:cs="宋体"/>
          <w:b/>
          <w:color w:val="auto"/>
          <w:sz w:val="24"/>
          <w:highlight w:val="none"/>
        </w:rPr>
      </w:pPr>
      <w:r>
        <w:rPr>
          <w:rFonts w:hint="eastAsia" w:ascii="宋体" w:hAnsi="宋体" w:eastAsia="宋体" w:cs="宋体"/>
          <w:b/>
          <w:color w:val="auto"/>
          <w:sz w:val="24"/>
          <w:highlight w:val="none"/>
        </w:rPr>
        <w:br w:type="page"/>
      </w:r>
    </w:p>
    <w:p w14:paraId="354D9256">
      <w:pPr>
        <w:spacing w:line="360" w:lineRule="auto"/>
        <w:jc w:val="center"/>
        <w:outlineLvl w:val="1"/>
        <w:rPr>
          <w:rFonts w:ascii="宋体" w:hAnsi="宋体"/>
          <w:b/>
          <w:color w:val="auto"/>
          <w:sz w:val="24"/>
          <w:highlight w:val="none"/>
        </w:rPr>
      </w:pPr>
      <w:bookmarkStart w:id="66" w:name="_Toc20177"/>
      <w:r>
        <w:rPr>
          <w:rFonts w:hint="eastAsia" w:ascii="宋体" w:hAnsi="宋体"/>
          <w:b/>
          <w:color w:val="auto"/>
          <w:sz w:val="24"/>
          <w:highlight w:val="none"/>
        </w:rPr>
        <w:t>第二部分</w:t>
      </w:r>
      <w:r>
        <w:rPr>
          <w:rFonts w:ascii="宋体" w:hAnsi="宋体"/>
          <w:b/>
          <w:color w:val="auto"/>
          <w:sz w:val="24"/>
          <w:highlight w:val="none"/>
        </w:rPr>
        <w:t xml:space="preserve"> </w:t>
      </w:r>
      <w:r>
        <w:rPr>
          <w:rFonts w:hint="eastAsia" w:ascii="宋体" w:hAnsi="宋体"/>
          <w:b/>
          <w:color w:val="auto"/>
          <w:sz w:val="24"/>
          <w:highlight w:val="none"/>
        </w:rPr>
        <w:t>合同一般条款</w:t>
      </w:r>
      <w:bookmarkEnd w:id="65"/>
      <w:bookmarkEnd w:id="66"/>
    </w:p>
    <w:p w14:paraId="54BA3C79">
      <w:pPr>
        <w:spacing w:line="360" w:lineRule="auto"/>
        <w:ind w:firstLine="437"/>
        <w:outlineLvl w:val="2"/>
        <w:rPr>
          <w:rFonts w:hint="eastAsia" w:ascii="宋体" w:hAnsi="宋体" w:eastAsia="宋体" w:cs="宋体"/>
          <w:b/>
          <w:bCs/>
          <w:color w:val="auto"/>
          <w:sz w:val="24"/>
          <w:highlight w:val="none"/>
          <w:lang w:val="zh-CN"/>
        </w:rPr>
      </w:pPr>
      <w:bookmarkStart w:id="67" w:name="_Toc259093669"/>
      <w:bookmarkStart w:id="68" w:name="_Ref467378404"/>
      <w:bookmarkStart w:id="69" w:name="_Ref467379101"/>
      <w:bookmarkStart w:id="70" w:name="_Ref467379094"/>
      <w:bookmarkStart w:id="71" w:name="_Toc28763"/>
      <w:bookmarkStart w:id="72" w:name="_Ref467378463"/>
      <w:bookmarkStart w:id="73" w:name="_Toc16917"/>
      <w:bookmarkStart w:id="74" w:name="_Ref467379109"/>
      <w:bookmarkStart w:id="75" w:name="_Toc279701240"/>
      <w:bookmarkStart w:id="76" w:name="_Ref467379225"/>
      <w:bookmarkStart w:id="77" w:name="_Toc487900349"/>
      <w:bookmarkStart w:id="78" w:name="_Ref467379205"/>
      <w:bookmarkStart w:id="79" w:name="_Toc19614"/>
      <w:bookmarkStart w:id="80" w:name="_Ref467379214"/>
      <w:bookmarkStart w:id="81" w:name="_Ref467378499"/>
      <w:bookmarkStart w:id="82" w:name="_Ref467379195"/>
      <w:r>
        <w:rPr>
          <w:rFonts w:hint="eastAsia" w:ascii="宋体" w:hAnsi="宋体" w:eastAsia="宋体" w:cs="宋体"/>
          <w:b/>
          <w:bCs/>
          <w:color w:val="auto"/>
          <w:sz w:val="24"/>
          <w:highlight w:val="none"/>
          <w:lang w:val="zh-CN"/>
        </w:rPr>
        <w:t>2.1 定义</w:t>
      </w:r>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p>
    <w:p w14:paraId="7D355985">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本</w:t>
      </w:r>
      <w:bookmarkStart w:id="83" w:name="_Ref467379436"/>
      <w:r>
        <w:rPr>
          <w:rFonts w:hint="eastAsia" w:ascii="宋体" w:hAnsi="宋体" w:eastAsia="宋体" w:cs="宋体"/>
          <w:color w:val="auto"/>
          <w:sz w:val="24"/>
          <w:highlight w:val="none"/>
        </w:rPr>
        <w:t>合同中的下列词语应按以下内容进行解释：</w:t>
      </w:r>
    </w:p>
    <w:p w14:paraId="0661D645">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2.1.1“合同”系指采购人和中标人签订的载明双方当事人所达成的协议，并包括所有的附件、附录和构成合同的其他文件。</w:t>
      </w:r>
    </w:p>
    <w:p w14:paraId="62940A4F">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2.1.2“合同价”系指根据合同约定，中标人在完全履行合同义务后，采购人应支付给中标人的价格。</w:t>
      </w:r>
    </w:p>
    <w:p w14:paraId="3A8502D9">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2.1.3“服务”系指中标人根据合同约定应向采购人履行的除货物和工程以外的其他政府采购对象，包括采购人自身需要的服务和向社会公众提供的公共服务。</w:t>
      </w:r>
    </w:p>
    <w:p w14:paraId="276749FF">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2.1.4“甲方”系指与中标人签署合同的采购人；采购人委托采购代理机构代表其与乙方签订合同的，采购人的授权委托书作为合同附件。</w:t>
      </w:r>
    </w:p>
    <w:p w14:paraId="371AD17D">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2.1.5“乙方”系指根据合同约定提供服务的中标人；两个以上的自然人、法人或者其他组织组成一个联合体，以一个供应商的身份共同参加政府采购的，联合体各方均应为乙方或者与乙方相同地位的合同当事人，并就合同约定的事项对甲方承担连带责任。</w:t>
      </w:r>
    </w:p>
    <w:p w14:paraId="44710B42">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2.1.6“现场”系指合同约定提供服务的地点。</w:t>
      </w:r>
      <w:bookmarkEnd w:id="83"/>
    </w:p>
    <w:p w14:paraId="029F6A19">
      <w:pPr>
        <w:spacing w:line="360" w:lineRule="auto"/>
        <w:ind w:firstLine="437"/>
        <w:outlineLvl w:val="2"/>
        <w:rPr>
          <w:rFonts w:hint="eastAsia" w:ascii="宋体" w:hAnsi="宋体" w:eastAsia="宋体" w:cs="宋体"/>
          <w:b/>
          <w:bCs/>
          <w:color w:val="auto"/>
          <w:sz w:val="24"/>
          <w:highlight w:val="none"/>
          <w:lang w:val="zh-CN"/>
        </w:rPr>
      </w:pPr>
      <w:bookmarkStart w:id="84" w:name="_Toc259093670"/>
      <w:bookmarkStart w:id="85" w:name="_Toc13336"/>
      <w:bookmarkStart w:id="86" w:name="_Toc279701241"/>
      <w:bookmarkStart w:id="87" w:name="_Toc27635"/>
      <w:bookmarkStart w:id="88" w:name="_Toc487900350"/>
      <w:bookmarkStart w:id="89" w:name="_Toc32504"/>
      <w:r>
        <w:rPr>
          <w:rFonts w:hint="eastAsia" w:ascii="宋体" w:hAnsi="宋体" w:eastAsia="宋体" w:cs="宋体"/>
          <w:b/>
          <w:bCs/>
          <w:color w:val="auto"/>
          <w:sz w:val="24"/>
          <w:highlight w:val="none"/>
          <w:lang w:val="zh-CN"/>
        </w:rPr>
        <w:t>2.2 技术规范</w:t>
      </w:r>
      <w:bookmarkEnd w:id="84"/>
      <w:bookmarkEnd w:id="85"/>
      <w:bookmarkEnd w:id="86"/>
      <w:bookmarkEnd w:id="87"/>
      <w:bookmarkEnd w:id="88"/>
      <w:bookmarkEnd w:id="89"/>
    </w:p>
    <w:p w14:paraId="37EEF58F">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货物所应遵守的技术规范应与采购文件规定的技术规范和技术规范附件(如果有的话)及其技术规范偏差表(如果被甲方接受的话)相一致；如果采购文件中没有技术规范的相应说明，那么应以国家有关部门最新颁布的相应标准和规范为准。</w:t>
      </w:r>
    </w:p>
    <w:p w14:paraId="573125E8">
      <w:pPr>
        <w:spacing w:line="360" w:lineRule="auto"/>
        <w:ind w:firstLine="437"/>
        <w:outlineLvl w:val="2"/>
        <w:rPr>
          <w:rFonts w:hint="eastAsia" w:ascii="宋体" w:hAnsi="宋体" w:eastAsia="宋体" w:cs="宋体"/>
          <w:b/>
          <w:bCs/>
          <w:color w:val="auto"/>
          <w:sz w:val="24"/>
          <w:highlight w:val="none"/>
          <w:lang w:val="zh-CN"/>
        </w:rPr>
      </w:pPr>
      <w:bookmarkStart w:id="90" w:name="_Toc259093671"/>
      <w:bookmarkStart w:id="91" w:name="_Toc27853"/>
      <w:bookmarkStart w:id="92" w:name="_Toc487900351"/>
      <w:bookmarkStart w:id="93" w:name="_Toc279701242"/>
      <w:bookmarkStart w:id="94" w:name="_Toc9829"/>
      <w:bookmarkStart w:id="95" w:name="_Toc31634"/>
      <w:r>
        <w:rPr>
          <w:rFonts w:hint="eastAsia" w:ascii="宋体" w:hAnsi="宋体" w:eastAsia="宋体" w:cs="宋体"/>
          <w:b/>
          <w:bCs/>
          <w:color w:val="auto"/>
          <w:sz w:val="24"/>
          <w:highlight w:val="none"/>
          <w:lang w:val="zh-CN"/>
        </w:rPr>
        <w:t>2.3 知识产权</w:t>
      </w:r>
      <w:bookmarkEnd w:id="90"/>
      <w:bookmarkEnd w:id="91"/>
      <w:bookmarkEnd w:id="92"/>
      <w:bookmarkEnd w:id="93"/>
      <w:bookmarkEnd w:id="94"/>
      <w:bookmarkEnd w:id="95"/>
    </w:p>
    <w:p w14:paraId="55AC20A4">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2.3.1乙方应保证其提供的服务不受任何第三方提出的侵犯其著作权、商标权、专利权等知识产权方面的起诉；如果任何第三方提出侵权指控，那么乙方须与该第三方交涉并承担由此发生的一切责任、费用和赔偿；</w:t>
      </w:r>
    </w:p>
    <w:p w14:paraId="6CBC86B8">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2.3.2具有知识产权的计算机软件等货物的知识产权归属，详见</w:t>
      </w:r>
      <w:r>
        <w:rPr>
          <w:rFonts w:hint="eastAsia" w:ascii="宋体" w:hAnsi="宋体" w:eastAsia="宋体" w:cs="宋体"/>
          <w:b/>
          <w:i/>
          <w:color w:val="auto"/>
          <w:sz w:val="24"/>
          <w:highlight w:val="none"/>
          <w:u w:val="single"/>
        </w:rPr>
        <w:t>合同专用条款</w:t>
      </w:r>
      <w:r>
        <w:rPr>
          <w:rFonts w:hint="eastAsia" w:ascii="宋体" w:hAnsi="宋体" w:eastAsia="宋体" w:cs="宋体"/>
          <w:color w:val="auto"/>
          <w:sz w:val="24"/>
          <w:highlight w:val="none"/>
        </w:rPr>
        <w:t>。</w:t>
      </w:r>
    </w:p>
    <w:p w14:paraId="4CC44EBC">
      <w:pPr>
        <w:spacing w:line="360" w:lineRule="auto"/>
        <w:ind w:firstLine="437"/>
        <w:outlineLvl w:val="2"/>
        <w:rPr>
          <w:rFonts w:hint="eastAsia" w:ascii="宋体" w:hAnsi="宋体" w:eastAsia="宋体" w:cs="宋体"/>
          <w:b/>
          <w:color w:val="auto"/>
          <w:sz w:val="24"/>
          <w:highlight w:val="none"/>
        </w:rPr>
      </w:pPr>
      <w:bookmarkStart w:id="96" w:name="_Toc11932"/>
      <w:bookmarkStart w:id="97" w:name="_Toc29149"/>
      <w:bookmarkStart w:id="98" w:name="_Toc4194"/>
      <w:r>
        <w:rPr>
          <w:rFonts w:hint="eastAsia" w:ascii="宋体" w:hAnsi="宋体" w:eastAsia="宋体" w:cs="宋体"/>
          <w:b/>
          <w:bCs/>
          <w:color w:val="auto"/>
          <w:sz w:val="24"/>
          <w:highlight w:val="none"/>
          <w:lang w:val="zh-CN"/>
        </w:rPr>
        <w:t xml:space="preserve">2.4 </w:t>
      </w:r>
      <w:bookmarkEnd w:id="96"/>
      <w:bookmarkEnd w:id="97"/>
      <w:bookmarkEnd w:id="98"/>
      <w:r>
        <w:rPr>
          <w:rFonts w:hint="eastAsia" w:ascii="宋体" w:hAnsi="宋体" w:eastAsia="宋体" w:cs="宋体"/>
          <w:b/>
          <w:bCs/>
          <w:color w:val="auto"/>
          <w:sz w:val="24"/>
          <w:highlight w:val="none"/>
          <w:lang w:val="zh-CN"/>
        </w:rPr>
        <w:t>履约检查和问题反馈</w:t>
      </w:r>
    </w:p>
    <w:p w14:paraId="2A51FB22">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2.4.1甲方有权在其认为必要时，对乙方是否能够按照合同约定提供服务进行履约检查，以确保乙方所提供的服务能够依约满足甲方项目需求，但不得因履约检查妨碍乙方的正常工作，乙方应予积极配合；</w:t>
      </w:r>
    </w:p>
    <w:p w14:paraId="22C39D44">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2.4.2合同履行期间，甲方有权将履行过程中出现的问题反馈给乙方，双方当事人应以书面形式约定需要完善和改进的内容。</w:t>
      </w:r>
    </w:p>
    <w:p w14:paraId="7A1562C6">
      <w:pPr>
        <w:spacing w:line="360" w:lineRule="auto"/>
        <w:ind w:firstLine="437"/>
        <w:outlineLvl w:val="2"/>
        <w:rPr>
          <w:rFonts w:hint="eastAsia" w:ascii="宋体" w:hAnsi="宋体" w:eastAsia="宋体" w:cs="宋体"/>
          <w:b/>
          <w:bCs/>
          <w:color w:val="auto"/>
          <w:sz w:val="24"/>
          <w:highlight w:val="none"/>
          <w:lang w:val="zh-CN"/>
        </w:rPr>
      </w:pPr>
      <w:bookmarkStart w:id="99" w:name="_Ref467378591"/>
      <w:bookmarkStart w:id="100" w:name="_Ref467379542"/>
      <w:bookmarkStart w:id="101" w:name="_Ref467379527"/>
      <w:bookmarkStart w:id="102" w:name="_Ref467378541"/>
      <w:bookmarkStart w:id="103" w:name="_Toc487900354"/>
      <w:bookmarkStart w:id="104" w:name="_Toc259093674"/>
      <w:bookmarkStart w:id="105" w:name="_Ref467379536"/>
      <w:bookmarkStart w:id="106" w:name="_Toc279701245"/>
      <w:bookmarkStart w:id="107" w:name="_Toc30272"/>
      <w:bookmarkStart w:id="108" w:name="_Toc26182"/>
      <w:bookmarkStart w:id="109" w:name="_Toc19074"/>
      <w:r>
        <w:rPr>
          <w:rFonts w:hint="eastAsia" w:ascii="宋体" w:hAnsi="宋体" w:eastAsia="宋体" w:cs="宋体"/>
          <w:b/>
          <w:bCs/>
          <w:color w:val="auto"/>
          <w:sz w:val="24"/>
          <w:highlight w:val="none"/>
          <w:lang w:val="zh-CN"/>
        </w:rPr>
        <w:t>2.</w:t>
      </w:r>
      <w:bookmarkEnd w:id="99"/>
      <w:bookmarkEnd w:id="100"/>
      <w:bookmarkEnd w:id="101"/>
      <w:bookmarkEnd w:id="102"/>
      <w:bookmarkEnd w:id="103"/>
      <w:bookmarkEnd w:id="104"/>
      <w:bookmarkEnd w:id="105"/>
      <w:bookmarkEnd w:id="106"/>
      <w:r>
        <w:rPr>
          <w:rFonts w:hint="eastAsia" w:ascii="宋体" w:hAnsi="宋体" w:eastAsia="宋体" w:cs="宋体"/>
          <w:b/>
          <w:bCs/>
          <w:color w:val="auto"/>
          <w:sz w:val="24"/>
          <w:highlight w:val="none"/>
          <w:lang w:val="zh-CN"/>
        </w:rPr>
        <w:t xml:space="preserve">5 </w:t>
      </w:r>
      <w:bookmarkEnd w:id="107"/>
      <w:bookmarkEnd w:id="108"/>
      <w:bookmarkEnd w:id="109"/>
      <w:bookmarkStart w:id="110" w:name="_Toc7836"/>
      <w:bookmarkStart w:id="111" w:name="_Toc279701247"/>
      <w:bookmarkStart w:id="112" w:name="_Ref467379793"/>
      <w:bookmarkStart w:id="113" w:name="_Toc259093676"/>
      <w:bookmarkStart w:id="114" w:name="_Toc19219"/>
      <w:bookmarkStart w:id="115" w:name="_Toc487900357"/>
      <w:bookmarkStart w:id="116" w:name="_Toc28451"/>
      <w:bookmarkStart w:id="117" w:name="_Ref467379807"/>
      <w:r>
        <w:rPr>
          <w:rFonts w:hint="eastAsia" w:ascii="宋体" w:hAnsi="宋体" w:eastAsia="宋体" w:cs="宋体"/>
          <w:b/>
          <w:bCs/>
          <w:color w:val="auto"/>
          <w:sz w:val="24"/>
          <w:highlight w:val="none"/>
          <w:lang w:val="zh-CN"/>
        </w:rPr>
        <w:t>结算方式和付款条件</w:t>
      </w:r>
      <w:bookmarkEnd w:id="110"/>
      <w:bookmarkEnd w:id="111"/>
      <w:bookmarkEnd w:id="112"/>
      <w:bookmarkEnd w:id="113"/>
      <w:bookmarkEnd w:id="114"/>
      <w:bookmarkEnd w:id="115"/>
      <w:bookmarkEnd w:id="116"/>
      <w:bookmarkEnd w:id="117"/>
    </w:p>
    <w:p w14:paraId="5FD004E2">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详见</w:t>
      </w:r>
      <w:r>
        <w:rPr>
          <w:rFonts w:hint="eastAsia" w:ascii="宋体" w:hAnsi="宋体" w:eastAsia="宋体" w:cs="宋体"/>
          <w:b/>
          <w:i/>
          <w:color w:val="auto"/>
          <w:sz w:val="24"/>
          <w:highlight w:val="none"/>
          <w:u w:val="single"/>
        </w:rPr>
        <w:t>合同专用条款</w:t>
      </w:r>
      <w:r>
        <w:rPr>
          <w:rFonts w:hint="eastAsia" w:ascii="宋体" w:hAnsi="宋体" w:eastAsia="宋体" w:cs="宋体"/>
          <w:color w:val="auto"/>
          <w:sz w:val="24"/>
          <w:highlight w:val="none"/>
        </w:rPr>
        <w:t>。</w:t>
      </w:r>
    </w:p>
    <w:p w14:paraId="258E2210">
      <w:pPr>
        <w:spacing w:line="360" w:lineRule="auto"/>
        <w:ind w:firstLine="437"/>
        <w:outlineLvl w:val="2"/>
        <w:rPr>
          <w:rFonts w:hint="eastAsia" w:ascii="宋体" w:hAnsi="宋体" w:eastAsia="宋体" w:cs="宋体"/>
          <w:b/>
          <w:bCs/>
          <w:color w:val="auto"/>
          <w:sz w:val="24"/>
          <w:highlight w:val="none"/>
          <w:lang w:val="zh-CN"/>
        </w:rPr>
      </w:pPr>
      <w:bookmarkStart w:id="118" w:name="_Ref467379852"/>
      <w:bookmarkStart w:id="119" w:name="_Ref467379863"/>
      <w:bookmarkStart w:id="120" w:name="_Toc279701248"/>
      <w:bookmarkStart w:id="121" w:name="_Toc259093677"/>
      <w:bookmarkStart w:id="122" w:name="_Ref467379923"/>
      <w:bookmarkStart w:id="123" w:name="_Toc487900358"/>
      <w:bookmarkStart w:id="124" w:name="_Toc774"/>
      <w:bookmarkStart w:id="125" w:name="_Toc16110"/>
      <w:bookmarkStart w:id="126" w:name="_Toc3225"/>
      <w:r>
        <w:rPr>
          <w:rFonts w:hint="eastAsia" w:ascii="宋体" w:hAnsi="宋体" w:eastAsia="宋体" w:cs="宋体"/>
          <w:b/>
          <w:bCs/>
          <w:color w:val="auto"/>
          <w:sz w:val="24"/>
          <w:highlight w:val="none"/>
          <w:lang w:val="zh-CN"/>
        </w:rPr>
        <w:t>2.</w:t>
      </w:r>
      <w:r>
        <w:rPr>
          <w:rFonts w:hint="eastAsia" w:ascii="宋体" w:hAnsi="宋体" w:eastAsia="宋体" w:cs="宋体"/>
          <w:b/>
          <w:bCs/>
          <w:color w:val="auto"/>
          <w:sz w:val="24"/>
          <w:highlight w:val="none"/>
        </w:rPr>
        <w:t>6</w:t>
      </w:r>
      <w:r>
        <w:rPr>
          <w:rFonts w:hint="eastAsia" w:ascii="宋体" w:hAnsi="宋体" w:eastAsia="宋体" w:cs="宋体"/>
          <w:b/>
          <w:bCs/>
          <w:color w:val="auto"/>
          <w:sz w:val="24"/>
          <w:highlight w:val="none"/>
          <w:lang w:val="zh-CN"/>
        </w:rPr>
        <w:t xml:space="preserve"> 技术资料</w:t>
      </w:r>
      <w:bookmarkEnd w:id="118"/>
      <w:bookmarkEnd w:id="119"/>
      <w:bookmarkEnd w:id="120"/>
      <w:bookmarkEnd w:id="121"/>
      <w:bookmarkEnd w:id="122"/>
      <w:bookmarkEnd w:id="123"/>
      <w:r>
        <w:rPr>
          <w:rFonts w:hint="eastAsia" w:ascii="宋体" w:hAnsi="宋体" w:eastAsia="宋体" w:cs="宋体"/>
          <w:b/>
          <w:bCs/>
          <w:color w:val="auto"/>
          <w:sz w:val="24"/>
          <w:highlight w:val="none"/>
          <w:lang w:val="zh-CN"/>
        </w:rPr>
        <w:t>和保密义务</w:t>
      </w:r>
      <w:bookmarkEnd w:id="124"/>
      <w:bookmarkEnd w:id="125"/>
      <w:bookmarkEnd w:id="126"/>
    </w:p>
    <w:p w14:paraId="24701EC1">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2.6.1乙方有权依据合同约定和项目需要，向甲方了解有关情况，调阅有关资料等，甲方应予积极配合；</w:t>
      </w:r>
    </w:p>
    <w:p w14:paraId="10AC6730">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2.6.2乙方有义务妥善保管和保护由甲方提供的前款信息和资料等；</w:t>
      </w:r>
    </w:p>
    <w:p w14:paraId="53FBA608">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2.6.3除非依照法律规定或者对方当事人的书面同意，任何一方均应保证不向任何第三方提供或披露有关合同的或者履行合同过程中知悉的对方当事人任何未公开的信息和资料，包括但不限于技术情报、技术资料、商业秘密和商业信息等，并采取一切合理和必要措施和方式防止任何第三方接触到对方当事人的上述保密信息和资料。</w:t>
      </w:r>
    </w:p>
    <w:p w14:paraId="56C36DC8">
      <w:pPr>
        <w:spacing w:line="360" w:lineRule="auto"/>
        <w:ind w:firstLine="437"/>
        <w:outlineLvl w:val="2"/>
        <w:rPr>
          <w:rFonts w:hint="eastAsia" w:ascii="宋体" w:hAnsi="宋体" w:eastAsia="宋体" w:cs="宋体"/>
          <w:b/>
          <w:bCs/>
          <w:color w:val="auto"/>
          <w:sz w:val="24"/>
          <w:highlight w:val="none"/>
          <w:lang w:val="zh-CN"/>
        </w:rPr>
      </w:pPr>
      <w:bookmarkStart w:id="127" w:name="_Toc7860"/>
      <w:r>
        <w:rPr>
          <w:rFonts w:hint="eastAsia" w:ascii="宋体" w:hAnsi="宋体" w:eastAsia="宋体" w:cs="宋体"/>
          <w:b/>
          <w:bCs/>
          <w:color w:val="auto"/>
          <w:sz w:val="24"/>
          <w:highlight w:val="none"/>
          <w:lang w:val="zh-CN"/>
        </w:rPr>
        <w:t>2.</w:t>
      </w:r>
      <w:r>
        <w:rPr>
          <w:rFonts w:hint="eastAsia" w:ascii="宋体" w:hAnsi="宋体" w:eastAsia="宋体" w:cs="宋体"/>
          <w:b/>
          <w:bCs/>
          <w:color w:val="auto"/>
          <w:sz w:val="24"/>
          <w:highlight w:val="none"/>
        </w:rPr>
        <w:t>7</w:t>
      </w:r>
      <w:r>
        <w:rPr>
          <w:rFonts w:hint="eastAsia" w:ascii="宋体" w:hAnsi="宋体" w:eastAsia="宋体" w:cs="宋体"/>
          <w:b/>
          <w:bCs/>
          <w:color w:val="auto"/>
          <w:sz w:val="24"/>
          <w:highlight w:val="none"/>
          <w:lang w:val="zh-CN"/>
        </w:rPr>
        <w:t xml:space="preserve"> 质量保证</w:t>
      </w:r>
      <w:bookmarkEnd w:id="127"/>
    </w:p>
    <w:p w14:paraId="50FD708B">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2.7.1乙方应建立和完善履行合同的内部质量保证体系，并提供相关内部规章制度给甲方，以便甲方进行监督检查；</w:t>
      </w:r>
    </w:p>
    <w:p w14:paraId="0DFD782F">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2.7.2乙方应保证履行合同的人员数量和素质、软件和硬件设备的配置、场地、环境和设施等满足全面履行合同的要求，并应接受甲方的监督检查。</w:t>
      </w:r>
    </w:p>
    <w:p w14:paraId="5B26044A">
      <w:pPr>
        <w:spacing w:line="360" w:lineRule="auto"/>
        <w:ind w:firstLine="437"/>
        <w:outlineLvl w:val="2"/>
        <w:rPr>
          <w:rFonts w:hint="eastAsia" w:ascii="宋体" w:hAnsi="宋体" w:eastAsia="宋体" w:cs="宋体"/>
          <w:b/>
          <w:bCs/>
          <w:color w:val="auto"/>
          <w:sz w:val="24"/>
          <w:highlight w:val="none"/>
          <w:lang w:val="zh-CN"/>
        </w:rPr>
      </w:pPr>
      <w:bookmarkStart w:id="128" w:name="_Toc259093681"/>
      <w:bookmarkStart w:id="129" w:name="_Toc487900362"/>
      <w:bookmarkStart w:id="130" w:name="_Toc17244"/>
      <w:bookmarkStart w:id="131" w:name="_Toc279701252"/>
      <w:r>
        <w:rPr>
          <w:rFonts w:hint="eastAsia" w:ascii="宋体" w:hAnsi="宋体" w:eastAsia="宋体" w:cs="宋体"/>
          <w:b/>
          <w:bCs/>
          <w:color w:val="auto"/>
          <w:sz w:val="24"/>
          <w:highlight w:val="none"/>
          <w:lang w:val="zh-CN"/>
        </w:rPr>
        <w:t>2.</w:t>
      </w:r>
      <w:r>
        <w:rPr>
          <w:rFonts w:hint="eastAsia" w:ascii="宋体" w:hAnsi="宋体" w:eastAsia="宋体" w:cs="宋体"/>
          <w:b/>
          <w:bCs/>
          <w:color w:val="auto"/>
          <w:sz w:val="24"/>
          <w:highlight w:val="none"/>
        </w:rPr>
        <w:t>8</w:t>
      </w:r>
      <w:r>
        <w:rPr>
          <w:rFonts w:hint="eastAsia" w:ascii="宋体" w:hAnsi="宋体" w:eastAsia="宋体" w:cs="宋体"/>
          <w:b/>
          <w:bCs/>
          <w:color w:val="auto"/>
          <w:sz w:val="24"/>
          <w:highlight w:val="none"/>
          <w:lang w:val="zh-CN"/>
        </w:rPr>
        <w:t xml:space="preserve"> </w:t>
      </w:r>
      <w:bookmarkEnd w:id="128"/>
      <w:bookmarkEnd w:id="129"/>
      <w:bookmarkEnd w:id="130"/>
      <w:bookmarkEnd w:id="131"/>
      <w:r>
        <w:rPr>
          <w:rFonts w:hint="eastAsia" w:ascii="宋体" w:hAnsi="宋体" w:eastAsia="宋体" w:cs="宋体"/>
          <w:b/>
          <w:bCs/>
          <w:color w:val="auto"/>
          <w:sz w:val="24"/>
          <w:highlight w:val="none"/>
          <w:lang w:val="zh-CN"/>
        </w:rPr>
        <w:t>延迟履行</w:t>
      </w:r>
    </w:p>
    <w:p w14:paraId="451AB8F9">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在合同履行过程中，如果乙方遇到不能按时提供服务的情况，应及时以书面形式将不能按时提供服务的理由、预期延误时间通知甲方；甲方收到乙方通知后，认为其理由正当的，可以书面形式酌情同意乙方可以延长履行的具体时间。</w:t>
      </w:r>
    </w:p>
    <w:p w14:paraId="15776E0A">
      <w:pPr>
        <w:spacing w:line="360" w:lineRule="auto"/>
        <w:ind w:firstLine="437"/>
        <w:outlineLvl w:val="2"/>
        <w:rPr>
          <w:rFonts w:hint="eastAsia" w:ascii="宋体" w:hAnsi="宋体" w:eastAsia="宋体" w:cs="宋体"/>
          <w:b/>
          <w:bCs/>
          <w:color w:val="auto"/>
          <w:sz w:val="24"/>
          <w:highlight w:val="none"/>
          <w:lang w:val="zh-CN"/>
        </w:rPr>
      </w:pPr>
      <w:bookmarkStart w:id="132" w:name="_Toc7502"/>
      <w:bookmarkStart w:id="133" w:name="_Toc259093683"/>
      <w:bookmarkStart w:id="134" w:name="_Toc279701254"/>
      <w:bookmarkStart w:id="135" w:name="_Ref467378121"/>
      <w:bookmarkStart w:id="136" w:name="_Toc487900364"/>
      <w:r>
        <w:rPr>
          <w:rFonts w:hint="eastAsia" w:ascii="宋体" w:hAnsi="宋体" w:eastAsia="宋体" w:cs="宋体"/>
          <w:b/>
          <w:bCs/>
          <w:color w:val="auto"/>
          <w:sz w:val="24"/>
          <w:highlight w:val="none"/>
          <w:lang w:val="zh-CN"/>
        </w:rPr>
        <w:t>2.</w:t>
      </w:r>
      <w:r>
        <w:rPr>
          <w:rFonts w:hint="eastAsia" w:ascii="宋体" w:hAnsi="宋体" w:eastAsia="宋体" w:cs="宋体"/>
          <w:b/>
          <w:bCs/>
          <w:color w:val="auto"/>
          <w:sz w:val="24"/>
          <w:highlight w:val="none"/>
        </w:rPr>
        <w:t>9</w:t>
      </w:r>
      <w:r>
        <w:rPr>
          <w:rFonts w:hint="eastAsia" w:ascii="宋体" w:hAnsi="宋体" w:eastAsia="宋体" w:cs="宋体"/>
          <w:b/>
          <w:bCs/>
          <w:color w:val="auto"/>
          <w:sz w:val="24"/>
          <w:highlight w:val="none"/>
          <w:lang w:val="zh-CN"/>
        </w:rPr>
        <w:t xml:space="preserve"> 合同变更</w:t>
      </w:r>
      <w:bookmarkEnd w:id="132"/>
    </w:p>
    <w:p w14:paraId="5B655CEB">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2.9.1双方当事人协商一致，可以签订书面补充合同的形式变更合同，但不得违背采购文件确定的事项；</w:t>
      </w:r>
    </w:p>
    <w:p w14:paraId="1C1FF458">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2.9.2合同继续履行将损害国家利益和社会公共利益的，双方当事人应当以书面形式变更合同。有过错的一方应当承担赔偿责任，双方当事人都有过错的，各自承担相应的责任。</w:t>
      </w:r>
      <w:bookmarkStart w:id="137" w:name="_Toc279701259"/>
      <w:bookmarkStart w:id="138" w:name="_Toc259093688"/>
      <w:bookmarkStart w:id="139" w:name="_Toc487900369"/>
    </w:p>
    <w:p w14:paraId="47950258">
      <w:pPr>
        <w:spacing w:line="360" w:lineRule="auto"/>
        <w:ind w:firstLine="437"/>
        <w:outlineLvl w:val="2"/>
        <w:rPr>
          <w:rFonts w:hint="eastAsia" w:ascii="宋体" w:hAnsi="宋体" w:eastAsia="宋体" w:cs="宋体"/>
          <w:b/>
          <w:bCs/>
          <w:color w:val="auto"/>
          <w:sz w:val="24"/>
          <w:highlight w:val="none"/>
          <w:lang w:val="zh-CN"/>
        </w:rPr>
      </w:pPr>
      <w:bookmarkStart w:id="140" w:name="_Toc15237"/>
      <w:bookmarkStart w:id="141" w:name="_Toc10366"/>
      <w:bookmarkStart w:id="142" w:name="_Toc22955"/>
      <w:r>
        <w:rPr>
          <w:rFonts w:hint="eastAsia" w:ascii="宋体" w:hAnsi="宋体" w:eastAsia="宋体" w:cs="宋体"/>
          <w:b/>
          <w:bCs/>
          <w:color w:val="auto"/>
          <w:sz w:val="24"/>
          <w:highlight w:val="none"/>
          <w:lang w:val="zh-CN"/>
        </w:rPr>
        <w:t>2.1</w:t>
      </w:r>
      <w:r>
        <w:rPr>
          <w:rFonts w:hint="eastAsia" w:ascii="宋体" w:hAnsi="宋体" w:eastAsia="宋体" w:cs="宋体"/>
          <w:b/>
          <w:bCs/>
          <w:color w:val="auto"/>
          <w:sz w:val="24"/>
          <w:highlight w:val="none"/>
        </w:rPr>
        <w:t>0</w:t>
      </w:r>
      <w:r>
        <w:rPr>
          <w:rFonts w:hint="eastAsia" w:ascii="宋体" w:hAnsi="宋体" w:eastAsia="宋体" w:cs="宋体"/>
          <w:b/>
          <w:bCs/>
          <w:color w:val="auto"/>
          <w:sz w:val="24"/>
          <w:highlight w:val="none"/>
          <w:lang w:val="zh-CN"/>
        </w:rPr>
        <w:t xml:space="preserve"> 合同转让</w:t>
      </w:r>
      <w:bookmarkEnd w:id="137"/>
      <w:bookmarkEnd w:id="138"/>
      <w:bookmarkEnd w:id="139"/>
      <w:r>
        <w:rPr>
          <w:rFonts w:hint="eastAsia" w:ascii="宋体" w:hAnsi="宋体" w:eastAsia="宋体" w:cs="宋体"/>
          <w:b/>
          <w:bCs/>
          <w:color w:val="auto"/>
          <w:sz w:val="24"/>
          <w:highlight w:val="none"/>
          <w:lang w:val="zh-CN"/>
        </w:rPr>
        <w:t>和分包</w:t>
      </w:r>
      <w:bookmarkEnd w:id="140"/>
      <w:bookmarkEnd w:id="141"/>
      <w:bookmarkEnd w:id="142"/>
    </w:p>
    <w:p w14:paraId="09EAE9F4">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合同的权利义务依法不得转让，但经甲方同意，乙方可以依法采取分包方式履行合同，即：依法可以将合同项下的部分非主体、非关键性工作分包给他人完成，接受分包的人应当具备相应的资格条件，并不得再次分包，且乙方应就分包项目向甲方负责，并与分包供应商就分包项目向甲方承担连带责任。</w:t>
      </w:r>
    </w:p>
    <w:p w14:paraId="5B12298D">
      <w:pPr>
        <w:spacing w:line="360" w:lineRule="auto"/>
        <w:ind w:firstLine="437"/>
        <w:outlineLvl w:val="2"/>
        <w:rPr>
          <w:rFonts w:hint="eastAsia" w:ascii="宋体" w:hAnsi="宋体" w:eastAsia="宋体" w:cs="宋体"/>
          <w:b/>
          <w:bCs/>
          <w:color w:val="auto"/>
          <w:sz w:val="24"/>
          <w:highlight w:val="none"/>
          <w:lang w:val="zh-CN"/>
        </w:rPr>
      </w:pPr>
      <w:bookmarkStart w:id="143" w:name="_Toc13566"/>
      <w:bookmarkStart w:id="144" w:name="_Toc16508"/>
      <w:bookmarkStart w:id="145" w:name="_Toc14066"/>
      <w:r>
        <w:rPr>
          <w:rFonts w:hint="eastAsia" w:ascii="宋体" w:hAnsi="宋体" w:eastAsia="宋体" w:cs="宋体"/>
          <w:b/>
          <w:bCs/>
          <w:color w:val="auto"/>
          <w:sz w:val="24"/>
          <w:highlight w:val="none"/>
          <w:lang w:val="zh-CN"/>
        </w:rPr>
        <w:t>2.1</w:t>
      </w:r>
      <w:r>
        <w:rPr>
          <w:rFonts w:hint="eastAsia" w:ascii="宋体" w:hAnsi="宋体" w:eastAsia="宋体" w:cs="宋体"/>
          <w:b/>
          <w:bCs/>
          <w:color w:val="auto"/>
          <w:sz w:val="24"/>
          <w:highlight w:val="none"/>
        </w:rPr>
        <w:t>1</w:t>
      </w:r>
      <w:r>
        <w:rPr>
          <w:rFonts w:hint="eastAsia" w:ascii="宋体" w:hAnsi="宋体" w:eastAsia="宋体" w:cs="宋体"/>
          <w:b/>
          <w:bCs/>
          <w:color w:val="auto"/>
          <w:sz w:val="24"/>
          <w:highlight w:val="none"/>
          <w:lang w:val="zh-CN"/>
        </w:rPr>
        <w:t xml:space="preserve"> 不可抗力</w:t>
      </w:r>
      <w:bookmarkEnd w:id="143"/>
      <w:bookmarkEnd w:id="144"/>
      <w:bookmarkEnd w:id="145"/>
    </w:p>
    <w:p w14:paraId="1CC8D3DE">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2.11.1如果任何一方遭遇法律规定的不可抗力，致使合同履行受阻时，履行合同的期限应予延长，延长的期限应相当于不可抗力所影响的时间；</w:t>
      </w:r>
    </w:p>
    <w:p w14:paraId="00A04CE9">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2.11.2因不可抗力致使不能实现合同目的的，当事人可以解除合同；</w:t>
      </w:r>
    </w:p>
    <w:p w14:paraId="767C09B1">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2.11.3因不可抗力致使合同有变更必要的，双方当事人应在</w:t>
      </w:r>
      <w:r>
        <w:rPr>
          <w:rFonts w:hint="eastAsia" w:ascii="宋体" w:hAnsi="宋体" w:eastAsia="宋体" w:cs="宋体"/>
          <w:b/>
          <w:i/>
          <w:color w:val="auto"/>
          <w:sz w:val="24"/>
          <w:highlight w:val="none"/>
          <w:u w:val="single"/>
        </w:rPr>
        <w:t>合同专用条款</w:t>
      </w:r>
      <w:r>
        <w:rPr>
          <w:rFonts w:hint="eastAsia" w:ascii="宋体" w:hAnsi="宋体" w:eastAsia="宋体" w:cs="宋体"/>
          <w:color w:val="auto"/>
          <w:sz w:val="24"/>
          <w:highlight w:val="none"/>
        </w:rPr>
        <w:t>约定时间内以书面形式变更合同；</w:t>
      </w:r>
    </w:p>
    <w:p w14:paraId="2035A544">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2.11.4受不可抗力影响的一方在不可抗力发生后，应在</w:t>
      </w:r>
      <w:r>
        <w:rPr>
          <w:rFonts w:hint="eastAsia" w:ascii="宋体" w:hAnsi="宋体" w:eastAsia="宋体" w:cs="宋体"/>
          <w:b/>
          <w:i/>
          <w:color w:val="auto"/>
          <w:sz w:val="24"/>
          <w:highlight w:val="none"/>
          <w:u w:val="single"/>
        </w:rPr>
        <w:t>合同专用条款</w:t>
      </w:r>
      <w:r>
        <w:rPr>
          <w:rFonts w:hint="eastAsia" w:ascii="宋体" w:hAnsi="宋体" w:eastAsia="宋体" w:cs="宋体"/>
          <w:color w:val="auto"/>
          <w:sz w:val="24"/>
          <w:highlight w:val="none"/>
        </w:rPr>
        <w:t>约定时间内以书面形式通知对方当事人，并在</w:t>
      </w:r>
      <w:r>
        <w:rPr>
          <w:rFonts w:hint="eastAsia" w:ascii="宋体" w:hAnsi="宋体" w:eastAsia="宋体" w:cs="宋体"/>
          <w:b/>
          <w:i/>
          <w:color w:val="auto"/>
          <w:sz w:val="24"/>
          <w:highlight w:val="none"/>
          <w:u w:val="single"/>
        </w:rPr>
        <w:t>合同专用条款</w:t>
      </w:r>
      <w:r>
        <w:rPr>
          <w:rFonts w:hint="eastAsia" w:ascii="宋体" w:hAnsi="宋体" w:eastAsia="宋体" w:cs="宋体"/>
          <w:color w:val="auto"/>
          <w:sz w:val="24"/>
          <w:highlight w:val="none"/>
        </w:rPr>
        <w:t>约定时间内，将有关部门出具的证明文件送达对方当事人。</w:t>
      </w:r>
    </w:p>
    <w:p w14:paraId="1ACF203A">
      <w:pPr>
        <w:spacing w:line="360" w:lineRule="auto"/>
        <w:ind w:firstLine="437"/>
        <w:outlineLvl w:val="2"/>
        <w:rPr>
          <w:rFonts w:hint="eastAsia" w:ascii="宋体" w:hAnsi="宋体" w:eastAsia="宋体" w:cs="宋体"/>
          <w:b/>
          <w:bCs/>
          <w:color w:val="auto"/>
          <w:sz w:val="24"/>
          <w:highlight w:val="none"/>
          <w:lang w:val="zh-CN"/>
        </w:rPr>
      </w:pPr>
      <w:bookmarkStart w:id="146" w:name="_Toc487900365"/>
      <w:bookmarkStart w:id="147" w:name="_Toc689"/>
      <w:bookmarkStart w:id="148" w:name="_Toc279701255"/>
      <w:bookmarkStart w:id="149" w:name="_Toc259093684"/>
      <w:bookmarkStart w:id="150" w:name="_Toc6969"/>
      <w:bookmarkStart w:id="151" w:name="_Toc30676"/>
      <w:r>
        <w:rPr>
          <w:rFonts w:hint="eastAsia" w:ascii="宋体" w:hAnsi="宋体" w:eastAsia="宋体" w:cs="宋体"/>
          <w:b/>
          <w:bCs/>
          <w:color w:val="auto"/>
          <w:sz w:val="24"/>
          <w:highlight w:val="none"/>
          <w:lang w:val="zh-CN"/>
        </w:rPr>
        <w:t>2.1</w:t>
      </w:r>
      <w:r>
        <w:rPr>
          <w:rFonts w:hint="eastAsia" w:ascii="宋体" w:hAnsi="宋体" w:eastAsia="宋体" w:cs="宋体"/>
          <w:b/>
          <w:bCs/>
          <w:color w:val="auto"/>
          <w:sz w:val="24"/>
          <w:highlight w:val="none"/>
        </w:rPr>
        <w:t>2</w:t>
      </w:r>
      <w:r>
        <w:rPr>
          <w:rFonts w:hint="eastAsia" w:ascii="宋体" w:hAnsi="宋体" w:eastAsia="宋体" w:cs="宋体"/>
          <w:b/>
          <w:bCs/>
          <w:color w:val="auto"/>
          <w:sz w:val="24"/>
          <w:highlight w:val="none"/>
          <w:lang w:val="zh-CN"/>
        </w:rPr>
        <w:t xml:space="preserve"> 税费</w:t>
      </w:r>
      <w:bookmarkEnd w:id="146"/>
      <w:bookmarkEnd w:id="147"/>
      <w:bookmarkEnd w:id="148"/>
      <w:bookmarkEnd w:id="149"/>
      <w:bookmarkEnd w:id="150"/>
      <w:bookmarkEnd w:id="151"/>
    </w:p>
    <w:p w14:paraId="300ABA46">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与合同有关的一切税费，均按照中华人民共和国法律的相关规定缴纳。</w:t>
      </w:r>
    </w:p>
    <w:p w14:paraId="47A277DB">
      <w:pPr>
        <w:spacing w:line="360" w:lineRule="auto"/>
        <w:ind w:firstLine="437"/>
        <w:outlineLvl w:val="2"/>
        <w:rPr>
          <w:rFonts w:hint="eastAsia" w:ascii="宋体" w:hAnsi="宋体" w:eastAsia="宋体" w:cs="宋体"/>
          <w:b/>
          <w:bCs/>
          <w:color w:val="auto"/>
          <w:sz w:val="24"/>
          <w:highlight w:val="none"/>
          <w:lang w:val="zh-CN"/>
        </w:rPr>
      </w:pPr>
      <w:bookmarkStart w:id="152" w:name="_Toc279701258"/>
      <w:bookmarkStart w:id="153" w:name="_Toc487900368"/>
      <w:bookmarkStart w:id="154" w:name="_Toc259093687"/>
      <w:bookmarkStart w:id="155" w:name="_Toc16959"/>
      <w:bookmarkStart w:id="156" w:name="_Toc7102"/>
      <w:bookmarkStart w:id="157" w:name="_Toc8298"/>
      <w:r>
        <w:rPr>
          <w:rFonts w:hint="eastAsia" w:ascii="宋体" w:hAnsi="宋体" w:eastAsia="宋体" w:cs="宋体"/>
          <w:b/>
          <w:bCs/>
          <w:color w:val="auto"/>
          <w:sz w:val="24"/>
          <w:highlight w:val="none"/>
          <w:lang w:val="zh-CN"/>
        </w:rPr>
        <w:t>2.1</w:t>
      </w:r>
      <w:r>
        <w:rPr>
          <w:rFonts w:hint="eastAsia" w:ascii="宋体" w:hAnsi="宋体" w:eastAsia="宋体" w:cs="宋体"/>
          <w:b/>
          <w:bCs/>
          <w:color w:val="auto"/>
          <w:sz w:val="24"/>
          <w:highlight w:val="none"/>
        </w:rPr>
        <w:t>3</w:t>
      </w:r>
      <w:r>
        <w:rPr>
          <w:rFonts w:hint="eastAsia" w:ascii="宋体" w:hAnsi="宋体" w:eastAsia="宋体" w:cs="宋体"/>
          <w:b/>
          <w:bCs/>
          <w:color w:val="auto"/>
          <w:sz w:val="24"/>
          <w:highlight w:val="none"/>
          <w:lang w:val="zh-CN"/>
        </w:rPr>
        <w:t xml:space="preserve"> 乙方破产</w:t>
      </w:r>
      <w:bookmarkEnd w:id="152"/>
      <w:bookmarkEnd w:id="153"/>
      <w:bookmarkEnd w:id="154"/>
      <w:bookmarkEnd w:id="155"/>
      <w:bookmarkEnd w:id="156"/>
      <w:bookmarkEnd w:id="157"/>
    </w:p>
    <w:p w14:paraId="22998B49">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如果乙方破产导致合同无法履行时，甲方可以书面形式通知乙方终止合同且不给予乙方任何补偿和赔偿，但合同的终止不损害或不影响甲方已经采取或将要采取的任何要求乙方支付违约金、赔偿损失等的行动或补救措施的权利。</w:t>
      </w:r>
    </w:p>
    <w:p w14:paraId="625F949D">
      <w:pPr>
        <w:spacing w:line="360" w:lineRule="auto"/>
        <w:ind w:firstLine="437"/>
        <w:outlineLvl w:val="2"/>
        <w:rPr>
          <w:rFonts w:hint="eastAsia" w:ascii="宋体" w:hAnsi="宋体" w:eastAsia="宋体" w:cs="宋体"/>
          <w:b/>
          <w:color w:val="auto"/>
          <w:sz w:val="24"/>
          <w:highlight w:val="none"/>
        </w:rPr>
      </w:pPr>
      <w:bookmarkStart w:id="158" w:name="_Toc29333"/>
      <w:bookmarkStart w:id="159" w:name="_Toc6134"/>
      <w:bookmarkStart w:id="160" w:name="_Toc15387"/>
      <w:r>
        <w:rPr>
          <w:rFonts w:hint="eastAsia" w:ascii="宋体" w:hAnsi="宋体" w:eastAsia="宋体" w:cs="宋体"/>
          <w:b/>
          <w:bCs/>
          <w:color w:val="auto"/>
          <w:sz w:val="24"/>
          <w:highlight w:val="none"/>
          <w:lang w:val="zh-CN"/>
        </w:rPr>
        <w:t>2.1</w:t>
      </w:r>
      <w:r>
        <w:rPr>
          <w:rFonts w:hint="eastAsia" w:ascii="宋体" w:hAnsi="宋体" w:eastAsia="宋体" w:cs="宋体"/>
          <w:b/>
          <w:bCs/>
          <w:color w:val="auto"/>
          <w:sz w:val="24"/>
          <w:highlight w:val="none"/>
        </w:rPr>
        <w:t>4</w:t>
      </w:r>
      <w:r>
        <w:rPr>
          <w:rFonts w:hint="eastAsia" w:ascii="宋体" w:hAnsi="宋体" w:eastAsia="宋体" w:cs="宋体"/>
          <w:b/>
          <w:bCs/>
          <w:color w:val="auto"/>
          <w:sz w:val="24"/>
          <w:highlight w:val="none"/>
          <w:lang w:val="zh-CN"/>
        </w:rPr>
        <w:t xml:space="preserve"> 合同中止、终止</w:t>
      </w:r>
      <w:bookmarkEnd w:id="158"/>
      <w:bookmarkEnd w:id="159"/>
      <w:bookmarkEnd w:id="160"/>
    </w:p>
    <w:p w14:paraId="782BDF37">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2.14.1双方当事人不得擅自中止或者终止合同；</w:t>
      </w:r>
    </w:p>
    <w:p w14:paraId="40582568">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2.14.2合同继续履行将损害国家利益和社会公共利益的，双方当事人应当中止或者终止合同。有过错的一方应当承担赔偿责任，双方当事人都有过错的，各自承担相应的责任。</w:t>
      </w:r>
    </w:p>
    <w:p w14:paraId="47E17C82">
      <w:pPr>
        <w:spacing w:line="360" w:lineRule="auto"/>
        <w:ind w:firstLine="437"/>
        <w:outlineLvl w:val="2"/>
        <w:rPr>
          <w:rFonts w:hint="eastAsia" w:ascii="宋体" w:hAnsi="宋体" w:eastAsia="宋体" w:cs="宋体"/>
          <w:b/>
          <w:bCs/>
          <w:color w:val="auto"/>
          <w:sz w:val="24"/>
          <w:highlight w:val="none"/>
          <w:lang w:val="zh-CN"/>
        </w:rPr>
      </w:pPr>
      <w:bookmarkStart w:id="161" w:name="_Toc14563"/>
      <w:bookmarkStart w:id="162" w:name="_Toc1125"/>
      <w:bookmarkStart w:id="163" w:name="_Toc6596"/>
      <w:r>
        <w:rPr>
          <w:rFonts w:hint="eastAsia" w:ascii="宋体" w:hAnsi="宋体" w:eastAsia="宋体" w:cs="宋体"/>
          <w:b/>
          <w:bCs/>
          <w:color w:val="auto"/>
          <w:sz w:val="24"/>
          <w:highlight w:val="none"/>
          <w:lang w:val="zh-CN"/>
        </w:rPr>
        <w:t>2.1</w:t>
      </w:r>
      <w:r>
        <w:rPr>
          <w:rFonts w:hint="eastAsia" w:ascii="宋体" w:hAnsi="宋体" w:eastAsia="宋体" w:cs="宋体"/>
          <w:b/>
          <w:bCs/>
          <w:color w:val="auto"/>
          <w:sz w:val="24"/>
          <w:highlight w:val="none"/>
        </w:rPr>
        <w:t>5</w:t>
      </w:r>
      <w:r>
        <w:rPr>
          <w:rFonts w:hint="eastAsia" w:ascii="宋体" w:hAnsi="宋体" w:eastAsia="宋体" w:cs="宋体"/>
          <w:b/>
          <w:bCs/>
          <w:color w:val="auto"/>
          <w:sz w:val="24"/>
          <w:highlight w:val="none"/>
          <w:lang w:val="zh-CN"/>
        </w:rPr>
        <w:t xml:space="preserve"> 检验和验收</w:t>
      </w:r>
      <w:bookmarkEnd w:id="161"/>
      <w:bookmarkEnd w:id="162"/>
      <w:bookmarkEnd w:id="163"/>
    </w:p>
    <w:p w14:paraId="39CEFCC3">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2.15.1乙方按照</w:t>
      </w:r>
      <w:r>
        <w:rPr>
          <w:rFonts w:hint="eastAsia" w:ascii="宋体" w:hAnsi="宋体" w:eastAsia="宋体" w:cs="宋体"/>
          <w:b/>
          <w:i/>
          <w:color w:val="auto"/>
          <w:sz w:val="24"/>
          <w:highlight w:val="none"/>
          <w:u w:val="single"/>
        </w:rPr>
        <w:t>合同专用条款</w:t>
      </w:r>
      <w:r>
        <w:rPr>
          <w:rFonts w:hint="eastAsia" w:ascii="宋体" w:hAnsi="宋体" w:eastAsia="宋体" w:cs="宋体"/>
          <w:color w:val="auto"/>
          <w:sz w:val="24"/>
          <w:highlight w:val="none"/>
        </w:rPr>
        <w:t>的约定，定期提交服务报告，甲方按照</w:t>
      </w:r>
      <w:r>
        <w:rPr>
          <w:rFonts w:hint="eastAsia" w:ascii="宋体" w:hAnsi="宋体" w:eastAsia="宋体" w:cs="宋体"/>
          <w:b/>
          <w:i/>
          <w:color w:val="auto"/>
          <w:sz w:val="24"/>
          <w:highlight w:val="none"/>
          <w:u w:val="single"/>
        </w:rPr>
        <w:t>合同专用条款</w:t>
      </w:r>
      <w:r>
        <w:rPr>
          <w:rFonts w:hint="eastAsia" w:ascii="宋体" w:hAnsi="宋体" w:eastAsia="宋体" w:cs="宋体"/>
          <w:color w:val="auto"/>
          <w:sz w:val="24"/>
          <w:highlight w:val="none"/>
        </w:rPr>
        <w:t>的约定进行定期验收；</w:t>
      </w:r>
    </w:p>
    <w:p w14:paraId="51626D09">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2.15.2合同期满或者履行完毕后，甲方有权组织（包括依法邀请国家认可的质量检测机构参加）对乙方履约的验收，即：按照合同约定的标准，组织对乙方履约情况的验收，并出具验收书；向社会公众提供的公共服务项目，验收时应当邀请服务对象参与并出具意见，验收结果应当向社会公告；</w:t>
      </w:r>
    </w:p>
    <w:p w14:paraId="5569C3EB">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2.15.3检验和验收标准、程序等具体内容以及前述验收书的效力详见</w:t>
      </w:r>
      <w:r>
        <w:rPr>
          <w:rFonts w:hint="eastAsia" w:ascii="宋体" w:hAnsi="宋体" w:eastAsia="宋体" w:cs="宋体"/>
          <w:b/>
          <w:i/>
          <w:color w:val="auto"/>
          <w:sz w:val="24"/>
          <w:highlight w:val="none"/>
          <w:u w:val="single"/>
        </w:rPr>
        <w:t>合同专用条款</w:t>
      </w:r>
      <w:r>
        <w:rPr>
          <w:rFonts w:hint="eastAsia" w:ascii="宋体" w:hAnsi="宋体" w:eastAsia="宋体" w:cs="宋体"/>
          <w:i/>
          <w:color w:val="auto"/>
          <w:sz w:val="24"/>
          <w:highlight w:val="none"/>
        </w:rPr>
        <w:t>。</w:t>
      </w:r>
    </w:p>
    <w:bookmarkEnd w:id="133"/>
    <w:bookmarkEnd w:id="134"/>
    <w:bookmarkEnd w:id="135"/>
    <w:bookmarkEnd w:id="136"/>
    <w:p w14:paraId="0C66C9D8">
      <w:pPr>
        <w:spacing w:line="360" w:lineRule="auto"/>
        <w:ind w:firstLine="437"/>
        <w:outlineLvl w:val="2"/>
        <w:rPr>
          <w:rFonts w:hint="eastAsia" w:ascii="宋体" w:hAnsi="宋体" w:eastAsia="宋体" w:cs="宋体"/>
          <w:b/>
          <w:bCs/>
          <w:color w:val="auto"/>
          <w:sz w:val="24"/>
          <w:highlight w:val="none"/>
        </w:rPr>
      </w:pPr>
      <w:bookmarkStart w:id="164" w:name="_Toc18540"/>
      <w:bookmarkStart w:id="165" w:name="_Toc30599"/>
      <w:bookmarkStart w:id="166" w:name="_Toc4355"/>
      <w:bookmarkStart w:id="167" w:name="_Toc259093691"/>
      <w:bookmarkStart w:id="168" w:name="_Toc487900372"/>
      <w:bookmarkStart w:id="169" w:name="_Toc279701262"/>
      <w:r>
        <w:rPr>
          <w:rFonts w:hint="eastAsia" w:ascii="宋体" w:hAnsi="宋体" w:eastAsia="宋体" w:cs="宋体"/>
          <w:b/>
          <w:bCs/>
          <w:color w:val="auto"/>
          <w:sz w:val="24"/>
          <w:highlight w:val="none"/>
        </w:rPr>
        <w:t>2.1</w:t>
      </w:r>
      <w:bookmarkEnd w:id="164"/>
      <w:bookmarkEnd w:id="165"/>
      <w:bookmarkEnd w:id="166"/>
      <w:bookmarkEnd w:id="167"/>
      <w:bookmarkEnd w:id="168"/>
      <w:bookmarkEnd w:id="169"/>
      <w:bookmarkStart w:id="170" w:name="_Toc487900373"/>
      <w:bookmarkStart w:id="171" w:name="_Toc12773"/>
      <w:bookmarkStart w:id="172" w:name="_Toc10330"/>
      <w:bookmarkStart w:id="173" w:name="_Toc259093692"/>
      <w:bookmarkStart w:id="174" w:name="_Toc279701263"/>
      <w:bookmarkStart w:id="175" w:name="_Toc18567"/>
      <w:r>
        <w:rPr>
          <w:rFonts w:hint="eastAsia" w:ascii="宋体" w:hAnsi="宋体" w:eastAsia="宋体" w:cs="宋体"/>
          <w:b/>
          <w:bCs/>
          <w:color w:val="auto"/>
          <w:sz w:val="24"/>
          <w:highlight w:val="none"/>
        </w:rPr>
        <w:t xml:space="preserve">6 </w:t>
      </w:r>
      <w:r>
        <w:rPr>
          <w:rFonts w:hint="eastAsia" w:ascii="宋体" w:hAnsi="宋体" w:eastAsia="宋体" w:cs="宋体"/>
          <w:b/>
          <w:bCs/>
          <w:color w:val="auto"/>
          <w:sz w:val="24"/>
          <w:highlight w:val="none"/>
          <w:lang w:val="zh-CN"/>
        </w:rPr>
        <w:t>合同使用的文字和适用的法律</w:t>
      </w:r>
      <w:bookmarkEnd w:id="170"/>
      <w:bookmarkEnd w:id="171"/>
      <w:bookmarkEnd w:id="172"/>
      <w:bookmarkEnd w:id="173"/>
      <w:bookmarkEnd w:id="174"/>
      <w:bookmarkEnd w:id="175"/>
    </w:p>
    <w:p w14:paraId="3715037D">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2.16.1合同使用汉语书就、变更和解释；</w:t>
      </w:r>
    </w:p>
    <w:p w14:paraId="4156C760">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2.16.2合同适用中华人民共和国法律。</w:t>
      </w:r>
    </w:p>
    <w:p w14:paraId="4269ACB4">
      <w:pPr>
        <w:spacing w:line="360" w:lineRule="auto"/>
        <w:ind w:firstLine="437"/>
        <w:outlineLvl w:val="2"/>
        <w:rPr>
          <w:rFonts w:hint="eastAsia" w:ascii="宋体" w:hAnsi="宋体" w:eastAsia="宋体" w:cs="宋体"/>
          <w:b/>
          <w:color w:val="auto"/>
          <w:sz w:val="24"/>
          <w:highlight w:val="none"/>
        </w:rPr>
      </w:pPr>
      <w:bookmarkStart w:id="176" w:name="_Toc12004"/>
      <w:bookmarkStart w:id="177" w:name="_Toc16673"/>
      <w:bookmarkStart w:id="178" w:name="_Toc3148"/>
      <w:bookmarkStart w:id="179" w:name="_Toc279701264"/>
      <w:bookmarkStart w:id="180" w:name="_Toc259093693"/>
      <w:bookmarkStart w:id="181" w:name="_Toc487900374"/>
      <w:r>
        <w:rPr>
          <w:rFonts w:hint="eastAsia" w:ascii="宋体" w:hAnsi="宋体" w:eastAsia="宋体" w:cs="宋体"/>
          <w:b/>
          <w:bCs/>
          <w:color w:val="auto"/>
          <w:sz w:val="24"/>
          <w:highlight w:val="none"/>
          <w:lang w:val="zh-CN"/>
        </w:rPr>
        <w:t>2.</w:t>
      </w:r>
      <w:r>
        <w:rPr>
          <w:rFonts w:hint="eastAsia" w:ascii="宋体" w:hAnsi="宋体" w:eastAsia="宋体" w:cs="宋体"/>
          <w:b/>
          <w:bCs/>
          <w:color w:val="auto"/>
          <w:sz w:val="24"/>
          <w:highlight w:val="none"/>
        </w:rPr>
        <w:t>17</w:t>
      </w:r>
      <w:r>
        <w:rPr>
          <w:rFonts w:hint="eastAsia" w:ascii="宋体" w:hAnsi="宋体" w:eastAsia="宋体" w:cs="宋体"/>
          <w:b/>
          <w:bCs/>
          <w:color w:val="auto"/>
          <w:sz w:val="24"/>
          <w:highlight w:val="none"/>
          <w:lang w:val="zh-CN"/>
        </w:rPr>
        <w:t xml:space="preserve"> 履约保证金</w:t>
      </w:r>
      <w:bookmarkEnd w:id="176"/>
      <w:bookmarkEnd w:id="177"/>
      <w:bookmarkEnd w:id="178"/>
      <w:bookmarkEnd w:id="179"/>
      <w:bookmarkEnd w:id="180"/>
    </w:p>
    <w:p w14:paraId="670FA189">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2.17.1采购文件要求乙方提交履约保证金的，乙方应按</w:t>
      </w:r>
      <w:r>
        <w:rPr>
          <w:rFonts w:hint="eastAsia" w:ascii="宋体" w:hAnsi="宋体" w:eastAsia="宋体" w:cs="宋体"/>
          <w:b/>
          <w:i/>
          <w:color w:val="auto"/>
          <w:sz w:val="24"/>
          <w:highlight w:val="none"/>
          <w:u w:val="single"/>
        </w:rPr>
        <w:t>合同专用条款</w:t>
      </w:r>
      <w:r>
        <w:rPr>
          <w:rFonts w:hint="eastAsia" w:ascii="宋体" w:hAnsi="宋体" w:eastAsia="宋体" w:cs="宋体"/>
          <w:color w:val="auto"/>
          <w:sz w:val="24"/>
          <w:highlight w:val="none"/>
        </w:rPr>
        <w:t>约定的方式，以支票、汇票、本票或者金融机构、担保机构出具的保函等非现金形式提交；</w:t>
      </w:r>
    </w:p>
    <w:p w14:paraId="0F635D5E">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2.17.2</w:t>
      </w:r>
      <w:r>
        <w:rPr>
          <w:rFonts w:hint="eastAsia" w:ascii="宋体" w:hAnsi="宋体" w:eastAsia="宋体" w:cs="宋体"/>
          <w:color w:val="auto"/>
          <w:sz w:val="24"/>
          <w:szCs w:val="24"/>
          <w:highlight w:val="none"/>
        </w:rPr>
        <w:t>履约保证金在</w:t>
      </w:r>
      <w:r>
        <w:rPr>
          <w:rFonts w:hint="eastAsia" w:ascii="宋体" w:hAnsi="宋体" w:eastAsia="宋体" w:cs="宋体"/>
          <w:b/>
          <w:i/>
          <w:color w:val="auto"/>
          <w:sz w:val="24"/>
          <w:szCs w:val="24"/>
          <w:highlight w:val="none"/>
          <w:u w:val="single"/>
        </w:rPr>
        <w:t>合同专用条款</w:t>
      </w:r>
      <w:r>
        <w:rPr>
          <w:rFonts w:hint="eastAsia" w:ascii="宋体" w:hAnsi="宋体" w:eastAsia="宋体" w:cs="宋体"/>
          <w:color w:val="auto"/>
          <w:sz w:val="24"/>
          <w:szCs w:val="24"/>
          <w:highlight w:val="none"/>
        </w:rPr>
        <w:t>约定期间内不予退还或者应完全有效，前述约定期间届满之日起</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个工作日内，甲方应将履约保证金退还乙方，甲方逾期退还履约保证金应承担违约责任。</w:t>
      </w:r>
    </w:p>
    <w:p w14:paraId="01131DF8">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2.17.3如果乙方不履行合同，履约保证金不予退还；如果乙方未能按合同约定全面履行义务，那么甲方有权从履约保证金中取得补偿或赔偿，同时不影响甲方要求乙方承担合同约定的超过履约保证金的违约责任的权利。</w:t>
      </w:r>
    </w:p>
    <w:bookmarkEnd w:id="181"/>
    <w:p w14:paraId="4403CA9E">
      <w:pPr>
        <w:spacing w:line="360" w:lineRule="auto"/>
        <w:ind w:firstLine="437"/>
        <w:outlineLvl w:val="2"/>
        <w:rPr>
          <w:rFonts w:hint="eastAsia" w:ascii="宋体" w:hAnsi="宋体" w:eastAsia="宋体" w:cs="宋体"/>
          <w:b/>
          <w:color w:val="auto"/>
          <w:sz w:val="24"/>
          <w:highlight w:val="none"/>
        </w:rPr>
      </w:pPr>
      <w:bookmarkStart w:id="182" w:name="_Toc14001"/>
      <w:bookmarkStart w:id="183" w:name="_Toc19890"/>
      <w:bookmarkStart w:id="184" w:name="_Toc6885"/>
      <w:r>
        <w:rPr>
          <w:rFonts w:hint="eastAsia" w:ascii="宋体" w:hAnsi="宋体" w:eastAsia="宋体" w:cs="宋体"/>
          <w:b/>
          <w:bCs/>
          <w:color w:val="auto"/>
          <w:sz w:val="24"/>
          <w:highlight w:val="none"/>
          <w:lang w:val="zh-CN"/>
        </w:rPr>
        <w:t>2.</w:t>
      </w:r>
      <w:r>
        <w:rPr>
          <w:rFonts w:hint="eastAsia" w:ascii="宋体" w:hAnsi="宋体" w:eastAsia="宋体" w:cs="宋体"/>
          <w:b/>
          <w:bCs/>
          <w:color w:val="auto"/>
          <w:sz w:val="24"/>
          <w:highlight w:val="none"/>
        </w:rPr>
        <w:t>18</w:t>
      </w:r>
      <w:r>
        <w:rPr>
          <w:rFonts w:hint="eastAsia" w:ascii="宋体" w:hAnsi="宋体" w:eastAsia="宋体" w:cs="宋体"/>
          <w:b/>
          <w:bCs/>
          <w:color w:val="auto"/>
          <w:sz w:val="24"/>
          <w:highlight w:val="none"/>
          <w:lang w:val="zh-CN"/>
        </w:rPr>
        <w:t xml:space="preserve"> 合同份数</w:t>
      </w:r>
      <w:bookmarkEnd w:id="182"/>
      <w:bookmarkEnd w:id="183"/>
      <w:bookmarkEnd w:id="184"/>
    </w:p>
    <w:p w14:paraId="18FC7758">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合同份数按</w:t>
      </w:r>
      <w:r>
        <w:rPr>
          <w:rFonts w:hint="eastAsia" w:ascii="宋体" w:hAnsi="宋体" w:eastAsia="宋体" w:cs="宋体"/>
          <w:b/>
          <w:i/>
          <w:color w:val="auto"/>
          <w:sz w:val="24"/>
          <w:highlight w:val="none"/>
          <w:u w:val="single"/>
        </w:rPr>
        <w:t>合同专用条款</w:t>
      </w:r>
      <w:r>
        <w:rPr>
          <w:rFonts w:hint="eastAsia" w:ascii="宋体" w:hAnsi="宋体" w:eastAsia="宋体" w:cs="宋体"/>
          <w:color w:val="auto"/>
          <w:sz w:val="24"/>
          <w:highlight w:val="none"/>
        </w:rPr>
        <w:t>规定，每份均具有同等法律效力。</w:t>
      </w:r>
    </w:p>
    <w:p w14:paraId="0FFAFF0B">
      <w:pPr>
        <w:spacing w:line="360" w:lineRule="auto"/>
        <w:jc w:val="center"/>
        <w:outlineLvl w:val="1"/>
        <w:rPr>
          <w:rFonts w:hint="eastAsia" w:ascii="宋体" w:hAnsi="宋体" w:eastAsia="宋体" w:cs="宋体"/>
          <w:b/>
          <w:color w:val="auto"/>
          <w:sz w:val="24"/>
          <w:highlight w:val="none"/>
        </w:rPr>
      </w:pPr>
      <w:r>
        <w:rPr>
          <w:rFonts w:ascii="宋体" w:hAnsi="宋体"/>
          <w:color w:val="auto"/>
          <w:sz w:val="24"/>
          <w:highlight w:val="none"/>
        </w:rPr>
        <w:br w:type="page"/>
      </w:r>
      <w:bookmarkStart w:id="185" w:name="_Toc331685784"/>
      <w:bookmarkStart w:id="186" w:name="_Toc14669"/>
      <w:r>
        <w:rPr>
          <w:rFonts w:hint="eastAsia" w:ascii="宋体" w:hAnsi="宋体" w:eastAsia="宋体" w:cs="宋体"/>
          <w:b/>
          <w:color w:val="auto"/>
          <w:sz w:val="24"/>
          <w:highlight w:val="none"/>
        </w:rPr>
        <w:t>第三部分 合同专用条款</w:t>
      </w:r>
      <w:bookmarkEnd w:id="185"/>
      <w:bookmarkEnd w:id="186"/>
    </w:p>
    <w:p w14:paraId="5D16B9CA">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本部分是对前两部分的补充和修改，如果前两部分和本部分的约定不一致，应以本部分的约定为准。本部分的条款号应与前两部分的条款号保持对应；与前两部分无对应关系的内容可另行编制条款号。</w:t>
      </w:r>
    </w:p>
    <w:tbl>
      <w:tblPr>
        <w:tblStyle w:val="29"/>
        <w:tblW w:w="5762"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28" w:type="dxa"/>
          <w:bottom w:w="0" w:type="dxa"/>
          <w:right w:w="28" w:type="dxa"/>
        </w:tblCellMar>
      </w:tblPr>
      <w:tblGrid>
        <w:gridCol w:w="1020"/>
        <w:gridCol w:w="9498"/>
      </w:tblGrid>
      <w:tr w14:paraId="0BAFC2D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91" w:hRule="atLeast"/>
          <w:jc w:val="center"/>
        </w:trPr>
        <w:tc>
          <w:tcPr>
            <w:tcW w:w="935" w:type="dxa"/>
            <w:tcBorders>
              <w:left w:val="single" w:color="auto" w:sz="4" w:space="0"/>
            </w:tcBorders>
            <w:noWrap w:val="0"/>
            <w:vAlign w:val="center"/>
          </w:tcPr>
          <w:p w14:paraId="63B3FF1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color w:val="auto"/>
                <w:sz w:val="24"/>
                <w:highlight w:val="none"/>
              </w:rPr>
            </w:pPr>
            <w:r>
              <w:rPr>
                <w:rFonts w:hint="eastAsia" w:ascii="宋体" w:hAnsi="宋体" w:eastAsia="宋体" w:cs="宋体"/>
                <w:b/>
                <w:color w:val="auto"/>
                <w:sz w:val="24"/>
                <w:highlight w:val="none"/>
              </w:rPr>
              <w:t>条款号</w:t>
            </w:r>
          </w:p>
        </w:tc>
        <w:tc>
          <w:tcPr>
            <w:tcW w:w="8703" w:type="dxa"/>
            <w:noWrap w:val="0"/>
            <w:vAlign w:val="center"/>
          </w:tcPr>
          <w:p w14:paraId="4FECF37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color w:val="auto"/>
                <w:sz w:val="24"/>
                <w:highlight w:val="none"/>
              </w:rPr>
            </w:pPr>
            <w:r>
              <w:rPr>
                <w:rFonts w:hint="eastAsia" w:ascii="宋体" w:hAnsi="宋体" w:eastAsia="宋体" w:cs="宋体"/>
                <w:b/>
                <w:color w:val="auto"/>
                <w:sz w:val="24"/>
                <w:highlight w:val="none"/>
              </w:rPr>
              <w:t>约定内容</w:t>
            </w:r>
          </w:p>
        </w:tc>
      </w:tr>
      <w:tr w14:paraId="0FA43E2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91" w:hRule="atLeast"/>
          <w:jc w:val="center"/>
        </w:trPr>
        <w:tc>
          <w:tcPr>
            <w:tcW w:w="935" w:type="dxa"/>
            <w:tcBorders>
              <w:left w:val="single" w:color="auto" w:sz="4" w:space="0"/>
            </w:tcBorders>
            <w:noWrap w:val="0"/>
            <w:vAlign w:val="center"/>
          </w:tcPr>
          <w:p w14:paraId="05D7244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2.3</w:t>
            </w:r>
          </w:p>
        </w:tc>
        <w:tc>
          <w:tcPr>
            <w:tcW w:w="8703" w:type="dxa"/>
            <w:noWrap w:val="0"/>
            <w:vAlign w:val="center"/>
          </w:tcPr>
          <w:p w14:paraId="4A275D7B">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知识产权归属：本次采购服务所产生的全部视频、图文等宣传素材，其完整知识产权归甲方（采购人）所有。乙方须保证所提供的服务不侵犯任何第三方知识产权</w:t>
            </w:r>
            <w:r>
              <w:rPr>
                <w:rFonts w:hint="eastAsia" w:ascii="宋体" w:hAnsi="宋体" w:eastAsia="宋体" w:cs="宋体"/>
                <w:color w:val="auto"/>
                <w:sz w:val="24"/>
                <w:szCs w:val="24"/>
                <w:highlight w:val="none"/>
                <w:lang w:eastAsia="zh-CN"/>
              </w:rPr>
              <w:t>。</w:t>
            </w:r>
          </w:p>
        </w:tc>
      </w:tr>
      <w:tr w14:paraId="5BDBDE7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91" w:hRule="atLeast"/>
          <w:jc w:val="center"/>
        </w:trPr>
        <w:tc>
          <w:tcPr>
            <w:tcW w:w="935" w:type="dxa"/>
            <w:tcBorders>
              <w:left w:val="single" w:color="auto" w:sz="4" w:space="0"/>
            </w:tcBorders>
            <w:noWrap w:val="0"/>
            <w:vAlign w:val="center"/>
          </w:tcPr>
          <w:p w14:paraId="2216037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宋体" w:hAnsi="宋体" w:eastAsia="宋体" w:cs="宋体"/>
                <w:b/>
                <w:color w:val="auto"/>
                <w:sz w:val="24"/>
                <w:highlight w:val="none"/>
                <w:lang w:val="en-US" w:eastAsia="zh-CN"/>
              </w:rPr>
            </w:pPr>
            <w:r>
              <w:rPr>
                <w:rFonts w:hint="eastAsia" w:ascii="宋体" w:hAnsi="宋体" w:eastAsia="宋体" w:cs="宋体"/>
                <w:color w:val="auto"/>
                <w:sz w:val="24"/>
                <w:szCs w:val="24"/>
                <w:highlight w:val="none"/>
                <w:lang w:val="en-US" w:eastAsia="zh-CN"/>
              </w:rPr>
              <w:t>2.7</w:t>
            </w:r>
          </w:p>
        </w:tc>
        <w:tc>
          <w:tcPr>
            <w:tcW w:w="8703" w:type="dxa"/>
            <w:noWrap w:val="0"/>
            <w:vAlign w:val="center"/>
          </w:tcPr>
          <w:p w14:paraId="676A9BF7">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b/>
                <w:color w:val="auto"/>
                <w:sz w:val="24"/>
                <w:highlight w:val="none"/>
                <w:lang w:eastAsia="zh-CN"/>
              </w:rPr>
            </w:pPr>
            <w:r>
              <w:rPr>
                <w:rFonts w:hint="eastAsia" w:ascii="宋体" w:hAnsi="宋体" w:eastAsia="宋体" w:cs="宋体"/>
                <w:color w:val="auto"/>
                <w:sz w:val="24"/>
                <w:szCs w:val="24"/>
                <w:highlight w:val="none"/>
              </w:rPr>
              <w:t>质量保证：乙方应建立和完善履行合同的内部质量保证体系。所有宣传成品须经甲方各业务科室审核确认后方可发布。乙方应根据甲方审核意见在3个工作日内完成修改</w:t>
            </w:r>
            <w:r>
              <w:rPr>
                <w:rFonts w:hint="eastAsia" w:ascii="宋体" w:hAnsi="宋体" w:eastAsia="宋体" w:cs="宋体"/>
                <w:color w:val="auto"/>
                <w:sz w:val="24"/>
                <w:szCs w:val="24"/>
                <w:highlight w:val="none"/>
                <w:lang w:eastAsia="zh-CN"/>
              </w:rPr>
              <w:t>。</w:t>
            </w:r>
          </w:p>
        </w:tc>
      </w:tr>
      <w:tr w14:paraId="7FABE9C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52" w:hRule="atLeast"/>
          <w:jc w:val="center"/>
        </w:trPr>
        <w:tc>
          <w:tcPr>
            <w:tcW w:w="935" w:type="dxa"/>
            <w:tcBorders>
              <w:left w:val="single" w:color="auto" w:sz="4" w:space="0"/>
            </w:tcBorders>
            <w:noWrap w:val="0"/>
            <w:vAlign w:val="center"/>
          </w:tcPr>
          <w:p w14:paraId="58AE436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4"/>
                <w:highlight w:val="none"/>
              </w:rPr>
            </w:pPr>
            <w:r>
              <w:rPr>
                <w:rFonts w:hint="eastAsia" w:ascii="宋体" w:hAnsi="宋体" w:eastAsia="宋体" w:cs="宋体"/>
                <w:color w:val="auto"/>
                <w:sz w:val="24"/>
                <w:szCs w:val="24"/>
                <w:highlight w:val="none"/>
              </w:rPr>
              <w:t>2.11.3</w:t>
            </w:r>
          </w:p>
        </w:tc>
        <w:tc>
          <w:tcPr>
            <w:tcW w:w="8703" w:type="dxa"/>
            <w:noWrap w:val="0"/>
            <w:vAlign w:val="center"/>
          </w:tcPr>
          <w:p w14:paraId="70778C69">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4"/>
                <w:highlight w:val="none"/>
                <w:lang w:eastAsia="zh-CN"/>
              </w:rPr>
            </w:pPr>
            <w:r>
              <w:rPr>
                <w:rFonts w:hint="eastAsia" w:ascii="宋体" w:hAnsi="宋体" w:eastAsia="宋体" w:cs="宋体"/>
                <w:color w:val="auto"/>
                <w:sz w:val="24"/>
                <w:szCs w:val="24"/>
                <w:highlight w:val="none"/>
              </w:rPr>
              <w:t>因不可抗力致使合同有变更必要的，双方当事人应在不可抗力发生的3个工作日内以书面形式变更合同</w:t>
            </w:r>
            <w:r>
              <w:rPr>
                <w:rFonts w:hint="eastAsia" w:ascii="宋体" w:hAnsi="宋体" w:eastAsia="宋体" w:cs="宋体"/>
                <w:color w:val="auto"/>
                <w:sz w:val="24"/>
                <w:szCs w:val="24"/>
                <w:highlight w:val="none"/>
                <w:lang w:eastAsia="zh-CN"/>
              </w:rPr>
              <w:t>。</w:t>
            </w:r>
          </w:p>
        </w:tc>
      </w:tr>
      <w:tr w14:paraId="120A67C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52" w:hRule="atLeast"/>
          <w:jc w:val="center"/>
        </w:trPr>
        <w:tc>
          <w:tcPr>
            <w:tcW w:w="935" w:type="dxa"/>
            <w:tcBorders>
              <w:left w:val="single" w:color="auto" w:sz="4" w:space="0"/>
            </w:tcBorders>
            <w:noWrap w:val="0"/>
            <w:vAlign w:val="center"/>
          </w:tcPr>
          <w:p w14:paraId="3C3DAC5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4"/>
                <w:highlight w:val="none"/>
              </w:rPr>
            </w:pPr>
            <w:r>
              <w:rPr>
                <w:rFonts w:hint="eastAsia" w:ascii="宋体" w:hAnsi="宋体" w:eastAsia="宋体" w:cs="宋体"/>
                <w:color w:val="auto"/>
                <w:sz w:val="24"/>
                <w:szCs w:val="24"/>
                <w:highlight w:val="none"/>
              </w:rPr>
              <w:t>2.11.4</w:t>
            </w:r>
          </w:p>
        </w:tc>
        <w:tc>
          <w:tcPr>
            <w:tcW w:w="8703" w:type="dxa"/>
            <w:noWrap w:val="0"/>
            <w:vAlign w:val="center"/>
          </w:tcPr>
          <w:p w14:paraId="11B763C1">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4"/>
                <w:highlight w:val="none"/>
                <w:lang w:eastAsia="zh-CN"/>
              </w:rPr>
            </w:pPr>
            <w:r>
              <w:rPr>
                <w:rFonts w:hint="eastAsia" w:ascii="宋体" w:hAnsi="宋体" w:eastAsia="宋体" w:cs="宋体"/>
                <w:color w:val="auto"/>
                <w:sz w:val="24"/>
                <w:szCs w:val="24"/>
                <w:highlight w:val="none"/>
              </w:rPr>
              <w:t>受不可抗力影响的一方在不可抗力发生后，应在不可抗力发生的1个工作日内以书面形式通知对方当事人，并在1个工作日内，将有关部门出具的证明文件送达对方当事人</w:t>
            </w:r>
            <w:r>
              <w:rPr>
                <w:rFonts w:hint="eastAsia" w:ascii="宋体" w:hAnsi="宋体" w:eastAsia="宋体" w:cs="宋体"/>
                <w:color w:val="auto"/>
                <w:sz w:val="24"/>
                <w:szCs w:val="24"/>
                <w:highlight w:val="none"/>
                <w:lang w:eastAsia="zh-CN"/>
              </w:rPr>
              <w:t>。</w:t>
            </w:r>
          </w:p>
        </w:tc>
      </w:tr>
      <w:tr w14:paraId="4DA5646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52" w:hRule="atLeast"/>
          <w:jc w:val="center"/>
        </w:trPr>
        <w:tc>
          <w:tcPr>
            <w:tcW w:w="935" w:type="dxa"/>
            <w:tcBorders>
              <w:left w:val="single" w:color="auto" w:sz="4" w:space="0"/>
            </w:tcBorders>
            <w:noWrap w:val="0"/>
            <w:vAlign w:val="center"/>
          </w:tcPr>
          <w:p w14:paraId="3AAC5E7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2.15</w:t>
            </w:r>
          </w:p>
        </w:tc>
        <w:tc>
          <w:tcPr>
            <w:tcW w:w="8703" w:type="dxa"/>
            <w:noWrap w:val="0"/>
            <w:vAlign w:val="center"/>
          </w:tcPr>
          <w:p w14:paraId="0D9E2714">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检验和验收：（1）乙方应于合同签订后10个工作日内提交整体宣传策划方案，经甲方审核同意后实施；（2）所有视频成品实行分批验收，乙方完成每批次视频后提交甲方审核，甲方在收到成品后7个工作日内出具验收意见；（3）全部服务内容完成后，甲方组织综合验收，出具验收报告。验收标准以谈判文件采购需求及本合同约定为准</w:t>
            </w:r>
            <w:r>
              <w:rPr>
                <w:rFonts w:hint="eastAsia" w:ascii="宋体" w:hAnsi="宋体" w:eastAsia="宋体" w:cs="宋体"/>
                <w:color w:val="auto"/>
                <w:sz w:val="24"/>
                <w:szCs w:val="24"/>
                <w:highlight w:val="none"/>
                <w:lang w:eastAsia="zh-CN"/>
              </w:rPr>
              <w:t>。</w:t>
            </w:r>
          </w:p>
        </w:tc>
      </w:tr>
      <w:tr w14:paraId="0EF70C3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935" w:type="dxa"/>
            <w:tcBorders>
              <w:left w:val="single" w:color="auto" w:sz="4" w:space="0"/>
            </w:tcBorders>
            <w:noWrap w:val="0"/>
            <w:vAlign w:val="center"/>
          </w:tcPr>
          <w:p w14:paraId="115A8A2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2.17</w:t>
            </w:r>
          </w:p>
        </w:tc>
        <w:tc>
          <w:tcPr>
            <w:tcW w:w="8703" w:type="dxa"/>
            <w:noWrap w:val="0"/>
            <w:vAlign w:val="center"/>
          </w:tcPr>
          <w:p w14:paraId="1DA3FEA5">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4"/>
                <w:highlight w:val="none"/>
                <w:u w:val="single"/>
              </w:rPr>
            </w:pPr>
            <w:r>
              <w:rPr>
                <w:rFonts w:hint="eastAsia" w:ascii="宋体" w:hAnsi="宋体" w:eastAsia="宋体" w:cs="宋体"/>
                <w:color w:val="auto"/>
                <w:sz w:val="24"/>
                <w:szCs w:val="24"/>
                <w:highlight w:val="none"/>
              </w:rPr>
              <w:t>本项目免收</w:t>
            </w:r>
            <w:r>
              <w:rPr>
                <w:rFonts w:hint="eastAsia" w:ascii="宋体" w:hAnsi="宋体" w:eastAsia="宋体" w:cs="宋体"/>
                <w:color w:val="auto"/>
                <w:sz w:val="24"/>
                <w:szCs w:val="24"/>
                <w:highlight w:val="none"/>
                <w:lang w:val="zh-CN"/>
              </w:rPr>
              <w:t>履约保证金</w:t>
            </w:r>
          </w:p>
        </w:tc>
      </w:tr>
      <w:tr w14:paraId="1D929CB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935" w:type="dxa"/>
            <w:tcBorders>
              <w:left w:val="single" w:color="auto" w:sz="4" w:space="0"/>
            </w:tcBorders>
            <w:noWrap w:val="0"/>
            <w:vAlign w:val="center"/>
          </w:tcPr>
          <w:p w14:paraId="59C2CF3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4"/>
                <w:highlight w:val="none"/>
              </w:rPr>
            </w:pPr>
            <w:r>
              <w:rPr>
                <w:rFonts w:hint="eastAsia" w:ascii="宋体" w:hAnsi="宋体" w:eastAsia="宋体" w:cs="宋体"/>
                <w:color w:val="auto"/>
                <w:sz w:val="24"/>
                <w:szCs w:val="24"/>
                <w:highlight w:val="none"/>
              </w:rPr>
              <w:t>2.18</w:t>
            </w:r>
          </w:p>
        </w:tc>
        <w:tc>
          <w:tcPr>
            <w:tcW w:w="8703" w:type="dxa"/>
            <w:noWrap w:val="0"/>
            <w:vAlign w:val="center"/>
          </w:tcPr>
          <w:p w14:paraId="798E4593">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合同一式陆份，甲乙双方各执叁份。</w:t>
            </w:r>
          </w:p>
        </w:tc>
      </w:tr>
      <w:tr w14:paraId="60CECCD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52" w:hRule="atLeast"/>
          <w:jc w:val="center"/>
        </w:trPr>
        <w:tc>
          <w:tcPr>
            <w:tcW w:w="935" w:type="dxa"/>
            <w:tcBorders>
              <w:left w:val="single" w:color="auto" w:sz="4" w:space="0"/>
            </w:tcBorders>
            <w:noWrap w:val="0"/>
            <w:vAlign w:val="center"/>
          </w:tcPr>
          <w:p w14:paraId="1F46B43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4"/>
                <w:highlight w:val="none"/>
              </w:rPr>
            </w:pPr>
          </w:p>
        </w:tc>
        <w:tc>
          <w:tcPr>
            <w:tcW w:w="8703" w:type="dxa"/>
            <w:noWrap w:val="0"/>
            <w:vAlign w:val="center"/>
          </w:tcPr>
          <w:p w14:paraId="3F693829">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4"/>
                <w:highlight w:val="none"/>
                <w:u w:val="single"/>
              </w:rPr>
            </w:pPr>
            <w:r>
              <w:rPr>
                <w:rFonts w:hint="eastAsia" w:ascii="宋体" w:hAnsi="宋体" w:eastAsia="宋体" w:cs="宋体"/>
                <w:color w:val="auto"/>
                <w:sz w:val="24"/>
                <w:szCs w:val="24"/>
                <w:highlight w:val="none"/>
              </w:rPr>
              <w:t>（签订合同时可补充）</w:t>
            </w:r>
          </w:p>
        </w:tc>
      </w:tr>
      <w:tr w14:paraId="002A172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52" w:hRule="atLeast"/>
          <w:jc w:val="center"/>
        </w:trPr>
        <w:tc>
          <w:tcPr>
            <w:tcW w:w="935" w:type="dxa"/>
            <w:tcBorders>
              <w:left w:val="single" w:color="auto" w:sz="4" w:space="0"/>
            </w:tcBorders>
            <w:noWrap w:val="0"/>
            <w:vAlign w:val="center"/>
          </w:tcPr>
          <w:p w14:paraId="35456C8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4"/>
                <w:highlight w:val="none"/>
              </w:rPr>
            </w:pPr>
          </w:p>
        </w:tc>
        <w:tc>
          <w:tcPr>
            <w:tcW w:w="8703" w:type="dxa"/>
            <w:noWrap w:val="0"/>
            <w:vAlign w:val="center"/>
          </w:tcPr>
          <w:p w14:paraId="5D47DE7C">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补充要求：</w:t>
            </w:r>
          </w:p>
          <w:p w14:paraId="478077FA">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人员配置要求</w:t>
            </w:r>
            <w:r>
              <w:rPr>
                <w:rFonts w:hint="default" w:ascii="宋体" w:hAnsi="宋体" w:eastAsia="宋体" w:cs="宋体"/>
                <w:color w:val="auto"/>
                <w:sz w:val="24"/>
                <w:szCs w:val="24"/>
                <w:highlight w:val="none"/>
              </w:rPr>
              <w:t>：乙方应配备不少于3人的专业服务团队（含项目负责人1名、文案策划1名、视频制作人员至少1名），团队主要人员须保持相对稳定，更换项目负责人须经甲方书面同意</w:t>
            </w:r>
            <w:r>
              <w:rPr>
                <w:rFonts w:hint="eastAsia" w:ascii="宋体" w:hAnsi="宋体" w:eastAsia="宋体" w:cs="宋体"/>
                <w:color w:val="auto"/>
                <w:sz w:val="24"/>
                <w:szCs w:val="24"/>
                <w:highlight w:val="none"/>
                <w:lang w:eastAsia="zh-CN"/>
              </w:rPr>
              <w:t>。</w:t>
            </w:r>
          </w:p>
          <w:p w14:paraId="4A03F1D9">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eastAsia="宋体"/>
                <w:color w:val="auto"/>
                <w:highlight w:val="none"/>
                <w:lang w:val="en-US" w:eastAsia="zh-CN"/>
              </w:rPr>
            </w:pPr>
            <w:r>
              <w:rPr>
                <w:rFonts w:hint="eastAsia" w:ascii="宋体" w:hAnsi="宋体" w:eastAsia="宋体" w:cs="宋体"/>
                <w:color w:val="auto"/>
                <w:sz w:val="24"/>
                <w:szCs w:val="24"/>
                <w:highlight w:val="none"/>
              </w:rPr>
              <w:t>违约责任补充</w:t>
            </w:r>
            <w:r>
              <w:rPr>
                <w:rFonts w:hint="default" w:ascii="宋体" w:hAnsi="宋体" w:eastAsia="宋体" w:cs="宋体"/>
                <w:color w:val="auto"/>
                <w:sz w:val="24"/>
                <w:szCs w:val="24"/>
                <w:highlight w:val="none"/>
              </w:rPr>
              <w:t>：（1）乙方交付的视频成品经甲方审核不合格的，应在3个工作日内完成修改；经两次修改仍不合格的，甲方有权扣减该批次视频相应比例的合同价款；（2）乙方未经甲方书面同意擅自转包或分包的，甲方有权解除合同，并要求乙方承担合同总金额20%的违约金；（3）乙方交付的成品侵犯第三方知识产权的，应承担由此产生的一切法律责任和赔偿</w:t>
            </w:r>
            <w:r>
              <w:rPr>
                <w:rFonts w:hint="eastAsia" w:ascii="宋体" w:hAnsi="宋体" w:eastAsia="宋体" w:cs="宋体"/>
                <w:color w:val="auto"/>
                <w:sz w:val="24"/>
                <w:szCs w:val="24"/>
                <w:highlight w:val="none"/>
                <w:lang w:eastAsia="zh-CN"/>
              </w:rPr>
              <w:t>。</w:t>
            </w:r>
          </w:p>
        </w:tc>
      </w:tr>
      <w:tr w14:paraId="1B3E42D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935" w:type="dxa"/>
            <w:tcBorders>
              <w:left w:val="single" w:color="auto" w:sz="4" w:space="0"/>
            </w:tcBorders>
            <w:noWrap w:val="0"/>
            <w:vAlign w:val="center"/>
          </w:tcPr>
          <w:p w14:paraId="4E2AF61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4"/>
                <w:highlight w:val="none"/>
              </w:rPr>
            </w:pPr>
          </w:p>
        </w:tc>
        <w:tc>
          <w:tcPr>
            <w:tcW w:w="8703" w:type="dxa"/>
            <w:noWrap w:val="0"/>
            <w:vAlign w:val="center"/>
          </w:tcPr>
          <w:p w14:paraId="217C11C0">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4"/>
                <w:highlight w:val="none"/>
              </w:rPr>
            </w:pPr>
            <w:r>
              <w:rPr>
                <w:rFonts w:hint="eastAsia" w:ascii="宋体" w:hAnsi="宋体" w:eastAsia="宋体" w:cs="宋体"/>
                <w:b/>
                <w:bCs/>
                <w:color w:val="auto"/>
                <w:sz w:val="24"/>
                <w:highlight w:val="none"/>
                <w:lang w:val="en-US" w:eastAsia="zh-CN"/>
              </w:rPr>
              <w:t>本项目采购文件第三章采购需求签订合同补充至此。</w:t>
            </w:r>
          </w:p>
        </w:tc>
      </w:tr>
      <w:tr w14:paraId="7C83AC9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935" w:type="dxa"/>
            <w:tcBorders>
              <w:left w:val="single" w:color="auto" w:sz="4" w:space="0"/>
            </w:tcBorders>
            <w:noWrap w:val="0"/>
            <w:vAlign w:val="center"/>
          </w:tcPr>
          <w:p w14:paraId="58555EA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4"/>
                <w:highlight w:val="none"/>
              </w:rPr>
            </w:pPr>
          </w:p>
        </w:tc>
        <w:tc>
          <w:tcPr>
            <w:tcW w:w="8703" w:type="dxa"/>
            <w:noWrap w:val="0"/>
            <w:vAlign w:val="center"/>
          </w:tcPr>
          <w:p w14:paraId="6C3BA2C2">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4"/>
                <w:highlight w:val="none"/>
              </w:rPr>
            </w:pPr>
          </w:p>
        </w:tc>
      </w:tr>
    </w:tbl>
    <w:p w14:paraId="700FAF38">
      <w:pPr>
        <w:rPr>
          <w:rFonts w:hint="eastAsia" w:ascii="宋体" w:hAnsi="宋体" w:eastAsia="宋体" w:cs="宋体"/>
          <w:b/>
          <w:color w:val="auto"/>
          <w:sz w:val="28"/>
          <w:highlight w:val="none"/>
        </w:rPr>
      </w:pPr>
    </w:p>
    <w:p w14:paraId="34E08B9A">
      <w:pPr>
        <w:pStyle w:val="18"/>
        <w:rPr>
          <w:rFonts w:hint="eastAsia"/>
          <w:color w:val="auto"/>
          <w:highlight w:val="none"/>
        </w:rPr>
      </w:pPr>
    </w:p>
    <w:p w14:paraId="4F1C669B">
      <w:pPr>
        <w:spacing w:line="360" w:lineRule="auto"/>
        <w:jc w:val="center"/>
        <w:outlineLvl w:val="0"/>
        <w:rPr>
          <w:rFonts w:asciiTheme="minorEastAsia" w:hAnsiTheme="minorEastAsia" w:eastAsiaTheme="minorEastAsia"/>
          <w:b/>
          <w:color w:val="auto"/>
          <w:sz w:val="28"/>
          <w:highlight w:val="none"/>
        </w:rPr>
      </w:pPr>
      <w:r>
        <w:rPr>
          <w:rFonts w:hint="eastAsia" w:asciiTheme="minorEastAsia" w:hAnsiTheme="minorEastAsia" w:eastAsiaTheme="minorEastAsia"/>
          <w:b/>
          <w:color w:val="auto"/>
          <w:sz w:val="28"/>
          <w:highlight w:val="none"/>
        </w:rPr>
        <w:t>第六章  响应文件格式</w:t>
      </w:r>
      <w:bookmarkEnd w:id="37"/>
    </w:p>
    <w:p w14:paraId="4DD8492A">
      <w:pPr>
        <w:spacing w:line="500" w:lineRule="exact"/>
        <w:jc w:val="center"/>
        <w:outlineLvl w:val="1"/>
        <w:rPr>
          <w:rFonts w:asciiTheme="minorEastAsia" w:hAnsiTheme="minorEastAsia" w:eastAsiaTheme="minorEastAsia"/>
          <w:b/>
          <w:color w:val="auto"/>
          <w:sz w:val="32"/>
          <w:highlight w:val="none"/>
        </w:rPr>
      </w:pPr>
    </w:p>
    <w:p w14:paraId="15E9FA63">
      <w:pPr>
        <w:spacing w:line="900" w:lineRule="exact"/>
        <w:jc w:val="center"/>
        <w:rPr>
          <w:rFonts w:asciiTheme="minorEastAsia" w:hAnsiTheme="minorEastAsia" w:eastAsiaTheme="minorEastAsia"/>
          <w:b/>
          <w:color w:val="auto"/>
          <w:sz w:val="72"/>
          <w:highlight w:val="none"/>
        </w:rPr>
      </w:pPr>
    </w:p>
    <w:p w14:paraId="7F422F4B">
      <w:pPr>
        <w:spacing w:line="900" w:lineRule="exact"/>
        <w:jc w:val="center"/>
        <w:outlineLvl w:val="2"/>
        <w:rPr>
          <w:rFonts w:asciiTheme="minorEastAsia" w:hAnsiTheme="minorEastAsia" w:eastAsiaTheme="minorEastAsia"/>
          <w:b/>
          <w:color w:val="auto"/>
          <w:sz w:val="72"/>
          <w:highlight w:val="none"/>
        </w:rPr>
      </w:pPr>
      <w:r>
        <w:rPr>
          <w:rFonts w:hint="eastAsia" w:asciiTheme="minorEastAsia" w:hAnsiTheme="minorEastAsia" w:eastAsiaTheme="minorEastAsia"/>
          <w:b/>
          <w:color w:val="auto"/>
          <w:sz w:val="72"/>
          <w:highlight w:val="none"/>
        </w:rPr>
        <w:t>响</w:t>
      </w:r>
    </w:p>
    <w:p w14:paraId="3D80E148">
      <w:pPr>
        <w:spacing w:line="900" w:lineRule="exact"/>
        <w:jc w:val="center"/>
        <w:rPr>
          <w:rFonts w:asciiTheme="minorEastAsia" w:hAnsiTheme="minorEastAsia" w:eastAsiaTheme="minorEastAsia"/>
          <w:b/>
          <w:color w:val="auto"/>
          <w:sz w:val="72"/>
          <w:highlight w:val="none"/>
        </w:rPr>
      </w:pPr>
    </w:p>
    <w:p w14:paraId="59822D75">
      <w:pPr>
        <w:spacing w:line="900" w:lineRule="exact"/>
        <w:jc w:val="center"/>
        <w:outlineLvl w:val="2"/>
        <w:rPr>
          <w:rFonts w:asciiTheme="minorEastAsia" w:hAnsiTheme="minorEastAsia" w:eastAsiaTheme="minorEastAsia"/>
          <w:b/>
          <w:color w:val="auto"/>
          <w:sz w:val="72"/>
          <w:highlight w:val="none"/>
        </w:rPr>
      </w:pPr>
      <w:r>
        <w:rPr>
          <w:rFonts w:hint="eastAsia" w:asciiTheme="minorEastAsia" w:hAnsiTheme="minorEastAsia" w:eastAsiaTheme="minorEastAsia"/>
          <w:b/>
          <w:color w:val="auto"/>
          <w:sz w:val="72"/>
          <w:highlight w:val="none"/>
        </w:rPr>
        <w:t>应</w:t>
      </w:r>
    </w:p>
    <w:p w14:paraId="74618BE6">
      <w:pPr>
        <w:spacing w:line="900" w:lineRule="exact"/>
        <w:jc w:val="center"/>
        <w:rPr>
          <w:rFonts w:asciiTheme="minorEastAsia" w:hAnsiTheme="minorEastAsia" w:eastAsiaTheme="minorEastAsia"/>
          <w:b/>
          <w:color w:val="auto"/>
          <w:sz w:val="72"/>
          <w:highlight w:val="none"/>
        </w:rPr>
      </w:pPr>
    </w:p>
    <w:p w14:paraId="11CD3D13">
      <w:pPr>
        <w:spacing w:line="900" w:lineRule="exact"/>
        <w:jc w:val="center"/>
        <w:outlineLvl w:val="2"/>
        <w:rPr>
          <w:rFonts w:asciiTheme="minorEastAsia" w:hAnsiTheme="minorEastAsia" w:eastAsiaTheme="minorEastAsia"/>
          <w:b/>
          <w:color w:val="auto"/>
          <w:sz w:val="72"/>
          <w:highlight w:val="none"/>
        </w:rPr>
      </w:pPr>
      <w:r>
        <w:rPr>
          <w:rFonts w:hint="eastAsia" w:asciiTheme="minorEastAsia" w:hAnsiTheme="minorEastAsia" w:eastAsiaTheme="minorEastAsia"/>
          <w:b/>
          <w:color w:val="auto"/>
          <w:sz w:val="72"/>
          <w:highlight w:val="none"/>
        </w:rPr>
        <w:t>文</w:t>
      </w:r>
    </w:p>
    <w:p w14:paraId="2DEE44D2">
      <w:pPr>
        <w:spacing w:line="900" w:lineRule="exact"/>
        <w:jc w:val="center"/>
        <w:rPr>
          <w:rFonts w:asciiTheme="minorEastAsia" w:hAnsiTheme="minorEastAsia" w:eastAsiaTheme="minorEastAsia"/>
          <w:b/>
          <w:color w:val="auto"/>
          <w:sz w:val="72"/>
          <w:highlight w:val="none"/>
        </w:rPr>
      </w:pPr>
    </w:p>
    <w:p w14:paraId="386A2716">
      <w:pPr>
        <w:jc w:val="center"/>
        <w:outlineLvl w:val="2"/>
        <w:rPr>
          <w:rFonts w:asciiTheme="minorEastAsia" w:hAnsiTheme="minorEastAsia" w:eastAsiaTheme="minorEastAsia"/>
          <w:b/>
          <w:color w:val="auto"/>
          <w:sz w:val="72"/>
          <w:highlight w:val="none"/>
        </w:rPr>
      </w:pPr>
      <w:r>
        <w:rPr>
          <w:rFonts w:hint="eastAsia" w:asciiTheme="minorEastAsia" w:hAnsiTheme="minorEastAsia" w:eastAsiaTheme="minorEastAsia"/>
          <w:b/>
          <w:color w:val="auto"/>
          <w:sz w:val="72"/>
          <w:highlight w:val="none"/>
        </w:rPr>
        <w:t>件</w:t>
      </w:r>
    </w:p>
    <w:p w14:paraId="752F7FF6">
      <w:pPr>
        <w:spacing w:after="156" w:afterLines="50"/>
        <w:jc w:val="center"/>
        <w:rPr>
          <w:rFonts w:asciiTheme="minorEastAsia" w:hAnsiTheme="minorEastAsia" w:eastAsiaTheme="minorEastAsia"/>
          <w:b/>
          <w:color w:val="auto"/>
          <w:sz w:val="72"/>
          <w:highlight w:val="none"/>
        </w:rPr>
      </w:pPr>
    </w:p>
    <w:p w14:paraId="55AC6C56">
      <w:pPr>
        <w:spacing w:after="156" w:afterLines="50" w:line="500" w:lineRule="exact"/>
        <w:jc w:val="center"/>
        <w:rPr>
          <w:rFonts w:asciiTheme="minorEastAsia" w:hAnsiTheme="minorEastAsia" w:eastAsiaTheme="minorEastAsia"/>
          <w:b/>
          <w:color w:val="auto"/>
          <w:sz w:val="28"/>
          <w:szCs w:val="28"/>
          <w:highlight w:val="none"/>
        </w:rPr>
      </w:pPr>
    </w:p>
    <w:p w14:paraId="7B56F7A8">
      <w:pPr>
        <w:tabs>
          <w:tab w:val="left" w:pos="2410"/>
        </w:tabs>
        <w:autoSpaceDE w:val="0"/>
        <w:autoSpaceDN w:val="0"/>
        <w:adjustRightInd w:val="0"/>
        <w:snapToGrid w:val="0"/>
        <w:spacing w:line="360" w:lineRule="auto"/>
        <w:ind w:firstLine="643" w:firstLineChars="200"/>
        <w:jc w:val="both"/>
        <w:outlineLvl w:val="9"/>
        <w:rPr>
          <w:rFonts w:hint="default" w:ascii="宋体" w:hAnsi="宋体" w:eastAsia="宋体"/>
          <w:b/>
          <w:color w:val="auto"/>
          <w:spacing w:val="20"/>
          <w:kern w:val="0"/>
          <w:sz w:val="32"/>
          <w:szCs w:val="32"/>
          <w:highlight w:val="none"/>
          <w:lang w:val="en-US" w:eastAsia="zh-CN"/>
        </w:rPr>
      </w:pPr>
      <w:r>
        <w:rPr>
          <w:rFonts w:hint="eastAsia" w:asciiTheme="minorEastAsia" w:hAnsiTheme="minorEastAsia" w:eastAsiaTheme="minorEastAsia"/>
          <w:b/>
          <w:color w:val="auto"/>
          <w:sz w:val="32"/>
          <w:highlight w:val="none"/>
        </w:rPr>
        <w:t>项目名称：</w:t>
      </w:r>
      <w:r>
        <w:rPr>
          <w:rFonts w:hint="eastAsia" w:asciiTheme="minorEastAsia" w:hAnsiTheme="minorEastAsia" w:eastAsiaTheme="minorEastAsia"/>
          <w:b/>
          <w:color w:val="auto"/>
          <w:sz w:val="32"/>
          <w:highlight w:val="none"/>
          <w:u w:val="single"/>
        </w:rPr>
        <w:t xml:space="preserve">           </w:t>
      </w:r>
      <w:r>
        <w:rPr>
          <w:rFonts w:hint="eastAsia" w:asciiTheme="minorEastAsia" w:hAnsiTheme="minorEastAsia" w:eastAsiaTheme="minorEastAsia"/>
          <w:b/>
          <w:color w:val="auto"/>
          <w:sz w:val="32"/>
          <w:highlight w:val="none"/>
          <w:u w:val="single"/>
          <w:lang w:val="en-US" w:eastAsia="zh-CN"/>
        </w:rPr>
        <w:t xml:space="preserve">   </w:t>
      </w:r>
      <w:r>
        <w:rPr>
          <w:rFonts w:hint="eastAsia" w:asciiTheme="minorEastAsia" w:hAnsiTheme="minorEastAsia" w:eastAsiaTheme="minorEastAsia"/>
          <w:b/>
          <w:color w:val="auto"/>
          <w:sz w:val="32"/>
          <w:highlight w:val="none"/>
          <w:u w:val="single"/>
        </w:rPr>
        <w:t xml:space="preserve">    </w:t>
      </w:r>
    </w:p>
    <w:p w14:paraId="1B9C1B31">
      <w:pPr>
        <w:tabs>
          <w:tab w:val="left" w:pos="2410"/>
        </w:tabs>
        <w:autoSpaceDE w:val="0"/>
        <w:autoSpaceDN w:val="0"/>
        <w:adjustRightInd w:val="0"/>
        <w:snapToGrid w:val="0"/>
        <w:spacing w:line="360" w:lineRule="auto"/>
        <w:ind w:firstLine="643" w:firstLineChars="200"/>
        <w:jc w:val="both"/>
        <w:outlineLvl w:val="9"/>
        <w:rPr>
          <w:rFonts w:hint="eastAsia" w:asciiTheme="minorEastAsia" w:hAnsiTheme="minorEastAsia" w:eastAsiaTheme="minorEastAsia"/>
          <w:b/>
          <w:color w:val="auto"/>
          <w:sz w:val="32"/>
          <w:highlight w:val="none"/>
        </w:rPr>
      </w:pPr>
      <w:r>
        <w:rPr>
          <w:rFonts w:hint="eastAsia" w:asciiTheme="minorEastAsia" w:hAnsiTheme="minorEastAsia" w:eastAsiaTheme="minorEastAsia"/>
          <w:b/>
          <w:color w:val="auto"/>
          <w:sz w:val="32"/>
          <w:highlight w:val="none"/>
        </w:rPr>
        <w:t>项目编号：</w:t>
      </w:r>
      <w:r>
        <w:rPr>
          <w:rFonts w:hint="eastAsia" w:asciiTheme="minorEastAsia" w:hAnsiTheme="minorEastAsia" w:eastAsiaTheme="minorEastAsia"/>
          <w:b/>
          <w:color w:val="auto"/>
          <w:sz w:val="32"/>
          <w:highlight w:val="none"/>
          <w:u w:val="single"/>
        </w:rPr>
        <w:t xml:space="preserve">           </w:t>
      </w:r>
      <w:r>
        <w:rPr>
          <w:rFonts w:hint="eastAsia" w:asciiTheme="minorEastAsia" w:hAnsiTheme="minorEastAsia" w:eastAsiaTheme="minorEastAsia"/>
          <w:b/>
          <w:color w:val="auto"/>
          <w:sz w:val="32"/>
          <w:highlight w:val="none"/>
          <w:u w:val="single"/>
          <w:lang w:val="en-US" w:eastAsia="zh-CN"/>
        </w:rPr>
        <w:t xml:space="preserve">   </w:t>
      </w:r>
      <w:r>
        <w:rPr>
          <w:rFonts w:hint="eastAsia" w:asciiTheme="minorEastAsia" w:hAnsiTheme="minorEastAsia" w:eastAsiaTheme="minorEastAsia"/>
          <w:b/>
          <w:color w:val="auto"/>
          <w:sz w:val="32"/>
          <w:highlight w:val="none"/>
          <w:u w:val="single"/>
        </w:rPr>
        <w:t xml:space="preserve">    </w:t>
      </w:r>
    </w:p>
    <w:p w14:paraId="30DBAE3E">
      <w:pPr>
        <w:spacing w:after="156" w:afterLines="50" w:line="500" w:lineRule="exact"/>
        <w:ind w:firstLine="643" w:firstLineChars="200"/>
        <w:rPr>
          <w:rFonts w:asciiTheme="minorEastAsia" w:hAnsiTheme="minorEastAsia" w:eastAsiaTheme="minorEastAsia"/>
          <w:b/>
          <w:color w:val="auto"/>
          <w:sz w:val="32"/>
          <w:highlight w:val="none"/>
          <w:u w:val="single"/>
        </w:rPr>
      </w:pPr>
      <w:r>
        <w:rPr>
          <w:rFonts w:hint="eastAsia" w:asciiTheme="minorEastAsia" w:hAnsiTheme="minorEastAsia" w:eastAsiaTheme="minorEastAsia"/>
          <w:b/>
          <w:color w:val="auto"/>
          <w:sz w:val="32"/>
          <w:highlight w:val="none"/>
        </w:rPr>
        <w:t>供</w:t>
      </w:r>
      <w:r>
        <w:rPr>
          <w:rFonts w:hint="eastAsia" w:asciiTheme="minorEastAsia" w:hAnsiTheme="minorEastAsia" w:eastAsiaTheme="minorEastAsia"/>
          <w:b/>
          <w:color w:val="auto"/>
          <w:sz w:val="32"/>
          <w:highlight w:val="none"/>
          <w:lang w:val="en-US" w:eastAsia="zh-CN"/>
        </w:rPr>
        <w:t xml:space="preserve"> </w:t>
      </w:r>
      <w:r>
        <w:rPr>
          <w:rFonts w:hint="eastAsia" w:asciiTheme="minorEastAsia" w:hAnsiTheme="minorEastAsia" w:eastAsiaTheme="minorEastAsia"/>
          <w:b/>
          <w:color w:val="auto"/>
          <w:sz w:val="32"/>
          <w:highlight w:val="none"/>
        </w:rPr>
        <w:t>应</w:t>
      </w:r>
      <w:r>
        <w:rPr>
          <w:rFonts w:hint="eastAsia" w:asciiTheme="minorEastAsia" w:hAnsiTheme="minorEastAsia" w:eastAsiaTheme="minorEastAsia"/>
          <w:b/>
          <w:color w:val="auto"/>
          <w:sz w:val="32"/>
          <w:highlight w:val="none"/>
          <w:lang w:val="en-US" w:eastAsia="zh-CN"/>
        </w:rPr>
        <w:t xml:space="preserve"> </w:t>
      </w:r>
      <w:r>
        <w:rPr>
          <w:rFonts w:hint="eastAsia" w:asciiTheme="minorEastAsia" w:hAnsiTheme="minorEastAsia" w:eastAsiaTheme="minorEastAsia"/>
          <w:b/>
          <w:color w:val="auto"/>
          <w:sz w:val="32"/>
          <w:highlight w:val="none"/>
        </w:rPr>
        <w:t>商：</w:t>
      </w:r>
      <w:r>
        <w:rPr>
          <w:rFonts w:hint="eastAsia" w:asciiTheme="minorEastAsia" w:hAnsiTheme="minorEastAsia" w:eastAsiaTheme="minorEastAsia"/>
          <w:b/>
          <w:color w:val="auto"/>
          <w:sz w:val="32"/>
          <w:highlight w:val="none"/>
          <w:u w:val="single"/>
        </w:rPr>
        <w:t xml:space="preserve">           </w:t>
      </w:r>
      <w:r>
        <w:rPr>
          <w:rFonts w:hint="eastAsia" w:asciiTheme="minorEastAsia" w:hAnsiTheme="minorEastAsia" w:eastAsiaTheme="minorEastAsia"/>
          <w:b/>
          <w:color w:val="auto"/>
          <w:sz w:val="32"/>
          <w:highlight w:val="none"/>
          <w:u w:val="single"/>
          <w:lang w:val="en-US" w:eastAsia="zh-CN"/>
        </w:rPr>
        <w:t xml:space="preserve">     </w:t>
      </w:r>
      <w:r>
        <w:rPr>
          <w:rFonts w:hint="eastAsia" w:asciiTheme="minorEastAsia" w:hAnsiTheme="minorEastAsia" w:eastAsiaTheme="minorEastAsia"/>
          <w:b/>
          <w:color w:val="auto"/>
          <w:sz w:val="32"/>
          <w:highlight w:val="none"/>
          <w:u w:val="single"/>
        </w:rPr>
        <w:t xml:space="preserve">  </w:t>
      </w:r>
    </w:p>
    <w:p w14:paraId="2A7600E8">
      <w:pPr>
        <w:spacing w:after="156" w:afterLines="50" w:line="500" w:lineRule="exact"/>
        <w:jc w:val="center"/>
        <w:outlineLvl w:val="1"/>
        <w:rPr>
          <w:rFonts w:asciiTheme="minorEastAsia" w:hAnsiTheme="minorEastAsia" w:eastAsiaTheme="minorEastAsia"/>
          <w:b/>
          <w:color w:val="auto"/>
          <w:sz w:val="32"/>
          <w:highlight w:val="none"/>
        </w:rPr>
      </w:pPr>
      <w:r>
        <w:rPr>
          <w:rFonts w:hint="eastAsia" w:asciiTheme="minorEastAsia" w:hAnsiTheme="minorEastAsia" w:eastAsiaTheme="minorEastAsia"/>
          <w:b/>
          <w:color w:val="auto"/>
          <w:sz w:val="32"/>
          <w:highlight w:val="none"/>
          <w:u w:val="single"/>
        </w:rPr>
        <w:t xml:space="preserve">    </w:t>
      </w:r>
      <w:bookmarkStart w:id="187" w:name="_Toc25570"/>
      <w:bookmarkStart w:id="188" w:name="_Toc3338"/>
      <w:r>
        <w:rPr>
          <w:rFonts w:hint="eastAsia" w:asciiTheme="minorEastAsia" w:hAnsiTheme="minorEastAsia" w:eastAsiaTheme="minorEastAsia"/>
          <w:b/>
          <w:color w:val="auto"/>
          <w:sz w:val="32"/>
          <w:highlight w:val="none"/>
        </w:rPr>
        <w:t>年</w:t>
      </w:r>
      <w:r>
        <w:rPr>
          <w:rFonts w:hint="eastAsia" w:asciiTheme="minorEastAsia" w:hAnsiTheme="minorEastAsia" w:eastAsiaTheme="minorEastAsia"/>
          <w:b/>
          <w:color w:val="auto"/>
          <w:sz w:val="32"/>
          <w:highlight w:val="none"/>
          <w:u w:val="single"/>
        </w:rPr>
        <w:t xml:space="preserve">  </w:t>
      </w:r>
      <w:r>
        <w:rPr>
          <w:rFonts w:hint="eastAsia" w:asciiTheme="minorEastAsia" w:hAnsiTheme="minorEastAsia" w:eastAsiaTheme="minorEastAsia"/>
          <w:b/>
          <w:color w:val="auto"/>
          <w:sz w:val="32"/>
          <w:highlight w:val="none"/>
        </w:rPr>
        <w:t>月</w:t>
      </w:r>
      <w:r>
        <w:rPr>
          <w:rFonts w:hint="eastAsia" w:asciiTheme="minorEastAsia" w:hAnsiTheme="minorEastAsia" w:eastAsiaTheme="minorEastAsia"/>
          <w:b/>
          <w:color w:val="auto"/>
          <w:sz w:val="32"/>
          <w:highlight w:val="none"/>
          <w:u w:val="single"/>
        </w:rPr>
        <w:t xml:space="preserve">  </w:t>
      </w:r>
      <w:r>
        <w:rPr>
          <w:rFonts w:hint="eastAsia" w:asciiTheme="minorEastAsia" w:hAnsiTheme="minorEastAsia" w:eastAsiaTheme="minorEastAsia"/>
          <w:b/>
          <w:color w:val="auto"/>
          <w:sz w:val="32"/>
          <w:highlight w:val="none"/>
        </w:rPr>
        <w:t>日</w:t>
      </w:r>
      <w:bookmarkEnd w:id="187"/>
      <w:bookmarkEnd w:id="188"/>
    </w:p>
    <w:p w14:paraId="7C01E914">
      <w:pPr>
        <w:widowControl/>
        <w:jc w:val="left"/>
        <w:rPr>
          <w:rFonts w:asciiTheme="minorEastAsia" w:hAnsiTheme="minorEastAsia" w:eastAsiaTheme="minorEastAsia"/>
          <w:b/>
          <w:color w:val="auto"/>
          <w:sz w:val="28"/>
          <w:highlight w:val="none"/>
        </w:rPr>
      </w:pPr>
      <w:r>
        <w:rPr>
          <w:rFonts w:asciiTheme="minorEastAsia" w:hAnsiTheme="minorEastAsia" w:eastAsiaTheme="minorEastAsia"/>
          <w:b/>
          <w:color w:val="auto"/>
          <w:sz w:val="28"/>
          <w:highlight w:val="none"/>
        </w:rPr>
        <w:br w:type="page"/>
      </w:r>
    </w:p>
    <w:p w14:paraId="34E8F10A">
      <w:pPr>
        <w:spacing w:line="360" w:lineRule="auto"/>
        <w:jc w:val="center"/>
        <w:outlineLvl w:val="1"/>
        <w:rPr>
          <w:rFonts w:asciiTheme="minorEastAsia" w:hAnsiTheme="minorEastAsia" w:eastAsiaTheme="minorEastAsia"/>
          <w:b/>
          <w:color w:val="auto"/>
          <w:sz w:val="24"/>
          <w:highlight w:val="none"/>
        </w:rPr>
      </w:pPr>
      <w:bookmarkStart w:id="189" w:name="_Toc6837"/>
      <w:bookmarkStart w:id="190" w:name="_Toc17899"/>
      <w:r>
        <w:rPr>
          <w:rFonts w:hint="eastAsia" w:asciiTheme="minorEastAsia" w:hAnsiTheme="minorEastAsia" w:eastAsiaTheme="minorEastAsia"/>
          <w:b/>
          <w:color w:val="auto"/>
          <w:sz w:val="24"/>
          <w:highlight w:val="none"/>
        </w:rPr>
        <w:t>一、报价表格式</w:t>
      </w:r>
      <w:bookmarkEnd w:id="189"/>
      <w:bookmarkEnd w:id="190"/>
    </w:p>
    <w:p w14:paraId="57F581B1">
      <w:pPr>
        <w:spacing w:before="156" w:beforeLines="50" w:after="156" w:afterLines="50" w:line="360" w:lineRule="auto"/>
        <w:jc w:val="left"/>
        <w:outlineLvl w:val="2"/>
        <w:rPr>
          <w:rFonts w:ascii="宋体" w:hAnsi="宋体" w:eastAsia="宋体"/>
          <w:b/>
          <w:color w:val="auto"/>
          <w:sz w:val="24"/>
          <w:szCs w:val="28"/>
          <w:highlight w:val="none"/>
        </w:rPr>
      </w:pPr>
      <w:r>
        <w:rPr>
          <w:rFonts w:hint="eastAsia" w:ascii="宋体" w:hAnsi="宋体" w:eastAsia="宋体"/>
          <w:b/>
          <w:color w:val="auto"/>
          <w:sz w:val="24"/>
          <w:szCs w:val="28"/>
          <w:highlight w:val="none"/>
        </w:rPr>
        <w:t>1-1 报价表</w:t>
      </w:r>
    </w:p>
    <w:p w14:paraId="4D628D22">
      <w:pPr>
        <w:snapToGrid w:val="0"/>
        <w:spacing w:line="360" w:lineRule="auto"/>
        <w:jc w:val="left"/>
        <w:rPr>
          <w:rFonts w:ascii="宋体" w:hAnsi="宋体" w:eastAsia="宋体"/>
          <w:b/>
          <w:color w:val="auto"/>
          <w:sz w:val="24"/>
          <w:szCs w:val="28"/>
          <w:highlight w:val="none"/>
        </w:rPr>
      </w:pPr>
      <w:r>
        <w:rPr>
          <w:rFonts w:hint="eastAsia" w:ascii="宋体" w:hAnsi="宋体" w:eastAsia="宋体"/>
          <w:b/>
          <w:color w:val="auto"/>
          <w:sz w:val="24"/>
          <w:szCs w:val="28"/>
          <w:highlight w:val="none"/>
        </w:rPr>
        <w:t>项目名称：</w:t>
      </w:r>
      <w:r>
        <w:rPr>
          <w:rFonts w:hint="eastAsia" w:ascii="宋体" w:hAnsi="宋体" w:eastAsia="宋体"/>
          <w:b/>
          <w:color w:val="auto"/>
          <w:sz w:val="24"/>
          <w:szCs w:val="28"/>
          <w:highlight w:val="none"/>
          <w:u w:val="single"/>
        </w:rPr>
        <w:t xml:space="preserve"> </w:t>
      </w:r>
      <w:r>
        <w:rPr>
          <w:rFonts w:hint="eastAsia" w:ascii="宋体" w:hAnsi="宋体" w:eastAsia="宋体"/>
          <w:b/>
          <w:color w:val="auto"/>
          <w:sz w:val="24"/>
          <w:szCs w:val="28"/>
          <w:highlight w:val="none"/>
          <w:u w:val="single"/>
          <w:lang w:val="en-US" w:eastAsia="zh-CN"/>
        </w:rPr>
        <w:t xml:space="preserve"> </w:t>
      </w:r>
      <w:r>
        <w:rPr>
          <w:rFonts w:hint="eastAsia" w:ascii="宋体" w:hAnsi="宋体" w:eastAsia="宋体"/>
          <w:b/>
          <w:color w:val="auto"/>
          <w:sz w:val="24"/>
          <w:szCs w:val="28"/>
          <w:highlight w:val="none"/>
          <w:u w:val="single"/>
        </w:rPr>
        <w:t xml:space="preserve">    </w:t>
      </w:r>
      <w:r>
        <w:rPr>
          <w:rFonts w:hint="eastAsia" w:ascii="宋体" w:hAnsi="宋体" w:eastAsia="宋体"/>
          <w:b/>
          <w:color w:val="auto"/>
          <w:sz w:val="24"/>
          <w:szCs w:val="28"/>
          <w:highlight w:val="none"/>
          <w:u w:val="single"/>
          <w:lang w:val="en-US" w:eastAsia="zh-CN"/>
        </w:rPr>
        <w:t xml:space="preserve"> </w:t>
      </w:r>
      <w:r>
        <w:rPr>
          <w:rFonts w:hint="eastAsia" w:ascii="宋体" w:hAnsi="宋体" w:eastAsia="宋体"/>
          <w:b/>
          <w:color w:val="auto"/>
          <w:sz w:val="24"/>
          <w:szCs w:val="28"/>
          <w:highlight w:val="none"/>
          <w:u w:val="single"/>
        </w:rPr>
        <w:t xml:space="preserve">   </w:t>
      </w:r>
    </w:p>
    <w:p w14:paraId="00B1F313">
      <w:pPr>
        <w:snapToGrid w:val="0"/>
        <w:spacing w:after="156" w:afterLines="50" w:line="360" w:lineRule="auto"/>
        <w:jc w:val="left"/>
        <w:rPr>
          <w:rFonts w:ascii="宋体" w:hAnsi="宋体" w:eastAsia="宋体"/>
          <w:b/>
          <w:bCs/>
          <w:color w:val="auto"/>
          <w:sz w:val="24"/>
          <w:szCs w:val="28"/>
          <w:highlight w:val="none"/>
          <w:u w:val="single"/>
        </w:rPr>
      </w:pPr>
      <w:r>
        <w:rPr>
          <w:rFonts w:hint="eastAsia" w:ascii="宋体" w:hAnsi="宋体" w:eastAsia="宋体"/>
          <w:b/>
          <w:color w:val="auto"/>
          <w:sz w:val="24"/>
          <w:szCs w:val="28"/>
          <w:highlight w:val="none"/>
        </w:rPr>
        <w:t>项目编号：</w:t>
      </w:r>
      <w:r>
        <w:rPr>
          <w:rFonts w:hint="eastAsia" w:ascii="宋体" w:hAnsi="宋体" w:eastAsia="宋体"/>
          <w:b/>
          <w:color w:val="auto"/>
          <w:sz w:val="24"/>
          <w:szCs w:val="28"/>
          <w:highlight w:val="none"/>
          <w:u w:val="single"/>
        </w:rPr>
        <w:t xml:space="preserve">  </w:t>
      </w:r>
      <w:r>
        <w:rPr>
          <w:rFonts w:hint="eastAsia" w:ascii="宋体" w:hAnsi="宋体" w:eastAsia="宋体"/>
          <w:b/>
          <w:color w:val="auto"/>
          <w:sz w:val="24"/>
          <w:szCs w:val="28"/>
          <w:highlight w:val="none"/>
          <w:u w:val="single"/>
          <w:lang w:val="en-US" w:eastAsia="zh-CN"/>
        </w:rPr>
        <w:t xml:space="preserve"> </w:t>
      </w:r>
      <w:r>
        <w:rPr>
          <w:rFonts w:hint="eastAsia" w:ascii="宋体" w:hAnsi="宋体" w:eastAsia="宋体"/>
          <w:b/>
          <w:color w:val="auto"/>
          <w:sz w:val="24"/>
          <w:szCs w:val="28"/>
          <w:highlight w:val="none"/>
          <w:u w:val="single"/>
        </w:rPr>
        <w:t xml:space="preserve">       </w:t>
      </w:r>
    </w:p>
    <w:tbl>
      <w:tblPr>
        <w:tblStyle w:val="29"/>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80"/>
        <w:gridCol w:w="6607"/>
      </w:tblGrid>
      <w:tr w14:paraId="4E5C6D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jc w:val="center"/>
        </w:trPr>
        <w:tc>
          <w:tcPr>
            <w:tcW w:w="1443" w:type="pct"/>
            <w:tcBorders>
              <w:top w:val="single" w:color="auto" w:sz="4" w:space="0"/>
              <w:left w:val="single" w:color="auto" w:sz="4" w:space="0"/>
              <w:bottom w:val="single" w:color="auto" w:sz="4" w:space="0"/>
              <w:right w:val="single" w:color="auto" w:sz="4" w:space="0"/>
            </w:tcBorders>
            <w:vAlign w:val="center"/>
          </w:tcPr>
          <w:p w14:paraId="5CE924E8">
            <w:pPr>
              <w:spacing w:line="360" w:lineRule="auto"/>
              <w:jc w:val="center"/>
              <w:rPr>
                <w:rFonts w:ascii="宋体" w:hAnsi="宋体" w:eastAsia="宋体"/>
                <w:b/>
                <w:color w:val="auto"/>
                <w:sz w:val="24"/>
                <w:highlight w:val="none"/>
              </w:rPr>
            </w:pPr>
            <w:r>
              <w:rPr>
                <w:rFonts w:hint="eastAsia" w:ascii="宋体" w:hAnsi="宋体" w:eastAsia="宋体"/>
                <w:b/>
                <w:color w:val="auto"/>
                <w:sz w:val="24"/>
                <w:highlight w:val="none"/>
              </w:rPr>
              <w:t>供应商名称</w:t>
            </w:r>
          </w:p>
        </w:tc>
        <w:tc>
          <w:tcPr>
            <w:tcW w:w="3557" w:type="pct"/>
            <w:tcBorders>
              <w:left w:val="single" w:color="auto" w:sz="4" w:space="0"/>
            </w:tcBorders>
          </w:tcPr>
          <w:p w14:paraId="79910C53">
            <w:pPr>
              <w:spacing w:line="360" w:lineRule="auto"/>
              <w:rPr>
                <w:rFonts w:ascii="宋体" w:hAnsi="宋体" w:eastAsia="宋体"/>
                <w:b/>
                <w:color w:val="auto"/>
                <w:sz w:val="24"/>
                <w:highlight w:val="none"/>
              </w:rPr>
            </w:pPr>
          </w:p>
        </w:tc>
      </w:tr>
      <w:tr w14:paraId="424A17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jc w:val="center"/>
        </w:trPr>
        <w:tc>
          <w:tcPr>
            <w:tcW w:w="1443" w:type="pct"/>
            <w:tcBorders>
              <w:top w:val="single" w:color="auto" w:sz="4" w:space="0"/>
              <w:left w:val="single" w:color="auto" w:sz="4" w:space="0"/>
              <w:bottom w:val="single" w:color="auto" w:sz="4" w:space="0"/>
              <w:right w:val="single" w:color="auto" w:sz="4" w:space="0"/>
            </w:tcBorders>
            <w:vAlign w:val="center"/>
          </w:tcPr>
          <w:p w14:paraId="0D031448">
            <w:pPr>
              <w:spacing w:line="360" w:lineRule="exact"/>
              <w:jc w:val="center"/>
              <w:rPr>
                <w:rFonts w:ascii="宋体" w:hAnsi="宋体" w:eastAsia="宋体"/>
                <w:b/>
                <w:color w:val="auto"/>
                <w:sz w:val="24"/>
                <w:highlight w:val="none"/>
              </w:rPr>
            </w:pPr>
            <w:r>
              <w:rPr>
                <w:rFonts w:hint="eastAsia" w:ascii="宋体" w:hAnsi="宋体" w:eastAsia="宋体"/>
                <w:b/>
                <w:color w:val="auto"/>
                <w:sz w:val="24"/>
                <w:highlight w:val="none"/>
              </w:rPr>
              <w:t>谈判范围</w:t>
            </w:r>
          </w:p>
        </w:tc>
        <w:tc>
          <w:tcPr>
            <w:tcW w:w="3557" w:type="pct"/>
            <w:tcBorders>
              <w:left w:val="single" w:color="auto" w:sz="4" w:space="0"/>
            </w:tcBorders>
            <w:vAlign w:val="center"/>
          </w:tcPr>
          <w:p w14:paraId="733927A6">
            <w:pPr>
              <w:widowControl/>
              <w:spacing w:line="360" w:lineRule="exact"/>
              <w:rPr>
                <w:rFonts w:hint="default" w:ascii="宋体" w:hAnsi="宋体" w:eastAsia="宋体"/>
                <w:b/>
                <w:color w:val="auto"/>
                <w:sz w:val="24"/>
                <w:highlight w:val="none"/>
                <w:lang w:val="en-US" w:eastAsia="zh-CN"/>
              </w:rPr>
            </w:pPr>
            <w:r>
              <w:rPr>
                <w:rFonts w:hint="eastAsia" w:ascii="宋体" w:hAnsi="宋体" w:eastAsia="宋体"/>
                <w:b/>
                <w:color w:val="auto"/>
                <w:sz w:val="24"/>
                <w:highlight w:val="none"/>
                <w:lang w:val="en-US" w:eastAsia="zh-CN"/>
              </w:rPr>
              <w:t>全部</w:t>
            </w:r>
          </w:p>
        </w:tc>
      </w:tr>
      <w:tr w14:paraId="1F558D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1" w:hRule="atLeast"/>
          <w:jc w:val="center"/>
        </w:trPr>
        <w:tc>
          <w:tcPr>
            <w:tcW w:w="1443" w:type="pct"/>
            <w:tcBorders>
              <w:top w:val="single" w:color="auto" w:sz="4" w:space="0"/>
            </w:tcBorders>
            <w:vAlign w:val="center"/>
          </w:tcPr>
          <w:p w14:paraId="5ED79AA9">
            <w:pPr>
              <w:spacing w:line="360" w:lineRule="auto"/>
              <w:jc w:val="center"/>
              <w:rPr>
                <w:rFonts w:ascii="宋体" w:hAnsi="宋体" w:eastAsia="宋体"/>
                <w:b/>
                <w:color w:val="auto"/>
                <w:sz w:val="24"/>
                <w:highlight w:val="none"/>
              </w:rPr>
            </w:pPr>
            <w:r>
              <w:rPr>
                <w:rFonts w:hint="eastAsia" w:ascii="宋体" w:hAnsi="宋体" w:eastAsia="宋体"/>
                <w:b/>
                <w:color w:val="auto"/>
                <w:sz w:val="24"/>
                <w:highlight w:val="none"/>
              </w:rPr>
              <w:t>报价</w:t>
            </w:r>
          </w:p>
          <w:p w14:paraId="50D3E96E">
            <w:pPr>
              <w:spacing w:line="360" w:lineRule="auto"/>
              <w:jc w:val="center"/>
              <w:rPr>
                <w:rFonts w:ascii="宋体" w:hAnsi="宋体" w:eastAsia="宋体"/>
                <w:b/>
                <w:color w:val="auto"/>
                <w:sz w:val="24"/>
                <w:highlight w:val="none"/>
              </w:rPr>
            </w:pPr>
            <w:r>
              <w:rPr>
                <w:rFonts w:hint="eastAsia" w:ascii="宋体" w:hAnsi="宋体" w:eastAsia="宋体"/>
                <w:b/>
                <w:color w:val="auto"/>
                <w:sz w:val="24"/>
                <w:highlight w:val="none"/>
              </w:rPr>
              <w:t>（详见备注说明）</w:t>
            </w:r>
          </w:p>
        </w:tc>
        <w:tc>
          <w:tcPr>
            <w:tcW w:w="3557" w:type="pct"/>
            <w:vAlign w:val="center"/>
          </w:tcPr>
          <w:p w14:paraId="60A802BE">
            <w:pPr>
              <w:snapToGrid w:val="0"/>
              <w:spacing w:line="360" w:lineRule="auto"/>
              <w:rPr>
                <w:rFonts w:ascii="宋体" w:hAnsi="宋体" w:eastAsia="宋体"/>
                <w:color w:val="auto"/>
                <w:sz w:val="24"/>
                <w:szCs w:val="28"/>
                <w:highlight w:val="none"/>
              </w:rPr>
            </w:pPr>
          </w:p>
          <w:p w14:paraId="37A41E30">
            <w:pPr>
              <w:snapToGrid w:val="0"/>
              <w:spacing w:line="360" w:lineRule="auto"/>
              <w:rPr>
                <w:rFonts w:hint="eastAsia" w:ascii="宋体" w:hAnsi="宋体" w:eastAsia="宋体" w:cs="宋体"/>
                <w:bCs/>
                <w:color w:val="auto"/>
                <w:szCs w:val="21"/>
                <w:highlight w:val="none"/>
                <w:u w:val="single"/>
                <w:lang w:eastAsia="zh-CN"/>
              </w:rPr>
            </w:pPr>
            <w:r>
              <w:rPr>
                <w:rFonts w:hint="eastAsia" w:ascii="宋体" w:hAnsi="宋体" w:eastAsia="宋体" w:cs="宋体"/>
                <w:bCs/>
                <w:color w:val="auto"/>
                <w:szCs w:val="21"/>
                <w:highlight w:val="none"/>
              </w:rPr>
              <w:t>大写：</w:t>
            </w:r>
            <w:r>
              <w:rPr>
                <w:rFonts w:hint="eastAsia" w:ascii="宋体" w:hAnsi="宋体" w:eastAsia="宋体" w:cs="宋体"/>
                <w:bCs/>
                <w:color w:val="auto"/>
                <w:szCs w:val="21"/>
                <w:highlight w:val="none"/>
                <w:u w:val="single"/>
                <w:lang w:val="en-US" w:eastAsia="zh-CN"/>
              </w:rPr>
              <w:t xml:space="preserve">                    </w:t>
            </w:r>
            <w:r>
              <w:rPr>
                <w:rFonts w:hint="eastAsia" w:ascii="宋体" w:hAnsi="宋体" w:eastAsia="宋体" w:cs="宋体"/>
                <w:b/>
                <w:bCs w:val="0"/>
                <w:color w:val="auto"/>
                <w:szCs w:val="21"/>
                <w:highlight w:val="none"/>
                <w:lang w:val="en-US" w:eastAsia="zh-CN"/>
              </w:rPr>
              <w:t xml:space="preserve"> </w:t>
            </w:r>
          </w:p>
          <w:p w14:paraId="15B0C5F6">
            <w:pPr>
              <w:snapToGrid w:val="0"/>
              <w:spacing w:line="360" w:lineRule="auto"/>
              <w:rPr>
                <w:rFonts w:ascii="宋体" w:hAnsi="宋体" w:eastAsia="宋体" w:cs="宋体"/>
                <w:bCs/>
                <w:color w:val="auto"/>
                <w:szCs w:val="21"/>
                <w:highlight w:val="none"/>
                <w:u w:val="single"/>
              </w:rPr>
            </w:pPr>
            <w:r>
              <w:rPr>
                <w:rFonts w:hint="eastAsia" w:ascii="宋体" w:hAnsi="宋体" w:eastAsia="宋体" w:cs="宋体"/>
                <w:bCs/>
                <w:color w:val="auto"/>
                <w:szCs w:val="21"/>
                <w:highlight w:val="none"/>
              </w:rPr>
              <w:t>小写：</w:t>
            </w:r>
            <w:r>
              <w:rPr>
                <w:rFonts w:hint="eastAsia" w:ascii="宋体" w:hAnsi="宋体" w:eastAsia="宋体" w:cs="宋体"/>
                <w:bCs/>
                <w:color w:val="auto"/>
                <w:szCs w:val="21"/>
                <w:highlight w:val="none"/>
                <w:u w:val="single"/>
              </w:rPr>
              <w:t xml:space="preserve">         </w:t>
            </w:r>
            <w:r>
              <w:rPr>
                <w:rFonts w:hint="eastAsia" w:ascii="宋体" w:hAnsi="宋体" w:eastAsia="宋体" w:cs="宋体"/>
                <w:bCs/>
                <w:color w:val="auto"/>
                <w:szCs w:val="21"/>
                <w:highlight w:val="none"/>
                <w:u w:val="single"/>
                <w:lang w:val="en-US" w:eastAsia="zh-CN"/>
              </w:rPr>
              <w:t xml:space="preserve">    </w:t>
            </w:r>
            <w:r>
              <w:rPr>
                <w:rFonts w:hint="eastAsia" w:ascii="宋体" w:hAnsi="宋体" w:eastAsia="宋体" w:cs="宋体"/>
                <w:bCs/>
                <w:color w:val="auto"/>
                <w:szCs w:val="21"/>
                <w:highlight w:val="none"/>
                <w:u w:val="single"/>
              </w:rPr>
              <w:t xml:space="preserve">    </w:t>
            </w:r>
            <w:r>
              <w:rPr>
                <w:rFonts w:hint="eastAsia" w:ascii="宋体" w:hAnsi="宋体" w:eastAsia="宋体" w:cs="宋体"/>
                <w:b/>
                <w:bCs w:val="0"/>
                <w:color w:val="auto"/>
                <w:szCs w:val="21"/>
                <w:highlight w:val="none"/>
              </w:rPr>
              <w:t>元</w:t>
            </w:r>
          </w:p>
          <w:p w14:paraId="75437F6A">
            <w:pPr>
              <w:snapToGrid w:val="0"/>
              <w:spacing w:line="360" w:lineRule="auto"/>
              <w:rPr>
                <w:rFonts w:ascii="宋体" w:hAnsi="宋体" w:eastAsia="宋体"/>
                <w:b/>
                <w:color w:val="auto"/>
                <w:sz w:val="24"/>
                <w:highlight w:val="none"/>
              </w:rPr>
            </w:pPr>
          </w:p>
        </w:tc>
      </w:tr>
      <w:tr w14:paraId="14384B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87" w:hRule="atLeast"/>
          <w:jc w:val="center"/>
        </w:trPr>
        <w:tc>
          <w:tcPr>
            <w:tcW w:w="1443" w:type="pct"/>
            <w:vAlign w:val="center"/>
          </w:tcPr>
          <w:p w14:paraId="56AA56D0">
            <w:pPr>
              <w:spacing w:line="360" w:lineRule="auto"/>
              <w:jc w:val="center"/>
              <w:rPr>
                <w:rFonts w:ascii="宋体" w:hAnsi="宋体" w:eastAsia="宋体"/>
                <w:b/>
                <w:color w:val="auto"/>
                <w:sz w:val="24"/>
                <w:highlight w:val="none"/>
              </w:rPr>
            </w:pPr>
            <w:r>
              <w:rPr>
                <w:rFonts w:hint="eastAsia" w:ascii="宋体" w:hAnsi="宋体" w:eastAsia="宋体"/>
                <w:b/>
                <w:color w:val="auto"/>
                <w:sz w:val="24"/>
                <w:highlight w:val="none"/>
              </w:rPr>
              <w:t>备注说明</w:t>
            </w:r>
          </w:p>
        </w:tc>
        <w:tc>
          <w:tcPr>
            <w:tcW w:w="3557" w:type="pct"/>
          </w:tcPr>
          <w:p w14:paraId="44719243">
            <w:pPr>
              <w:spacing w:line="360" w:lineRule="auto"/>
              <w:rPr>
                <w:rFonts w:hint="default" w:ascii="宋体" w:hAnsi="宋体" w:eastAsia="宋体"/>
                <w:b/>
                <w:color w:val="auto"/>
                <w:sz w:val="24"/>
                <w:highlight w:val="none"/>
                <w:lang w:val="en-US" w:eastAsia="zh-CN"/>
              </w:rPr>
            </w:pPr>
          </w:p>
        </w:tc>
      </w:tr>
    </w:tbl>
    <w:p w14:paraId="30A686AD">
      <w:pPr>
        <w:spacing w:line="440" w:lineRule="exact"/>
        <w:ind w:firstLine="4800" w:firstLineChars="2000"/>
        <w:rPr>
          <w:rFonts w:ascii="宋体" w:hAnsi="宋体" w:eastAsia="宋体"/>
          <w:color w:val="auto"/>
          <w:sz w:val="24"/>
          <w:szCs w:val="24"/>
          <w:highlight w:val="none"/>
          <w:u w:val="single"/>
        </w:rPr>
      </w:pPr>
      <w:r>
        <w:rPr>
          <w:rFonts w:hint="eastAsia" w:ascii="宋体" w:hAnsi="宋体" w:eastAsia="宋体"/>
          <w:color w:val="auto"/>
          <w:sz w:val="24"/>
          <w:szCs w:val="24"/>
          <w:highlight w:val="none"/>
        </w:rPr>
        <w:t>供应商电子签章：</w:t>
      </w:r>
      <w:r>
        <w:rPr>
          <w:rFonts w:hint="eastAsia" w:ascii="宋体" w:hAnsi="宋体" w:eastAsia="宋体"/>
          <w:color w:val="auto"/>
          <w:sz w:val="24"/>
          <w:szCs w:val="24"/>
          <w:highlight w:val="none"/>
          <w:u w:val="single"/>
        </w:rPr>
        <w:t xml:space="preserve">     </w:t>
      </w:r>
      <w:r>
        <w:rPr>
          <w:rFonts w:ascii="宋体" w:hAnsi="宋体" w:eastAsia="宋体"/>
          <w:color w:val="auto"/>
          <w:sz w:val="24"/>
          <w:szCs w:val="24"/>
          <w:highlight w:val="none"/>
          <w:u w:val="single"/>
        </w:rPr>
        <w:t xml:space="preserve">    </w:t>
      </w:r>
      <w:r>
        <w:rPr>
          <w:rFonts w:hint="eastAsia" w:ascii="宋体" w:hAnsi="宋体" w:eastAsia="宋体"/>
          <w:color w:val="auto"/>
          <w:sz w:val="24"/>
          <w:szCs w:val="24"/>
          <w:highlight w:val="none"/>
          <w:u w:val="single"/>
        </w:rPr>
        <w:t xml:space="preserve">    </w:t>
      </w:r>
    </w:p>
    <w:p w14:paraId="753A948C">
      <w:pPr>
        <w:spacing w:line="440" w:lineRule="exact"/>
        <w:ind w:firstLine="4800" w:firstLineChars="2000"/>
        <w:rPr>
          <w:rFonts w:ascii="宋体" w:hAnsi="宋体" w:eastAsia="宋体"/>
          <w:color w:val="auto"/>
          <w:sz w:val="24"/>
          <w:szCs w:val="24"/>
          <w:highlight w:val="none"/>
          <w:u w:val="single"/>
        </w:rPr>
      </w:pPr>
      <w:r>
        <w:rPr>
          <w:rFonts w:hint="eastAsia" w:ascii="宋体" w:hAnsi="宋体" w:eastAsia="宋体"/>
          <w:color w:val="auto"/>
          <w:sz w:val="24"/>
          <w:szCs w:val="24"/>
          <w:highlight w:val="none"/>
        </w:rPr>
        <w:t xml:space="preserve">日     </w:t>
      </w:r>
      <w:r>
        <w:rPr>
          <w:rFonts w:ascii="宋体" w:hAnsi="宋体" w:eastAsia="宋体"/>
          <w:color w:val="auto"/>
          <w:sz w:val="24"/>
          <w:szCs w:val="24"/>
          <w:highlight w:val="none"/>
        </w:rPr>
        <w:t xml:space="preserve">    </w:t>
      </w:r>
      <w:r>
        <w:rPr>
          <w:rFonts w:hint="eastAsia" w:ascii="宋体" w:hAnsi="宋体" w:eastAsia="宋体"/>
          <w:color w:val="auto"/>
          <w:sz w:val="24"/>
          <w:szCs w:val="24"/>
          <w:highlight w:val="none"/>
        </w:rPr>
        <w:t xml:space="preserve"> 期：</w:t>
      </w:r>
      <w:r>
        <w:rPr>
          <w:rFonts w:hint="eastAsia" w:ascii="宋体" w:hAnsi="宋体" w:eastAsia="宋体"/>
          <w:color w:val="auto"/>
          <w:sz w:val="24"/>
          <w:szCs w:val="24"/>
          <w:highlight w:val="none"/>
          <w:u w:val="single"/>
        </w:rPr>
        <w:t xml:space="preserve">             </w:t>
      </w:r>
    </w:p>
    <w:p w14:paraId="75A4ECAB">
      <w:pPr>
        <w:snapToGrid w:val="0"/>
        <w:spacing w:line="360" w:lineRule="auto"/>
        <w:ind w:left="5550"/>
        <w:jc w:val="center"/>
        <w:rPr>
          <w:rFonts w:ascii="宋体" w:hAnsi="宋体" w:eastAsia="宋体"/>
          <w:color w:val="auto"/>
          <w:sz w:val="24"/>
          <w:highlight w:val="none"/>
        </w:rPr>
      </w:pPr>
      <w:r>
        <w:rPr>
          <w:rFonts w:hint="eastAsia" w:ascii="宋体" w:hAnsi="宋体" w:eastAsia="宋体"/>
          <w:color w:val="auto"/>
          <w:sz w:val="24"/>
          <w:highlight w:val="none"/>
        </w:rPr>
        <w:t xml:space="preserve"> </w:t>
      </w:r>
    </w:p>
    <w:p w14:paraId="3FEFAEE0">
      <w:pPr>
        <w:adjustRightInd w:val="0"/>
        <w:snapToGrid w:val="0"/>
        <w:spacing w:line="360" w:lineRule="auto"/>
        <w:rPr>
          <w:rFonts w:ascii="宋体" w:hAnsi="宋体" w:eastAsia="宋体"/>
          <w:b/>
          <w:bCs/>
          <w:color w:val="auto"/>
          <w:sz w:val="24"/>
          <w:szCs w:val="28"/>
          <w:highlight w:val="none"/>
        </w:rPr>
      </w:pPr>
      <w:r>
        <w:rPr>
          <w:rFonts w:hint="eastAsia" w:ascii="宋体" w:hAnsi="宋体" w:eastAsia="宋体"/>
          <w:b/>
          <w:bCs/>
          <w:color w:val="auto"/>
          <w:sz w:val="24"/>
          <w:szCs w:val="28"/>
          <w:highlight w:val="none"/>
        </w:rPr>
        <w:t>注：</w:t>
      </w:r>
    </w:p>
    <w:p w14:paraId="41011925">
      <w:pPr>
        <w:adjustRightInd w:val="0"/>
        <w:snapToGrid w:val="0"/>
        <w:spacing w:line="360" w:lineRule="auto"/>
        <w:ind w:firstLine="482" w:firstLineChars="200"/>
        <w:rPr>
          <w:rFonts w:ascii="宋体" w:hAnsi="宋体" w:eastAsia="宋体"/>
          <w:b/>
          <w:bCs/>
          <w:color w:val="auto"/>
          <w:sz w:val="24"/>
          <w:szCs w:val="28"/>
          <w:highlight w:val="none"/>
        </w:rPr>
      </w:pPr>
      <w:r>
        <w:rPr>
          <w:rFonts w:hint="eastAsia" w:ascii="宋体" w:hAnsi="宋体" w:eastAsia="宋体"/>
          <w:b/>
          <w:bCs/>
          <w:color w:val="auto"/>
          <w:sz w:val="24"/>
          <w:szCs w:val="28"/>
          <w:highlight w:val="none"/>
        </w:rPr>
        <w:t>1.特殊事项在备注中注明。</w:t>
      </w:r>
    </w:p>
    <w:p w14:paraId="66455A78">
      <w:pPr>
        <w:adjustRightInd w:val="0"/>
        <w:snapToGrid w:val="0"/>
        <w:spacing w:line="360" w:lineRule="auto"/>
        <w:ind w:firstLine="482" w:firstLineChars="200"/>
        <w:rPr>
          <w:rFonts w:ascii="宋体" w:hAnsi="宋体" w:eastAsia="宋体"/>
          <w:b/>
          <w:bCs/>
          <w:color w:val="auto"/>
          <w:sz w:val="24"/>
          <w:szCs w:val="28"/>
          <w:highlight w:val="none"/>
        </w:rPr>
      </w:pPr>
      <w:r>
        <w:rPr>
          <w:rFonts w:hint="eastAsia" w:ascii="宋体" w:hAnsi="宋体" w:eastAsia="宋体"/>
          <w:b/>
          <w:bCs/>
          <w:color w:val="auto"/>
          <w:sz w:val="24"/>
          <w:szCs w:val="28"/>
          <w:highlight w:val="none"/>
          <w:lang w:val="en-US" w:eastAsia="zh-CN"/>
        </w:rPr>
        <w:t>2</w:t>
      </w:r>
      <w:r>
        <w:rPr>
          <w:rFonts w:hint="eastAsia" w:ascii="宋体" w:hAnsi="宋体" w:eastAsia="宋体"/>
          <w:b/>
          <w:bCs/>
          <w:color w:val="auto"/>
          <w:sz w:val="24"/>
          <w:szCs w:val="28"/>
          <w:highlight w:val="none"/>
        </w:rPr>
        <w:t>.表中大写金额与小写金额不一致的，以大写金额为准。</w:t>
      </w:r>
    </w:p>
    <w:p w14:paraId="3D5E5D2A">
      <w:pPr>
        <w:widowControl/>
        <w:jc w:val="left"/>
        <w:rPr>
          <w:rFonts w:asciiTheme="minorEastAsia" w:hAnsiTheme="minorEastAsia" w:eastAsiaTheme="minorEastAsia"/>
          <w:b/>
          <w:color w:val="auto"/>
          <w:sz w:val="24"/>
          <w:highlight w:val="none"/>
        </w:rPr>
      </w:pPr>
      <w:r>
        <w:rPr>
          <w:rFonts w:asciiTheme="minorEastAsia" w:hAnsiTheme="minorEastAsia" w:eastAsiaTheme="minorEastAsia"/>
          <w:b/>
          <w:color w:val="auto"/>
          <w:sz w:val="24"/>
          <w:highlight w:val="none"/>
        </w:rPr>
        <w:br w:type="page"/>
      </w:r>
    </w:p>
    <w:p w14:paraId="07153345">
      <w:pPr>
        <w:spacing w:line="360" w:lineRule="auto"/>
        <w:jc w:val="center"/>
        <w:outlineLvl w:val="1"/>
        <w:rPr>
          <w:rFonts w:asciiTheme="minorEastAsia" w:hAnsiTheme="minorEastAsia" w:eastAsiaTheme="minorEastAsia"/>
          <w:b/>
          <w:color w:val="auto"/>
          <w:sz w:val="24"/>
          <w:highlight w:val="none"/>
        </w:rPr>
      </w:pPr>
      <w:bookmarkStart w:id="191" w:name="_Toc16379"/>
      <w:bookmarkStart w:id="192" w:name="_Toc30153"/>
      <w:r>
        <w:rPr>
          <w:rFonts w:hint="eastAsia" w:asciiTheme="minorEastAsia" w:hAnsiTheme="minorEastAsia" w:eastAsiaTheme="minorEastAsia"/>
          <w:b/>
          <w:color w:val="auto"/>
          <w:sz w:val="24"/>
          <w:highlight w:val="none"/>
        </w:rPr>
        <w:t>二、最后承诺报价表</w:t>
      </w:r>
      <w:bookmarkEnd w:id="191"/>
      <w:bookmarkEnd w:id="192"/>
    </w:p>
    <w:p w14:paraId="4AAD1BEF">
      <w:pPr>
        <w:spacing w:before="156" w:beforeLines="50" w:after="156" w:afterLines="50" w:line="360" w:lineRule="auto"/>
        <w:ind w:firstLine="236" w:firstLineChars="98"/>
        <w:jc w:val="center"/>
        <w:rPr>
          <w:rFonts w:ascii="宋体" w:hAnsi="宋体" w:eastAsia="宋体"/>
          <w:b/>
          <w:color w:val="auto"/>
          <w:sz w:val="24"/>
          <w:szCs w:val="28"/>
          <w:highlight w:val="none"/>
        </w:rPr>
      </w:pPr>
      <w:r>
        <w:rPr>
          <w:rFonts w:hint="eastAsia" w:ascii="宋体" w:hAnsi="宋体" w:eastAsia="宋体"/>
          <w:b/>
          <w:color w:val="auto"/>
          <w:sz w:val="24"/>
          <w:szCs w:val="28"/>
          <w:highlight w:val="none"/>
        </w:rPr>
        <w:t>（第</w:t>
      </w:r>
      <w:r>
        <w:rPr>
          <w:rFonts w:hint="eastAsia" w:ascii="宋体" w:hAnsi="宋体" w:eastAsia="宋体"/>
          <w:b/>
          <w:color w:val="auto"/>
          <w:sz w:val="24"/>
          <w:szCs w:val="28"/>
          <w:highlight w:val="none"/>
          <w:u w:val="single"/>
        </w:rPr>
        <w:t xml:space="preserve">   </w:t>
      </w:r>
      <w:r>
        <w:rPr>
          <w:rFonts w:hint="eastAsia" w:ascii="宋体" w:hAnsi="宋体" w:eastAsia="宋体"/>
          <w:b/>
          <w:color w:val="auto"/>
          <w:sz w:val="24"/>
          <w:szCs w:val="28"/>
          <w:highlight w:val="none"/>
        </w:rPr>
        <w:t>次报价书）</w:t>
      </w:r>
    </w:p>
    <w:p w14:paraId="6109720B">
      <w:pPr>
        <w:snapToGrid w:val="0"/>
        <w:spacing w:line="360" w:lineRule="auto"/>
        <w:jc w:val="left"/>
        <w:rPr>
          <w:rFonts w:ascii="宋体" w:hAnsi="宋体" w:eastAsia="宋体"/>
          <w:b/>
          <w:color w:val="auto"/>
          <w:sz w:val="24"/>
          <w:szCs w:val="28"/>
          <w:highlight w:val="none"/>
        </w:rPr>
      </w:pPr>
      <w:r>
        <w:rPr>
          <w:rFonts w:hint="eastAsia" w:ascii="宋体" w:hAnsi="宋体" w:eastAsia="宋体"/>
          <w:b/>
          <w:color w:val="auto"/>
          <w:sz w:val="24"/>
          <w:szCs w:val="28"/>
          <w:highlight w:val="none"/>
        </w:rPr>
        <w:t>项目名称：</w:t>
      </w:r>
      <w:r>
        <w:rPr>
          <w:rFonts w:hint="eastAsia" w:ascii="宋体" w:hAnsi="宋体" w:eastAsia="宋体"/>
          <w:b/>
          <w:color w:val="auto"/>
          <w:sz w:val="24"/>
          <w:szCs w:val="28"/>
          <w:highlight w:val="none"/>
          <w:u w:val="single"/>
        </w:rPr>
        <w:t xml:space="preserve">  </w:t>
      </w:r>
      <w:r>
        <w:rPr>
          <w:rFonts w:hint="eastAsia" w:ascii="宋体" w:hAnsi="宋体" w:eastAsia="宋体"/>
          <w:b/>
          <w:color w:val="auto"/>
          <w:sz w:val="24"/>
          <w:szCs w:val="28"/>
          <w:highlight w:val="none"/>
          <w:u w:val="single"/>
          <w:lang w:val="en-US" w:eastAsia="zh-CN"/>
        </w:rPr>
        <w:t xml:space="preserve"> </w:t>
      </w:r>
      <w:r>
        <w:rPr>
          <w:rFonts w:hint="eastAsia" w:ascii="宋体" w:hAnsi="宋体" w:eastAsia="宋体"/>
          <w:b/>
          <w:color w:val="auto"/>
          <w:sz w:val="24"/>
          <w:szCs w:val="28"/>
          <w:highlight w:val="none"/>
          <w:u w:val="single"/>
        </w:rPr>
        <w:t xml:space="preserve">     </w:t>
      </w:r>
    </w:p>
    <w:p w14:paraId="7D52DA60">
      <w:pPr>
        <w:snapToGrid w:val="0"/>
        <w:spacing w:after="156" w:afterLines="50" w:line="360" w:lineRule="auto"/>
        <w:jc w:val="left"/>
        <w:rPr>
          <w:rFonts w:ascii="宋体" w:hAnsi="宋体" w:eastAsia="宋体"/>
          <w:b/>
          <w:bCs/>
          <w:color w:val="auto"/>
          <w:sz w:val="24"/>
          <w:szCs w:val="28"/>
          <w:highlight w:val="none"/>
        </w:rPr>
      </w:pPr>
      <w:r>
        <w:rPr>
          <w:rFonts w:hint="eastAsia" w:ascii="宋体" w:hAnsi="宋体" w:eastAsia="宋体"/>
          <w:b/>
          <w:color w:val="auto"/>
          <w:sz w:val="24"/>
          <w:szCs w:val="28"/>
          <w:highlight w:val="none"/>
        </w:rPr>
        <w:t>项目编号：</w:t>
      </w:r>
      <w:r>
        <w:rPr>
          <w:rFonts w:hint="eastAsia" w:ascii="宋体" w:hAnsi="宋体" w:eastAsia="宋体"/>
          <w:b/>
          <w:color w:val="auto"/>
          <w:sz w:val="24"/>
          <w:szCs w:val="28"/>
          <w:highlight w:val="none"/>
          <w:u w:val="single"/>
        </w:rPr>
        <w:t xml:space="preserve">  </w:t>
      </w:r>
      <w:r>
        <w:rPr>
          <w:rFonts w:hint="eastAsia" w:ascii="宋体" w:hAnsi="宋体" w:eastAsia="宋体"/>
          <w:b/>
          <w:color w:val="auto"/>
          <w:sz w:val="24"/>
          <w:szCs w:val="28"/>
          <w:highlight w:val="none"/>
          <w:u w:val="single"/>
          <w:lang w:val="en-US" w:eastAsia="zh-CN"/>
        </w:rPr>
        <w:t xml:space="preserve"> </w:t>
      </w:r>
      <w:r>
        <w:rPr>
          <w:rFonts w:hint="eastAsia" w:ascii="宋体" w:hAnsi="宋体" w:eastAsia="宋体"/>
          <w:b/>
          <w:color w:val="auto"/>
          <w:sz w:val="24"/>
          <w:szCs w:val="28"/>
          <w:highlight w:val="none"/>
          <w:u w:val="single"/>
        </w:rPr>
        <w:t xml:space="preserve">     </w:t>
      </w:r>
    </w:p>
    <w:tbl>
      <w:tblPr>
        <w:tblStyle w:val="29"/>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80"/>
        <w:gridCol w:w="6607"/>
      </w:tblGrid>
      <w:tr w14:paraId="5CFD47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jc w:val="center"/>
        </w:trPr>
        <w:tc>
          <w:tcPr>
            <w:tcW w:w="1443" w:type="pct"/>
            <w:tcBorders>
              <w:top w:val="single" w:color="auto" w:sz="4" w:space="0"/>
              <w:left w:val="single" w:color="auto" w:sz="4" w:space="0"/>
              <w:bottom w:val="single" w:color="auto" w:sz="4" w:space="0"/>
              <w:right w:val="single" w:color="auto" w:sz="4" w:space="0"/>
            </w:tcBorders>
            <w:vAlign w:val="center"/>
          </w:tcPr>
          <w:p w14:paraId="363E608F">
            <w:pPr>
              <w:spacing w:line="360" w:lineRule="auto"/>
              <w:jc w:val="center"/>
              <w:rPr>
                <w:rFonts w:ascii="宋体" w:hAnsi="宋体" w:eastAsia="宋体"/>
                <w:b/>
                <w:color w:val="auto"/>
                <w:sz w:val="24"/>
                <w:highlight w:val="none"/>
              </w:rPr>
            </w:pPr>
            <w:r>
              <w:rPr>
                <w:rFonts w:hint="eastAsia" w:ascii="宋体" w:hAnsi="宋体" w:eastAsia="宋体"/>
                <w:b/>
                <w:color w:val="auto"/>
                <w:sz w:val="24"/>
                <w:highlight w:val="none"/>
              </w:rPr>
              <w:t>供应商名称</w:t>
            </w:r>
          </w:p>
        </w:tc>
        <w:tc>
          <w:tcPr>
            <w:tcW w:w="3557" w:type="pct"/>
            <w:tcBorders>
              <w:left w:val="single" w:color="auto" w:sz="4" w:space="0"/>
            </w:tcBorders>
          </w:tcPr>
          <w:p w14:paraId="12FE5BF7">
            <w:pPr>
              <w:spacing w:line="360" w:lineRule="auto"/>
              <w:rPr>
                <w:rFonts w:ascii="宋体" w:hAnsi="宋体" w:eastAsia="宋体"/>
                <w:b/>
                <w:color w:val="auto"/>
                <w:sz w:val="24"/>
                <w:highlight w:val="none"/>
              </w:rPr>
            </w:pPr>
          </w:p>
        </w:tc>
      </w:tr>
      <w:tr w14:paraId="0AC11C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jc w:val="center"/>
        </w:trPr>
        <w:tc>
          <w:tcPr>
            <w:tcW w:w="1443" w:type="pct"/>
            <w:tcBorders>
              <w:top w:val="single" w:color="auto" w:sz="4" w:space="0"/>
              <w:left w:val="single" w:color="auto" w:sz="4" w:space="0"/>
              <w:bottom w:val="single" w:color="auto" w:sz="4" w:space="0"/>
              <w:right w:val="single" w:color="auto" w:sz="4" w:space="0"/>
            </w:tcBorders>
            <w:vAlign w:val="center"/>
          </w:tcPr>
          <w:p w14:paraId="1BC1EAB0">
            <w:pPr>
              <w:spacing w:line="360" w:lineRule="exact"/>
              <w:jc w:val="center"/>
              <w:rPr>
                <w:rFonts w:ascii="宋体" w:hAnsi="宋体" w:eastAsia="宋体"/>
                <w:b/>
                <w:color w:val="auto"/>
                <w:sz w:val="24"/>
                <w:highlight w:val="none"/>
              </w:rPr>
            </w:pPr>
            <w:r>
              <w:rPr>
                <w:rFonts w:hint="eastAsia" w:ascii="宋体" w:hAnsi="宋体" w:eastAsia="宋体"/>
                <w:b/>
                <w:bCs/>
                <w:color w:val="auto"/>
                <w:sz w:val="24"/>
                <w:szCs w:val="28"/>
                <w:highlight w:val="none"/>
              </w:rPr>
              <w:t>谈判</w:t>
            </w:r>
            <w:r>
              <w:rPr>
                <w:rFonts w:hint="eastAsia" w:ascii="宋体" w:hAnsi="宋体" w:eastAsia="宋体"/>
                <w:b/>
                <w:color w:val="auto"/>
                <w:sz w:val="24"/>
                <w:highlight w:val="none"/>
              </w:rPr>
              <w:t>范围</w:t>
            </w:r>
          </w:p>
        </w:tc>
        <w:tc>
          <w:tcPr>
            <w:tcW w:w="3557" w:type="pct"/>
            <w:tcBorders>
              <w:left w:val="single" w:color="auto" w:sz="4" w:space="0"/>
            </w:tcBorders>
            <w:vAlign w:val="center"/>
          </w:tcPr>
          <w:p w14:paraId="5A39DDBF">
            <w:pPr>
              <w:widowControl/>
              <w:spacing w:line="360" w:lineRule="exact"/>
              <w:rPr>
                <w:rFonts w:ascii="宋体" w:hAnsi="宋体" w:eastAsia="宋体"/>
                <w:b/>
                <w:color w:val="auto"/>
                <w:sz w:val="24"/>
                <w:highlight w:val="none"/>
              </w:rPr>
            </w:pPr>
            <w:r>
              <w:rPr>
                <w:rFonts w:hint="eastAsia" w:asciiTheme="minorEastAsia" w:hAnsiTheme="minorEastAsia" w:eastAsiaTheme="minorEastAsia"/>
                <w:color w:val="auto"/>
                <w:sz w:val="24"/>
                <w:szCs w:val="28"/>
                <w:highlight w:val="none"/>
                <w:u w:val="single"/>
                <w:lang w:val="en-US" w:eastAsia="zh-CN"/>
              </w:rPr>
              <w:t>全部</w:t>
            </w:r>
          </w:p>
        </w:tc>
      </w:tr>
      <w:tr w14:paraId="70E9C5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1" w:hRule="atLeast"/>
          <w:jc w:val="center"/>
        </w:trPr>
        <w:tc>
          <w:tcPr>
            <w:tcW w:w="1443" w:type="pct"/>
            <w:tcBorders>
              <w:top w:val="single" w:color="auto" w:sz="4" w:space="0"/>
            </w:tcBorders>
            <w:vAlign w:val="center"/>
          </w:tcPr>
          <w:p w14:paraId="380E930B">
            <w:pPr>
              <w:spacing w:line="360" w:lineRule="auto"/>
              <w:jc w:val="center"/>
              <w:rPr>
                <w:rFonts w:ascii="宋体" w:hAnsi="宋体" w:eastAsia="宋体"/>
                <w:b/>
                <w:color w:val="auto"/>
                <w:sz w:val="24"/>
                <w:highlight w:val="none"/>
              </w:rPr>
            </w:pPr>
            <w:r>
              <w:rPr>
                <w:rFonts w:hint="eastAsia" w:ascii="宋体" w:hAnsi="宋体" w:eastAsia="宋体"/>
                <w:b/>
                <w:bCs/>
                <w:color w:val="auto"/>
                <w:sz w:val="24"/>
                <w:szCs w:val="28"/>
                <w:highlight w:val="none"/>
              </w:rPr>
              <w:t>最后报价</w:t>
            </w:r>
          </w:p>
          <w:p w14:paraId="01888DBE">
            <w:pPr>
              <w:spacing w:line="360" w:lineRule="auto"/>
              <w:jc w:val="center"/>
              <w:rPr>
                <w:rFonts w:ascii="宋体" w:hAnsi="宋体" w:eastAsia="宋体"/>
                <w:b/>
                <w:color w:val="auto"/>
                <w:sz w:val="24"/>
                <w:highlight w:val="none"/>
              </w:rPr>
            </w:pPr>
            <w:r>
              <w:rPr>
                <w:rFonts w:hint="eastAsia" w:ascii="宋体" w:hAnsi="宋体" w:eastAsia="宋体"/>
                <w:b/>
                <w:color w:val="auto"/>
                <w:sz w:val="24"/>
                <w:highlight w:val="none"/>
              </w:rPr>
              <w:t>（详见备注说明）</w:t>
            </w:r>
          </w:p>
        </w:tc>
        <w:tc>
          <w:tcPr>
            <w:tcW w:w="3557" w:type="pct"/>
            <w:vAlign w:val="center"/>
          </w:tcPr>
          <w:p w14:paraId="19D5A469">
            <w:pPr>
              <w:snapToGrid w:val="0"/>
              <w:spacing w:line="360" w:lineRule="auto"/>
              <w:rPr>
                <w:rFonts w:ascii="宋体" w:hAnsi="宋体" w:eastAsia="宋体"/>
                <w:color w:val="auto"/>
                <w:sz w:val="24"/>
                <w:szCs w:val="28"/>
                <w:highlight w:val="none"/>
              </w:rPr>
            </w:pPr>
          </w:p>
          <w:p w14:paraId="4FBCF2E2">
            <w:pPr>
              <w:snapToGrid w:val="0"/>
              <w:spacing w:line="360" w:lineRule="auto"/>
              <w:rPr>
                <w:rFonts w:ascii="宋体" w:hAnsi="宋体" w:eastAsia="宋体" w:cs="宋体"/>
                <w:bCs/>
                <w:color w:val="auto"/>
                <w:szCs w:val="21"/>
                <w:highlight w:val="none"/>
                <w:u w:val="single"/>
              </w:rPr>
            </w:pPr>
            <w:r>
              <w:rPr>
                <w:rFonts w:hint="eastAsia" w:ascii="宋体" w:hAnsi="宋体" w:eastAsia="宋体" w:cs="宋体"/>
                <w:bCs/>
                <w:color w:val="auto"/>
                <w:szCs w:val="21"/>
                <w:highlight w:val="none"/>
              </w:rPr>
              <w:t>大写：</w:t>
            </w:r>
            <w:r>
              <w:rPr>
                <w:rFonts w:hint="eastAsia" w:ascii="宋体" w:hAnsi="宋体" w:eastAsia="宋体" w:cs="宋体"/>
                <w:bCs/>
                <w:color w:val="auto"/>
                <w:szCs w:val="21"/>
                <w:highlight w:val="none"/>
                <w:u w:val="single"/>
              </w:rPr>
              <w:t xml:space="preserve">                        </w:t>
            </w:r>
          </w:p>
          <w:p w14:paraId="3A77EE68">
            <w:pPr>
              <w:snapToGrid w:val="0"/>
              <w:spacing w:line="360" w:lineRule="auto"/>
              <w:rPr>
                <w:rFonts w:ascii="宋体" w:hAnsi="宋体" w:eastAsia="宋体" w:cs="宋体"/>
                <w:bCs/>
                <w:color w:val="auto"/>
                <w:szCs w:val="21"/>
                <w:highlight w:val="none"/>
                <w:u w:val="single"/>
              </w:rPr>
            </w:pPr>
            <w:r>
              <w:rPr>
                <w:rFonts w:hint="eastAsia" w:ascii="宋体" w:hAnsi="宋体" w:eastAsia="宋体" w:cs="宋体"/>
                <w:bCs/>
                <w:color w:val="auto"/>
                <w:szCs w:val="21"/>
                <w:highlight w:val="none"/>
              </w:rPr>
              <w:t>小写：</w:t>
            </w:r>
            <w:r>
              <w:rPr>
                <w:rFonts w:hint="eastAsia" w:ascii="宋体" w:hAnsi="宋体" w:eastAsia="宋体" w:cs="宋体"/>
                <w:bCs/>
                <w:color w:val="auto"/>
                <w:szCs w:val="21"/>
                <w:highlight w:val="none"/>
                <w:u w:val="single"/>
              </w:rPr>
              <w:t xml:space="preserve">                    </w:t>
            </w:r>
            <w:r>
              <w:rPr>
                <w:rFonts w:hint="eastAsia" w:ascii="宋体" w:hAnsi="宋体" w:eastAsia="宋体" w:cs="宋体"/>
                <w:b/>
                <w:bCs w:val="0"/>
                <w:color w:val="auto"/>
                <w:szCs w:val="21"/>
                <w:highlight w:val="none"/>
              </w:rPr>
              <w:t>元</w:t>
            </w:r>
          </w:p>
          <w:p w14:paraId="3AC98287">
            <w:pPr>
              <w:snapToGrid w:val="0"/>
              <w:spacing w:line="360" w:lineRule="auto"/>
              <w:rPr>
                <w:rFonts w:ascii="宋体" w:hAnsi="宋体" w:eastAsia="宋体"/>
                <w:b/>
                <w:color w:val="auto"/>
                <w:sz w:val="24"/>
                <w:highlight w:val="none"/>
              </w:rPr>
            </w:pPr>
          </w:p>
        </w:tc>
      </w:tr>
      <w:tr w14:paraId="5B798D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84" w:hRule="atLeast"/>
          <w:jc w:val="center"/>
        </w:trPr>
        <w:tc>
          <w:tcPr>
            <w:tcW w:w="1443" w:type="pct"/>
            <w:vAlign w:val="center"/>
          </w:tcPr>
          <w:p w14:paraId="1C339BE8">
            <w:pPr>
              <w:spacing w:line="360" w:lineRule="auto"/>
              <w:jc w:val="center"/>
              <w:rPr>
                <w:rFonts w:ascii="宋体" w:hAnsi="宋体" w:eastAsia="宋体"/>
                <w:b/>
                <w:color w:val="auto"/>
                <w:sz w:val="24"/>
                <w:highlight w:val="none"/>
              </w:rPr>
            </w:pPr>
            <w:r>
              <w:rPr>
                <w:rFonts w:hint="eastAsia" w:ascii="宋体" w:hAnsi="宋体" w:eastAsia="宋体"/>
                <w:b/>
                <w:color w:val="auto"/>
                <w:sz w:val="24"/>
                <w:highlight w:val="none"/>
              </w:rPr>
              <w:t>备注说明</w:t>
            </w:r>
          </w:p>
        </w:tc>
        <w:tc>
          <w:tcPr>
            <w:tcW w:w="3557" w:type="pct"/>
          </w:tcPr>
          <w:p w14:paraId="1572C868">
            <w:pPr>
              <w:spacing w:line="360" w:lineRule="auto"/>
              <w:rPr>
                <w:rFonts w:ascii="宋体" w:hAnsi="宋体" w:eastAsia="宋体"/>
                <w:b/>
                <w:color w:val="auto"/>
                <w:sz w:val="24"/>
                <w:highlight w:val="none"/>
              </w:rPr>
            </w:pPr>
            <w:r>
              <w:rPr>
                <w:rFonts w:hint="eastAsia" w:ascii="宋体" w:hAnsi="宋体" w:eastAsia="宋体"/>
                <w:b/>
                <w:i/>
                <w:color w:val="auto"/>
                <w:sz w:val="24"/>
                <w:highlight w:val="none"/>
              </w:rPr>
              <w:t>（此处可补充谈判小组根据与供应商谈判情况变动的谈判文件的内容，包括采购需求中的技术、服务要求以及合同草案条款。）</w:t>
            </w:r>
          </w:p>
        </w:tc>
      </w:tr>
      <w:tr w14:paraId="50AEEC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8" w:hRule="atLeast"/>
          <w:jc w:val="center"/>
        </w:trPr>
        <w:tc>
          <w:tcPr>
            <w:tcW w:w="1443" w:type="pct"/>
            <w:vAlign w:val="center"/>
          </w:tcPr>
          <w:p w14:paraId="19F10C45">
            <w:pPr>
              <w:spacing w:line="360" w:lineRule="auto"/>
              <w:jc w:val="center"/>
              <w:rPr>
                <w:rFonts w:ascii="宋体" w:hAnsi="宋体" w:eastAsia="宋体"/>
                <w:b/>
                <w:color w:val="auto"/>
                <w:sz w:val="24"/>
                <w:highlight w:val="none"/>
              </w:rPr>
            </w:pPr>
            <w:r>
              <w:rPr>
                <w:rFonts w:hint="eastAsia" w:ascii="宋体" w:hAnsi="宋体" w:eastAsia="宋体"/>
                <w:b/>
                <w:bCs/>
                <w:color w:val="auto"/>
                <w:sz w:val="24"/>
                <w:szCs w:val="28"/>
                <w:highlight w:val="none"/>
              </w:rPr>
              <w:t>谈判小组</w:t>
            </w:r>
            <w:r>
              <w:rPr>
                <w:rFonts w:ascii="宋体" w:hAnsi="宋体" w:eastAsia="宋体"/>
                <w:b/>
                <w:bCs/>
                <w:color w:val="auto"/>
                <w:sz w:val="24"/>
                <w:szCs w:val="28"/>
                <w:highlight w:val="none"/>
              </w:rPr>
              <w:t>签字</w:t>
            </w:r>
          </w:p>
        </w:tc>
        <w:tc>
          <w:tcPr>
            <w:tcW w:w="3557" w:type="pct"/>
          </w:tcPr>
          <w:p w14:paraId="219CFE7D">
            <w:pPr>
              <w:spacing w:line="360" w:lineRule="auto"/>
              <w:rPr>
                <w:rFonts w:ascii="宋体" w:hAnsi="宋体" w:eastAsia="宋体"/>
                <w:b/>
                <w:color w:val="auto"/>
                <w:sz w:val="24"/>
                <w:highlight w:val="none"/>
              </w:rPr>
            </w:pPr>
          </w:p>
        </w:tc>
      </w:tr>
    </w:tbl>
    <w:p w14:paraId="456F6E1E">
      <w:pPr>
        <w:spacing w:line="360" w:lineRule="auto"/>
        <w:ind w:firstLine="1680" w:firstLineChars="700"/>
        <w:jc w:val="left"/>
        <w:rPr>
          <w:rFonts w:ascii="宋体" w:hAnsi="宋体" w:eastAsia="宋体"/>
          <w:color w:val="auto"/>
          <w:sz w:val="24"/>
          <w:highlight w:val="none"/>
        </w:rPr>
      </w:pPr>
      <w:r>
        <w:rPr>
          <w:rFonts w:hint="eastAsia" w:ascii="宋体" w:hAnsi="宋体" w:eastAsia="宋体"/>
          <w:color w:val="auto"/>
          <w:sz w:val="24"/>
          <w:highlight w:val="none"/>
        </w:rPr>
        <w:t xml:space="preserve">           供应商公章或授权代表签字：</w:t>
      </w:r>
      <w:r>
        <w:rPr>
          <w:rFonts w:hint="eastAsia" w:ascii="宋体" w:hAnsi="宋体" w:eastAsia="宋体"/>
          <w:color w:val="auto"/>
          <w:sz w:val="24"/>
          <w:highlight w:val="none"/>
          <w:u w:val="single"/>
        </w:rPr>
        <w:t xml:space="preserve">                  </w:t>
      </w:r>
    </w:p>
    <w:p w14:paraId="40AC91FC">
      <w:pPr>
        <w:spacing w:line="360" w:lineRule="auto"/>
        <w:ind w:firstLine="4200" w:firstLineChars="1750"/>
        <w:jc w:val="left"/>
        <w:rPr>
          <w:rFonts w:ascii="宋体" w:hAnsi="宋体" w:eastAsia="宋体"/>
          <w:color w:val="auto"/>
          <w:sz w:val="24"/>
          <w:highlight w:val="none"/>
          <w:u w:val="single"/>
        </w:rPr>
      </w:pPr>
      <w:r>
        <w:rPr>
          <w:rFonts w:hint="eastAsia" w:ascii="宋体" w:hAnsi="宋体" w:eastAsia="宋体"/>
          <w:color w:val="auto"/>
          <w:sz w:val="24"/>
          <w:highlight w:val="none"/>
        </w:rPr>
        <w:t>日          期：</w:t>
      </w:r>
      <w:r>
        <w:rPr>
          <w:rFonts w:hint="eastAsia" w:ascii="宋体" w:hAnsi="宋体" w:eastAsia="宋体"/>
          <w:color w:val="auto"/>
          <w:sz w:val="24"/>
          <w:highlight w:val="none"/>
          <w:u w:val="single"/>
        </w:rPr>
        <w:t xml:space="preserve">                  </w:t>
      </w:r>
    </w:p>
    <w:p w14:paraId="0D54F19E">
      <w:pPr>
        <w:adjustRightInd w:val="0"/>
        <w:snapToGrid w:val="0"/>
        <w:spacing w:line="360" w:lineRule="auto"/>
        <w:ind w:firstLine="482" w:firstLineChars="200"/>
        <w:rPr>
          <w:rFonts w:ascii="宋体" w:hAnsi="宋体" w:eastAsia="宋体"/>
          <w:b/>
          <w:bCs/>
          <w:color w:val="auto"/>
          <w:sz w:val="24"/>
          <w:szCs w:val="28"/>
          <w:highlight w:val="none"/>
        </w:rPr>
      </w:pPr>
    </w:p>
    <w:p w14:paraId="75AFEE92">
      <w:pPr>
        <w:adjustRightInd w:val="0"/>
        <w:snapToGrid w:val="0"/>
        <w:spacing w:line="360" w:lineRule="auto"/>
        <w:ind w:firstLine="482" w:firstLineChars="200"/>
        <w:rPr>
          <w:rFonts w:hint="eastAsia" w:ascii="宋体" w:hAnsi="宋体" w:eastAsia="宋体"/>
          <w:b/>
          <w:bCs/>
          <w:color w:val="auto"/>
          <w:sz w:val="24"/>
          <w:highlight w:val="none"/>
        </w:rPr>
      </w:pPr>
      <w:r>
        <w:rPr>
          <w:rFonts w:hint="eastAsia" w:ascii="宋体" w:hAnsi="宋体" w:eastAsia="宋体"/>
          <w:b/>
          <w:bCs/>
          <w:color w:val="auto"/>
          <w:sz w:val="24"/>
          <w:szCs w:val="28"/>
          <w:highlight w:val="none"/>
        </w:rPr>
        <w:t>注：1.</w:t>
      </w:r>
      <w:r>
        <w:rPr>
          <w:rFonts w:hint="eastAsia" w:ascii="宋体" w:hAnsi="宋体" w:eastAsia="宋体"/>
          <w:b/>
          <w:bCs/>
          <w:color w:val="auto"/>
          <w:sz w:val="24"/>
          <w:highlight w:val="none"/>
        </w:rPr>
        <w:t>本页《报价表》由供应商在接到报价通知后依据谈判情况填写,并在规定时间内提交。</w:t>
      </w:r>
    </w:p>
    <w:p w14:paraId="1E3FC548">
      <w:pPr>
        <w:adjustRightInd w:val="0"/>
        <w:snapToGrid w:val="0"/>
        <w:spacing w:line="360" w:lineRule="auto"/>
        <w:ind w:firstLine="482" w:firstLineChars="200"/>
        <w:rPr>
          <w:rFonts w:ascii="宋体" w:hAnsi="宋体" w:eastAsia="宋体"/>
          <w:b/>
          <w:color w:val="auto"/>
          <w:sz w:val="24"/>
          <w:szCs w:val="28"/>
          <w:highlight w:val="none"/>
        </w:rPr>
      </w:pPr>
      <w:r>
        <w:rPr>
          <w:rFonts w:hint="eastAsia" w:ascii="宋体" w:hAnsi="宋体" w:eastAsia="宋体"/>
          <w:b/>
          <w:color w:val="auto"/>
          <w:sz w:val="24"/>
          <w:szCs w:val="28"/>
          <w:highlight w:val="none"/>
        </w:rPr>
        <w:t>2.表中大写金额与小写金额不一致的，以大写金额为准。</w:t>
      </w:r>
    </w:p>
    <w:p w14:paraId="21F12BF7">
      <w:pPr>
        <w:widowControl/>
        <w:jc w:val="left"/>
        <w:rPr>
          <w:rFonts w:asciiTheme="minorEastAsia" w:hAnsiTheme="minorEastAsia" w:eastAsiaTheme="minorEastAsia"/>
          <w:b/>
          <w:color w:val="auto"/>
          <w:sz w:val="24"/>
          <w:highlight w:val="none"/>
        </w:rPr>
      </w:pPr>
      <w:r>
        <w:rPr>
          <w:rFonts w:asciiTheme="minorEastAsia" w:hAnsiTheme="minorEastAsia" w:eastAsiaTheme="minorEastAsia"/>
          <w:b/>
          <w:color w:val="auto"/>
          <w:sz w:val="24"/>
          <w:highlight w:val="none"/>
        </w:rPr>
        <w:br w:type="page"/>
      </w:r>
    </w:p>
    <w:p w14:paraId="7DC7B7DE">
      <w:pPr>
        <w:spacing w:line="360" w:lineRule="auto"/>
        <w:jc w:val="center"/>
        <w:outlineLvl w:val="1"/>
        <w:rPr>
          <w:rFonts w:asciiTheme="minorEastAsia" w:hAnsiTheme="minorEastAsia" w:eastAsiaTheme="minorEastAsia"/>
          <w:b/>
          <w:color w:val="auto"/>
          <w:sz w:val="24"/>
          <w:highlight w:val="none"/>
        </w:rPr>
      </w:pPr>
      <w:bookmarkStart w:id="193" w:name="_Toc10325"/>
      <w:bookmarkStart w:id="194" w:name="_Toc9887"/>
      <w:r>
        <w:rPr>
          <w:rFonts w:hint="eastAsia" w:asciiTheme="minorEastAsia" w:hAnsiTheme="minorEastAsia" w:eastAsiaTheme="minorEastAsia"/>
          <w:b/>
          <w:color w:val="auto"/>
          <w:sz w:val="24"/>
          <w:highlight w:val="none"/>
        </w:rPr>
        <w:t>三、谈判响应函</w:t>
      </w:r>
      <w:bookmarkEnd w:id="193"/>
      <w:bookmarkEnd w:id="194"/>
    </w:p>
    <w:p w14:paraId="5071E5B1">
      <w:pPr>
        <w:pStyle w:val="17"/>
        <w:spacing w:line="360" w:lineRule="auto"/>
        <w:rPr>
          <w:rFonts w:hint="eastAsia" w:ascii="宋体" w:hAnsi="宋体" w:eastAsia="宋体"/>
          <w:color w:val="auto"/>
          <w:sz w:val="24"/>
          <w:highlight w:val="none"/>
          <w:lang w:eastAsia="zh-CN"/>
        </w:rPr>
      </w:pPr>
      <w:r>
        <w:rPr>
          <w:rFonts w:hint="eastAsia" w:ascii="宋体" w:hAnsi="宋体"/>
          <w:color w:val="auto"/>
          <w:sz w:val="24"/>
          <w:highlight w:val="none"/>
        </w:rPr>
        <w:t>致：</w:t>
      </w:r>
      <w:r>
        <w:rPr>
          <w:rFonts w:hint="eastAsia" w:ascii="宋体" w:hAnsi="宋体"/>
          <w:color w:val="auto"/>
          <w:sz w:val="24"/>
          <w:highlight w:val="none"/>
          <w:u w:val="single"/>
          <w:lang w:val="en-US" w:eastAsia="zh-CN"/>
        </w:rPr>
        <w:t xml:space="preserve">                     </w:t>
      </w:r>
      <w:r>
        <w:rPr>
          <w:rFonts w:hint="eastAsia" w:ascii="宋体" w:hAnsi="宋体"/>
          <w:color w:val="auto"/>
          <w:sz w:val="24"/>
          <w:szCs w:val="24"/>
          <w:highlight w:val="none"/>
          <w:u w:val="none"/>
          <w:lang w:eastAsia="zh-CN"/>
        </w:rPr>
        <w:t>采购人</w:t>
      </w:r>
    </w:p>
    <w:p w14:paraId="53B231DA">
      <w:pPr>
        <w:spacing w:line="360" w:lineRule="auto"/>
        <w:ind w:firstLine="480" w:firstLineChars="200"/>
        <w:rPr>
          <w:rFonts w:ascii="宋体" w:hAnsi="宋体" w:eastAsia="宋体"/>
          <w:dstrike/>
          <w:color w:val="auto"/>
          <w:sz w:val="24"/>
          <w:highlight w:val="none"/>
        </w:rPr>
      </w:pPr>
      <w:r>
        <w:rPr>
          <w:rFonts w:hint="eastAsia" w:ascii="宋体" w:hAnsi="宋体" w:eastAsia="宋体"/>
          <w:color w:val="auto"/>
          <w:sz w:val="24"/>
          <w:highlight w:val="none"/>
        </w:rPr>
        <w:t>根据贵方的</w:t>
      </w:r>
      <w:bookmarkStart w:id="195" w:name="_Hlk44287576"/>
      <w:r>
        <w:rPr>
          <w:rFonts w:hint="eastAsia" w:ascii="宋体" w:hAnsi="宋体" w:eastAsia="宋体"/>
          <w:color w:val="auto"/>
          <w:sz w:val="24"/>
          <w:highlight w:val="none"/>
        </w:rPr>
        <w:t>竞争性谈判公告和谈判邀请</w:t>
      </w:r>
      <w:bookmarkEnd w:id="195"/>
      <w:r>
        <w:rPr>
          <w:rFonts w:hint="eastAsia" w:ascii="宋体" w:hAnsi="宋体" w:eastAsia="宋体"/>
          <w:color w:val="auto"/>
          <w:sz w:val="24"/>
          <w:highlight w:val="none"/>
        </w:rPr>
        <w:t>，我方兹宣布同意如下：</w:t>
      </w:r>
    </w:p>
    <w:p w14:paraId="249AE73B">
      <w:pPr>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rPr>
        <w:t>1.我方根据本次谈判文件的规定，严格履行合同的责任和义务</w:t>
      </w:r>
      <w:r>
        <w:rPr>
          <w:rFonts w:ascii="宋体" w:hAnsi="宋体" w:eastAsia="宋体"/>
          <w:color w:val="auto"/>
          <w:sz w:val="24"/>
          <w:highlight w:val="none"/>
        </w:rPr>
        <w:t>,</w:t>
      </w:r>
      <w:r>
        <w:rPr>
          <w:rFonts w:hint="eastAsia" w:ascii="宋体" w:hAnsi="宋体" w:eastAsia="宋体"/>
          <w:color w:val="auto"/>
          <w:sz w:val="24"/>
          <w:highlight w:val="none"/>
        </w:rPr>
        <w:t>并保证于买方要求的日期内完成，并通过买方验收。</w:t>
      </w:r>
    </w:p>
    <w:p w14:paraId="75BE6639">
      <w:pPr>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lang w:val="en-US" w:eastAsia="zh-CN"/>
        </w:rPr>
        <w:t>2</w:t>
      </w:r>
      <w:r>
        <w:rPr>
          <w:rFonts w:hint="eastAsia" w:ascii="宋体" w:hAnsi="宋体" w:eastAsia="宋体"/>
          <w:color w:val="auto"/>
          <w:sz w:val="24"/>
          <w:highlight w:val="none"/>
        </w:rPr>
        <w:t>.我方已详细审核本次谈判文件，包括谈判文件附件</w:t>
      </w:r>
      <w:r>
        <w:rPr>
          <w:rFonts w:hint="eastAsia" w:ascii="宋体" w:hAnsi="宋体" w:eastAsia="宋体"/>
          <w:color w:val="auto"/>
          <w:sz w:val="24"/>
          <w:highlight w:val="none"/>
          <w:lang w:val="en-US" w:eastAsia="zh-CN"/>
        </w:rPr>
        <w:t>及更正公告</w:t>
      </w:r>
      <w:r>
        <w:rPr>
          <w:rFonts w:hint="eastAsia" w:ascii="宋体" w:hAnsi="宋体" w:eastAsia="宋体"/>
          <w:color w:val="auto"/>
          <w:sz w:val="24"/>
          <w:highlight w:val="none"/>
        </w:rPr>
        <w:t>（如有），我方正式认可并遵守本次谈判文件，并对谈判文件各项条款、规定及要求均无异议。</w:t>
      </w:r>
    </w:p>
    <w:p w14:paraId="2019C6AA">
      <w:pPr>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lang w:val="en-US" w:eastAsia="zh-CN"/>
        </w:rPr>
        <w:t>3</w:t>
      </w:r>
      <w:r>
        <w:rPr>
          <w:rFonts w:hint="eastAsia" w:ascii="宋体" w:hAnsi="宋体" w:eastAsia="宋体"/>
          <w:color w:val="auto"/>
          <w:sz w:val="24"/>
          <w:highlight w:val="none"/>
        </w:rPr>
        <w:t>.我方同意从供应商须知规定的谈判日期起遵循本谈判文件，并在供应商须知规定的谈判有效期之前均具有约束力。</w:t>
      </w:r>
    </w:p>
    <w:p w14:paraId="346B5485">
      <w:pPr>
        <w:spacing w:line="360" w:lineRule="auto"/>
        <w:ind w:firstLine="480" w:firstLineChars="200"/>
        <w:rPr>
          <w:rFonts w:ascii="宋体" w:hAnsi="宋体" w:eastAsia="宋体"/>
          <w:color w:val="auto"/>
          <w:sz w:val="24"/>
          <w:highlight w:val="none"/>
        </w:rPr>
      </w:pP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.我方声明</w:t>
      </w:r>
      <w:r>
        <w:rPr>
          <w:rFonts w:hint="eastAsia" w:asciiTheme="minorEastAsia" w:hAnsiTheme="minorEastAsia" w:eastAsiaTheme="minorEastAsia"/>
          <w:color w:val="auto"/>
          <w:sz w:val="24"/>
          <w:highlight w:val="none"/>
          <w:lang w:val="en-US" w:eastAsia="zh-CN"/>
        </w:rPr>
        <w:t>响应</w:t>
      </w:r>
      <w:r>
        <w:rPr>
          <w:rFonts w:hint="eastAsia" w:asciiTheme="minorEastAsia" w:hAnsiTheme="minorEastAsia" w:eastAsiaTheme="minorEastAsia"/>
          <w:color w:val="auto"/>
          <w:sz w:val="24"/>
          <w:highlight w:val="none"/>
        </w:rPr>
        <w:t>文件所提供的一切资料均真实无误、及时、有效，企业运营正常。由于我方提供资料不实而造成的责任和后果由我方承担。我方同意按照贵方提出的要求，提供与</w:t>
      </w:r>
      <w:r>
        <w:rPr>
          <w:rFonts w:hint="eastAsia" w:asciiTheme="minorEastAsia" w:hAnsiTheme="minorEastAsia" w:eastAsiaTheme="minorEastAsia"/>
          <w:color w:val="auto"/>
          <w:sz w:val="24"/>
          <w:highlight w:val="none"/>
          <w:lang w:val="en-US" w:eastAsia="zh-CN"/>
        </w:rPr>
        <w:t>谈判</w:t>
      </w:r>
      <w:r>
        <w:rPr>
          <w:rFonts w:hint="eastAsia" w:asciiTheme="minorEastAsia" w:hAnsiTheme="minorEastAsia" w:eastAsiaTheme="minorEastAsia"/>
          <w:color w:val="auto"/>
          <w:sz w:val="24"/>
          <w:highlight w:val="none"/>
        </w:rPr>
        <w:t>有关的任何证据、数据或资料。</w:t>
      </w:r>
    </w:p>
    <w:p w14:paraId="47832D6C">
      <w:pPr>
        <w:spacing w:line="360" w:lineRule="auto"/>
        <w:ind w:firstLine="3600" w:firstLineChars="1500"/>
        <w:rPr>
          <w:rFonts w:ascii="宋体" w:hAnsi="宋体" w:eastAsia="宋体"/>
          <w:color w:val="auto"/>
          <w:sz w:val="24"/>
          <w:highlight w:val="none"/>
        </w:rPr>
      </w:pPr>
    </w:p>
    <w:p w14:paraId="735FEF9E">
      <w:pPr>
        <w:spacing w:line="360" w:lineRule="auto"/>
        <w:ind w:firstLine="3600" w:firstLineChars="1500"/>
        <w:rPr>
          <w:rFonts w:ascii="宋体" w:hAnsi="宋体" w:eastAsia="宋体"/>
          <w:color w:val="auto"/>
          <w:sz w:val="24"/>
          <w:highlight w:val="none"/>
        </w:rPr>
      </w:pPr>
      <w:r>
        <w:rPr>
          <w:rFonts w:hint="eastAsia" w:ascii="宋体" w:hAnsi="宋体" w:eastAsia="宋体"/>
          <w:color w:val="auto"/>
          <w:sz w:val="24"/>
          <w:highlight w:val="none"/>
        </w:rPr>
        <w:t>供应商电子签章：</w:t>
      </w:r>
      <w:r>
        <w:rPr>
          <w:rFonts w:hint="eastAsia" w:ascii="宋体" w:hAnsi="宋体" w:eastAsia="宋体"/>
          <w:color w:val="auto"/>
          <w:sz w:val="24"/>
          <w:highlight w:val="none"/>
          <w:u w:val="single"/>
        </w:rPr>
        <w:t xml:space="preserve">                      </w:t>
      </w:r>
    </w:p>
    <w:p w14:paraId="5E3D1248">
      <w:pPr>
        <w:spacing w:line="360" w:lineRule="auto"/>
        <w:ind w:firstLine="3600" w:firstLineChars="1500"/>
        <w:rPr>
          <w:rFonts w:ascii="宋体" w:hAnsi="宋体" w:eastAsia="宋体"/>
          <w:color w:val="auto"/>
          <w:sz w:val="24"/>
          <w:highlight w:val="none"/>
          <w:u w:val="single"/>
        </w:rPr>
      </w:pPr>
      <w:r>
        <w:rPr>
          <w:rFonts w:hint="eastAsia" w:ascii="宋体" w:hAnsi="宋体" w:eastAsia="宋体"/>
          <w:color w:val="auto"/>
          <w:sz w:val="24"/>
          <w:highlight w:val="none"/>
        </w:rPr>
        <w:t>日          期：</w:t>
      </w:r>
      <w:r>
        <w:rPr>
          <w:rFonts w:hint="eastAsia" w:ascii="宋体" w:hAnsi="宋体" w:eastAsia="宋体"/>
          <w:color w:val="auto"/>
          <w:sz w:val="24"/>
          <w:highlight w:val="none"/>
          <w:u w:val="single"/>
        </w:rPr>
        <w:t xml:space="preserve">                      </w:t>
      </w:r>
    </w:p>
    <w:p w14:paraId="34FB007A">
      <w:pPr>
        <w:widowControl/>
        <w:jc w:val="left"/>
        <w:rPr>
          <w:rFonts w:asciiTheme="minorEastAsia" w:hAnsiTheme="minorEastAsia" w:eastAsiaTheme="minorEastAsia"/>
          <w:b/>
          <w:color w:val="auto"/>
          <w:sz w:val="24"/>
          <w:highlight w:val="none"/>
        </w:rPr>
      </w:pPr>
      <w:r>
        <w:rPr>
          <w:rFonts w:asciiTheme="minorEastAsia" w:hAnsiTheme="minorEastAsia" w:eastAsiaTheme="minorEastAsia"/>
          <w:b/>
          <w:color w:val="auto"/>
          <w:sz w:val="24"/>
          <w:highlight w:val="none"/>
        </w:rPr>
        <w:br w:type="page"/>
      </w:r>
    </w:p>
    <w:p w14:paraId="7C14991F">
      <w:pPr>
        <w:spacing w:line="360" w:lineRule="auto"/>
        <w:jc w:val="center"/>
        <w:outlineLvl w:val="1"/>
        <w:rPr>
          <w:rFonts w:hint="eastAsia" w:asciiTheme="minorEastAsia" w:hAnsiTheme="minorEastAsia" w:eastAsiaTheme="minorEastAsia"/>
          <w:b/>
          <w:color w:val="auto"/>
          <w:sz w:val="24"/>
          <w:highlight w:val="none"/>
        </w:rPr>
      </w:pPr>
      <w:bookmarkStart w:id="196" w:name="_Toc15886"/>
      <w:bookmarkStart w:id="197" w:name="_Toc27496"/>
      <w:r>
        <w:rPr>
          <w:rFonts w:hint="eastAsia" w:asciiTheme="minorEastAsia" w:hAnsiTheme="minorEastAsia" w:eastAsiaTheme="minorEastAsia"/>
          <w:b/>
          <w:color w:val="auto"/>
          <w:sz w:val="24"/>
          <w:highlight w:val="none"/>
        </w:rPr>
        <w:t>四、</w:t>
      </w:r>
      <w:bookmarkEnd w:id="196"/>
      <w:r>
        <w:rPr>
          <w:rFonts w:hint="eastAsia" w:asciiTheme="minorEastAsia" w:hAnsiTheme="minorEastAsia" w:eastAsiaTheme="minorEastAsia"/>
          <w:b/>
          <w:color w:val="auto"/>
          <w:sz w:val="24"/>
          <w:highlight w:val="none"/>
          <w:lang w:val="en-US" w:eastAsia="zh-CN"/>
        </w:rPr>
        <w:t>供应商资格声明书</w:t>
      </w:r>
      <w:bookmarkEnd w:id="197"/>
      <w:r>
        <w:rPr>
          <w:rFonts w:hint="eastAsia" w:asciiTheme="minorEastAsia" w:hAnsiTheme="minorEastAsia" w:eastAsiaTheme="minorEastAsia"/>
          <w:b/>
          <w:color w:val="auto"/>
          <w:sz w:val="24"/>
          <w:highlight w:val="none"/>
          <w:lang w:val="en-US" w:eastAsia="zh-CN"/>
        </w:rPr>
        <w:t xml:space="preserve"> </w:t>
      </w:r>
    </w:p>
    <w:p w14:paraId="1B9CEB06">
      <w:pPr>
        <w:pStyle w:val="17"/>
        <w:spacing w:line="360" w:lineRule="auto"/>
        <w:rPr>
          <w:rFonts w:hint="eastAsia" w:eastAsia="宋体" w:asciiTheme="minorEastAsia" w:hAnsiTheme="minorEastAsia" w:cstheme="minorEastAsia"/>
          <w:color w:val="auto"/>
          <w:sz w:val="24"/>
          <w:szCs w:val="24"/>
          <w:highlight w:val="none"/>
          <w:lang w:eastAsia="zh-CN"/>
        </w:rPr>
      </w:pPr>
      <w:r>
        <w:rPr>
          <w:rFonts w:hint="eastAsia" w:ascii="宋体" w:hAnsi="宋体"/>
          <w:color w:val="auto"/>
          <w:sz w:val="24"/>
          <w:highlight w:val="none"/>
        </w:rPr>
        <w:t>致：</w:t>
      </w:r>
      <w:r>
        <w:rPr>
          <w:rFonts w:hint="eastAsia" w:ascii="宋体" w:hAnsi="宋体"/>
          <w:color w:val="auto"/>
          <w:sz w:val="24"/>
          <w:highlight w:val="none"/>
          <w:u w:val="single"/>
          <w:lang w:val="en-US" w:eastAsia="zh-CN"/>
        </w:rPr>
        <w:t xml:space="preserve">                     </w:t>
      </w:r>
      <w:r>
        <w:rPr>
          <w:rFonts w:hint="eastAsia" w:ascii="宋体" w:hAnsi="宋体"/>
          <w:color w:val="auto"/>
          <w:sz w:val="24"/>
          <w:highlight w:val="none"/>
          <w:u w:val="none"/>
          <w:lang w:eastAsia="zh-CN"/>
        </w:rPr>
        <w:t>采购人</w:t>
      </w:r>
    </w:p>
    <w:p w14:paraId="6D86D230">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val="en-US" w:eastAsia="zh-CN" w:bidi="ar"/>
        </w:rPr>
        <w:t>在参与本次项目谈判中，我单位承诺：</w:t>
      </w:r>
    </w:p>
    <w:p w14:paraId="31D7B973">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val="en-US" w:eastAsia="zh-CN" w:bidi="ar"/>
        </w:rPr>
        <w:t>（一）具有良好的商业信誉和健全的财务会计制度；</w:t>
      </w:r>
    </w:p>
    <w:p w14:paraId="33A7715C">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val="en-US" w:eastAsia="zh-CN" w:bidi="ar"/>
        </w:rPr>
        <w:t>（二）具有履行合同所必需的设备和专业技术能力；</w:t>
      </w:r>
    </w:p>
    <w:p w14:paraId="23BE8C91">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val="en-US" w:eastAsia="zh-CN" w:bidi="ar"/>
        </w:rPr>
        <w:t>（三）有依法缴纳税收和社会保障资金的良好记录；</w:t>
      </w:r>
    </w:p>
    <w:p w14:paraId="26054CD0">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val="en-US" w:eastAsia="zh-CN" w:bidi="ar"/>
        </w:rPr>
        <w:t>（四）参加政府采购活动前三年内，在经营活动中没有重大违法记录（重大违法记录指因违法经营受到刑事处罚或者责令停产停业、吊销许可证或者执照、较大数额罚款等行政处罚，不包括因违法经营被禁止在一定期限内参加政府采购活动，但期限已经届满的情形）；</w:t>
      </w:r>
    </w:p>
    <w:p w14:paraId="39461D89">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val="en-US" w:eastAsia="zh-CN" w:bidi="ar"/>
        </w:rPr>
        <w:t>（五）我单位不存在为采购项目提供整体设计、规范编制或者项目管理、监理、检测等服务后，再参加该采购项目的其他采购活动的情形（单一来源采购项目除外）；</w:t>
      </w:r>
    </w:p>
    <w:p w14:paraId="18E36961">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color w:val="auto"/>
          <w:kern w:val="0"/>
          <w:sz w:val="24"/>
          <w:szCs w:val="24"/>
          <w:highlight w:val="none"/>
          <w:lang w:val="en-US" w:eastAsia="zh-CN" w:bidi="ar"/>
        </w:rPr>
      </w:pPr>
      <w:r>
        <w:rPr>
          <w:rFonts w:hint="eastAsia" w:asciiTheme="minorEastAsia" w:hAnsiTheme="minorEastAsia" w:eastAsiaTheme="minorEastAsia" w:cstheme="minorEastAsia"/>
          <w:color w:val="auto"/>
          <w:kern w:val="0"/>
          <w:sz w:val="24"/>
          <w:szCs w:val="24"/>
          <w:highlight w:val="none"/>
          <w:lang w:val="en-US" w:eastAsia="zh-CN" w:bidi="ar"/>
        </w:rPr>
        <w:t>（六）与我单位存在单位负责人为同一人或者存在直接控股、管理关系的其他法人单位信息如下（如有，不论其是否参加同一合同项下的政府采购活动均须填写）：</w:t>
      </w:r>
    </w:p>
    <w:tbl>
      <w:tblPr>
        <w:tblStyle w:val="30"/>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44"/>
        <w:gridCol w:w="4843"/>
        <w:gridCol w:w="3096"/>
      </w:tblGrid>
      <w:tr w14:paraId="0EF670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4" w:type="pct"/>
            <w:vAlign w:val="center"/>
          </w:tcPr>
          <w:p w14:paraId="57E15F95">
            <w:pPr>
              <w:keepNext w:val="0"/>
              <w:keepLines w:val="0"/>
              <w:pageBreakBefore w:val="0"/>
              <w:widowControl/>
              <w:suppressLineNumbers w:val="0"/>
              <w:kinsoku/>
              <w:wordWrap/>
              <w:overflowPunct/>
              <w:topLinePunct w:val="0"/>
              <w:autoSpaceDE/>
              <w:autoSpaceDN/>
              <w:bidi w:val="0"/>
              <w:adjustRightInd w:val="0"/>
              <w:snapToGrid w:val="0"/>
              <w:spacing w:before="0" w:beforeLines="50" w:after="10" w:line="240" w:lineRule="auto"/>
              <w:jc w:val="center"/>
              <w:textAlignment w:val="auto"/>
              <w:rPr>
                <w:rFonts w:hint="eastAsia" w:asciiTheme="minorEastAsia" w:hAnsiTheme="minorEastAsia" w:eastAsiaTheme="minorEastAsia" w:cstheme="minorEastAsia"/>
                <w:color w:val="auto"/>
                <w:kern w:val="0"/>
                <w:sz w:val="24"/>
                <w:szCs w:val="24"/>
                <w:highlight w:val="none"/>
                <w:vertAlign w:val="baseline"/>
                <w:lang w:val="en-US" w:eastAsia="zh-CN" w:bidi="ar"/>
              </w:rPr>
            </w:pPr>
            <w:r>
              <w:rPr>
                <w:rFonts w:hint="eastAsia" w:asciiTheme="minorEastAsia" w:hAnsiTheme="minorEastAsia" w:eastAsiaTheme="minorEastAsia" w:cstheme="minorEastAsia"/>
                <w:color w:val="auto"/>
                <w:kern w:val="0"/>
                <w:sz w:val="24"/>
                <w:szCs w:val="24"/>
                <w:highlight w:val="none"/>
                <w:lang w:val="en-US" w:eastAsia="zh-CN" w:bidi="ar"/>
              </w:rPr>
              <w:t>序号</w:t>
            </w:r>
          </w:p>
        </w:tc>
        <w:tc>
          <w:tcPr>
            <w:tcW w:w="2608" w:type="pct"/>
            <w:vAlign w:val="center"/>
          </w:tcPr>
          <w:p w14:paraId="03892C16">
            <w:pPr>
              <w:pStyle w:val="3"/>
              <w:keepNext w:val="0"/>
              <w:keepLines w:val="0"/>
              <w:pageBreakBefore w:val="0"/>
              <w:kinsoku/>
              <w:wordWrap/>
              <w:overflowPunct/>
              <w:topLinePunct w:val="0"/>
              <w:autoSpaceDE/>
              <w:autoSpaceDN/>
              <w:bidi w:val="0"/>
              <w:adjustRightInd w:val="0"/>
              <w:snapToGrid w:val="0"/>
              <w:spacing w:before="0" w:beforeLines="50" w:after="10" w:line="240" w:lineRule="auto"/>
              <w:jc w:val="center"/>
              <w:textAlignment w:val="auto"/>
              <w:rPr>
                <w:rFonts w:hint="eastAsia" w:asciiTheme="minorEastAsia" w:hAnsiTheme="minorEastAsia" w:eastAsiaTheme="minorEastAsia" w:cstheme="minorEastAsia"/>
                <w:color w:val="auto"/>
                <w:kern w:val="0"/>
                <w:sz w:val="24"/>
                <w:szCs w:val="24"/>
                <w:highlight w:val="none"/>
                <w:vertAlign w:val="baseline"/>
                <w:lang w:val="en-US" w:eastAsia="zh-CN" w:bidi="ar"/>
              </w:rPr>
            </w:pPr>
            <w:r>
              <w:rPr>
                <w:rFonts w:hint="eastAsia" w:asciiTheme="minorEastAsia" w:hAnsiTheme="minorEastAsia" w:eastAsiaTheme="minorEastAsia" w:cstheme="minorEastAsia"/>
                <w:color w:val="auto"/>
                <w:kern w:val="0"/>
                <w:sz w:val="24"/>
                <w:szCs w:val="24"/>
                <w:highlight w:val="none"/>
                <w:lang w:val="en-US" w:eastAsia="zh-CN" w:bidi="ar"/>
              </w:rPr>
              <w:t>单位名称</w:t>
            </w:r>
          </w:p>
        </w:tc>
        <w:tc>
          <w:tcPr>
            <w:tcW w:w="1667" w:type="pct"/>
            <w:vAlign w:val="center"/>
          </w:tcPr>
          <w:p w14:paraId="187B8F90">
            <w:pPr>
              <w:pStyle w:val="3"/>
              <w:keepNext w:val="0"/>
              <w:keepLines w:val="0"/>
              <w:pageBreakBefore w:val="0"/>
              <w:kinsoku/>
              <w:wordWrap/>
              <w:overflowPunct/>
              <w:topLinePunct w:val="0"/>
              <w:autoSpaceDE/>
              <w:autoSpaceDN/>
              <w:bidi w:val="0"/>
              <w:adjustRightInd w:val="0"/>
              <w:snapToGrid w:val="0"/>
              <w:spacing w:before="0" w:beforeLines="50" w:after="10" w:line="240" w:lineRule="auto"/>
              <w:jc w:val="center"/>
              <w:textAlignment w:val="auto"/>
              <w:rPr>
                <w:rFonts w:hint="eastAsia" w:asciiTheme="minorEastAsia" w:hAnsiTheme="minorEastAsia" w:eastAsiaTheme="minorEastAsia" w:cstheme="minorEastAsia"/>
                <w:color w:val="auto"/>
                <w:kern w:val="0"/>
                <w:sz w:val="24"/>
                <w:szCs w:val="24"/>
                <w:highlight w:val="none"/>
                <w:vertAlign w:val="baseline"/>
                <w:lang w:val="en-US" w:eastAsia="zh-CN" w:bidi="ar"/>
              </w:rPr>
            </w:pPr>
            <w:r>
              <w:rPr>
                <w:rFonts w:hint="eastAsia" w:asciiTheme="minorEastAsia" w:hAnsiTheme="minorEastAsia" w:eastAsiaTheme="minorEastAsia" w:cstheme="minorEastAsia"/>
                <w:color w:val="auto"/>
                <w:kern w:val="0"/>
                <w:sz w:val="24"/>
                <w:szCs w:val="24"/>
                <w:highlight w:val="none"/>
                <w:lang w:val="en-US" w:eastAsia="zh-CN" w:bidi="ar"/>
              </w:rPr>
              <w:t>相互关系</w:t>
            </w:r>
          </w:p>
        </w:tc>
      </w:tr>
      <w:tr w14:paraId="49AC72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4" w:type="pct"/>
            <w:vAlign w:val="center"/>
          </w:tcPr>
          <w:p w14:paraId="3A6FD362">
            <w:pPr>
              <w:pStyle w:val="3"/>
              <w:keepNext w:val="0"/>
              <w:keepLines w:val="0"/>
              <w:pageBreakBefore w:val="0"/>
              <w:kinsoku/>
              <w:wordWrap/>
              <w:overflowPunct/>
              <w:topLinePunct w:val="0"/>
              <w:autoSpaceDE/>
              <w:autoSpaceDN/>
              <w:bidi w:val="0"/>
              <w:adjustRightInd w:val="0"/>
              <w:snapToGrid w:val="0"/>
              <w:spacing w:before="0" w:beforeLines="50" w:after="10" w:line="240" w:lineRule="auto"/>
              <w:jc w:val="center"/>
              <w:textAlignment w:val="auto"/>
              <w:rPr>
                <w:rFonts w:hint="default" w:asciiTheme="minorEastAsia" w:hAnsiTheme="minorEastAsia" w:eastAsiaTheme="minorEastAsia" w:cstheme="minorEastAsia"/>
                <w:color w:val="auto"/>
                <w:kern w:val="0"/>
                <w:sz w:val="24"/>
                <w:szCs w:val="24"/>
                <w:highlight w:val="none"/>
                <w:vertAlign w:val="baseline"/>
                <w:lang w:val="en-US" w:eastAsia="zh-CN" w:bidi="ar"/>
              </w:rPr>
            </w:pPr>
            <w:r>
              <w:rPr>
                <w:rFonts w:hint="eastAsia" w:asciiTheme="minorEastAsia" w:hAnsiTheme="minorEastAsia" w:eastAsiaTheme="minorEastAsia" w:cstheme="minorEastAsia"/>
                <w:color w:val="auto"/>
                <w:kern w:val="0"/>
                <w:sz w:val="24"/>
                <w:szCs w:val="24"/>
                <w:highlight w:val="none"/>
                <w:vertAlign w:val="baseline"/>
                <w:lang w:val="en-US" w:eastAsia="zh-CN" w:bidi="ar"/>
              </w:rPr>
              <w:t>1</w:t>
            </w:r>
          </w:p>
        </w:tc>
        <w:tc>
          <w:tcPr>
            <w:tcW w:w="2608" w:type="pct"/>
            <w:vAlign w:val="center"/>
          </w:tcPr>
          <w:p w14:paraId="4EA2C11A">
            <w:pPr>
              <w:pStyle w:val="3"/>
              <w:keepNext w:val="0"/>
              <w:keepLines w:val="0"/>
              <w:pageBreakBefore w:val="0"/>
              <w:kinsoku/>
              <w:wordWrap/>
              <w:overflowPunct/>
              <w:topLinePunct w:val="0"/>
              <w:autoSpaceDE/>
              <w:autoSpaceDN/>
              <w:bidi w:val="0"/>
              <w:adjustRightInd w:val="0"/>
              <w:snapToGrid w:val="0"/>
              <w:spacing w:before="0" w:beforeLines="50" w:after="10" w:line="240" w:lineRule="auto"/>
              <w:jc w:val="center"/>
              <w:textAlignment w:val="auto"/>
              <w:rPr>
                <w:rFonts w:hint="eastAsia" w:asciiTheme="minorEastAsia" w:hAnsiTheme="minorEastAsia" w:eastAsiaTheme="minorEastAsia" w:cstheme="minorEastAsia"/>
                <w:color w:val="auto"/>
                <w:kern w:val="0"/>
                <w:sz w:val="24"/>
                <w:szCs w:val="24"/>
                <w:highlight w:val="none"/>
                <w:vertAlign w:val="baseline"/>
                <w:lang w:val="en-US" w:eastAsia="zh-CN" w:bidi="ar"/>
              </w:rPr>
            </w:pPr>
          </w:p>
        </w:tc>
        <w:tc>
          <w:tcPr>
            <w:tcW w:w="1667" w:type="pct"/>
            <w:vAlign w:val="center"/>
          </w:tcPr>
          <w:p w14:paraId="1C89F7FD">
            <w:pPr>
              <w:pStyle w:val="3"/>
              <w:keepNext w:val="0"/>
              <w:keepLines w:val="0"/>
              <w:pageBreakBefore w:val="0"/>
              <w:kinsoku/>
              <w:wordWrap/>
              <w:overflowPunct/>
              <w:topLinePunct w:val="0"/>
              <w:autoSpaceDE/>
              <w:autoSpaceDN/>
              <w:bidi w:val="0"/>
              <w:adjustRightInd w:val="0"/>
              <w:snapToGrid w:val="0"/>
              <w:spacing w:before="0" w:beforeLines="50" w:after="10" w:line="240" w:lineRule="auto"/>
              <w:jc w:val="center"/>
              <w:textAlignment w:val="auto"/>
              <w:rPr>
                <w:rFonts w:hint="eastAsia" w:asciiTheme="minorEastAsia" w:hAnsiTheme="minorEastAsia" w:eastAsiaTheme="minorEastAsia" w:cstheme="minorEastAsia"/>
                <w:color w:val="auto"/>
                <w:kern w:val="0"/>
                <w:sz w:val="24"/>
                <w:szCs w:val="24"/>
                <w:highlight w:val="none"/>
                <w:vertAlign w:val="baseline"/>
                <w:lang w:val="en-US" w:eastAsia="zh-CN" w:bidi="ar"/>
              </w:rPr>
            </w:pPr>
          </w:p>
        </w:tc>
      </w:tr>
      <w:tr w14:paraId="4910D1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4" w:type="pct"/>
            <w:vAlign w:val="center"/>
          </w:tcPr>
          <w:p w14:paraId="21F73847">
            <w:pPr>
              <w:pStyle w:val="3"/>
              <w:keepNext w:val="0"/>
              <w:keepLines w:val="0"/>
              <w:pageBreakBefore w:val="0"/>
              <w:kinsoku/>
              <w:wordWrap/>
              <w:overflowPunct/>
              <w:topLinePunct w:val="0"/>
              <w:autoSpaceDE/>
              <w:autoSpaceDN/>
              <w:bidi w:val="0"/>
              <w:adjustRightInd w:val="0"/>
              <w:snapToGrid w:val="0"/>
              <w:spacing w:before="0" w:beforeLines="50" w:after="10" w:line="240" w:lineRule="auto"/>
              <w:jc w:val="center"/>
              <w:textAlignment w:val="auto"/>
              <w:rPr>
                <w:rFonts w:hint="default" w:asciiTheme="minorEastAsia" w:hAnsiTheme="minorEastAsia" w:eastAsiaTheme="minorEastAsia" w:cstheme="minorEastAsia"/>
                <w:color w:val="auto"/>
                <w:kern w:val="0"/>
                <w:sz w:val="24"/>
                <w:szCs w:val="24"/>
                <w:highlight w:val="none"/>
                <w:vertAlign w:val="baseline"/>
                <w:lang w:val="en-US" w:eastAsia="zh-CN" w:bidi="ar"/>
              </w:rPr>
            </w:pPr>
            <w:r>
              <w:rPr>
                <w:rFonts w:hint="eastAsia" w:asciiTheme="minorEastAsia" w:hAnsiTheme="minorEastAsia" w:eastAsiaTheme="minorEastAsia" w:cstheme="minorEastAsia"/>
                <w:color w:val="auto"/>
                <w:kern w:val="0"/>
                <w:sz w:val="24"/>
                <w:szCs w:val="24"/>
                <w:highlight w:val="none"/>
                <w:vertAlign w:val="baseline"/>
                <w:lang w:val="en-US" w:eastAsia="zh-CN" w:bidi="ar"/>
              </w:rPr>
              <w:t>2</w:t>
            </w:r>
          </w:p>
        </w:tc>
        <w:tc>
          <w:tcPr>
            <w:tcW w:w="2608" w:type="pct"/>
            <w:vAlign w:val="center"/>
          </w:tcPr>
          <w:p w14:paraId="4DA45946">
            <w:pPr>
              <w:pStyle w:val="3"/>
              <w:keepNext w:val="0"/>
              <w:keepLines w:val="0"/>
              <w:pageBreakBefore w:val="0"/>
              <w:kinsoku/>
              <w:wordWrap/>
              <w:overflowPunct/>
              <w:topLinePunct w:val="0"/>
              <w:autoSpaceDE/>
              <w:autoSpaceDN/>
              <w:bidi w:val="0"/>
              <w:adjustRightInd w:val="0"/>
              <w:snapToGrid w:val="0"/>
              <w:spacing w:before="0" w:beforeLines="50" w:after="10" w:line="240" w:lineRule="auto"/>
              <w:jc w:val="center"/>
              <w:textAlignment w:val="auto"/>
              <w:rPr>
                <w:rFonts w:hint="eastAsia" w:asciiTheme="minorEastAsia" w:hAnsiTheme="minorEastAsia" w:eastAsiaTheme="minorEastAsia" w:cstheme="minorEastAsia"/>
                <w:color w:val="auto"/>
                <w:kern w:val="0"/>
                <w:sz w:val="24"/>
                <w:szCs w:val="24"/>
                <w:highlight w:val="none"/>
                <w:vertAlign w:val="baseline"/>
                <w:lang w:val="en-US" w:eastAsia="zh-CN" w:bidi="ar"/>
              </w:rPr>
            </w:pPr>
          </w:p>
        </w:tc>
        <w:tc>
          <w:tcPr>
            <w:tcW w:w="1667" w:type="pct"/>
            <w:vAlign w:val="center"/>
          </w:tcPr>
          <w:p w14:paraId="206AB086">
            <w:pPr>
              <w:pStyle w:val="3"/>
              <w:keepNext w:val="0"/>
              <w:keepLines w:val="0"/>
              <w:pageBreakBefore w:val="0"/>
              <w:kinsoku/>
              <w:wordWrap/>
              <w:overflowPunct/>
              <w:topLinePunct w:val="0"/>
              <w:autoSpaceDE/>
              <w:autoSpaceDN/>
              <w:bidi w:val="0"/>
              <w:adjustRightInd w:val="0"/>
              <w:snapToGrid w:val="0"/>
              <w:spacing w:before="0" w:beforeLines="50" w:after="10" w:line="240" w:lineRule="auto"/>
              <w:jc w:val="center"/>
              <w:textAlignment w:val="auto"/>
              <w:rPr>
                <w:rFonts w:hint="eastAsia" w:asciiTheme="minorEastAsia" w:hAnsiTheme="minorEastAsia" w:eastAsiaTheme="minorEastAsia" w:cstheme="minorEastAsia"/>
                <w:color w:val="auto"/>
                <w:kern w:val="0"/>
                <w:sz w:val="24"/>
                <w:szCs w:val="24"/>
                <w:highlight w:val="none"/>
                <w:vertAlign w:val="baseline"/>
                <w:lang w:val="en-US" w:eastAsia="zh-CN" w:bidi="ar"/>
              </w:rPr>
            </w:pPr>
          </w:p>
        </w:tc>
      </w:tr>
    </w:tbl>
    <w:p w14:paraId="633353D3">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本单位对</w:t>
      </w:r>
      <w:r>
        <w:rPr>
          <w:rFonts w:hint="eastAsia" w:asciiTheme="minorEastAsia" w:hAnsiTheme="minorEastAsia" w:eastAsiaTheme="minorEastAsia"/>
          <w:color w:val="auto"/>
          <w:sz w:val="24"/>
          <w:highlight w:val="none"/>
        </w:rPr>
        <w:t>上述</w:t>
      </w:r>
      <w:r>
        <w:rPr>
          <w:rFonts w:hint="eastAsia" w:ascii="宋体" w:hAnsi="宋体" w:eastAsia="宋体"/>
          <w:color w:val="auto"/>
          <w:sz w:val="24"/>
          <w:highlight w:val="none"/>
        </w:rPr>
        <w:t>声明的真实性负责。如有虚假，将依法承担相应责任。</w:t>
      </w:r>
    </w:p>
    <w:p w14:paraId="491389D6">
      <w:pPr>
        <w:spacing w:line="360" w:lineRule="auto"/>
        <w:ind w:firstLine="4800" w:firstLineChars="2000"/>
        <w:rPr>
          <w:rFonts w:hint="eastAsia" w:ascii="宋体" w:hAnsi="宋体" w:eastAsia="宋体"/>
          <w:color w:val="auto"/>
          <w:sz w:val="24"/>
          <w:highlight w:val="none"/>
          <w:lang w:val="en-US" w:eastAsia="zh-CN"/>
        </w:rPr>
      </w:pPr>
    </w:p>
    <w:p w14:paraId="0B165512">
      <w:pPr>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lang w:val="en-US" w:eastAsia="zh-CN"/>
        </w:rPr>
        <w:t>供应商</w:t>
      </w:r>
      <w:r>
        <w:rPr>
          <w:rFonts w:hint="eastAsia" w:ascii="宋体" w:hAnsi="宋体" w:eastAsia="宋体"/>
          <w:color w:val="auto"/>
          <w:sz w:val="24"/>
          <w:highlight w:val="none"/>
        </w:rPr>
        <w:t>电子签章：</w:t>
      </w:r>
      <w:r>
        <w:rPr>
          <w:rFonts w:hint="eastAsia" w:ascii="宋体" w:hAnsi="宋体" w:eastAsia="宋体"/>
          <w:color w:val="auto"/>
          <w:sz w:val="24"/>
          <w:highlight w:val="none"/>
          <w:u w:val="single"/>
        </w:rPr>
        <w:t xml:space="preserve">     </w:t>
      </w:r>
      <w:r>
        <w:rPr>
          <w:rFonts w:ascii="宋体" w:hAnsi="宋体" w:eastAsia="宋体"/>
          <w:color w:val="auto"/>
          <w:sz w:val="24"/>
          <w:highlight w:val="none"/>
          <w:u w:val="single"/>
        </w:rPr>
        <w:t xml:space="preserve">    </w:t>
      </w:r>
      <w:r>
        <w:rPr>
          <w:rFonts w:hint="eastAsia" w:ascii="宋体" w:hAnsi="宋体" w:eastAsia="宋体"/>
          <w:color w:val="auto"/>
          <w:sz w:val="24"/>
          <w:highlight w:val="none"/>
          <w:u w:val="single"/>
        </w:rPr>
        <w:t xml:space="preserve">    </w:t>
      </w:r>
    </w:p>
    <w:p w14:paraId="64489A87">
      <w:pPr>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rPr>
        <w:t>日          期：</w:t>
      </w:r>
      <w:r>
        <w:rPr>
          <w:rFonts w:hint="eastAsia" w:ascii="宋体" w:hAnsi="宋体" w:eastAsia="宋体"/>
          <w:color w:val="auto"/>
          <w:sz w:val="24"/>
          <w:highlight w:val="none"/>
          <w:u w:val="single"/>
        </w:rPr>
        <w:t xml:space="preserve">     </w:t>
      </w:r>
      <w:r>
        <w:rPr>
          <w:rFonts w:ascii="宋体" w:hAnsi="宋体" w:eastAsia="宋体"/>
          <w:color w:val="auto"/>
          <w:sz w:val="24"/>
          <w:highlight w:val="none"/>
          <w:u w:val="single"/>
        </w:rPr>
        <w:t xml:space="preserve">    </w:t>
      </w:r>
      <w:r>
        <w:rPr>
          <w:rFonts w:hint="eastAsia" w:ascii="宋体" w:hAnsi="宋体" w:eastAsia="宋体"/>
          <w:color w:val="auto"/>
          <w:sz w:val="24"/>
          <w:highlight w:val="none"/>
          <w:u w:val="single"/>
        </w:rPr>
        <w:t xml:space="preserve">    </w:t>
      </w:r>
    </w:p>
    <w:p w14:paraId="38EE360B">
      <w:pPr>
        <w:widowControl/>
        <w:jc w:val="left"/>
        <w:rPr>
          <w:rFonts w:asciiTheme="minorEastAsia" w:hAnsiTheme="minorEastAsia" w:eastAsiaTheme="minorEastAsia"/>
          <w:b/>
          <w:color w:val="auto"/>
          <w:sz w:val="24"/>
          <w:highlight w:val="none"/>
        </w:rPr>
      </w:pPr>
      <w:r>
        <w:rPr>
          <w:rFonts w:asciiTheme="minorEastAsia" w:hAnsiTheme="minorEastAsia" w:eastAsiaTheme="minorEastAsia"/>
          <w:b/>
          <w:color w:val="auto"/>
          <w:sz w:val="24"/>
          <w:highlight w:val="none"/>
        </w:rPr>
        <w:br w:type="page"/>
      </w:r>
    </w:p>
    <w:p w14:paraId="38A7C03E">
      <w:pPr>
        <w:spacing w:line="360" w:lineRule="auto"/>
        <w:jc w:val="center"/>
        <w:outlineLvl w:val="1"/>
        <w:rPr>
          <w:rFonts w:asciiTheme="minorEastAsia" w:hAnsiTheme="minorEastAsia" w:eastAsiaTheme="minorEastAsia"/>
          <w:b/>
          <w:color w:val="auto"/>
          <w:sz w:val="24"/>
          <w:highlight w:val="none"/>
        </w:rPr>
      </w:pPr>
      <w:bookmarkStart w:id="198" w:name="_Toc19132"/>
      <w:bookmarkStart w:id="199" w:name="_Toc3425"/>
      <w:r>
        <w:rPr>
          <w:rFonts w:hint="eastAsia" w:asciiTheme="minorEastAsia" w:hAnsiTheme="minorEastAsia" w:eastAsiaTheme="minorEastAsia"/>
          <w:b/>
          <w:color w:val="auto"/>
          <w:sz w:val="24"/>
          <w:highlight w:val="none"/>
        </w:rPr>
        <w:t>五、授权书</w:t>
      </w:r>
      <w:bookmarkEnd w:id="198"/>
      <w:bookmarkEnd w:id="199"/>
    </w:p>
    <w:p w14:paraId="20AF3A0F">
      <w:pPr>
        <w:pStyle w:val="16"/>
        <w:snapToGrid w:val="0"/>
        <w:spacing w:line="360" w:lineRule="auto"/>
        <w:ind w:firstLine="480" w:firstLineChars="200"/>
        <w:jc w:val="left"/>
        <w:rPr>
          <w:rFonts w:hAnsi="宋体" w:eastAsia="宋体"/>
          <w:color w:val="auto"/>
          <w:sz w:val="24"/>
          <w:szCs w:val="28"/>
          <w:highlight w:val="none"/>
        </w:rPr>
      </w:pPr>
    </w:p>
    <w:p w14:paraId="6ECA2698">
      <w:pPr>
        <w:pStyle w:val="16"/>
        <w:snapToGrid w:val="0"/>
        <w:spacing w:line="360" w:lineRule="auto"/>
        <w:ind w:firstLine="480" w:firstLineChars="200"/>
        <w:jc w:val="left"/>
        <w:rPr>
          <w:rFonts w:hAnsi="宋体" w:eastAsia="宋体"/>
          <w:color w:val="auto"/>
          <w:sz w:val="24"/>
          <w:szCs w:val="28"/>
          <w:highlight w:val="none"/>
        </w:rPr>
      </w:pPr>
      <w:r>
        <w:rPr>
          <w:rFonts w:hint="eastAsia" w:hAnsi="宋体" w:eastAsia="宋体"/>
          <w:color w:val="auto"/>
          <w:sz w:val="24"/>
          <w:szCs w:val="28"/>
          <w:highlight w:val="none"/>
        </w:rPr>
        <w:t>本授权书声明：</w:t>
      </w:r>
      <w:r>
        <w:rPr>
          <w:rFonts w:hint="eastAsia" w:hAnsi="宋体" w:eastAsia="宋体"/>
          <w:color w:val="auto"/>
          <w:sz w:val="24"/>
          <w:szCs w:val="28"/>
          <w:highlight w:val="none"/>
          <w:u w:val="single"/>
        </w:rPr>
        <w:t xml:space="preserve">           </w:t>
      </w:r>
      <w:r>
        <w:rPr>
          <w:rFonts w:hint="eastAsia" w:hAnsi="宋体" w:eastAsia="宋体"/>
          <w:color w:val="auto"/>
          <w:sz w:val="24"/>
          <w:szCs w:val="28"/>
          <w:highlight w:val="none"/>
        </w:rPr>
        <w:t>（供应商名称）授权</w:t>
      </w:r>
      <w:r>
        <w:rPr>
          <w:rFonts w:hint="eastAsia" w:hAnsi="宋体" w:eastAsia="宋体"/>
          <w:color w:val="auto"/>
          <w:sz w:val="24"/>
          <w:szCs w:val="28"/>
          <w:highlight w:val="none"/>
          <w:u w:val="single"/>
        </w:rPr>
        <w:t xml:space="preserve">       </w:t>
      </w:r>
      <w:r>
        <w:rPr>
          <w:rFonts w:hint="eastAsia" w:hAnsi="宋体" w:eastAsia="宋体"/>
          <w:color w:val="auto"/>
          <w:sz w:val="24"/>
          <w:szCs w:val="28"/>
          <w:highlight w:val="none"/>
        </w:rPr>
        <w:t>（供应商授权代表姓名）代表我方参加本项目</w:t>
      </w:r>
      <w:r>
        <w:rPr>
          <w:rFonts w:hint="eastAsia" w:hAnsi="宋体" w:eastAsia="宋体"/>
          <w:bCs/>
          <w:color w:val="auto"/>
          <w:sz w:val="24"/>
          <w:szCs w:val="28"/>
          <w:highlight w:val="none"/>
        </w:rPr>
        <w:t>采购活动</w:t>
      </w:r>
      <w:r>
        <w:rPr>
          <w:rFonts w:hint="eastAsia" w:hAnsi="宋体" w:eastAsia="宋体"/>
          <w:color w:val="auto"/>
          <w:sz w:val="24"/>
          <w:szCs w:val="28"/>
          <w:highlight w:val="none"/>
        </w:rPr>
        <w:t>，全权代表我方处理谈判过程的一切事宜，包括但不限于：提交响应文件、参与谈判、签约等。供应商授权代表在采购活动过程中所签署的一切文件和处理与之有关的一切事务，本公司均予以认可并对此承担责任。供应商授权代表无转委托权。特此授权。</w:t>
      </w:r>
    </w:p>
    <w:p w14:paraId="210DEDE5">
      <w:pPr>
        <w:pStyle w:val="16"/>
        <w:snapToGrid w:val="0"/>
        <w:spacing w:line="360" w:lineRule="auto"/>
        <w:ind w:firstLine="480" w:firstLineChars="200"/>
        <w:jc w:val="left"/>
        <w:rPr>
          <w:rFonts w:hAnsi="宋体" w:eastAsia="宋体"/>
          <w:color w:val="auto"/>
          <w:sz w:val="24"/>
          <w:szCs w:val="28"/>
          <w:highlight w:val="none"/>
        </w:rPr>
      </w:pPr>
      <w:r>
        <w:rPr>
          <w:rFonts w:hint="eastAsia" w:hAnsi="宋体" w:eastAsia="宋体"/>
          <w:color w:val="auto"/>
          <w:sz w:val="24"/>
          <w:szCs w:val="28"/>
          <w:highlight w:val="none"/>
        </w:rPr>
        <w:t>本授权书自出具之日起生效。</w:t>
      </w:r>
    </w:p>
    <w:p w14:paraId="7D9857D8">
      <w:pPr>
        <w:pStyle w:val="16"/>
        <w:snapToGrid w:val="0"/>
        <w:spacing w:line="360" w:lineRule="auto"/>
        <w:ind w:firstLine="480" w:firstLineChars="200"/>
        <w:jc w:val="left"/>
        <w:rPr>
          <w:rFonts w:hAnsi="宋体" w:eastAsia="宋体"/>
          <w:color w:val="auto"/>
          <w:sz w:val="24"/>
          <w:highlight w:val="none"/>
        </w:rPr>
      </w:pPr>
      <w:r>
        <w:rPr>
          <w:rFonts w:hint="eastAsia" w:hAnsi="宋体" w:eastAsia="宋体"/>
          <w:color w:val="auto"/>
          <w:sz w:val="24"/>
          <w:szCs w:val="28"/>
          <w:highlight w:val="none"/>
        </w:rPr>
        <w:t>授权代表</w:t>
      </w:r>
      <w:r>
        <w:rPr>
          <w:rFonts w:hint="eastAsia" w:hAnsi="宋体" w:eastAsia="宋体"/>
          <w:color w:val="auto"/>
          <w:sz w:val="24"/>
          <w:highlight w:val="none"/>
        </w:rPr>
        <w:t>身份证明扫描件：</w:t>
      </w:r>
    </w:p>
    <w:p w14:paraId="2D750829">
      <w:pPr>
        <w:pStyle w:val="16"/>
        <w:snapToGrid w:val="0"/>
        <w:spacing w:line="360" w:lineRule="auto"/>
        <w:ind w:firstLine="480" w:firstLineChars="200"/>
        <w:jc w:val="left"/>
        <w:rPr>
          <w:rFonts w:hAnsi="宋体" w:eastAsia="宋体"/>
          <w:color w:val="auto"/>
          <w:sz w:val="24"/>
          <w:highlight w:val="none"/>
        </w:rPr>
      </w:pPr>
    </w:p>
    <w:p w14:paraId="5DED6EEA">
      <w:pPr>
        <w:pStyle w:val="16"/>
        <w:snapToGrid w:val="0"/>
        <w:spacing w:line="360" w:lineRule="auto"/>
        <w:ind w:firstLine="480" w:firstLineChars="200"/>
        <w:jc w:val="left"/>
        <w:rPr>
          <w:rFonts w:hAnsi="宋体" w:eastAsia="宋体"/>
          <w:color w:val="auto"/>
          <w:sz w:val="24"/>
          <w:highlight w:val="none"/>
        </w:rPr>
      </w:pPr>
    </w:p>
    <w:p w14:paraId="55F9C92E">
      <w:pPr>
        <w:pStyle w:val="16"/>
        <w:snapToGrid w:val="0"/>
        <w:spacing w:line="360" w:lineRule="auto"/>
        <w:ind w:firstLine="480" w:firstLineChars="200"/>
        <w:jc w:val="left"/>
        <w:rPr>
          <w:rFonts w:hAnsi="宋体" w:eastAsia="宋体"/>
          <w:color w:val="auto"/>
          <w:sz w:val="24"/>
          <w:highlight w:val="none"/>
        </w:rPr>
      </w:pPr>
    </w:p>
    <w:p w14:paraId="0D913859">
      <w:pPr>
        <w:pStyle w:val="16"/>
        <w:snapToGrid w:val="0"/>
        <w:spacing w:line="360" w:lineRule="auto"/>
        <w:ind w:firstLine="480" w:firstLineChars="200"/>
        <w:jc w:val="left"/>
        <w:rPr>
          <w:rFonts w:hAnsi="宋体" w:eastAsia="宋体"/>
          <w:color w:val="auto"/>
          <w:sz w:val="24"/>
          <w:highlight w:val="none"/>
        </w:rPr>
      </w:pPr>
    </w:p>
    <w:p w14:paraId="794FE19E">
      <w:pPr>
        <w:pStyle w:val="16"/>
        <w:snapToGrid w:val="0"/>
        <w:spacing w:line="360" w:lineRule="auto"/>
        <w:ind w:firstLine="480" w:firstLineChars="200"/>
        <w:jc w:val="left"/>
        <w:rPr>
          <w:rFonts w:hAnsi="宋体" w:eastAsia="宋体"/>
          <w:color w:val="auto"/>
          <w:sz w:val="24"/>
          <w:szCs w:val="28"/>
          <w:highlight w:val="none"/>
          <w:u w:val="single"/>
        </w:rPr>
      </w:pPr>
      <w:r>
        <w:rPr>
          <w:rFonts w:hint="eastAsia" w:hAnsi="宋体" w:eastAsia="宋体"/>
          <w:color w:val="auto"/>
          <w:sz w:val="24"/>
          <w:szCs w:val="28"/>
          <w:highlight w:val="none"/>
        </w:rPr>
        <w:t>授权代表联系方式：</w:t>
      </w:r>
      <w:r>
        <w:rPr>
          <w:rFonts w:hint="eastAsia" w:hAnsi="宋体" w:eastAsia="宋体"/>
          <w:color w:val="auto"/>
          <w:sz w:val="24"/>
          <w:szCs w:val="28"/>
          <w:highlight w:val="none"/>
          <w:u w:val="single"/>
        </w:rPr>
        <w:t xml:space="preserve">          （请填写手机号码）</w:t>
      </w:r>
    </w:p>
    <w:p w14:paraId="6222D906">
      <w:pPr>
        <w:pStyle w:val="16"/>
        <w:snapToGrid w:val="0"/>
        <w:spacing w:line="360" w:lineRule="auto"/>
        <w:ind w:firstLine="480" w:firstLineChars="200"/>
        <w:jc w:val="left"/>
        <w:rPr>
          <w:rFonts w:hAnsi="宋体" w:eastAsia="宋体"/>
          <w:color w:val="auto"/>
          <w:sz w:val="24"/>
          <w:szCs w:val="28"/>
          <w:highlight w:val="none"/>
        </w:rPr>
      </w:pPr>
    </w:p>
    <w:p w14:paraId="0E8EF6FD">
      <w:pPr>
        <w:spacing w:line="360" w:lineRule="auto"/>
        <w:ind w:firstLine="360" w:firstLineChars="150"/>
        <w:rPr>
          <w:rFonts w:ascii="宋体" w:hAnsi="宋体" w:eastAsia="宋体"/>
          <w:color w:val="auto"/>
          <w:sz w:val="24"/>
          <w:szCs w:val="28"/>
          <w:highlight w:val="none"/>
        </w:rPr>
      </w:pPr>
      <w:r>
        <w:rPr>
          <w:rFonts w:hint="eastAsia" w:ascii="宋体" w:hAnsi="宋体" w:eastAsia="宋体"/>
          <w:color w:val="auto"/>
          <w:sz w:val="24"/>
          <w:szCs w:val="28"/>
          <w:highlight w:val="none"/>
        </w:rPr>
        <w:t>特此声明。</w:t>
      </w:r>
    </w:p>
    <w:p w14:paraId="048F2A5B">
      <w:pPr>
        <w:spacing w:line="360" w:lineRule="auto"/>
        <w:rPr>
          <w:rFonts w:ascii="宋体" w:hAnsi="宋体" w:eastAsia="宋体"/>
          <w:color w:val="auto"/>
          <w:sz w:val="24"/>
          <w:szCs w:val="28"/>
          <w:highlight w:val="none"/>
        </w:rPr>
      </w:pPr>
    </w:p>
    <w:p w14:paraId="5EAAADCF">
      <w:pPr>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lang w:val="en-US" w:eastAsia="zh-CN"/>
        </w:rPr>
        <w:t>供应商</w:t>
      </w:r>
      <w:r>
        <w:rPr>
          <w:rFonts w:hint="eastAsia" w:ascii="宋体" w:hAnsi="宋体" w:eastAsia="宋体"/>
          <w:color w:val="auto"/>
          <w:sz w:val="24"/>
          <w:highlight w:val="none"/>
        </w:rPr>
        <w:t>电子签章：</w:t>
      </w:r>
      <w:r>
        <w:rPr>
          <w:rFonts w:hint="eastAsia" w:ascii="宋体" w:hAnsi="宋体" w:eastAsia="宋体"/>
          <w:color w:val="auto"/>
          <w:sz w:val="24"/>
          <w:highlight w:val="none"/>
          <w:u w:val="single"/>
        </w:rPr>
        <w:t xml:space="preserve">     </w:t>
      </w:r>
      <w:r>
        <w:rPr>
          <w:rFonts w:ascii="宋体" w:hAnsi="宋体" w:eastAsia="宋体"/>
          <w:color w:val="auto"/>
          <w:sz w:val="24"/>
          <w:highlight w:val="none"/>
          <w:u w:val="single"/>
        </w:rPr>
        <w:t xml:space="preserve">    </w:t>
      </w:r>
      <w:r>
        <w:rPr>
          <w:rFonts w:hint="eastAsia" w:ascii="宋体" w:hAnsi="宋体" w:eastAsia="宋体"/>
          <w:color w:val="auto"/>
          <w:sz w:val="24"/>
          <w:highlight w:val="none"/>
          <w:u w:val="single"/>
        </w:rPr>
        <w:t xml:space="preserve">    </w:t>
      </w:r>
    </w:p>
    <w:p w14:paraId="744A4D6B">
      <w:pPr>
        <w:spacing w:line="360" w:lineRule="auto"/>
        <w:ind w:firstLine="4800" w:firstLineChars="2000"/>
        <w:rPr>
          <w:rFonts w:ascii="宋体" w:hAnsi="宋体" w:eastAsia="宋体"/>
          <w:color w:val="auto"/>
          <w:sz w:val="24"/>
          <w:szCs w:val="28"/>
          <w:highlight w:val="none"/>
        </w:rPr>
      </w:pPr>
      <w:r>
        <w:rPr>
          <w:rFonts w:hint="eastAsia" w:ascii="宋体" w:hAnsi="宋体" w:eastAsia="宋体"/>
          <w:color w:val="auto"/>
          <w:sz w:val="24"/>
          <w:highlight w:val="none"/>
        </w:rPr>
        <w:t>日          期：</w:t>
      </w:r>
      <w:r>
        <w:rPr>
          <w:rFonts w:hint="eastAsia" w:ascii="宋体" w:hAnsi="宋体" w:eastAsia="宋体"/>
          <w:color w:val="auto"/>
          <w:sz w:val="24"/>
          <w:highlight w:val="none"/>
          <w:u w:val="single"/>
        </w:rPr>
        <w:t xml:space="preserve">     </w:t>
      </w:r>
      <w:r>
        <w:rPr>
          <w:rFonts w:ascii="宋体" w:hAnsi="宋体" w:eastAsia="宋体"/>
          <w:color w:val="auto"/>
          <w:sz w:val="24"/>
          <w:highlight w:val="none"/>
          <w:u w:val="single"/>
        </w:rPr>
        <w:t xml:space="preserve">    </w:t>
      </w:r>
      <w:r>
        <w:rPr>
          <w:rFonts w:hint="eastAsia" w:ascii="宋体" w:hAnsi="宋体" w:eastAsia="宋体"/>
          <w:color w:val="auto"/>
          <w:sz w:val="24"/>
          <w:highlight w:val="none"/>
          <w:u w:val="single"/>
        </w:rPr>
        <w:t xml:space="preserve">    </w:t>
      </w:r>
    </w:p>
    <w:p w14:paraId="517DDC1E">
      <w:pPr>
        <w:spacing w:line="360" w:lineRule="auto"/>
        <w:rPr>
          <w:rFonts w:ascii="宋体" w:hAnsi="宋体" w:eastAsia="宋体"/>
          <w:color w:val="auto"/>
          <w:sz w:val="24"/>
          <w:szCs w:val="28"/>
          <w:highlight w:val="none"/>
        </w:rPr>
      </w:pPr>
    </w:p>
    <w:p w14:paraId="66CB1D94">
      <w:pPr>
        <w:spacing w:line="360" w:lineRule="auto"/>
        <w:rPr>
          <w:rFonts w:ascii="宋体" w:hAnsi="宋体" w:eastAsia="宋体"/>
          <w:color w:val="auto"/>
          <w:sz w:val="24"/>
          <w:szCs w:val="28"/>
          <w:highlight w:val="none"/>
        </w:rPr>
      </w:pPr>
    </w:p>
    <w:p w14:paraId="4A7973FB">
      <w:pPr>
        <w:pStyle w:val="16"/>
        <w:snapToGrid w:val="0"/>
        <w:spacing w:line="360" w:lineRule="auto"/>
        <w:jc w:val="left"/>
        <w:rPr>
          <w:rFonts w:hAnsi="宋体" w:eastAsia="宋体"/>
          <w:color w:val="auto"/>
          <w:sz w:val="24"/>
          <w:szCs w:val="28"/>
          <w:highlight w:val="none"/>
        </w:rPr>
      </w:pPr>
      <w:r>
        <w:rPr>
          <w:rFonts w:hint="eastAsia" w:hAnsi="宋体" w:eastAsia="宋体"/>
          <w:color w:val="auto"/>
          <w:sz w:val="24"/>
          <w:szCs w:val="28"/>
          <w:highlight w:val="none"/>
        </w:rPr>
        <w:t>注：</w:t>
      </w:r>
    </w:p>
    <w:p w14:paraId="7A6ADFE9">
      <w:pPr>
        <w:pStyle w:val="16"/>
        <w:snapToGrid w:val="0"/>
        <w:spacing w:line="360" w:lineRule="auto"/>
        <w:jc w:val="left"/>
        <w:rPr>
          <w:rFonts w:hAnsi="宋体" w:eastAsia="宋体"/>
          <w:color w:val="auto"/>
          <w:sz w:val="24"/>
          <w:szCs w:val="28"/>
          <w:highlight w:val="none"/>
        </w:rPr>
      </w:pPr>
      <w:r>
        <w:rPr>
          <w:rFonts w:hint="eastAsia" w:hAnsi="宋体" w:eastAsia="宋体"/>
          <w:color w:val="auto"/>
          <w:sz w:val="24"/>
          <w:szCs w:val="28"/>
          <w:highlight w:val="none"/>
        </w:rPr>
        <w:t>1.本项目只允许有唯一的供应商授权代表，提供身份证明扫描件；</w:t>
      </w:r>
    </w:p>
    <w:p w14:paraId="02993164">
      <w:pPr>
        <w:pStyle w:val="16"/>
        <w:snapToGrid w:val="0"/>
        <w:spacing w:line="360" w:lineRule="auto"/>
        <w:jc w:val="left"/>
        <w:rPr>
          <w:rFonts w:hAnsi="宋体" w:eastAsia="宋体"/>
          <w:color w:val="auto"/>
          <w:sz w:val="24"/>
          <w:szCs w:val="28"/>
          <w:highlight w:val="none"/>
        </w:rPr>
      </w:pPr>
      <w:r>
        <w:rPr>
          <w:rFonts w:hint="eastAsia" w:hAnsi="宋体" w:eastAsia="宋体"/>
          <w:color w:val="auto"/>
          <w:sz w:val="24"/>
          <w:szCs w:val="28"/>
          <w:highlight w:val="none"/>
        </w:rPr>
        <w:t>2.法定代表人参加谈判的无需提供授权书，仅提供身份证明扫描件。</w:t>
      </w:r>
    </w:p>
    <w:p w14:paraId="5953388B">
      <w:pPr>
        <w:widowControl/>
        <w:jc w:val="left"/>
        <w:rPr>
          <w:rFonts w:asciiTheme="minorEastAsia" w:hAnsiTheme="minorEastAsia" w:eastAsiaTheme="minorEastAsia"/>
          <w:b/>
          <w:color w:val="auto"/>
          <w:sz w:val="24"/>
          <w:highlight w:val="none"/>
        </w:rPr>
      </w:pPr>
      <w:r>
        <w:rPr>
          <w:rFonts w:asciiTheme="minorEastAsia" w:hAnsiTheme="minorEastAsia" w:eastAsiaTheme="minorEastAsia"/>
          <w:b/>
          <w:color w:val="auto"/>
          <w:sz w:val="24"/>
          <w:highlight w:val="none"/>
        </w:rPr>
        <w:br w:type="page"/>
      </w:r>
    </w:p>
    <w:p w14:paraId="6FC59BAC">
      <w:pPr>
        <w:spacing w:line="360" w:lineRule="auto"/>
        <w:jc w:val="center"/>
        <w:outlineLvl w:val="1"/>
        <w:rPr>
          <w:rFonts w:asciiTheme="minorEastAsia" w:hAnsiTheme="minorEastAsia" w:eastAsiaTheme="minorEastAsia"/>
          <w:b/>
          <w:color w:val="auto"/>
          <w:sz w:val="24"/>
          <w:highlight w:val="none"/>
        </w:rPr>
      </w:pPr>
      <w:bookmarkStart w:id="200" w:name="_Toc1834"/>
      <w:bookmarkStart w:id="201" w:name="_Toc31060"/>
      <w:r>
        <w:rPr>
          <w:rFonts w:hint="eastAsia" w:asciiTheme="minorEastAsia" w:hAnsiTheme="minorEastAsia" w:eastAsiaTheme="minorEastAsia"/>
          <w:b/>
          <w:color w:val="auto"/>
          <w:sz w:val="24"/>
          <w:highlight w:val="none"/>
        </w:rPr>
        <w:t>六、</w:t>
      </w:r>
      <w:bookmarkEnd w:id="200"/>
      <w:bookmarkEnd w:id="201"/>
      <w:r>
        <w:rPr>
          <w:rFonts w:hint="eastAsia" w:asciiTheme="minorEastAsia" w:hAnsiTheme="minorEastAsia" w:eastAsiaTheme="minorEastAsia"/>
          <w:b/>
          <w:color w:val="auto"/>
          <w:sz w:val="24"/>
          <w:highlight w:val="none"/>
          <w:lang w:val="en-US" w:eastAsia="zh-CN"/>
        </w:rPr>
        <w:t>谈判</w:t>
      </w:r>
      <w:r>
        <w:rPr>
          <w:rFonts w:hint="eastAsia" w:asciiTheme="minorEastAsia" w:hAnsiTheme="minorEastAsia" w:eastAsiaTheme="minorEastAsia"/>
          <w:b/>
          <w:color w:val="auto"/>
          <w:sz w:val="24"/>
          <w:highlight w:val="none"/>
        </w:rPr>
        <w:t>响应表</w:t>
      </w:r>
    </w:p>
    <w:p w14:paraId="62B0B14B">
      <w:pPr>
        <w:spacing w:line="360" w:lineRule="auto"/>
        <w:ind w:firstLine="435"/>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6</w:t>
      </w:r>
      <w:r>
        <w:rPr>
          <w:rFonts w:asciiTheme="minorEastAsia" w:hAnsiTheme="minorEastAsia" w:eastAsiaTheme="minorEastAsia"/>
          <w:b/>
          <w:color w:val="auto"/>
          <w:sz w:val="24"/>
          <w:highlight w:val="none"/>
        </w:rPr>
        <w:t>.1</w:t>
      </w:r>
      <w:r>
        <w:rPr>
          <w:rFonts w:hint="eastAsia" w:asciiTheme="minorEastAsia" w:hAnsiTheme="minorEastAsia" w:eastAsiaTheme="minorEastAsia"/>
          <w:b/>
          <w:color w:val="auto"/>
          <w:sz w:val="24"/>
          <w:highlight w:val="none"/>
        </w:rPr>
        <w:t>商务响应表</w:t>
      </w:r>
    </w:p>
    <w:tbl>
      <w:tblPr>
        <w:tblStyle w:val="29"/>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87"/>
        <w:gridCol w:w="2089"/>
        <w:gridCol w:w="2722"/>
        <w:gridCol w:w="2806"/>
        <w:gridCol w:w="883"/>
      </w:tblGrid>
      <w:tr w14:paraId="775DF7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2" w:hRule="atLeast"/>
          <w:jc w:val="center"/>
        </w:trPr>
        <w:tc>
          <w:tcPr>
            <w:tcW w:w="424" w:type="pct"/>
            <w:vAlign w:val="center"/>
          </w:tcPr>
          <w:p w14:paraId="06AD6CC8">
            <w:pPr>
              <w:pStyle w:val="16"/>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序号</w:t>
            </w:r>
          </w:p>
        </w:tc>
        <w:tc>
          <w:tcPr>
            <w:tcW w:w="1124" w:type="pct"/>
            <w:vAlign w:val="center"/>
          </w:tcPr>
          <w:p w14:paraId="7803CE11">
            <w:pPr>
              <w:pStyle w:val="16"/>
              <w:jc w:val="center"/>
              <w:rPr>
                <w:rFonts w:cs="Wingdings" w:asciiTheme="minorEastAsia" w:hAnsiTheme="minorEastAsia"/>
                <w:b/>
                <w:color w:val="auto"/>
                <w:sz w:val="24"/>
                <w:highlight w:val="none"/>
              </w:rPr>
            </w:pPr>
            <w:r>
              <w:rPr>
                <w:rFonts w:hint="eastAsia" w:asciiTheme="minorEastAsia" w:hAnsiTheme="minorEastAsia"/>
                <w:b/>
                <w:bCs/>
                <w:color w:val="auto"/>
                <w:sz w:val="24"/>
                <w:szCs w:val="24"/>
                <w:highlight w:val="none"/>
              </w:rPr>
              <w:t>商务条款</w:t>
            </w:r>
          </w:p>
        </w:tc>
        <w:tc>
          <w:tcPr>
            <w:tcW w:w="1465" w:type="pct"/>
            <w:vAlign w:val="center"/>
          </w:tcPr>
          <w:p w14:paraId="095A624C">
            <w:pPr>
              <w:pStyle w:val="16"/>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lang w:val="en-US" w:eastAsia="zh-CN"/>
              </w:rPr>
              <w:t>谈判文件</w:t>
            </w:r>
            <w:r>
              <w:rPr>
                <w:rFonts w:hint="eastAsia" w:cs="Wingdings" w:asciiTheme="minorEastAsia" w:hAnsiTheme="minorEastAsia"/>
                <w:b/>
                <w:color w:val="auto"/>
                <w:sz w:val="24"/>
                <w:highlight w:val="none"/>
              </w:rPr>
              <w:t>要求</w:t>
            </w:r>
          </w:p>
        </w:tc>
        <w:tc>
          <w:tcPr>
            <w:tcW w:w="1510" w:type="pct"/>
            <w:vAlign w:val="center"/>
          </w:tcPr>
          <w:p w14:paraId="14AB3F75">
            <w:pPr>
              <w:pStyle w:val="16"/>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lang w:val="en-US" w:eastAsia="zh-CN"/>
              </w:rPr>
              <w:t>供应商</w:t>
            </w:r>
            <w:r>
              <w:rPr>
                <w:rFonts w:hint="eastAsia" w:cs="Wingdings" w:asciiTheme="minorEastAsia" w:hAnsiTheme="minorEastAsia"/>
                <w:b/>
                <w:color w:val="auto"/>
                <w:sz w:val="24"/>
                <w:highlight w:val="none"/>
              </w:rPr>
              <w:t>承诺</w:t>
            </w:r>
          </w:p>
        </w:tc>
        <w:tc>
          <w:tcPr>
            <w:tcW w:w="475" w:type="pct"/>
            <w:vAlign w:val="center"/>
          </w:tcPr>
          <w:p w14:paraId="70407828">
            <w:pPr>
              <w:pStyle w:val="16"/>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偏离说明</w:t>
            </w:r>
          </w:p>
        </w:tc>
      </w:tr>
      <w:tr w14:paraId="1C0615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24" w:type="pct"/>
            <w:vAlign w:val="center"/>
          </w:tcPr>
          <w:p w14:paraId="3DA5BB83">
            <w:pPr>
              <w:jc w:val="center"/>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1</w:t>
            </w:r>
          </w:p>
        </w:tc>
        <w:tc>
          <w:tcPr>
            <w:tcW w:w="1124" w:type="pct"/>
            <w:vAlign w:val="center"/>
          </w:tcPr>
          <w:p w14:paraId="43A179F9">
            <w:pPr>
              <w:jc w:val="center"/>
              <w:rPr>
                <w:rFonts w:ascii="宋体" w:hAnsi="宋体" w:eastAsia="宋体"/>
                <w:color w:val="auto"/>
                <w:sz w:val="24"/>
                <w:highlight w:val="none"/>
              </w:rPr>
            </w:pPr>
            <w:r>
              <w:rPr>
                <w:rFonts w:asciiTheme="minorEastAsia" w:hAnsiTheme="minorEastAsia" w:eastAsiaTheme="minorEastAsia"/>
                <w:color w:val="auto"/>
                <w:sz w:val="24"/>
                <w:highlight w:val="none"/>
              </w:rPr>
              <w:t>付款方式</w:t>
            </w:r>
          </w:p>
        </w:tc>
        <w:tc>
          <w:tcPr>
            <w:tcW w:w="1465" w:type="pct"/>
            <w:vAlign w:val="center"/>
          </w:tcPr>
          <w:p w14:paraId="6A4D055F">
            <w:pPr>
              <w:jc w:val="center"/>
              <w:rPr>
                <w:rFonts w:asciiTheme="minorEastAsia" w:hAnsiTheme="minorEastAsia" w:eastAsiaTheme="minorEastAsia"/>
                <w:color w:val="auto"/>
                <w:sz w:val="24"/>
                <w:highlight w:val="none"/>
              </w:rPr>
            </w:pPr>
          </w:p>
        </w:tc>
        <w:tc>
          <w:tcPr>
            <w:tcW w:w="1510" w:type="pct"/>
            <w:vAlign w:val="center"/>
          </w:tcPr>
          <w:p w14:paraId="0FBD20B7">
            <w:pPr>
              <w:jc w:val="center"/>
              <w:rPr>
                <w:rFonts w:asciiTheme="minorEastAsia" w:hAnsiTheme="minorEastAsia" w:eastAsiaTheme="minorEastAsia"/>
                <w:color w:val="auto"/>
                <w:sz w:val="24"/>
                <w:highlight w:val="none"/>
              </w:rPr>
            </w:pPr>
          </w:p>
        </w:tc>
        <w:tc>
          <w:tcPr>
            <w:tcW w:w="475" w:type="pct"/>
            <w:vAlign w:val="center"/>
          </w:tcPr>
          <w:p w14:paraId="34830BBA">
            <w:pPr>
              <w:jc w:val="center"/>
              <w:rPr>
                <w:rFonts w:asciiTheme="minorEastAsia" w:hAnsiTheme="minorEastAsia" w:eastAsiaTheme="minorEastAsia"/>
                <w:color w:val="auto"/>
                <w:sz w:val="24"/>
                <w:highlight w:val="none"/>
              </w:rPr>
            </w:pPr>
          </w:p>
        </w:tc>
      </w:tr>
      <w:tr w14:paraId="50B38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24" w:type="pct"/>
            <w:vAlign w:val="center"/>
          </w:tcPr>
          <w:p w14:paraId="6C9244BA">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p>
        </w:tc>
        <w:tc>
          <w:tcPr>
            <w:tcW w:w="1124" w:type="pct"/>
            <w:vAlign w:val="center"/>
          </w:tcPr>
          <w:p w14:paraId="403B5F02">
            <w:pPr>
              <w:jc w:val="center"/>
              <w:rPr>
                <w:rFonts w:ascii="宋体" w:hAnsi="宋体" w:eastAsia="宋体"/>
                <w:color w:val="auto"/>
                <w:sz w:val="24"/>
                <w:highlight w:val="none"/>
              </w:rPr>
            </w:pPr>
            <w:r>
              <w:rPr>
                <w:rFonts w:hint="eastAsia" w:ascii="宋体" w:hAnsi="宋体" w:eastAsia="宋体"/>
                <w:color w:val="auto"/>
                <w:sz w:val="24"/>
                <w:highlight w:val="none"/>
              </w:rPr>
              <w:t>服务地点</w:t>
            </w:r>
          </w:p>
        </w:tc>
        <w:tc>
          <w:tcPr>
            <w:tcW w:w="1465" w:type="pct"/>
            <w:vAlign w:val="center"/>
          </w:tcPr>
          <w:p w14:paraId="3C10013C">
            <w:pPr>
              <w:jc w:val="center"/>
              <w:rPr>
                <w:rFonts w:asciiTheme="minorEastAsia" w:hAnsiTheme="minorEastAsia" w:eastAsiaTheme="minorEastAsia"/>
                <w:color w:val="auto"/>
                <w:sz w:val="24"/>
                <w:highlight w:val="none"/>
              </w:rPr>
            </w:pPr>
          </w:p>
        </w:tc>
        <w:tc>
          <w:tcPr>
            <w:tcW w:w="1510" w:type="pct"/>
            <w:vAlign w:val="center"/>
          </w:tcPr>
          <w:p w14:paraId="71DF51CE">
            <w:pPr>
              <w:jc w:val="center"/>
              <w:rPr>
                <w:rFonts w:asciiTheme="minorEastAsia" w:hAnsiTheme="minorEastAsia" w:eastAsiaTheme="minorEastAsia"/>
                <w:color w:val="auto"/>
                <w:sz w:val="24"/>
                <w:highlight w:val="none"/>
              </w:rPr>
            </w:pPr>
          </w:p>
        </w:tc>
        <w:tc>
          <w:tcPr>
            <w:tcW w:w="475" w:type="pct"/>
            <w:vAlign w:val="center"/>
          </w:tcPr>
          <w:p w14:paraId="6621CD20">
            <w:pPr>
              <w:jc w:val="center"/>
              <w:rPr>
                <w:rFonts w:asciiTheme="minorEastAsia" w:hAnsiTheme="minorEastAsia" w:eastAsiaTheme="minorEastAsia"/>
                <w:color w:val="auto"/>
                <w:sz w:val="24"/>
                <w:highlight w:val="none"/>
              </w:rPr>
            </w:pPr>
          </w:p>
        </w:tc>
      </w:tr>
      <w:tr w14:paraId="0915B3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24" w:type="pct"/>
            <w:vAlign w:val="center"/>
          </w:tcPr>
          <w:p w14:paraId="2B92C57D">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w:t>
            </w:r>
          </w:p>
        </w:tc>
        <w:tc>
          <w:tcPr>
            <w:tcW w:w="1124" w:type="pct"/>
            <w:vAlign w:val="center"/>
          </w:tcPr>
          <w:p w14:paraId="167B55C8">
            <w:pPr>
              <w:jc w:val="center"/>
              <w:rPr>
                <w:rFonts w:ascii="宋体" w:hAnsi="宋体" w:eastAsia="宋体"/>
                <w:color w:val="auto"/>
                <w:sz w:val="24"/>
                <w:highlight w:val="none"/>
              </w:rPr>
            </w:pPr>
            <w:r>
              <w:rPr>
                <w:rFonts w:hint="eastAsia" w:ascii="宋体" w:hAnsi="宋体" w:eastAsia="宋体"/>
                <w:color w:val="auto"/>
                <w:sz w:val="24"/>
                <w:highlight w:val="none"/>
              </w:rPr>
              <w:t>服务期限</w:t>
            </w:r>
          </w:p>
        </w:tc>
        <w:tc>
          <w:tcPr>
            <w:tcW w:w="1465" w:type="pct"/>
            <w:vAlign w:val="center"/>
          </w:tcPr>
          <w:p w14:paraId="04FC7BA0">
            <w:pPr>
              <w:jc w:val="center"/>
              <w:rPr>
                <w:rFonts w:asciiTheme="minorEastAsia" w:hAnsiTheme="minorEastAsia" w:eastAsiaTheme="minorEastAsia"/>
                <w:color w:val="auto"/>
                <w:sz w:val="24"/>
                <w:highlight w:val="none"/>
              </w:rPr>
            </w:pPr>
          </w:p>
        </w:tc>
        <w:tc>
          <w:tcPr>
            <w:tcW w:w="1510" w:type="pct"/>
            <w:vAlign w:val="center"/>
          </w:tcPr>
          <w:p w14:paraId="0AD81D87">
            <w:pPr>
              <w:pStyle w:val="54"/>
              <w:jc w:val="center"/>
              <w:rPr>
                <w:rFonts w:asciiTheme="minorEastAsia" w:hAnsiTheme="minorEastAsia" w:eastAsiaTheme="minorEastAsia"/>
                <w:color w:val="auto"/>
                <w:highlight w:val="none"/>
              </w:rPr>
            </w:pPr>
          </w:p>
        </w:tc>
        <w:tc>
          <w:tcPr>
            <w:tcW w:w="475" w:type="pct"/>
            <w:vAlign w:val="center"/>
          </w:tcPr>
          <w:p w14:paraId="4B1DC8AE">
            <w:pPr>
              <w:jc w:val="center"/>
              <w:rPr>
                <w:rFonts w:asciiTheme="minorEastAsia" w:hAnsiTheme="minorEastAsia" w:eastAsiaTheme="minorEastAsia"/>
                <w:color w:val="auto"/>
                <w:sz w:val="24"/>
                <w:highlight w:val="none"/>
              </w:rPr>
            </w:pPr>
          </w:p>
        </w:tc>
      </w:tr>
      <w:tr w14:paraId="52979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24" w:type="pct"/>
            <w:vAlign w:val="center"/>
          </w:tcPr>
          <w:p w14:paraId="30B8E9E6">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p>
        </w:tc>
        <w:tc>
          <w:tcPr>
            <w:tcW w:w="1124" w:type="pct"/>
            <w:vAlign w:val="center"/>
          </w:tcPr>
          <w:p w14:paraId="49A65C63">
            <w:pPr>
              <w:jc w:val="center"/>
              <w:rPr>
                <w:rFonts w:ascii="宋体" w:hAnsi="宋体" w:eastAsia="宋体"/>
                <w:color w:val="auto"/>
                <w:sz w:val="24"/>
                <w:highlight w:val="none"/>
              </w:rPr>
            </w:pPr>
          </w:p>
        </w:tc>
        <w:tc>
          <w:tcPr>
            <w:tcW w:w="1465" w:type="pct"/>
            <w:vAlign w:val="center"/>
          </w:tcPr>
          <w:p w14:paraId="26AEDEB3">
            <w:pPr>
              <w:jc w:val="center"/>
              <w:rPr>
                <w:rFonts w:asciiTheme="minorEastAsia" w:hAnsiTheme="minorEastAsia" w:eastAsiaTheme="minorEastAsia"/>
                <w:color w:val="auto"/>
                <w:sz w:val="24"/>
                <w:highlight w:val="none"/>
              </w:rPr>
            </w:pPr>
          </w:p>
        </w:tc>
        <w:tc>
          <w:tcPr>
            <w:tcW w:w="1510" w:type="pct"/>
            <w:vAlign w:val="center"/>
          </w:tcPr>
          <w:p w14:paraId="1A811D76">
            <w:pPr>
              <w:jc w:val="center"/>
              <w:rPr>
                <w:rFonts w:asciiTheme="minorEastAsia" w:hAnsiTheme="minorEastAsia" w:eastAsiaTheme="minorEastAsia"/>
                <w:color w:val="auto"/>
                <w:sz w:val="24"/>
                <w:highlight w:val="none"/>
              </w:rPr>
            </w:pPr>
          </w:p>
        </w:tc>
        <w:tc>
          <w:tcPr>
            <w:tcW w:w="475" w:type="pct"/>
            <w:vAlign w:val="center"/>
          </w:tcPr>
          <w:p w14:paraId="5F564D21">
            <w:pPr>
              <w:jc w:val="center"/>
              <w:rPr>
                <w:rFonts w:asciiTheme="minorEastAsia" w:hAnsiTheme="minorEastAsia" w:eastAsiaTheme="minorEastAsia"/>
                <w:color w:val="auto"/>
                <w:sz w:val="24"/>
                <w:highlight w:val="none"/>
              </w:rPr>
            </w:pPr>
          </w:p>
        </w:tc>
      </w:tr>
    </w:tbl>
    <w:p w14:paraId="45A067CA">
      <w:pPr>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lang w:val="en-US" w:eastAsia="zh-CN"/>
        </w:rPr>
        <w:t>供应商</w:t>
      </w:r>
      <w:r>
        <w:rPr>
          <w:rFonts w:hint="eastAsia" w:ascii="宋体" w:hAnsi="宋体" w:eastAsia="宋体"/>
          <w:color w:val="auto"/>
          <w:sz w:val="24"/>
          <w:highlight w:val="none"/>
        </w:rPr>
        <w:t>电子签章：</w:t>
      </w:r>
      <w:r>
        <w:rPr>
          <w:rFonts w:hint="eastAsia" w:ascii="宋体" w:hAnsi="宋体" w:eastAsia="宋体"/>
          <w:color w:val="auto"/>
          <w:sz w:val="24"/>
          <w:highlight w:val="none"/>
          <w:u w:val="single"/>
        </w:rPr>
        <w:t xml:space="preserve">     </w:t>
      </w:r>
      <w:r>
        <w:rPr>
          <w:rFonts w:ascii="宋体" w:hAnsi="宋体" w:eastAsia="宋体"/>
          <w:color w:val="auto"/>
          <w:sz w:val="24"/>
          <w:highlight w:val="none"/>
          <w:u w:val="single"/>
        </w:rPr>
        <w:t xml:space="preserve">    </w:t>
      </w:r>
      <w:r>
        <w:rPr>
          <w:rFonts w:hint="eastAsia" w:ascii="宋体" w:hAnsi="宋体" w:eastAsia="宋体"/>
          <w:color w:val="auto"/>
          <w:sz w:val="24"/>
          <w:highlight w:val="none"/>
          <w:u w:val="single"/>
        </w:rPr>
        <w:t xml:space="preserve">    </w:t>
      </w:r>
    </w:p>
    <w:p w14:paraId="3CC8A6BC">
      <w:pPr>
        <w:tabs>
          <w:tab w:val="left" w:pos="630"/>
        </w:tabs>
        <w:spacing w:line="360" w:lineRule="auto"/>
        <w:ind w:firstLine="4800" w:firstLineChars="2000"/>
        <w:rPr>
          <w:rFonts w:asciiTheme="minorEastAsia" w:hAnsiTheme="minorEastAsia" w:eastAsiaTheme="minorEastAsia"/>
          <w:color w:val="auto"/>
          <w:sz w:val="24"/>
          <w:highlight w:val="none"/>
        </w:rPr>
      </w:pPr>
      <w:r>
        <w:rPr>
          <w:rFonts w:hint="eastAsia" w:ascii="宋体" w:hAnsi="宋体" w:eastAsia="宋体"/>
          <w:color w:val="auto"/>
          <w:sz w:val="24"/>
          <w:highlight w:val="none"/>
        </w:rPr>
        <w:t xml:space="preserve">日     </w:t>
      </w:r>
      <w:r>
        <w:rPr>
          <w:rFonts w:ascii="宋体" w:hAnsi="宋体" w:eastAsia="宋体"/>
          <w:color w:val="auto"/>
          <w:sz w:val="24"/>
          <w:highlight w:val="none"/>
        </w:rPr>
        <w:t xml:space="preserve">    </w:t>
      </w:r>
      <w:r>
        <w:rPr>
          <w:rFonts w:hint="eastAsia" w:ascii="宋体" w:hAnsi="宋体" w:eastAsia="宋体"/>
          <w:color w:val="auto"/>
          <w:sz w:val="24"/>
          <w:highlight w:val="none"/>
        </w:rPr>
        <w:t xml:space="preserve"> 期：</w:t>
      </w:r>
      <w:r>
        <w:rPr>
          <w:rFonts w:hint="eastAsia" w:ascii="宋体" w:hAnsi="宋体" w:eastAsia="宋体"/>
          <w:color w:val="auto"/>
          <w:sz w:val="24"/>
          <w:highlight w:val="none"/>
          <w:u w:val="single"/>
        </w:rPr>
        <w:t xml:space="preserve">             </w:t>
      </w:r>
    </w:p>
    <w:p w14:paraId="64904C58">
      <w:pPr>
        <w:pStyle w:val="17"/>
        <w:spacing w:line="360" w:lineRule="auto"/>
        <w:rPr>
          <w:rFonts w:asciiTheme="minorEastAsia" w:hAnsiTheme="minorEastAsia" w:eastAsiaTheme="minorEastAsia"/>
          <w:b w:val="0"/>
          <w:color w:val="auto"/>
          <w:sz w:val="24"/>
          <w:highlight w:val="none"/>
        </w:rPr>
      </w:pPr>
      <w:r>
        <w:rPr>
          <w:rFonts w:asciiTheme="minorEastAsia" w:hAnsiTheme="minorEastAsia" w:eastAsiaTheme="minorEastAsia"/>
          <w:b w:val="0"/>
          <w:color w:val="auto"/>
          <w:sz w:val="24"/>
          <w:highlight w:val="none"/>
        </w:rPr>
        <w:br w:type="page"/>
      </w:r>
    </w:p>
    <w:p w14:paraId="2F86C322">
      <w:pPr>
        <w:spacing w:line="360" w:lineRule="auto"/>
        <w:jc w:val="center"/>
        <w:outlineLvl w:val="1"/>
        <w:rPr>
          <w:rFonts w:asciiTheme="minorEastAsia" w:hAnsiTheme="minorEastAsia" w:eastAsiaTheme="minorEastAsia"/>
          <w:b/>
          <w:color w:val="auto"/>
          <w:sz w:val="24"/>
          <w:highlight w:val="none"/>
        </w:rPr>
      </w:pPr>
      <w:bookmarkStart w:id="202" w:name="_Toc25481"/>
      <w:bookmarkStart w:id="203" w:name="_Toc19745"/>
      <w:r>
        <w:rPr>
          <w:rFonts w:hint="eastAsia" w:asciiTheme="minorEastAsia" w:hAnsiTheme="minorEastAsia" w:eastAsiaTheme="minorEastAsia"/>
          <w:b/>
          <w:color w:val="auto"/>
          <w:sz w:val="24"/>
          <w:highlight w:val="none"/>
          <w:lang w:val="en-US" w:eastAsia="zh-CN"/>
        </w:rPr>
        <w:t>七</w:t>
      </w:r>
      <w:r>
        <w:rPr>
          <w:rFonts w:hint="eastAsia" w:asciiTheme="minorEastAsia" w:hAnsiTheme="minorEastAsia" w:eastAsiaTheme="minorEastAsia"/>
          <w:b/>
          <w:color w:val="auto"/>
          <w:sz w:val="24"/>
          <w:highlight w:val="none"/>
        </w:rPr>
        <w:t>、诚信履约承诺函</w:t>
      </w:r>
      <w:bookmarkEnd w:id="202"/>
      <w:bookmarkEnd w:id="203"/>
    </w:p>
    <w:p w14:paraId="73B2D349">
      <w:pPr>
        <w:spacing w:line="360" w:lineRule="auto"/>
        <w:rPr>
          <w:rFonts w:asciiTheme="minorEastAsia" w:hAnsiTheme="minorEastAsia" w:eastAsiaTheme="minorEastAsia"/>
          <w:b/>
          <w:bCs/>
          <w:color w:val="auto"/>
          <w:sz w:val="24"/>
          <w:highlight w:val="none"/>
        </w:rPr>
      </w:pPr>
    </w:p>
    <w:p w14:paraId="0CBAE29E">
      <w:pPr>
        <w:spacing w:line="360" w:lineRule="auto"/>
        <w:rPr>
          <w:rFonts w:hint="eastAsia" w:asciiTheme="minorEastAsia" w:hAnsiTheme="minorEastAsia" w:eastAsiaTheme="minorEastAsia"/>
          <w:b/>
          <w:bCs/>
          <w:color w:val="auto"/>
          <w:sz w:val="24"/>
          <w:highlight w:val="none"/>
          <w:lang w:eastAsia="zh-CN"/>
        </w:rPr>
      </w:pPr>
      <w:r>
        <w:rPr>
          <w:rFonts w:hint="eastAsia" w:asciiTheme="minorEastAsia" w:hAnsiTheme="minorEastAsia" w:eastAsiaTheme="minorEastAsia"/>
          <w:b/>
          <w:bCs/>
          <w:color w:val="auto"/>
          <w:sz w:val="24"/>
          <w:highlight w:val="none"/>
        </w:rPr>
        <w:t>致：</w:t>
      </w:r>
      <w:r>
        <w:rPr>
          <w:rFonts w:hint="eastAsia" w:asciiTheme="minorEastAsia" w:hAnsiTheme="minorEastAsia" w:eastAsiaTheme="minorEastAsia"/>
          <w:b/>
          <w:bCs/>
          <w:color w:val="auto"/>
          <w:sz w:val="24"/>
          <w:highlight w:val="none"/>
          <w:u w:val="single"/>
          <w:lang w:val="en-US" w:eastAsia="zh-CN"/>
        </w:rPr>
        <w:t xml:space="preserve">                              </w:t>
      </w:r>
      <w:r>
        <w:rPr>
          <w:rFonts w:hint="eastAsia" w:asciiTheme="minorEastAsia" w:hAnsiTheme="minorEastAsia" w:eastAsiaTheme="minorEastAsia"/>
          <w:b/>
          <w:bCs/>
          <w:color w:val="auto"/>
          <w:sz w:val="24"/>
          <w:highlight w:val="none"/>
          <w:u w:val="none"/>
          <w:lang w:eastAsia="zh-CN"/>
        </w:rPr>
        <w:t>采购人</w:t>
      </w:r>
    </w:p>
    <w:p w14:paraId="73AE5509">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如我单位被确定为本项目成交供应商，我单位承诺在合同签订及履约过程中将严格执行《中华人民共和国政府采购法》、《中华人民共和国政府采购法实施条例》及本项目采购文件中关于合同签订及履约的相关规定，不出现以下情形：</w:t>
      </w:r>
    </w:p>
    <w:p w14:paraId="397669A4">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（1）中标或者成交后无正当理由拒不与采购人签订政府采购合同；</w:t>
      </w:r>
    </w:p>
    <w:p w14:paraId="08B816A7">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（2）未按照采购文件确定的事项签订政府采购合同；</w:t>
      </w:r>
    </w:p>
    <w:p w14:paraId="22D7F992">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（3）将政府采购合同转包；</w:t>
      </w:r>
    </w:p>
    <w:p w14:paraId="0E6B866D">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（4）提供假冒伪劣产品；</w:t>
      </w:r>
    </w:p>
    <w:p w14:paraId="4C02CC83">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（5）擅自变更、中止或者终止政府采购合同。</w:t>
      </w:r>
    </w:p>
    <w:p w14:paraId="6AE539CB">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本单位知悉如出现上述情形，将会被依法追究法律责任，可能的处理结果有：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w:t>
      </w:r>
    </w:p>
    <w:p w14:paraId="1329D812">
      <w:pPr>
        <w:spacing w:line="360" w:lineRule="auto"/>
        <w:rPr>
          <w:rFonts w:asciiTheme="minorEastAsia" w:hAnsiTheme="minorEastAsia" w:eastAsiaTheme="minorEastAsia"/>
          <w:bCs/>
          <w:color w:val="auto"/>
          <w:sz w:val="24"/>
          <w:highlight w:val="none"/>
        </w:rPr>
      </w:pPr>
    </w:p>
    <w:p w14:paraId="138CD5CF">
      <w:pPr>
        <w:spacing w:line="360" w:lineRule="auto"/>
        <w:rPr>
          <w:rFonts w:asciiTheme="minorEastAsia" w:hAnsiTheme="minorEastAsia" w:eastAsiaTheme="minorEastAsia"/>
          <w:bCs/>
          <w:color w:val="auto"/>
          <w:sz w:val="24"/>
          <w:highlight w:val="none"/>
        </w:rPr>
      </w:pPr>
    </w:p>
    <w:p w14:paraId="4B2F6AFE">
      <w:pPr>
        <w:spacing w:line="360" w:lineRule="auto"/>
        <w:ind w:firstLine="4320" w:firstLineChars="1800"/>
        <w:rPr>
          <w:rFonts w:asciiTheme="minorEastAsia" w:hAnsiTheme="minorEastAsia" w:eastAsiaTheme="minorEastAsia"/>
          <w:bCs/>
          <w:color w:val="auto"/>
          <w:sz w:val="24"/>
          <w:highlight w:val="none"/>
          <w:u w:val="single"/>
        </w:rPr>
      </w:pPr>
      <w:r>
        <w:rPr>
          <w:rFonts w:hint="eastAsia" w:asciiTheme="minorEastAsia" w:hAnsiTheme="minorEastAsia" w:eastAsiaTheme="minorEastAsia"/>
          <w:bCs/>
          <w:color w:val="auto"/>
          <w:sz w:val="24"/>
          <w:highlight w:val="none"/>
        </w:rPr>
        <w:t>供应商电子签章：</w:t>
      </w:r>
      <w:r>
        <w:rPr>
          <w:rFonts w:hint="eastAsia" w:asciiTheme="minorEastAsia" w:hAnsiTheme="minorEastAsia" w:eastAsiaTheme="minorEastAsia"/>
          <w:bCs/>
          <w:color w:val="auto"/>
          <w:sz w:val="24"/>
          <w:highlight w:val="none"/>
          <w:u w:val="single"/>
        </w:rPr>
        <w:t xml:space="preserve">     </w:t>
      </w:r>
      <w:r>
        <w:rPr>
          <w:rFonts w:asciiTheme="minorEastAsia" w:hAnsiTheme="minorEastAsia" w:eastAsiaTheme="minorEastAsia"/>
          <w:bCs/>
          <w:color w:val="auto"/>
          <w:sz w:val="24"/>
          <w:highlight w:val="none"/>
          <w:u w:val="single"/>
        </w:rPr>
        <w:t xml:space="preserve">    </w:t>
      </w:r>
      <w:r>
        <w:rPr>
          <w:rFonts w:hint="eastAsia" w:asciiTheme="minorEastAsia" w:hAnsiTheme="minorEastAsia" w:eastAsiaTheme="minorEastAsia"/>
          <w:bCs/>
          <w:color w:val="auto"/>
          <w:sz w:val="24"/>
          <w:highlight w:val="none"/>
          <w:u w:val="single"/>
        </w:rPr>
        <w:t xml:space="preserve">    </w:t>
      </w:r>
    </w:p>
    <w:p w14:paraId="06BE7060">
      <w:pPr>
        <w:spacing w:line="360" w:lineRule="auto"/>
        <w:ind w:firstLine="4320" w:firstLineChars="1800"/>
        <w:rPr>
          <w:rFonts w:asciiTheme="minorEastAsia" w:hAnsiTheme="minorEastAsia" w:eastAsiaTheme="minorEastAsia"/>
          <w:b/>
          <w:color w:val="auto"/>
          <w:sz w:val="24"/>
          <w:highlight w:val="none"/>
        </w:rPr>
      </w:pPr>
      <w:r>
        <w:rPr>
          <w:rFonts w:hint="eastAsia" w:asciiTheme="minorEastAsia" w:hAnsiTheme="minorEastAsia" w:eastAsiaTheme="minorEastAsia"/>
          <w:bCs/>
          <w:color w:val="auto"/>
          <w:sz w:val="24"/>
          <w:highlight w:val="none"/>
        </w:rPr>
        <w:t>日          期：</w:t>
      </w:r>
      <w:r>
        <w:rPr>
          <w:rFonts w:hint="eastAsia" w:asciiTheme="minorEastAsia" w:hAnsiTheme="minorEastAsia" w:eastAsiaTheme="minorEastAsia"/>
          <w:bCs/>
          <w:color w:val="auto"/>
          <w:sz w:val="24"/>
          <w:highlight w:val="none"/>
          <w:u w:val="single"/>
        </w:rPr>
        <w:t xml:space="preserve">             </w:t>
      </w:r>
    </w:p>
    <w:p w14:paraId="028BE82F">
      <w:pPr>
        <w:widowControl/>
        <w:jc w:val="left"/>
        <w:rPr>
          <w:rFonts w:asciiTheme="minorEastAsia" w:hAnsiTheme="minorEastAsia" w:eastAsiaTheme="minorEastAsia"/>
          <w:b/>
          <w:color w:val="auto"/>
          <w:sz w:val="24"/>
          <w:highlight w:val="none"/>
        </w:rPr>
      </w:pPr>
      <w:r>
        <w:rPr>
          <w:rFonts w:asciiTheme="minorEastAsia" w:hAnsiTheme="minorEastAsia" w:eastAsiaTheme="minorEastAsia"/>
          <w:b/>
          <w:color w:val="auto"/>
          <w:sz w:val="24"/>
          <w:highlight w:val="none"/>
        </w:rPr>
        <w:br w:type="page"/>
      </w:r>
    </w:p>
    <w:p w14:paraId="021889E0">
      <w:pPr>
        <w:spacing w:line="360" w:lineRule="auto"/>
        <w:jc w:val="center"/>
        <w:outlineLvl w:val="1"/>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八、</w:t>
      </w:r>
      <w:r>
        <w:rPr>
          <w:rFonts w:hint="eastAsia" w:asciiTheme="minorEastAsia" w:hAnsiTheme="minorEastAsia" w:eastAsiaTheme="minorEastAsia"/>
          <w:b/>
          <w:color w:val="auto"/>
          <w:sz w:val="24"/>
          <w:highlight w:val="none"/>
        </w:rPr>
        <w:t>诚信响应承诺书</w:t>
      </w:r>
    </w:p>
    <w:p w14:paraId="1D901F68">
      <w:pPr>
        <w:spacing w:line="440" w:lineRule="exact"/>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本人以企业法定代表人的身份郑重承诺：</w:t>
      </w:r>
    </w:p>
    <w:p w14:paraId="23D9F37B">
      <w:pPr>
        <w:spacing w:line="560" w:lineRule="exact"/>
        <w:ind w:firstLine="480" w:firstLineChars="200"/>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一、将遵循公开、公正和诚实信用的原则自愿参加</w:t>
      </w:r>
      <w:r>
        <w:rPr>
          <w:rFonts w:hint="eastAsia" w:ascii="宋体" w:hAnsi="宋体" w:eastAsia="宋体" w:cs="宋体"/>
          <w:color w:val="auto"/>
          <w:sz w:val="24"/>
          <w:szCs w:val="24"/>
          <w:highlight w:val="none"/>
          <w:u w:val="single"/>
        </w:rPr>
        <w:t xml:space="preserve">       （项目名称）         项目</w:t>
      </w:r>
      <w:r>
        <w:rPr>
          <w:rFonts w:hint="eastAsia" w:ascii="宋体" w:hAnsi="宋体" w:eastAsia="宋体" w:cs="宋体"/>
          <w:color w:val="auto"/>
          <w:sz w:val="24"/>
          <w:szCs w:val="24"/>
          <w:highlight w:val="none"/>
        </w:rPr>
        <w:t>的谈判，所提供的一切材料都是真实、有效、合法的；</w:t>
      </w:r>
    </w:p>
    <w:p w14:paraId="1E46A7F1">
      <w:pPr>
        <w:spacing w:line="560" w:lineRule="exact"/>
        <w:ind w:firstLine="480" w:firstLineChars="200"/>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二、本单位郑重声明，根据《中华人民共和国政府采购法》及《中华人民共和国政府采购法实施条例》的规定，我公司具有良好的商业信誉和健全的财务会计制度，具有履行合同所必需的设备和专业技术能力，有依法缴纳税收和社会保障资金的良好记录；参加政府采购活动前三年内，本单位在经营活动中没有重大违法记录，没有因违法经营受到刑事处罚或者责令停产停业、吊销许可证或者执照、较大数额罚款等行政处罚；</w:t>
      </w:r>
    </w:p>
    <w:p w14:paraId="5618DC8E">
      <w:pPr>
        <w:spacing w:line="560" w:lineRule="exact"/>
        <w:ind w:firstLine="480" w:firstLineChars="200"/>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三、不出借、转让资质证书，不让他人挂靠，不以他人名义或者以其他方式弄虚作假，骗取成交；</w:t>
      </w:r>
    </w:p>
    <w:p w14:paraId="6D41A3C7">
      <w:pPr>
        <w:spacing w:line="560" w:lineRule="exact"/>
        <w:ind w:firstLine="480" w:firstLineChars="200"/>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四、不与其他供应商相互串通响应报价，不排挤其他供应商的公平竞争、损害采购人的合法权益；</w:t>
      </w:r>
    </w:p>
    <w:p w14:paraId="0194D022">
      <w:pPr>
        <w:spacing w:line="560" w:lineRule="exact"/>
        <w:ind w:firstLine="480" w:firstLineChars="200"/>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五、不与采购人、采购代理机构或其他供应商串通响应，损害国家利益、社会公共利益或者他人的合法权益；</w:t>
      </w:r>
    </w:p>
    <w:p w14:paraId="70C4BE61">
      <w:pPr>
        <w:spacing w:line="500" w:lineRule="exact"/>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六、我公司没有下列情形：被滁州市县两级公管部门记入不良行为记录且在披露期内。</w:t>
      </w:r>
    </w:p>
    <w:p w14:paraId="3F484C7C">
      <w:pPr>
        <w:spacing w:line="500" w:lineRule="exact"/>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七</w:t>
      </w:r>
      <w:r>
        <w:rPr>
          <w:rFonts w:hint="eastAsia" w:ascii="宋体" w:hAnsi="宋体" w:eastAsia="宋体" w:cs="宋体"/>
          <w:color w:val="auto"/>
          <w:sz w:val="24"/>
          <w:szCs w:val="24"/>
          <w:highlight w:val="none"/>
        </w:rPr>
        <w:t>、严格遵守谈判现场纪律，服从监管人员管理；</w:t>
      </w:r>
    </w:p>
    <w:p w14:paraId="7CC6E23F">
      <w:pPr>
        <w:spacing w:line="560" w:lineRule="exact"/>
        <w:ind w:firstLine="480" w:firstLineChars="200"/>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八</w:t>
      </w:r>
      <w:r>
        <w:rPr>
          <w:rFonts w:hint="eastAsia" w:ascii="宋体" w:hAnsi="宋体" w:eastAsia="宋体" w:cs="宋体"/>
          <w:color w:val="auto"/>
          <w:sz w:val="24"/>
          <w:szCs w:val="24"/>
          <w:highlight w:val="none"/>
        </w:rPr>
        <w:t>、保证成交后不转包，若有分包征得采购人同意；</w:t>
      </w:r>
    </w:p>
    <w:p w14:paraId="1B9ADE4D">
      <w:pPr>
        <w:spacing w:line="560" w:lineRule="exact"/>
        <w:ind w:firstLine="480" w:firstLineChars="200"/>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九</w:t>
      </w:r>
      <w:r>
        <w:rPr>
          <w:rFonts w:hint="eastAsia" w:ascii="宋体" w:hAnsi="宋体" w:eastAsia="宋体" w:cs="宋体"/>
          <w:color w:val="auto"/>
          <w:sz w:val="24"/>
          <w:szCs w:val="24"/>
          <w:highlight w:val="none"/>
        </w:rPr>
        <w:t>、保证成交之后，按照响应文件要求提供相关后续服务；</w:t>
      </w:r>
    </w:p>
    <w:p w14:paraId="2731CEE0">
      <w:pPr>
        <w:spacing w:line="560" w:lineRule="exact"/>
        <w:ind w:firstLine="480" w:firstLineChars="200"/>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十、保证企业及所属相关人员在本次响应中无行贿等犯罪行为；</w:t>
      </w:r>
    </w:p>
    <w:p w14:paraId="24B92507">
      <w:pPr>
        <w:spacing w:line="560" w:lineRule="exact"/>
        <w:ind w:firstLine="480" w:firstLineChars="200"/>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十</w:t>
      </w:r>
      <w:r>
        <w:rPr>
          <w:rFonts w:hint="eastAsia" w:ascii="宋体" w:hAnsi="宋体" w:eastAsia="宋体" w:cs="宋体"/>
          <w:color w:val="auto"/>
          <w:sz w:val="24"/>
          <w:szCs w:val="24"/>
          <w:highlight w:val="none"/>
          <w:lang w:val="en-US" w:eastAsia="zh-CN"/>
        </w:rPr>
        <w:t>一</w:t>
      </w:r>
      <w:r>
        <w:rPr>
          <w:rFonts w:hint="eastAsia" w:ascii="宋体" w:hAnsi="宋体" w:eastAsia="宋体" w:cs="宋体"/>
          <w:color w:val="auto"/>
          <w:sz w:val="24"/>
          <w:szCs w:val="24"/>
          <w:highlight w:val="none"/>
        </w:rPr>
        <w:t>、如在谈判过程和公示期间发生投诉行为，保证按照相关规定要求进行。投诉内容符合要求，投诉材料加盖企业公章或由法定代表人授权委托人签字，并附有关身份证明复印件。不恶意投诉，对本公司提供的投诉线索的真实性负责，否则愿接受有关部门的处罚。</w:t>
      </w:r>
    </w:p>
    <w:p w14:paraId="0DF987D4">
      <w:pPr>
        <w:spacing w:line="560" w:lineRule="exact"/>
        <w:ind w:firstLine="480" w:firstLineChars="200"/>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以上内容我已仔细阅读，本公司若有违反承诺内容的行为，自愿接受取消响应或者中标（成交）资格、记入不良行为记录等有关处理，愿意承担法律责任，给采购人造成损失的，依法承担赔偿责任。</w:t>
      </w:r>
    </w:p>
    <w:p w14:paraId="5F492B72">
      <w:pPr>
        <w:spacing w:line="560" w:lineRule="exact"/>
        <w:ind w:firstLine="480" w:firstLineChars="200"/>
        <w:jc w:val="left"/>
        <w:rPr>
          <w:rFonts w:ascii="宋体" w:hAnsi="宋体" w:eastAsia="宋体" w:cs="宋体"/>
          <w:color w:val="auto"/>
          <w:sz w:val="24"/>
          <w:szCs w:val="24"/>
          <w:highlight w:val="none"/>
        </w:rPr>
      </w:pPr>
    </w:p>
    <w:p w14:paraId="56F704F4">
      <w:pPr>
        <w:spacing w:line="520" w:lineRule="exact"/>
        <w:jc w:val="left"/>
        <w:rPr>
          <w:rFonts w:ascii="宋体" w:hAnsi="宋体" w:eastAsia="宋体" w:cs="宋体"/>
          <w:color w:val="auto"/>
          <w:sz w:val="24"/>
          <w:szCs w:val="24"/>
          <w:highlight w:val="none"/>
        </w:rPr>
      </w:pPr>
    </w:p>
    <w:p w14:paraId="173ADBD2">
      <w:pPr>
        <w:spacing w:line="600" w:lineRule="exact"/>
        <w:ind w:firstLine="480" w:firstLineChars="200"/>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开户银行：                   基本账户：</w:t>
      </w:r>
    </w:p>
    <w:p w14:paraId="6FF0B21D">
      <w:pPr>
        <w:spacing w:line="600" w:lineRule="exact"/>
        <w:ind w:firstLine="480" w:firstLineChars="200"/>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供应商（签章）：             法定代表人（签章）：</w:t>
      </w:r>
    </w:p>
    <w:p w14:paraId="42B2AC69">
      <w:pPr>
        <w:spacing w:line="600" w:lineRule="exact"/>
        <w:ind w:firstLine="4095" w:firstLineChars="1950"/>
        <w:rPr>
          <w:rFonts w:ascii="宋体" w:hAnsi="宋体"/>
          <w:color w:val="auto"/>
          <w:szCs w:val="21"/>
          <w:highlight w:val="none"/>
        </w:rPr>
      </w:pPr>
    </w:p>
    <w:p w14:paraId="7F7C3251">
      <w:pPr>
        <w:spacing w:line="600" w:lineRule="exact"/>
        <w:ind w:firstLine="4680" w:firstLineChars="195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日期：年 月 日</w:t>
      </w:r>
    </w:p>
    <w:p w14:paraId="3C0ABEDC">
      <w:pPr>
        <w:spacing w:line="360" w:lineRule="auto"/>
        <w:jc w:val="center"/>
        <w:outlineLvl w:val="1"/>
        <w:rPr>
          <w:rFonts w:hint="eastAsia" w:asciiTheme="minorEastAsia" w:hAnsiTheme="minorEastAsia" w:eastAsiaTheme="minorEastAsia"/>
          <w:b/>
          <w:color w:val="auto"/>
          <w:sz w:val="24"/>
          <w:highlight w:val="none"/>
          <w:lang w:val="en-US" w:eastAsia="zh-CN"/>
        </w:rPr>
      </w:pPr>
    </w:p>
    <w:p w14:paraId="3E15CB93">
      <w:pPr>
        <w:spacing w:line="360" w:lineRule="auto"/>
        <w:jc w:val="center"/>
        <w:outlineLvl w:val="1"/>
        <w:rPr>
          <w:rFonts w:hint="eastAsia" w:asciiTheme="minorEastAsia" w:hAnsiTheme="minorEastAsia" w:eastAsiaTheme="minorEastAsia"/>
          <w:b/>
          <w:color w:val="auto"/>
          <w:sz w:val="24"/>
          <w:highlight w:val="none"/>
          <w:lang w:val="en-US" w:eastAsia="zh-CN"/>
        </w:rPr>
      </w:pPr>
    </w:p>
    <w:p w14:paraId="025E717C">
      <w:pPr>
        <w:pStyle w:val="3"/>
        <w:spacing w:before="98" w:line="219" w:lineRule="auto"/>
        <w:jc w:val="center"/>
        <w:rPr>
          <w:rFonts w:hint="eastAsia" w:asciiTheme="minorEastAsia" w:hAnsiTheme="minorEastAsia" w:eastAsiaTheme="minorEastAsia"/>
          <w:b/>
          <w:color w:val="auto"/>
          <w:sz w:val="24"/>
          <w:highlight w:val="none"/>
          <w:lang w:val="en-US" w:eastAsia="zh-CN"/>
        </w:rPr>
      </w:pPr>
    </w:p>
    <w:p w14:paraId="6CBA8CD4">
      <w:pPr>
        <w:pStyle w:val="3"/>
        <w:spacing w:before="98" w:line="219" w:lineRule="auto"/>
        <w:jc w:val="center"/>
        <w:rPr>
          <w:rFonts w:hint="eastAsia" w:asciiTheme="minorEastAsia" w:hAnsiTheme="minorEastAsia" w:eastAsiaTheme="minorEastAsia"/>
          <w:b/>
          <w:color w:val="auto"/>
          <w:sz w:val="24"/>
          <w:highlight w:val="none"/>
          <w:lang w:val="en-US" w:eastAsia="zh-CN"/>
        </w:rPr>
      </w:pPr>
    </w:p>
    <w:p w14:paraId="0807480F">
      <w:pPr>
        <w:pStyle w:val="3"/>
        <w:spacing w:before="98" w:line="219" w:lineRule="auto"/>
        <w:jc w:val="center"/>
        <w:rPr>
          <w:rFonts w:hint="eastAsia" w:asciiTheme="minorEastAsia" w:hAnsiTheme="minorEastAsia" w:eastAsiaTheme="minorEastAsia"/>
          <w:b/>
          <w:color w:val="auto"/>
          <w:sz w:val="24"/>
          <w:highlight w:val="none"/>
          <w:lang w:val="en-US" w:eastAsia="zh-CN"/>
        </w:rPr>
      </w:pPr>
    </w:p>
    <w:p w14:paraId="760D7E8E">
      <w:pPr>
        <w:pStyle w:val="3"/>
        <w:spacing w:before="98" w:line="219" w:lineRule="auto"/>
        <w:jc w:val="center"/>
        <w:rPr>
          <w:rFonts w:hint="eastAsia" w:asciiTheme="minorEastAsia" w:hAnsiTheme="minorEastAsia" w:eastAsiaTheme="minorEastAsia"/>
          <w:b/>
          <w:color w:val="auto"/>
          <w:sz w:val="24"/>
          <w:highlight w:val="none"/>
          <w:lang w:val="en-US" w:eastAsia="zh-CN"/>
        </w:rPr>
      </w:pPr>
    </w:p>
    <w:p w14:paraId="0CFE464E">
      <w:pPr>
        <w:pStyle w:val="3"/>
        <w:spacing w:before="98" w:line="219" w:lineRule="auto"/>
        <w:jc w:val="center"/>
        <w:rPr>
          <w:rFonts w:hint="eastAsia" w:asciiTheme="minorEastAsia" w:hAnsiTheme="minorEastAsia" w:eastAsiaTheme="minorEastAsia"/>
          <w:b/>
          <w:color w:val="auto"/>
          <w:sz w:val="24"/>
          <w:highlight w:val="none"/>
          <w:lang w:val="en-US" w:eastAsia="zh-CN"/>
        </w:rPr>
      </w:pPr>
    </w:p>
    <w:p w14:paraId="327531CD">
      <w:pPr>
        <w:pStyle w:val="3"/>
        <w:spacing w:before="98" w:line="219" w:lineRule="auto"/>
        <w:jc w:val="center"/>
        <w:rPr>
          <w:rFonts w:hint="eastAsia" w:asciiTheme="minorEastAsia" w:hAnsiTheme="minorEastAsia" w:eastAsiaTheme="minorEastAsia"/>
          <w:b/>
          <w:color w:val="auto"/>
          <w:sz w:val="24"/>
          <w:highlight w:val="none"/>
          <w:lang w:val="en-US" w:eastAsia="zh-CN"/>
        </w:rPr>
      </w:pPr>
    </w:p>
    <w:p w14:paraId="79B6DD5F">
      <w:pPr>
        <w:pStyle w:val="3"/>
        <w:spacing w:before="98" w:line="219" w:lineRule="auto"/>
        <w:jc w:val="center"/>
        <w:rPr>
          <w:rFonts w:hint="eastAsia" w:asciiTheme="minorEastAsia" w:hAnsiTheme="minorEastAsia" w:eastAsiaTheme="minorEastAsia"/>
          <w:b/>
          <w:color w:val="auto"/>
          <w:sz w:val="24"/>
          <w:highlight w:val="none"/>
          <w:lang w:val="en-US" w:eastAsia="zh-CN"/>
        </w:rPr>
      </w:pPr>
    </w:p>
    <w:p w14:paraId="368EB6C7">
      <w:pPr>
        <w:pStyle w:val="3"/>
        <w:spacing w:before="98" w:line="219" w:lineRule="auto"/>
        <w:jc w:val="center"/>
        <w:rPr>
          <w:rFonts w:hint="eastAsia" w:asciiTheme="minorEastAsia" w:hAnsiTheme="minorEastAsia" w:eastAsiaTheme="minorEastAsia"/>
          <w:b/>
          <w:color w:val="auto"/>
          <w:sz w:val="24"/>
          <w:highlight w:val="none"/>
          <w:lang w:val="en-US" w:eastAsia="zh-CN"/>
        </w:rPr>
      </w:pPr>
    </w:p>
    <w:p w14:paraId="55140962">
      <w:pPr>
        <w:pStyle w:val="3"/>
        <w:spacing w:before="98" w:line="219" w:lineRule="auto"/>
        <w:jc w:val="center"/>
        <w:rPr>
          <w:rFonts w:hint="eastAsia" w:asciiTheme="minorEastAsia" w:hAnsiTheme="minorEastAsia" w:eastAsiaTheme="minorEastAsia"/>
          <w:b/>
          <w:color w:val="auto"/>
          <w:sz w:val="24"/>
          <w:highlight w:val="none"/>
          <w:lang w:val="en-US" w:eastAsia="zh-CN"/>
        </w:rPr>
      </w:pPr>
    </w:p>
    <w:p w14:paraId="714667CD">
      <w:pPr>
        <w:pStyle w:val="4"/>
        <w:rPr>
          <w:rFonts w:hint="eastAsia" w:asciiTheme="minorEastAsia" w:hAnsiTheme="minorEastAsia" w:eastAsiaTheme="minorEastAsia"/>
          <w:b/>
          <w:color w:val="auto"/>
          <w:sz w:val="24"/>
          <w:highlight w:val="none"/>
          <w:lang w:val="en-US" w:eastAsia="zh-CN"/>
        </w:rPr>
      </w:pPr>
    </w:p>
    <w:p w14:paraId="1698F03A">
      <w:pPr>
        <w:rPr>
          <w:rFonts w:hint="eastAsia" w:asciiTheme="minorEastAsia" w:hAnsiTheme="minorEastAsia" w:eastAsiaTheme="minorEastAsia"/>
          <w:b/>
          <w:color w:val="auto"/>
          <w:sz w:val="24"/>
          <w:highlight w:val="none"/>
          <w:lang w:val="en-US" w:eastAsia="zh-CN"/>
        </w:rPr>
      </w:pPr>
    </w:p>
    <w:p w14:paraId="1F9540D4">
      <w:pPr>
        <w:pStyle w:val="2"/>
        <w:rPr>
          <w:rFonts w:hint="eastAsia" w:asciiTheme="minorEastAsia" w:hAnsiTheme="minorEastAsia" w:eastAsiaTheme="minorEastAsia"/>
          <w:b/>
          <w:color w:val="auto"/>
          <w:sz w:val="24"/>
          <w:highlight w:val="none"/>
          <w:lang w:val="en-US" w:eastAsia="zh-CN"/>
        </w:rPr>
      </w:pPr>
    </w:p>
    <w:p w14:paraId="15C0718D">
      <w:pPr>
        <w:pStyle w:val="2"/>
        <w:rPr>
          <w:rFonts w:hint="eastAsia" w:asciiTheme="minorEastAsia" w:hAnsiTheme="minorEastAsia" w:eastAsiaTheme="minorEastAsia"/>
          <w:b/>
          <w:color w:val="auto"/>
          <w:sz w:val="24"/>
          <w:highlight w:val="none"/>
          <w:lang w:val="en-US" w:eastAsia="zh-CN"/>
        </w:rPr>
      </w:pPr>
    </w:p>
    <w:p w14:paraId="70DE58FF">
      <w:pPr>
        <w:pStyle w:val="2"/>
        <w:rPr>
          <w:rFonts w:hint="eastAsia" w:asciiTheme="minorEastAsia" w:hAnsiTheme="minorEastAsia" w:eastAsiaTheme="minorEastAsia"/>
          <w:b/>
          <w:color w:val="auto"/>
          <w:sz w:val="24"/>
          <w:highlight w:val="none"/>
          <w:lang w:val="en-US" w:eastAsia="zh-CN"/>
        </w:rPr>
      </w:pPr>
    </w:p>
    <w:p w14:paraId="7FCF0334">
      <w:pPr>
        <w:pStyle w:val="2"/>
        <w:rPr>
          <w:rFonts w:hint="eastAsia" w:asciiTheme="minorEastAsia" w:hAnsiTheme="minorEastAsia" w:eastAsiaTheme="minorEastAsia"/>
          <w:b/>
          <w:color w:val="auto"/>
          <w:sz w:val="24"/>
          <w:highlight w:val="none"/>
          <w:lang w:val="en-US" w:eastAsia="zh-CN"/>
        </w:rPr>
      </w:pPr>
    </w:p>
    <w:p w14:paraId="102C817A">
      <w:pPr>
        <w:pStyle w:val="2"/>
        <w:rPr>
          <w:rFonts w:hint="eastAsia" w:asciiTheme="minorEastAsia" w:hAnsiTheme="minorEastAsia" w:eastAsiaTheme="minorEastAsia"/>
          <w:b/>
          <w:color w:val="auto"/>
          <w:sz w:val="24"/>
          <w:highlight w:val="none"/>
          <w:lang w:val="en-US" w:eastAsia="zh-CN"/>
        </w:rPr>
      </w:pPr>
    </w:p>
    <w:p w14:paraId="7443F57D">
      <w:pPr>
        <w:pStyle w:val="2"/>
        <w:rPr>
          <w:rFonts w:hint="eastAsia" w:asciiTheme="minorEastAsia" w:hAnsiTheme="minorEastAsia" w:eastAsiaTheme="minorEastAsia"/>
          <w:b/>
          <w:color w:val="auto"/>
          <w:sz w:val="24"/>
          <w:highlight w:val="none"/>
          <w:lang w:val="en-US" w:eastAsia="zh-CN"/>
        </w:rPr>
      </w:pPr>
    </w:p>
    <w:p w14:paraId="52AB7026">
      <w:pPr>
        <w:pStyle w:val="3"/>
        <w:spacing w:before="98" w:line="219" w:lineRule="auto"/>
        <w:jc w:val="center"/>
        <w:rPr>
          <w:rFonts w:hint="eastAsia" w:asciiTheme="minorEastAsia" w:hAnsiTheme="minorEastAsia" w:eastAsiaTheme="minorEastAsia"/>
          <w:b/>
          <w:color w:val="auto"/>
          <w:sz w:val="24"/>
          <w:highlight w:val="none"/>
          <w:lang w:val="en-US" w:eastAsia="zh-CN"/>
        </w:rPr>
      </w:pPr>
    </w:p>
    <w:p w14:paraId="2EF3878C">
      <w:pPr>
        <w:pStyle w:val="4"/>
        <w:rPr>
          <w:rFonts w:hint="eastAsia"/>
          <w:color w:val="auto"/>
          <w:highlight w:val="none"/>
          <w:lang w:val="en-US" w:eastAsia="zh-CN"/>
        </w:rPr>
      </w:pPr>
    </w:p>
    <w:p w14:paraId="4AFFEE84">
      <w:pPr>
        <w:pStyle w:val="3"/>
        <w:spacing w:before="98" w:line="219" w:lineRule="auto"/>
        <w:jc w:val="center"/>
        <w:rPr>
          <w:rFonts w:hint="eastAsia" w:asciiTheme="minorEastAsia" w:hAnsiTheme="minorEastAsia" w:eastAsiaTheme="minorEastAsia"/>
          <w:b/>
          <w:color w:val="auto"/>
          <w:sz w:val="24"/>
          <w:highlight w:val="none"/>
          <w:lang w:val="en-US" w:eastAsia="zh-CN"/>
        </w:rPr>
      </w:pPr>
    </w:p>
    <w:p w14:paraId="351C6F46">
      <w:pPr>
        <w:spacing w:line="360" w:lineRule="auto"/>
        <w:jc w:val="center"/>
        <w:outlineLvl w:val="1"/>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九、</w:t>
      </w:r>
      <w:r>
        <w:rPr>
          <w:rFonts w:hint="eastAsia" w:asciiTheme="minorEastAsia" w:hAnsiTheme="minorEastAsia" w:eastAsiaTheme="minorEastAsia"/>
          <w:b/>
          <w:color w:val="auto"/>
          <w:sz w:val="24"/>
          <w:highlight w:val="none"/>
        </w:rPr>
        <w:t>其他相关证明材料</w:t>
      </w:r>
    </w:p>
    <w:p w14:paraId="093B292A">
      <w:pPr>
        <w:tabs>
          <w:tab w:val="left" w:pos="4620"/>
        </w:tabs>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rPr>
        <w:t>提供符合谈判邀请、采购需求及评审方法和标准规定的相关证明文件。</w:t>
      </w:r>
    </w:p>
    <w:p w14:paraId="72323735">
      <w:pPr>
        <w:spacing w:line="360" w:lineRule="auto"/>
        <w:ind w:firstLine="435"/>
        <w:rPr>
          <w:rFonts w:asciiTheme="minorEastAsia" w:hAnsiTheme="minorEastAsia" w:eastAsiaTheme="minorEastAsia"/>
          <w:color w:val="auto"/>
          <w:sz w:val="24"/>
          <w:highlight w:val="none"/>
        </w:rPr>
      </w:pPr>
    </w:p>
    <w:p w14:paraId="4E2DE6F3">
      <w:pPr>
        <w:spacing w:line="360" w:lineRule="auto"/>
        <w:ind w:firstLine="480" w:firstLineChars="200"/>
        <w:rPr>
          <w:rFonts w:asciiTheme="minorEastAsia" w:hAnsiTheme="minorEastAsia" w:eastAsiaTheme="minorEastAsia"/>
          <w:color w:val="auto"/>
          <w:sz w:val="24"/>
          <w:highlight w:val="none"/>
        </w:rPr>
      </w:pPr>
    </w:p>
    <w:p w14:paraId="2160CC5A">
      <w:pPr>
        <w:spacing w:line="360" w:lineRule="auto"/>
        <w:ind w:firstLine="435"/>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特别提示：</w:t>
      </w:r>
    </w:p>
    <w:p w14:paraId="003113EF">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供应商在响应文件制作时可在此栏内上传谈判</w:t>
      </w:r>
      <w:r>
        <w:rPr>
          <w:rFonts w:asciiTheme="minorEastAsia" w:hAnsiTheme="minorEastAsia" w:eastAsiaTheme="minorEastAsia"/>
          <w:color w:val="auto"/>
          <w:sz w:val="24"/>
          <w:highlight w:val="none"/>
        </w:rPr>
        <w:t>文件要求上传的证明资料</w:t>
      </w:r>
      <w:r>
        <w:rPr>
          <w:rFonts w:hint="eastAsia" w:asciiTheme="minorEastAsia" w:hAnsiTheme="minorEastAsia" w:eastAsiaTheme="minorEastAsia"/>
          <w:color w:val="auto"/>
          <w:sz w:val="24"/>
          <w:highlight w:val="none"/>
        </w:rPr>
        <w:t>，如营业执照、证书</w:t>
      </w:r>
      <w:r>
        <w:rPr>
          <w:rFonts w:asciiTheme="minorEastAsia" w:hAnsiTheme="minorEastAsia" w:eastAsiaTheme="minorEastAsia"/>
          <w:color w:val="auto"/>
          <w:sz w:val="24"/>
          <w:highlight w:val="none"/>
        </w:rPr>
        <w:t>等，应将上述证明材料制作成扫描件上传。</w:t>
      </w:r>
    </w:p>
    <w:p w14:paraId="5930CB5A">
      <w:pPr>
        <w:widowControl/>
        <w:jc w:val="left"/>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br w:type="page"/>
      </w:r>
    </w:p>
    <w:p w14:paraId="4E5BBEE6">
      <w:pPr>
        <w:spacing w:line="360" w:lineRule="auto"/>
        <w:jc w:val="center"/>
        <w:outlineLvl w:val="0"/>
        <w:rPr>
          <w:rFonts w:ascii="宋体" w:hAnsi="宋体" w:eastAsia="宋体"/>
          <w:b/>
          <w:bCs/>
          <w:color w:val="auto"/>
          <w:sz w:val="28"/>
          <w:highlight w:val="none"/>
        </w:rPr>
      </w:pPr>
      <w:bookmarkStart w:id="204" w:name="_Toc60608832"/>
      <w:bookmarkStart w:id="205" w:name="_Toc32294"/>
      <w:bookmarkStart w:id="206" w:name="_Toc19945"/>
      <w:r>
        <w:rPr>
          <w:rFonts w:hint="eastAsia" w:ascii="宋体" w:hAnsi="宋体" w:eastAsia="宋体"/>
          <w:b/>
          <w:bCs/>
          <w:color w:val="auto"/>
          <w:sz w:val="28"/>
          <w:highlight w:val="none"/>
        </w:rPr>
        <w:t>第</w:t>
      </w:r>
      <w:r>
        <w:rPr>
          <w:rFonts w:hint="eastAsia" w:ascii="宋体" w:hAnsi="宋体" w:eastAsia="宋体"/>
          <w:b/>
          <w:bCs/>
          <w:color w:val="auto"/>
          <w:sz w:val="28"/>
          <w:highlight w:val="none"/>
          <w:lang w:val="en-US" w:eastAsia="zh-CN"/>
        </w:rPr>
        <w:t>七</w:t>
      </w:r>
      <w:r>
        <w:rPr>
          <w:rFonts w:hint="eastAsia" w:ascii="宋体" w:hAnsi="宋体" w:eastAsia="宋体"/>
          <w:b/>
          <w:bCs/>
          <w:color w:val="auto"/>
          <w:sz w:val="28"/>
          <w:highlight w:val="none"/>
        </w:rPr>
        <w:t xml:space="preserve">章 </w:t>
      </w:r>
      <w:r>
        <w:rPr>
          <w:rFonts w:hint="eastAsia"/>
          <w:b/>
          <w:bCs/>
          <w:color w:val="auto"/>
          <w:sz w:val="28"/>
          <w:highlight w:val="none"/>
        </w:rPr>
        <w:t xml:space="preserve"> </w:t>
      </w:r>
      <w:bookmarkEnd w:id="204"/>
      <w:r>
        <w:rPr>
          <w:rFonts w:hint="eastAsia" w:ascii="宋体" w:hAnsi="宋体" w:eastAsia="宋体"/>
          <w:b/>
          <w:bCs/>
          <w:color w:val="auto"/>
          <w:sz w:val="28"/>
          <w:highlight w:val="none"/>
        </w:rPr>
        <w:t>政府采购</w:t>
      </w:r>
      <w:r>
        <w:rPr>
          <w:rFonts w:hint="eastAsia" w:asciiTheme="minorEastAsia" w:hAnsiTheme="minorEastAsia" w:eastAsiaTheme="minorEastAsia"/>
          <w:b/>
          <w:color w:val="auto"/>
          <w:sz w:val="28"/>
          <w:highlight w:val="none"/>
        </w:rPr>
        <w:t>供应</w:t>
      </w:r>
      <w:r>
        <w:rPr>
          <w:rFonts w:hint="eastAsia" w:ascii="宋体" w:hAnsi="宋体" w:eastAsia="宋体"/>
          <w:b/>
          <w:bCs/>
          <w:color w:val="auto"/>
          <w:sz w:val="28"/>
          <w:highlight w:val="none"/>
        </w:rPr>
        <w:t>商询问函和质疑函范本</w:t>
      </w:r>
      <w:bookmarkEnd w:id="205"/>
      <w:bookmarkEnd w:id="206"/>
    </w:p>
    <w:p w14:paraId="72B27C0E">
      <w:pPr>
        <w:spacing w:line="360" w:lineRule="auto"/>
        <w:jc w:val="center"/>
        <w:outlineLvl w:val="1"/>
        <w:rPr>
          <w:rFonts w:ascii="仿宋" w:hAnsi="仿宋" w:eastAsia="仿宋" w:cs="仿宋"/>
          <w:b/>
          <w:bCs/>
          <w:color w:val="auto"/>
          <w:sz w:val="32"/>
          <w:szCs w:val="44"/>
          <w:highlight w:val="none"/>
        </w:rPr>
      </w:pPr>
      <w:bookmarkStart w:id="207" w:name="_Toc15965"/>
      <w:bookmarkStart w:id="208" w:name="_Toc29598"/>
      <w:r>
        <w:rPr>
          <w:rFonts w:hint="eastAsia" w:ascii="仿宋" w:hAnsi="仿宋" w:eastAsia="仿宋" w:cs="仿宋"/>
          <w:b/>
          <w:bCs/>
          <w:color w:val="auto"/>
          <w:sz w:val="32"/>
          <w:szCs w:val="44"/>
          <w:highlight w:val="none"/>
        </w:rPr>
        <w:t>询问函范本</w:t>
      </w:r>
      <w:bookmarkEnd w:id="207"/>
      <w:bookmarkEnd w:id="208"/>
    </w:p>
    <w:p w14:paraId="2725A589">
      <w:pPr>
        <w:adjustRightInd w:val="0"/>
        <w:snapToGrid w:val="0"/>
        <w:spacing w:line="360" w:lineRule="auto"/>
        <w:ind w:firstLine="480" w:firstLineChars="200"/>
        <w:jc w:val="center"/>
        <w:rPr>
          <w:rFonts w:ascii="仿宋" w:hAnsi="仿宋" w:eastAsia="仿宋" w:cs="仿宋"/>
          <w:b/>
          <w:bCs/>
          <w:color w:val="auto"/>
          <w:sz w:val="32"/>
          <w:szCs w:val="44"/>
          <w:highlight w:val="none"/>
        </w:rPr>
      </w:pPr>
      <w:r>
        <w:rPr>
          <w:rFonts w:hint="eastAsia" w:cs="仿宋" w:asciiTheme="minorEastAsia" w:hAnsiTheme="minorEastAsia" w:eastAsiaTheme="minorEastAsia"/>
          <w:i/>
          <w:iCs/>
          <w:color w:val="auto"/>
          <w:sz w:val="24"/>
          <w:szCs w:val="24"/>
          <w:highlight w:val="none"/>
        </w:rPr>
        <w:t>（如为对采购文件或采购程序的询问或疑问，请按询问函范本或电子交易系统中网上询问格式附件进行提交）</w:t>
      </w:r>
    </w:p>
    <w:p w14:paraId="4ED4AFAF">
      <w:pPr>
        <w:adjustRightInd w:val="0"/>
        <w:snapToGrid w:val="0"/>
        <w:spacing w:line="360" w:lineRule="auto"/>
        <w:rPr>
          <w:rFonts w:hint="eastAsia" w:cs="仿宋" w:asciiTheme="minorEastAsia" w:hAnsiTheme="minorEastAsia" w:eastAsiaTheme="minorEastAsia"/>
          <w:color w:val="auto"/>
          <w:sz w:val="24"/>
          <w:szCs w:val="24"/>
          <w:highlight w:val="none"/>
          <w:lang w:eastAsia="zh-CN"/>
        </w:rPr>
      </w:pPr>
      <w:r>
        <w:rPr>
          <w:rFonts w:hint="eastAsia" w:cs="仿宋" w:asciiTheme="minorEastAsia" w:hAnsiTheme="minorEastAsia" w:eastAsiaTheme="minorEastAsia"/>
          <w:b/>
          <w:bCs/>
          <w:color w:val="auto"/>
          <w:sz w:val="24"/>
          <w:szCs w:val="24"/>
          <w:highlight w:val="none"/>
          <w:lang w:val="en-US" w:eastAsia="zh-CN"/>
        </w:rPr>
        <w:t>致：</w:t>
      </w:r>
      <w:r>
        <w:rPr>
          <w:rFonts w:hint="eastAsia" w:cs="仿宋" w:asciiTheme="minorEastAsia" w:hAnsiTheme="minorEastAsia" w:eastAsiaTheme="minorEastAsia"/>
          <w:b/>
          <w:bCs/>
          <w:color w:val="auto"/>
          <w:sz w:val="24"/>
          <w:szCs w:val="24"/>
          <w:highlight w:val="none"/>
          <w:u w:val="none"/>
          <w:lang w:eastAsia="zh-CN"/>
        </w:rPr>
        <w:t>采购人</w:t>
      </w:r>
    </w:p>
    <w:p w14:paraId="099EE45C">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我单位拟参与</w:t>
      </w:r>
      <w:r>
        <w:rPr>
          <w:rFonts w:hint="eastAsia" w:cs="仿宋" w:asciiTheme="minorEastAsia" w:hAnsiTheme="minorEastAsia" w:eastAsiaTheme="minorEastAsia"/>
          <w:color w:val="auto"/>
          <w:sz w:val="24"/>
          <w:szCs w:val="24"/>
          <w:highlight w:val="none"/>
          <w:u w:val="single"/>
          <w:lang w:val="en-US" w:eastAsia="zh-CN"/>
        </w:rPr>
        <w:t xml:space="preserve">               </w:t>
      </w:r>
      <w:r>
        <w:rPr>
          <w:rFonts w:hint="eastAsia" w:cs="仿宋" w:asciiTheme="minorEastAsia" w:hAnsiTheme="minorEastAsia" w:eastAsiaTheme="minorEastAsia"/>
          <w:i/>
          <w:iCs/>
          <w:color w:val="auto"/>
          <w:sz w:val="24"/>
          <w:szCs w:val="24"/>
          <w:highlight w:val="none"/>
        </w:rPr>
        <w:t>(</w:t>
      </w:r>
      <w:r>
        <w:rPr>
          <w:rFonts w:hint="eastAsia" w:cs="仿宋" w:asciiTheme="minorEastAsia" w:hAnsiTheme="minorEastAsia" w:eastAsiaTheme="minorEastAsia"/>
          <w:i/>
          <w:iCs/>
          <w:color w:val="auto"/>
          <w:sz w:val="24"/>
          <w:szCs w:val="24"/>
          <w:highlight w:val="none"/>
          <w:u w:val="none"/>
        </w:rPr>
        <w:t>项目</w:t>
      </w:r>
      <w:r>
        <w:rPr>
          <w:rFonts w:hint="eastAsia" w:cs="仿宋" w:asciiTheme="minorEastAsia" w:hAnsiTheme="minorEastAsia" w:eastAsiaTheme="minorEastAsia"/>
          <w:i/>
          <w:iCs/>
          <w:color w:val="auto"/>
          <w:sz w:val="24"/>
          <w:szCs w:val="24"/>
          <w:highlight w:val="none"/>
          <w:u w:val="none"/>
          <w:lang w:val="en-US" w:eastAsia="zh-CN"/>
        </w:rPr>
        <w:t>名称、</w:t>
      </w:r>
      <w:r>
        <w:rPr>
          <w:rFonts w:hint="eastAsia" w:cs="仿宋" w:asciiTheme="minorEastAsia" w:hAnsiTheme="minorEastAsia" w:eastAsiaTheme="minorEastAsia"/>
          <w:i/>
          <w:iCs/>
          <w:color w:val="auto"/>
          <w:sz w:val="24"/>
          <w:szCs w:val="24"/>
          <w:highlight w:val="none"/>
          <w:u w:val="none"/>
        </w:rPr>
        <w:t>编号</w:t>
      </w:r>
      <w:r>
        <w:rPr>
          <w:rFonts w:hint="eastAsia" w:cs="仿宋" w:asciiTheme="minorEastAsia" w:hAnsiTheme="minorEastAsia" w:eastAsiaTheme="minorEastAsia"/>
          <w:i/>
          <w:iCs/>
          <w:color w:val="auto"/>
          <w:sz w:val="24"/>
          <w:szCs w:val="24"/>
          <w:highlight w:val="none"/>
        </w:rPr>
        <w:t>)</w:t>
      </w:r>
      <w:r>
        <w:rPr>
          <w:rFonts w:hint="eastAsia" w:cs="仿宋" w:asciiTheme="minorEastAsia" w:hAnsiTheme="minorEastAsia" w:eastAsiaTheme="minorEastAsia"/>
          <w:color w:val="auto"/>
          <w:sz w:val="24"/>
          <w:szCs w:val="24"/>
          <w:highlight w:val="none"/>
        </w:rPr>
        <w:t>的采购活动，现有以下内容(或条款)存在疑问(或无法理解)，特提出询问。</w:t>
      </w:r>
    </w:p>
    <w:p w14:paraId="52CA3CA9">
      <w:pPr>
        <w:adjustRightInd w:val="0"/>
        <w:snapToGrid w:val="0"/>
        <w:spacing w:line="360" w:lineRule="auto"/>
        <w:ind w:firstLine="480" w:firstLineChars="200"/>
        <w:outlineLvl w:val="1"/>
        <w:rPr>
          <w:rFonts w:cs="仿宋" w:asciiTheme="minorEastAsia" w:hAnsiTheme="minorEastAsia" w:eastAsiaTheme="minorEastAsia"/>
          <w:color w:val="auto"/>
          <w:sz w:val="24"/>
          <w:szCs w:val="24"/>
          <w:highlight w:val="none"/>
        </w:rPr>
      </w:pPr>
      <w:bookmarkStart w:id="209" w:name="_Toc11903"/>
      <w:bookmarkStart w:id="210" w:name="_Toc29988"/>
      <w:r>
        <w:rPr>
          <w:rFonts w:hint="eastAsia" w:cs="仿宋" w:asciiTheme="minorEastAsia" w:hAnsiTheme="minorEastAsia" w:eastAsiaTheme="minorEastAsia"/>
          <w:color w:val="auto"/>
          <w:sz w:val="24"/>
          <w:szCs w:val="24"/>
          <w:highlight w:val="none"/>
        </w:rPr>
        <w:t>一、(事项一)</w:t>
      </w:r>
      <w:bookmarkEnd w:id="209"/>
      <w:bookmarkEnd w:id="210"/>
    </w:p>
    <w:p w14:paraId="37D12803">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1、(内容或条款)</w:t>
      </w:r>
    </w:p>
    <w:p w14:paraId="63E67C04">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2、(说明疑问或无法理解原因)</w:t>
      </w:r>
    </w:p>
    <w:p w14:paraId="0F556A73">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3、(建议)</w:t>
      </w:r>
    </w:p>
    <w:p w14:paraId="5ADB2B2E">
      <w:pPr>
        <w:adjustRightInd w:val="0"/>
        <w:snapToGrid w:val="0"/>
        <w:spacing w:line="360" w:lineRule="auto"/>
        <w:ind w:firstLine="480" w:firstLineChars="200"/>
        <w:outlineLvl w:val="1"/>
        <w:rPr>
          <w:rFonts w:cs="仿宋" w:asciiTheme="minorEastAsia" w:hAnsiTheme="minorEastAsia" w:eastAsiaTheme="minorEastAsia"/>
          <w:color w:val="auto"/>
          <w:sz w:val="24"/>
          <w:szCs w:val="24"/>
          <w:highlight w:val="none"/>
        </w:rPr>
      </w:pPr>
      <w:bookmarkStart w:id="211" w:name="_Toc2942"/>
      <w:bookmarkStart w:id="212" w:name="_Toc31894"/>
      <w:r>
        <w:rPr>
          <w:rFonts w:hint="eastAsia" w:cs="仿宋" w:asciiTheme="minorEastAsia" w:hAnsiTheme="minorEastAsia" w:eastAsiaTheme="minorEastAsia"/>
          <w:color w:val="auto"/>
          <w:sz w:val="24"/>
          <w:szCs w:val="24"/>
          <w:highlight w:val="none"/>
        </w:rPr>
        <w:t>二、(事项二)</w:t>
      </w:r>
      <w:bookmarkEnd w:id="211"/>
      <w:bookmarkEnd w:id="212"/>
    </w:p>
    <w:p w14:paraId="5A21D358">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w:t>
      </w:r>
    </w:p>
    <w:p w14:paraId="6A3C2DBA">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 xml:space="preserve">随附相关证明材料如下： </w:t>
      </w:r>
    </w:p>
    <w:p w14:paraId="0F618788">
      <w:pPr>
        <w:spacing w:line="360" w:lineRule="auto"/>
        <w:ind w:firstLine="4228" w:firstLineChars="1762"/>
        <w:rPr>
          <w:rFonts w:asciiTheme="minorEastAsia" w:hAnsiTheme="minorEastAsia" w:eastAsiaTheme="minorEastAsia"/>
          <w:color w:val="auto"/>
          <w:sz w:val="24"/>
          <w:highlight w:val="none"/>
          <w:u w:val="single"/>
        </w:rPr>
      </w:pPr>
      <w:r>
        <w:rPr>
          <w:rFonts w:hint="eastAsia" w:asciiTheme="minorEastAsia" w:hAnsiTheme="minorEastAsia" w:eastAsiaTheme="minorEastAsia"/>
          <w:color w:val="auto"/>
          <w:sz w:val="24"/>
          <w:highlight w:val="none"/>
        </w:rPr>
        <w:t>联 系 人：</w:t>
      </w:r>
      <w:r>
        <w:rPr>
          <w:rFonts w:hint="eastAsia" w:asciiTheme="minorEastAsia" w:hAnsiTheme="minorEastAsia" w:eastAsiaTheme="minorEastAsia"/>
          <w:color w:val="auto"/>
          <w:sz w:val="24"/>
          <w:highlight w:val="none"/>
          <w:u w:val="single"/>
        </w:rPr>
        <w:t xml:space="preserve">              </w:t>
      </w:r>
    </w:p>
    <w:p w14:paraId="2C906D8B">
      <w:pPr>
        <w:spacing w:line="360" w:lineRule="auto"/>
        <w:ind w:firstLine="4228" w:firstLineChars="1762"/>
        <w:rPr>
          <w:rFonts w:asciiTheme="minorEastAsia" w:hAnsiTheme="minorEastAsia" w:eastAsiaTheme="minorEastAsia"/>
          <w:color w:val="auto"/>
          <w:sz w:val="24"/>
          <w:highlight w:val="none"/>
          <w:u w:val="single"/>
        </w:rPr>
      </w:pPr>
      <w:r>
        <w:rPr>
          <w:rFonts w:hint="eastAsia" w:asciiTheme="minorEastAsia" w:hAnsiTheme="minorEastAsia" w:eastAsiaTheme="minorEastAsia"/>
          <w:color w:val="auto"/>
          <w:sz w:val="24"/>
          <w:highlight w:val="none"/>
        </w:rPr>
        <w:t>联系电话：</w:t>
      </w:r>
      <w:r>
        <w:rPr>
          <w:rFonts w:hint="eastAsia" w:asciiTheme="minorEastAsia" w:hAnsiTheme="minorEastAsia" w:eastAsiaTheme="minorEastAsia"/>
          <w:color w:val="auto"/>
          <w:sz w:val="24"/>
          <w:highlight w:val="none"/>
          <w:u w:val="single"/>
        </w:rPr>
        <w:t xml:space="preserve">              </w:t>
      </w:r>
    </w:p>
    <w:p w14:paraId="2651CA5C">
      <w:pPr>
        <w:tabs>
          <w:tab w:val="left" w:pos="630"/>
        </w:tabs>
        <w:spacing w:line="360" w:lineRule="auto"/>
        <w:ind w:firstLine="4228" w:firstLineChars="1762"/>
        <w:rPr>
          <w:rFonts w:asciiTheme="minorEastAsia" w:hAnsiTheme="minorEastAsia" w:eastAsiaTheme="minorEastAsia"/>
          <w:color w:val="auto"/>
          <w:sz w:val="24"/>
          <w:highlight w:val="none"/>
          <w:u w:val="single"/>
        </w:rPr>
      </w:pPr>
      <w:r>
        <w:rPr>
          <w:rFonts w:hint="eastAsia" w:asciiTheme="minorEastAsia" w:hAnsiTheme="minorEastAsia" w:eastAsiaTheme="minorEastAsia"/>
          <w:color w:val="auto"/>
          <w:sz w:val="24"/>
          <w:highlight w:val="none"/>
        </w:rPr>
        <w:t>日    期：</w:t>
      </w:r>
      <w:r>
        <w:rPr>
          <w:rFonts w:hint="eastAsia" w:asciiTheme="minorEastAsia" w:hAnsiTheme="minorEastAsia" w:eastAsiaTheme="minorEastAsia"/>
          <w:color w:val="auto"/>
          <w:sz w:val="24"/>
          <w:highlight w:val="none"/>
          <w:u w:val="single"/>
        </w:rPr>
        <w:t xml:space="preserve">       </w:t>
      </w:r>
      <w:r>
        <w:rPr>
          <w:rFonts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u w:val="single"/>
        </w:rPr>
        <w:t xml:space="preserve">    </w:t>
      </w:r>
    </w:p>
    <w:p w14:paraId="72D0F2DA">
      <w:pPr>
        <w:rPr>
          <w:rFonts w:asciiTheme="minorEastAsia" w:hAnsiTheme="minorEastAsia" w:eastAsiaTheme="minorEastAsia"/>
          <w:b/>
          <w:color w:val="auto"/>
          <w:sz w:val="52"/>
          <w:highlight w:val="none"/>
        </w:rPr>
      </w:pPr>
      <w:r>
        <w:rPr>
          <w:rFonts w:hint="eastAsia" w:ascii="仿宋" w:hAnsi="仿宋" w:eastAsia="仿宋" w:cs="仿宋"/>
          <w:b/>
          <w:bCs/>
          <w:color w:val="auto"/>
          <w:sz w:val="32"/>
          <w:szCs w:val="44"/>
          <w:highlight w:val="none"/>
        </w:rPr>
        <w:br w:type="page"/>
      </w:r>
    </w:p>
    <w:p w14:paraId="109D0EDD">
      <w:pPr>
        <w:jc w:val="center"/>
        <w:outlineLvl w:val="1"/>
        <w:rPr>
          <w:rFonts w:ascii="仿宋" w:hAnsi="仿宋" w:eastAsia="仿宋" w:cs="仿宋"/>
          <w:b/>
          <w:bCs/>
          <w:color w:val="auto"/>
          <w:sz w:val="32"/>
          <w:szCs w:val="44"/>
          <w:highlight w:val="none"/>
        </w:rPr>
      </w:pPr>
      <w:bookmarkStart w:id="213" w:name="_Toc22109"/>
      <w:bookmarkStart w:id="214" w:name="_Toc26062"/>
      <w:r>
        <w:rPr>
          <w:rFonts w:hint="eastAsia" w:ascii="仿宋" w:hAnsi="仿宋" w:eastAsia="仿宋" w:cs="仿宋"/>
          <w:b/>
          <w:bCs/>
          <w:color w:val="auto"/>
          <w:sz w:val="32"/>
          <w:szCs w:val="44"/>
          <w:highlight w:val="none"/>
        </w:rPr>
        <w:t>质疑函范本</w:t>
      </w:r>
      <w:bookmarkEnd w:id="213"/>
      <w:bookmarkEnd w:id="214"/>
    </w:p>
    <w:p w14:paraId="081F6830">
      <w:pPr>
        <w:adjustRightInd w:val="0"/>
        <w:snapToGrid w:val="0"/>
        <w:spacing w:before="312" w:beforeLines="100" w:line="360" w:lineRule="auto"/>
        <w:outlineLvl w:val="1"/>
        <w:rPr>
          <w:rFonts w:cs="仿宋" w:asciiTheme="minorEastAsia" w:hAnsiTheme="minorEastAsia" w:eastAsiaTheme="minorEastAsia"/>
          <w:b/>
          <w:bCs/>
          <w:color w:val="auto"/>
          <w:sz w:val="24"/>
          <w:szCs w:val="24"/>
          <w:highlight w:val="none"/>
        </w:rPr>
      </w:pPr>
      <w:bookmarkStart w:id="215" w:name="_Toc29798"/>
      <w:bookmarkStart w:id="216" w:name="_Toc24159"/>
      <w:r>
        <w:rPr>
          <w:rFonts w:hint="eastAsia" w:cs="仿宋" w:asciiTheme="minorEastAsia" w:hAnsiTheme="minorEastAsia" w:eastAsiaTheme="minorEastAsia"/>
          <w:b/>
          <w:bCs/>
          <w:color w:val="auto"/>
          <w:sz w:val="24"/>
          <w:szCs w:val="24"/>
          <w:highlight w:val="none"/>
        </w:rPr>
        <w:t>一、质疑供应商基本信息</w:t>
      </w:r>
      <w:bookmarkEnd w:id="215"/>
      <w:bookmarkEnd w:id="216"/>
    </w:p>
    <w:p w14:paraId="30B1DFC6">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质疑供应商：</w:t>
      </w:r>
      <w:r>
        <w:rPr>
          <w:rFonts w:hint="eastAsia" w:cs="仿宋" w:asciiTheme="minorEastAsia" w:hAnsiTheme="minorEastAsia" w:eastAsiaTheme="minorEastAsia"/>
          <w:color w:val="auto"/>
          <w:sz w:val="24"/>
          <w:szCs w:val="24"/>
          <w:highlight w:val="none"/>
          <w:u w:val="dotted"/>
        </w:rPr>
        <w:t xml:space="preserve">                                        </w:t>
      </w:r>
    </w:p>
    <w:p w14:paraId="1867F197">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地址：</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邮编：</w:t>
      </w:r>
      <w:r>
        <w:rPr>
          <w:rFonts w:hint="eastAsia" w:cs="仿宋" w:asciiTheme="minorEastAsia" w:hAnsiTheme="minorEastAsia" w:eastAsiaTheme="minorEastAsia"/>
          <w:color w:val="auto"/>
          <w:sz w:val="24"/>
          <w:szCs w:val="24"/>
          <w:highlight w:val="none"/>
          <w:u w:val="dotted"/>
        </w:rPr>
        <w:t xml:space="preserve">                                                   </w:t>
      </w:r>
    </w:p>
    <w:p w14:paraId="2F665AED">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联系人：</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联系电话：</w:t>
      </w:r>
      <w:r>
        <w:rPr>
          <w:rFonts w:hint="eastAsia" w:cs="仿宋" w:asciiTheme="minorEastAsia" w:hAnsiTheme="minorEastAsia" w:eastAsiaTheme="minorEastAsia"/>
          <w:color w:val="auto"/>
          <w:sz w:val="24"/>
          <w:szCs w:val="24"/>
          <w:highlight w:val="none"/>
          <w:u w:val="dotted"/>
        </w:rPr>
        <w:t xml:space="preserve">                              </w:t>
      </w:r>
    </w:p>
    <w:p w14:paraId="6A53B5CC">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授权代表：</w:t>
      </w:r>
      <w:r>
        <w:rPr>
          <w:rFonts w:hint="eastAsia" w:cs="仿宋" w:asciiTheme="minorEastAsia" w:hAnsiTheme="minorEastAsia" w:eastAsiaTheme="minorEastAsia"/>
          <w:color w:val="auto"/>
          <w:sz w:val="24"/>
          <w:szCs w:val="24"/>
          <w:highlight w:val="none"/>
          <w:u w:val="dotted"/>
        </w:rPr>
        <w:t xml:space="preserve">                                          </w:t>
      </w:r>
    </w:p>
    <w:p w14:paraId="0C7C37AD">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联系电话：</w:t>
      </w:r>
      <w:r>
        <w:rPr>
          <w:rFonts w:hint="eastAsia" w:cs="仿宋" w:asciiTheme="minorEastAsia" w:hAnsiTheme="minorEastAsia" w:eastAsiaTheme="minorEastAsia"/>
          <w:color w:val="auto"/>
          <w:sz w:val="24"/>
          <w:szCs w:val="24"/>
          <w:highlight w:val="none"/>
          <w:u w:val="dotted"/>
        </w:rPr>
        <w:t xml:space="preserve">                                           </w:t>
      </w:r>
      <w:r>
        <w:rPr>
          <w:rFonts w:cs="仿宋" w:asciiTheme="minorEastAsia" w:hAnsiTheme="minorEastAsia" w:eastAsiaTheme="minorEastAsia"/>
          <w:color w:val="auto"/>
          <w:sz w:val="24"/>
          <w:szCs w:val="24"/>
          <w:highlight w:val="none"/>
        </w:rPr>
        <w:t xml:space="preserve"> </w:t>
      </w:r>
    </w:p>
    <w:p w14:paraId="064E53D5">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地址：</w:t>
      </w:r>
      <w:r>
        <w:rPr>
          <w:rFonts w:cs="仿宋" w:asciiTheme="minorEastAsia" w:hAnsiTheme="minorEastAsia" w:eastAsiaTheme="minorEastAsia"/>
          <w:color w:val="auto"/>
          <w:sz w:val="24"/>
          <w:szCs w:val="24"/>
          <w:highlight w:val="none"/>
        </w:rPr>
        <w:t xml:space="preserve"> </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邮编：</w:t>
      </w:r>
      <w:r>
        <w:rPr>
          <w:rFonts w:hint="eastAsia" w:cs="仿宋" w:asciiTheme="minorEastAsia" w:hAnsiTheme="minorEastAsia" w:eastAsiaTheme="minorEastAsia"/>
          <w:color w:val="auto"/>
          <w:sz w:val="24"/>
          <w:szCs w:val="24"/>
          <w:highlight w:val="none"/>
          <w:u w:val="dotted"/>
        </w:rPr>
        <w:t xml:space="preserve">                                                </w:t>
      </w:r>
    </w:p>
    <w:p w14:paraId="2B96DC7A">
      <w:pPr>
        <w:adjustRightInd w:val="0"/>
        <w:snapToGrid w:val="0"/>
        <w:spacing w:line="360" w:lineRule="auto"/>
        <w:outlineLvl w:val="1"/>
        <w:rPr>
          <w:rFonts w:cs="仿宋" w:asciiTheme="minorEastAsia" w:hAnsiTheme="minorEastAsia" w:eastAsiaTheme="minorEastAsia"/>
          <w:b/>
          <w:bCs/>
          <w:color w:val="auto"/>
          <w:sz w:val="24"/>
          <w:szCs w:val="24"/>
          <w:highlight w:val="none"/>
        </w:rPr>
      </w:pPr>
      <w:bookmarkStart w:id="217" w:name="_Toc23479"/>
      <w:bookmarkStart w:id="218" w:name="_Toc5445"/>
      <w:r>
        <w:rPr>
          <w:rFonts w:hint="eastAsia" w:cs="仿宋" w:asciiTheme="minorEastAsia" w:hAnsiTheme="minorEastAsia" w:eastAsiaTheme="minorEastAsia"/>
          <w:b/>
          <w:bCs/>
          <w:color w:val="auto"/>
          <w:sz w:val="24"/>
          <w:szCs w:val="24"/>
          <w:highlight w:val="none"/>
        </w:rPr>
        <w:t>二、质疑项目基本情况</w:t>
      </w:r>
      <w:bookmarkEnd w:id="217"/>
      <w:bookmarkEnd w:id="218"/>
    </w:p>
    <w:p w14:paraId="1C694DE8">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质疑项目的名称：</w:t>
      </w:r>
      <w:r>
        <w:rPr>
          <w:rFonts w:hint="eastAsia" w:cs="仿宋" w:asciiTheme="minorEastAsia" w:hAnsiTheme="minorEastAsia" w:eastAsiaTheme="minorEastAsia"/>
          <w:color w:val="auto"/>
          <w:sz w:val="24"/>
          <w:szCs w:val="24"/>
          <w:highlight w:val="none"/>
          <w:u w:val="dotted"/>
        </w:rPr>
        <w:t xml:space="preserve">                                      </w:t>
      </w:r>
    </w:p>
    <w:p w14:paraId="46A353ED">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质疑项目的编号：</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包号：</w:t>
      </w:r>
      <w:r>
        <w:rPr>
          <w:rFonts w:hint="eastAsia" w:cs="仿宋" w:asciiTheme="minorEastAsia" w:hAnsiTheme="minorEastAsia" w:eastAsiaTheme="minorEastAsia"/>
          <w:color w:val="auto"/>
          <w:sz w:val="24"/>
          <w:szCs w:val="24"/>
          <w:highlight w:val="none"/>
          <w:u w:val="dotted"/>
        </w:rPr>
        <w:t xml:space="preserve">                 </w:t>
      </w:r>
    </w:p>
    <w:p w14:paraId="0945C5CF">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采购人名称：</w:t>
      </w:r>
      <w:r>
        <w:rPr>
          <w:rFonts w:hint="eastAsia" w:cs="仿宋" w:asciiTheme="minorEastAsia" w:hAnsiTheme="minorEastAsia" w:eastAsiaTheme="minorEastAsia"/>
          <w:color w:val="auto"/>
          <w:sz w:val="24"/>
          <w:szCs w:val="24"/>
          <w:highlight w:val="none"/>
          <w:u w:val="dotted"/>
        </w:rPr>
        <w:t xml:space="preserve">                                         </w:t>
      </w:r>
    </w:p>
    <w:p w14:paraId="03C86BFF">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采购文件获取日期：</w:t>
      </w:r>
      <w:r>
        <w:rPr>
          <w:rFonts w:hint="eastAsia" w:cs="仿宋" w:asciiTheme="minorEastAsia" w:hAnsiTheme="minorEastAsia" w:eastAsiaTheme="minorEastAsia"/>
          <w:color w:val="auto"/>
          <w:sz w:val="24"/>
          <w:szCs w:val="24"/>
          <w:highlight w:val="none"/>
          <w:u w:val="dotted"/>
        </w:rPr>
        <w:t xml:space="preserve">                                           </w:t>
      </w:r>
    </w:p>
    <w:p w14:paraId="49C32F30">
      <w:pPr>
        <w:adjustRightInd w:val="0"/>
        <w:snapToGrid w:val="0"/>
        <w:spacing w:line="360" w:lineRule="auto"/>
        <w:outlineLvl w:val="1"/>
        <w:rPr>
          <w:rFonts w:cs="仿宋" w:asciiTheme="minorEastAsia" w:hAnsiTheme="minorEastAsia" w:eastAsiaTheme="minorEastAsia"/>
          <w:b/>
          <w:bCs/>
          <w:color w:val="auto"/>
          <w:sz w:val="24"/>
          <w:szCs w:val="24"/>
          <w:highlight w:val="none"/>
        </w:rPr>
      </w:pPr>
      <w:bookmarkStart w:id="219" w:name="_Toc5891"/>
      <w:bookmarkStart w:id="220" w:name="_Toc26982"/>
      <w:r>
        <w:rPr>
          <w:rFonts w:hint="eastAsia" w:cs="仿宋" w:asciiTheme="minorEastAsia" w:hAnsiTheme="minorEastAsia" w:eastAsiaTheme="minorEastAsia"/>
          <w:b/>
          <w:bCs/>
          <w:color w:val="auto"/>
          <w:sz w:val="24"/>
          <w:szCs w:val="24"/>
          <w:highlight w:val="none"/>
        </w:rPr>
        <w:t>三、质疑事项具体内容</w:t>
      </w:r>
      <w:bookmarkEnd w:id="219"/>
      <w:bookmarkEnd w:id="220"/>
    </w:p>
    <w:p w14:paraId="712B19F2">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质疑事项1：</w:t>
      </w:r>
      <w:r>
        <w:rPr>
          <w:rFonts w:hint="eastAsia" w:cs="仿宋" w:asciiTheme="minorEastAsia" w:hAnsiTheme="minorEastAsia" w:eastAsiaTheme="minorEastAsia"/>
          <w:color w:val="auto"/>
          <w:sz w:val="24"/>
          <w:szCs w:val="24"/>
          <w:highlight w:val="none"/>
          <w:u w:val="dotted"/>
        </w:rPr>
        <w:t xml:space="preserve">                                         </w:t>
      </w:r>
    </w:p>
    <w:p w14:paraId="6203171D">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事实依据：</w:t>
      </w:r>
      <w:r>
        <w:rPr>
          <w:rFonts w:hint="eastAsia" w:cs="仿宋" w:asciiTheme="minorEastAsia" w:hAnsiTheme="minorEastAsia" w:eastAsiaTheme="minorEastAsia"/>
          <w:color w:val="auto"/>
          <w:sz w:val="24"/>
          <w:szCs w:val="24"/>
          <w:highlight w:val="none"/>
          <w:u w:val="dotted"/>
        </w:rPr>
        <w:t xml:space="preserve">                                          </w:t>
      </w:r>
    </w:p>
    <w:p w14:paraId="4A0FEA32">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u w:val="dotted"/>
        </w:rPr>
        <w:t xml:space="preserve">                                                       </w:t>
      </w:r>
    </w:p>
    <w:p w14:paraId="2C2A87B9">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法律依据：</w:t>
      </w:r>
      <w:r>
        <w:rPr>
          <w:rFonts w:hint="eastAsia" w:cs="仿宋" w:asciiTheme="minorEastAsia" w:hAnsiTheme="minorEastAsia" w:eastAsiaTheme="minorEastAsia"/>
          <w:color w:val="auto"/>
          <w:sz w:val="24"/>
          <w:szCs w:val="24"/>
          <w:highlight w:val="none"/>
          <w:u w:val="dotted"/>
        </w:rPr>
        <w:t xml:space="preserve">                                          </w:t>
      </w:r>
    </w:p>
    <w:p w14:paraId="1ED2C2F9">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u w:val="dotted"/>
        </w:rPr>
        <w:t xml:space="preserve">                                                     </w:t>
      </w:r>
    </w:p>
    <w:p w14:paraId="0CB62D05">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质疑事项2</w:t>
      </w:r>
    </w:p>
    <w:p w14:paraId="128CF8AC">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w:t>
      </w:r>
    </w:p>
    <w:p w14:paraId="317EEAEC">
      <w:pPr>
        <w:adjustRightInd w:val="0"/>
        <w:snapToGrid w:val="0"/>
        <w:spacing w:line="360" w:lineRule="auto"/>
        <w:outlineLvl w:val="1"/>
        <w:rPr>
          <w:rFonts w:cs="仿宋" w:asciiTheme="minorEastAsia" w:hAnsiTheme="minorEastAsia" w:eastAsiaTheme="minorEastAsia"/>
          <w:b/>
          <w:bCs/>
          <w:color w:val="auto"/>
          <w:sz w:val="24"/>
          <w:szCs w:val="24"/>
          <w:highlight w:val="none"/>
        </w:rPr>
      </w:pPr>
      <w:bookmarkStart w:id="221" w:name="_Toc16039"/>
      <w:bookmarkStart w:id="222" w:name="_Toc9453"/>
      <w:r>
        <w:rPr>
          <w:rFonts w:hint="eastAsia" w:cs="仿宋" w:asciiTheme="minorEastAsia" w:hAnsiTheme="minorEastAsia" w:eastAsiaTheme="minorEastAsia"/>
          <w:b/>
          <w:bCs/>
          <w:color w:val="auto"/>
          <w:sz w:val="24"/>
          <w:szCs w:val="24"/>
          <w:highlight w:val="none"/>
        </w:rPr>
        <w:t>四、与质疑事项相关的质疑请求</w:t>
      </w:r>
      <w:bookmarkEnd w:id="221"/>
      <w:bookmarkEnd w:id="222"/>
    </w:p>
    <w:p w14:paraId="070FCD69">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请求：</w:t>
      </w:r>
      <w:r>
        <w:rPr>
          <w:rFonts w:hint="eastAsia" w:cs="仿宋" w:asciiTheme="minorEastAsia" w:hAnsiTheme="minorEastAsia" w:eastAsiaTheme="minorEastAsia"/>
          <w:color w:val="auto"/>
          <w:sz w:val="24"/>
          <w:szCs w:val="24"/>
          <w:highlight w:val="none"/>
          <w:u w:val="dotted"/>
        </w:rPr>
        <w:t xml:space="preserve">                                               </w:t>
      </w:r>
    </w:p>
    <w:p w14:paraId="31BAFE4B">
      <w:pPr>
        <w:spacing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 xml:space="preserve">签字(签章)：                   公章：                      </w:t>
      </w:r>
    </w:p>
    <w:p w14:paraId="36CEC2DC">
      <w:pPr>
        <w:spacing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 xml:space="preserve">日期：    </w:t>
      </w:r>
    </w:p>
    <w:p w14:paraId="66510054">
      <w:pPr>
        <w:widowControl/>
        <w:jc w:val="left"/>
        <w:rPr>
          <w:rFonts w:ascii="仿宋" w:hAnsi="仿宋" w:eastAsia="仿宋" w:cs="仿宋"/>
          <w:color w:val="auto"/>
          <w:sz w:val="32"/>
          <w:szCs w:val="32"/>
          <w:highlight w:val="none"/>
        </w:rPr>
      </w:pPr>
      <w:r>
        <w:rPr>
          <w:rFonts w:ascii="仿宋" w:hAnsi="仿宋" w:eastAsia="仿宋" w:cs="仿宋"/>
          <w:color w:val="auto"/>
          <w:sz w:val="32"/>
          <w:szCs w:val="32"/>
          <w:highlight w:val="none"/>
        </w:rPr>
        <w:br w:type="page"/>
      </w:r>
    </w:p>
    <w:p w14:paraId="7F2D028F">
      <w:pPr>
        <w:outlineLvl w:val="0"/>
        <w:rPr>
          <w:rFonts w:asciiTheme="minorEastAsia" w:hAnsiTheme="minorEastAsia" w:eastAsiaTheme="minorEastAsia"/>
          <w:b/>
          <w:color w:val="auto"/>
          <w:sz w:val="28"/>
          <w:szCs w:val="32"/>
          <w:highlight w:val="none"/>
        </w:rPr>
      </w:pPr>
      <w:bookmarkStart w:id="223" w:name="_Toc28276"/>
      <w:bookmarkStart w:id="224" w:name="_Toc10345"/>
      <w:r>
        <w:rPr>
          <w:rFonts w:hint="eastAsia" w:asciiTheme="minorEastAsia" w:hAnsiTheme="minorEastAsia" w:eastAsiaTheme="minorEastAsia"/>
          <w:b/>
          <w:color w:val="auto"/>
          <w:sz w:val="28"/>
          <w:szCs w:val="32"/>
          <w:highlight w:val="none"/>
        </w:rPr>
        <w:t>质疑函制作说明：</w:t>
      </w:r>
      <w:bookmarkEnd w:id="223"/>
      <w:bookmarkEnd w:id="224"/>
    </w:p>
    <w:p w14:paraId="28615087">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1.供应商提出质疑时，应提交质疑函和必要的证明材料。</w:t>
      </w:r>
    </w:p>
    <w:p w14:paraId="70934DF9">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1AEA7A88">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3.质疑供应商若对项目的某一分包进行质疑，质疑函中应列明具体分包号。</w:t>
      </w:r>
    </w:p>
    <w:p w14:paraId="1CFA951B">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4.质疑函的质疑事项应具体、明确，并有必要的事实依据和法律依据。</w:t>
      </w:r>
    </w:p>
    <w:p w14:paraId="7B25D2FA">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5.质疑函的质疑请求应与质疑事项相关。</w:t>
      </w:r>
    </w:p>
    <w:p w14:paraId="43EBE608">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6.质疑供应商为自然人的，质疑函应由本人签字；质疑供应商为法人或者其他组织的，质疑函应由法定代表人、主要负责人，或者其授权代表签字或者盖章，并加盖公章。</w:t>
      </w:r>
    </w:p>
    <w:p w14:paraId="43778B5D">
      <w:pPr>
        <w:spacing w:line="360" w:lineRule="auto"/>
        <w:ind w:firstLine="435"/>
        <w:rPr>
          <w:rFonts w:hint="eastAsia" w:asciiTheme="minorEastAsia" w:hAnsiTheme="minorEastAsia" w:eastAsiaTheme="minorEastAsia"/>
          <w:color w:val="auto"/>
          <w:sz w:val="24"/>
          <w:highlight w:val="none"/>
        </w:rPr>
      </w:pPr>
    </w:p>
    <w:p w14:paraId="33F50078">
      <w:pPr>
        <w:spacing w:line="360" w:lineRule="auto"/>
        <w:ind w:firstLine="435"/>
        <w:rPr>
          <w:rFonts w:hint="eastAsia" w:asciiTheme="minorEastAsia" w:hAnsiTheme="minorEastAsia" w:eastAsiaTheme="minorEastAsia"/>
          <w:color w:val="auto"/>
          <w:sz w:val="24"/>
          <w:highlight w:val="none"/>
        </w:rPr>
      </w:pPr>
    </w:p>
    <w:p w14:paraId="5EFA33DA">
      <w:pPr>
        <w:spacing w:line="360" w:lineRule="auto"/>
        <w:ind w:firstLine="435"/>
        <w:rPr>
          <w:rFonts w:hint="eastAsia" w:asciiTheme="minorEastAsia" w:hAnsiTheme="minorEastAsia" w:eastAsiaTheme="minorEastAsia"/>
          <w:color w:val="auto"/>
          <w:sz w:val="24"/>
          <w:highlight w:val="none"/>
        </w:rPr>
      </w:pPr>
    </w:p>
    <w:p w14:paraId="22B4D7A7">
      <w:pPr>
        <w:spacing w:line="360" w:lineRule="auto"/>
        <w:ind w:firstLine="435"/>
        <w:rPr>
          <w:rFonts w:hint="eastAsia" w:asciiTheme="minorEastAsia" w:hAnsiTheme="minorEastAsia" w:eastAsiaTheme="minorEastAsia"/>
          <w:color w:val="auto"/>
          <w:sz w:val="24"/>
          <w:highlight w:val="none"/>
        </w:rPr>
      </w:pPr>
    </w:p>
    <w:p w14:paraId="0351A268">
      <w:pPr>
        <w:spacing w:line="360" w:lineRule="auto"/>
        <w:ind w:firstLine="435"/>
        <w:rPr>
          <w:rFonts w:hint="eastAsia" w:asciiTheme="minorEastAsia" w:hAnsiTheme="minorEastAsia" w:eastAsiaTheme="minorEastAsia"/>
          <w:color w:val="auto"/>
          <w:sz w:val="24"/>
          <w:highlight w:val="none"/>
        </w:rPr>
      </w:pPr>
    </w:p>
    <w:p w14:paraId="6423EE7B">
      <w:pPr>
        <w:spacing w:line="360" w:lineRule="auto"/>
        <w:ind w:firstLine="435"/>
        <w:rPr>
          <w:rFonts w:hint="eastAsia" w:asciiTheme="minorEastAsia" w:hAnsiTheme="minorEastAsia" w:eastAsiaTheme="minorEastAsia"/>
          <w:color w:val="auto"/>
          <w:sz w:val="24"/>
          <w:highlight w:val="none"/>
        </w:rPr>
      </w:pPr>
    </w:p>
    <w:p w14:paraId="79997D72">
      <w:pPr>
        <w:spacing w:line="360" w:lineRule="auto"/>
        <w:ind w:firstLine="435"/>
        <w:rPr>
          <w:rFonts w:hint="eastAsia" w:asciiTheme="minorEastAsia" w:hAnsiTheme="minorEastAsia" w:eastAsiaTheme="minorEastAsia"/>
          <w:color w:val="auto"/>
          <w:sz w:val="24"/>
          <w:highlight w:val="none"/>
        </w:rPr>
      </w:pPr>
    </w:p>
    <w:p w14:paraId="5FC0837E">
      <w:pPr>
        <w:spacing w:line="360" w:lineRule="auto"/>
        <w:ind w:firstLine="435"/>
        <w:rPr>
          <w:rFonts w:hint="eastAsia" w:asciiTheme="minorEastAsia" w:hAnsiTheme="minorEastAsia" w:eastAsiaTheme="minorEastAsia"/>
          <w:color w:val="auto"/>
          <w:sz w:val="24"/>
          <w:highlight w:val="none"/>
        </w:rPr>
      </w:pPr>
    </w:p>
    <w:p w14:paraId="52AA8BFB">
      <w:pPr>
        <w:spacing w:line="360" w:lineRule="auto"/>
        <w:ind w:firstLine="435"/>
        <w:rPr>
          <w:rFonts w:hint="eastAsia" w:asciiTheme="minorEastAsia" w:hAnsiTheme="minorEastAsia" w:eastAsiaTheme="minorEastAsia"/>
          <w:color w:val="auto"/>
          <w:sz w:val="24"/>
          <w:highlight w:val="none"/>
        </w:rPr>
      </w:pPr>
    </w:p>
    <w:p w14:paraId="2AF923CC">
      <w:pPr>
        <w:spacing w:line="360" w:lineRule="auto"/>
        <w:ind w:firstLine="435"/>
        <w:rPr>
          <w:rFonts w:hint="eastAsia" w:asciiTheme="minorEastAsia" w:hAnsiTheme="minorEastAsia" w:eastAsiaTheme="minorEastAsia"/>
          <w:color w:val="auto"/>
          <w:sz w:val="24"/>
          <w:highlight w:val="none"/>
        </w:rPr>
      </w:pPr>
    </w:p>
    <w:p w14:paraId="424CF0C1">
      <w:pPr>
        <w:spacing w:line="360" w:lineRule="auto"/>
        <w:ind w:firstLine="435"/>
        <w:rPr>
          <w:rFonts w:hint="eastAsia" w:asciiTheme="minorEastAsia" w:hAnsiTheme="minorEastAsia" w:eastAsiaTheme="minorEastAsia"/>
          <w:color w:val="auto"/>
          <w:sz w:val="24"/>
          <w:highlight w:val="none"/>
        </w:rPr>
      </w:pPr>
    </w:p>
    <w:p w14:paraId="5E533DAF">
      <w:pPr>
        <w:spacing w:line="360" w:lineRule="auto"/>
        <w:ind w:firstLine="435"/>
        <w:rPr>
          <w:rFonts w:hint="eastAsia" w:asciiTheme="minorEastAsia" w:hAnsiTheme="minorEastAsia" w:eastAsiaTheme="minorEastAsia"/>
          <w:color w:val="auto"/>
          <w:sz w:val="24"/>
          <w:highlight w:val="none"/>
        </w:rPr>
      </w:pPr>
    </w:p>
    <w:p w14:paraId="57B5618A">
      <w:pPr>
        <w:spacing w:line="360" w:lineRule="auto"/>
        <w:ind w:firstLine="435"/>
        <w:rPr>
          <w:rFonts w:hint="eastAsia" w:asciiTheme="minorEastAsia" w:hAnsiTheme="minorEastAsia" w:eastAsiaTheme="minorEastAsia"/>
          <w:color w:val="auto"/>
          <w:sz w:val="24"/>
          <w:highlight w:val="none"/>
        </w:rPr>
      </w:pPr>
    </w:p>
    <w:p w14:paraId="71D0D1B1">
      <w:pPr>
        <w:spacing w:line="360" w:lineRule="auto"/>
        <w:ind w:firstLine="435"/>
        <w:rPr>
          <w:rFonts w:hint="eastAsia" w:asciiTheme="minorEastAsia" w:hAnsiTheme="minorEastAsia" w:eastAsiaTheme="minorEastAsia"/>
          <w:color w:val="auto"/>
          <w:sz w:val="24"/>
          <w:highlight w:val="none"/>
        </w:rPr>
      </w:pPr>
    </w:p>
    <w:p w14:paraId="079BB64B">
      <w:pPr>
        <w:spacing w:line="360" w:lineRule="auto"/>
        <w:ind w:firstLine="435"/>
        <w:rPr>
          <w:rFonts w:hint="eastAsia" w:asciiTheme="minorEastAsia" w:hAnsiTheme="minorEastAsia" w:eastAsiaTheme="minorEastAsia"/>
          <w:color w:val="auto"/>
          <w:sz w:val="24"/>
          <w:highlight w:val="none"/>
        </w:rPr>
      </w:pPr>
    </w:p>
    <w:p w14:paraId="472D3083">
      <w:pPr>
        <w:spacing w:line="360" w:lineRule="auto"/>
        <w:ind w:firstLine="435"/>
        <w:rPr>
          <w:rFonts w:hint="eastAsia" w:asciiTheme="minorEastAsia" w:hAnsiTheme="minorEastAsia" w:eastAsiaTheme="minorEastAsia"/>
          <w:color w:val="auto"/>
          <w:sz w:val="24"/>
          <w:highlight w:val="none"/>
        </w:rPr>
      </w:pPr>
    </w:p>
    <w:p w14:paraId="23A39128">
      <w:pPr>
        <w:spacing w:line="360" w:lineRule="auto"/>
        <w:ind w:firstLine="435"/>
        <w:rPr>
          <w:rFonts w:hint="eastAsia" w:asciiTheme="minorEastAsia" w:hAnsiTheme="minorEastAsia" w:eastAsiaTheme="minorEastAsia"/>
          <w:color w:val="auto"/>
          <w:sz w:val="24"/>
          <w:highlight w:val="none"/>
        </w:rPr>
      </w:pPr>
    </w:p>
    <w:p w14:paraId="3A303209">
      <w:pPr>
        <w:spacing w:line="360" w:lineRule="auto"/>
        <w:ind w:firstLine="435"/>
        <w:rPr>
          <w:rFonts w:hint="eastAsia" w:asciiTheme="minorEastAsia" w:hAnsiTheme="minorEastAsia" w:eastAsiaTheme="minorEastAsia"/>
          <w:color w:val="auto"/>
          <w:sz w:val="24"/>
          <w:highlight w:val="none"/>
        </w:rPr>
      </w:pPr>
    </w:p>
    <w:p w14:paraId="23150FCF">
      <w:pPr>
        <w:spacing w:line="360" w:lineRule="auto"/>
        <w:rPr>
          <w:rFonts w:hint="eastAsia" w:asciiTheme="minorEastAsia" w:hAnsiTheme="minorEastAsia" w:eastAsiaTheme="minorEastAsia"/>
          <w:color w:val="auto"/>
          <w:sz w:val="24"/>
          <w:highlight w:val="none"/>
        </w:rPr>
      </w:pPr>
    </w:p>
    <w:bookmarkEnd w:id="225"/>
    <w:sectPr>
      <w:headerReference r:id="rId5" w:type="default"/>
      <w:footerReference r:id="rId6" w:type="default"/>
      <w:pgSz w:w="11905" w:h="16838"/>
      <w:pgMar w:top="1270" w:right="1417" w:bottom="1270" w:left="1417" w:header="851" w:footer="992" w:gutter="0"/>
      <w:pgNumType w:fmt="decimal"/>
      <w:cols w:space="0" w:num="1"/>
      <w:rtlGutter w:val="0"/>
      <w:docGrid w:type="lines" w:linePitch="318"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简标宋">
    <w:altName w:val="@宋体"/>
    <w:panose1 w:val="00000000000000000000"/>
    <w:charset w:val="86"/>
    <w:family w:val="auto"/>
    <w:pitch w:val="default"/>
    <w:sig w:usb0="00000000" w:usb1="00000000" w:usb2="00000010" w:usb3="00000000" w:csb0="00040000" w:csb1="00000000"/>
  </w:font>
  <w:font w:name="@宋体">
    <w:panose1 w:val="02010600030101010101"/>
    <w:charset w:val="86"/>
    <w:family w:val="auto"/>
    <w:pitch w:val="default"/>
    <w:sig w:usb0="00000003" w:usb1="288F0000" w:usb2="00000006" w:usb3="00000000" w:csb0="00040001" w:csb1="00000000"/>
  </w:font>
  <w:font w:name="Cambria">
    <w:panose1 w:val="02040503050406030204"/>
    <w:charset w:val="00"/>
    <w:family w:val="roman"/>
    <w:pitch w:val="default"/>
    <w:sig w:usb0="E00006FF" w:usb1="420024FF" w:usb2="02000000" w:usb3="00000000" w:csb0="2000019F"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TimesNewRomanPSMT">
    <w:altName w:val="Times New Roman"/>
    <w:panose1 w:val="00000000000000000000"/>
    <w:charset w:val="00"/>
    <w:family w:val="roman"/>
    <w:pitch w:val="default"/>
    <w:sig w:usb0="00000000" w:usb1="00000000" w:usb2="00000000" w:usb3="00000000" w:csb0="00000000" w:csb1="00000000"/>
  </w:font>
  <w:font w:name="Sylfaen">
    <w:panose1 w:val="010A0502050306030303"/>
    <w:charset w:val="00"/>
    <w:family w:val="roman"/>
    <w:pitch w:val="default"/>
    <w:sig w:usb0="04000687" w:usb1="00000000" w:usb2="00000000" w:usb3="00000000" w:csb0="2000009F" w:csb1="00000000"/>
  </w:font>
  <w:font w:name="MingLiU">
    <w:altName w:val="PMingLiU-ExtB"/>
    <w:panose1 w:val="02020509000000000000"/>
    <w:charset w:val="88"/>
    <w:family w:val="moder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Segoe UI">
    <w:panose1 w:val="020B0502040204020203"/>
    <w:charset w:val="00"/>
    <w:family w:val="auto"/>
    <w:pitch w:val="default"/>
    <w:sig w:usb0="E4002EFF" w:usb1="C000E47F"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F99E6B">
    <w:pPr>
      <w:pStyle w:val="20"/>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F00B02">
    <w:pPr>
      <w:spacing w:line="189" w:lineRule="auto"/>
      <w:ind w:left="4430"/>
      <w:rPr>
        <w:rFonts w:hint="eastAsia" w:cs="@仿宋_GB2312" w:asciiTheme="minorEastAsia" w:hAnsiTheme="minorEastAsia" w:eastAsiaTheme="minorEastAsia"/>
        <w:kern w:val="2"/>
        <w:sz w:val="21"/>
        <w:szCs w:val="21"/>
        <w:lang w:val="en-US" w:eastAsia="zh-CN" w:bidi="ar-SA"/>
      </w:rPr>
    </w:pPr>
    <w:r>
      <w:rPr>
        <w:sz w:val="21"/>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4BFBB9F">
                          <w:pPr>
                            <w:pStyle w:val="20"/>
                          </w:pPr>
                          <w:r>
                            <w:fldChar w:fldCharType="begin"/>
                          </w:r>
                          <w:r>
                            <w:instrText xml:space="preserve"> PAGE  \* MERGEFORMAT </w:instrText>
                          </w:r>
                          <w:r>
                            <w:fldChar w:fldCharType="separate"/>
                          </w:r>
                          <w:r>
                            <w:t>44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44BFBB9F">
                    <w:pPr>
                      <w:pStyle w:val="20"/>
                    </w:pPr>
                    <w:r>
                      <w:fldChar w:fldCharType="begin"/>
                    </w:r>
                    <w:r>
                      <w:instrText xml:space="preserve"> PAGE  \* MERGEFORMAT </w:instrText>
                    </w:r>
                    <w:r>
                      <w:fldChar w:fldCharType="separate"/>
                    </w:r>
                    <w:r>
                      <w:t>44</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93B993">
    <w:pPr>
      <w:pStyle w:val="21"/>
      <w:pBdr>
        <w:bottom w:val="none" w:color="auto" w:sz="0" w:space="1"/>
      </w:pBdr>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25D81F">
    <w:pPr>
      <w:pStyle w:val="21"/>
      <w:pBdr>
        <w:bottom w:val="none" w:color="auto" w:sz="0" w:space="1"/>
      </w:pBdr>
      <w:jc w:val="both"/>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CA2223C"/>
    <w:multiLevelType w:val="singleLevel"/>
    <w:tmpl w:val="BCA2223C"/>
    <w:lvl w:ilvl="0" w:tentative="0">
      <w:start w:val="2"/>
      <w:numFmt w:val="decimal"/>
      <w:suff w:val="nothing"/>
      <w:lvlText w:val="（%1）"/>
      <w:lvlJc w:val="left"/>
    </w:lvl>
  </w:abstractNum>
  <w:abstractNum w:abstractNumId="1">
    <w:nsid w:val="D25C91D6"/>
    <w:multiLevelType w:val="singleLevel"/>
    <w:tmpl w:val="D25C91D6"/>
    <w:lvl w:ilvl="0" w:tentative="0">
      <w:start w:val="4"/>
      <w:numFmt w:val="chineseCounting"/>
      <w:suff w:val="space"/>
      <w:lvlText w:val="%1、"/>
      <w:lvlJc w:val="left"/>
      <w:rPr>
        <w:rFonts w:hint="eastAsia"/>
      </w:rPr>
    </w:lvl>
  </w:abstractNum>
  <w:abstractNum w:abstractNumId="2">
    <w:nsid w:val="2323379E"/>
    <w:multiLevelType w:val="multilevel"/>
    <w:tmpl w:val="2323379E"/>
    <w:lvl w:ilvl="0" w:tentative="0">
      <w:start w:val="1"/>
      <w:numFmt w:val="chineseCountingThousand"/>
      <w:pStyle w:val="27"/>
      <w:lvlText w:val="%1、"/>
      <w:lvlJc w:val="left"/>
      <w:pPr>
        <w:ind w:left="420" w:hanging="420"/>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16"/>
        <w:szCs w:val="0"/>
        <w:u w:val="none" w:color="000000"/>
        <w:shd w:val="clear" w:color="000000" w:fill="000000"/>
        <w:vertAlign w:val="baseline"/>
        <w:lang w:val="zh-CN" w:eastAsia="zh-CN" w:bidi="zh-CN"/>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HorizontalSpacing w:val="210"/>
  <w:drawingGridVerticalSpacing w:val="159"/>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c5MDNjMmIyODczM2YwMGZkZTNjYWY1NjIxZTY5YjcifQ=="/>
  </w:docVars>
  <w:rsids>
    <w:rsidRoot w:val="00276BA1"/>
    <w:rsid w:val="0000043F"/>
    <w:rsid w:val="000023CA"/>
    <w:rsid w:val="000037F9"/>
    <w:rsid w:val="000049DA"/>
    <w:rsid w:val="000056B7"/>
    <w:rsid w:val="00006585"/>
    <w:rsid w:val="00007647"/>
    <w:rsid w:val="0000779C"/>
    <w:rsid w:val="000131F7"/>
    <w:rsid w:val="00014039"/>
    <w:rsid w:val="0001600A"/>
    <w:rsid w:val="00016B6C"/>
    <w:rsid w:val="000201D0"/>
    <w:rsid w:val="00020B57"/>
    <w:rsid w:val="00020E3A"/>
    <w:rsid w:val="000261F2"/>
    <w:rsid w:val="000360B3"/>
    <w:rsid w:val="00040C25"/>
    <w:rsid w:val="00042139"/>
    <w:rsid w:val="00042973"/>
    <w:rsid w:val="00042B14"/>
    <w:rsid w:val="00044F49"/>
    <w:rsid w:val="000450C3"/>
    <w:rsid w:val="0004550A"/>
    <w:rsid w:val="00050A3F"/>
    <w:rsid w:val="00061234"/>
    <w:rsid w:val="00062C99"/>
    <w:rsid w:val="000648D2"/>
    <w:rsid w:val="00066B5B"/>
    <w:rsid w:val="00070E0E"/>
    <w:rsid w:val="0007146E"/>
    <w:rsid w:val="00076DB7"/>
    <w:rsid w:val="00080FEB"/>
    <w:rsid w:val="000845C6"/>
    <w:rsid w:val="000845CA"/>
    <w:rsid w:val="00092933"/>
    <w:rsid w:val="00093150"/>
    <w:rsid w:val="00094D41"/>
    <w:rsid w:val="000970FA"/>
    <w:rsid w:val="00097CB9"/>
    <w:rsid w:val="000A0D8A"/>
    <w:rsid w:val="000A10A9"/>
    <w:rsid w:val="000A6693"/>
    <w:rsid w:val="000A7970"/>
    <w:rsid w:val="000A7D94"/>
    <w:rsid w:val="000B00AF"/>
    <w:rsid w:val="000B1511"/>
    <w:rsid w:val="000B46F2"/>
    <w:rsid w:val="000B70F0"/>
    <w:rsid w:val="000C0507"/>
    <w:rsid w:val="000C1DB1"/>
    <w:rsid w:val="000D3A8D"/>
    <w:rsid w:val="000D3F37"/>
    <w:rsid w:val="000E2BA5"/>
    <w:rsid w:val="000E33A5"/>
    <w:rsid w:val="000E3BFD"/>
    <w:rsid w:val="000E3C74"/>
    <w:rsid w:val="000E3F9B"/>
    <w:rsid w:val="000E478E"/>
    <w:rsid w:val="000E6689"/>
    <w:rsid w:val="000E6FA7"/>
    <w:rsid w:val="000F172B"/>
    <w:rsid w:val="000F2198"/>
    <w:rsid w:val="000F3856"/>
    <w:rsid w:val="000F39B6"/>
    <w:rsid w:val="000F54AA"/>
    <w:rsid w:val="000F6B7B"/>
    <w:rsid w:val="00100B0F"/>
    <w:rsid w:val="0010187C"/>
    <w:rsid w:val="0010219C"/>
    <w:rsid w:val="001037E3"/>
    <w:rsid w:val="001077EC"/>
    <w:rsid w:val="0011036B"/>
    <w:rsid w:val="00110820"/>
    <w:rsid w:val="00112D01"/>
    <w:rsid w:val="00113EBF"/>
    <w:rsid w:val="00116050"/>
    <w:rsid w:val="0011660B"/>
    <w:rsid w:val="0012143A"/>
    <w:rsid w:val="00124AF9"/>
    <w:rsid w:val="001258BA"/>
    <w:rsid w:val="00126A59"/>
    <w:rsid w:val="001273BC"/>
    <w:rsid w:val="001301E2"/>
    <w:rsid w:val="001349C6"/>
    <w:rsid w:val="00140687"/>
    <w:rsid w:val="00140769"/>
    <w:rsid w:val="00141FE8"/>
    <w:rsid w:val="00142ED4"/>
    <w:rsid w:val="001459A7"/>
    <w:rsid w:val="00146421"/>
    <w:rsid w:val="00147A94"/>
    <w:rsid w:val="00147E0C"/>
    <w:rsid w:val="00151E19"/>
    <w:rsid w:val="00153B20"/>
    <w:rsid w:val="00154FDC"/>
    <w:rsid w:val="00155F64"/>
    <w:rsid w:val="00157856"/>
    <w:rsid w:val="00160729"/>
    <w:rsid w:val="001651ED"/>
    <w:rsid w:val="00166794"/>
    <w:rsid w:val="00166ED8"/>
    <w:rsid w:val="001714C9"/>
    <w:rsid w:val="00171B25"/>
    <w:rsid w:val="001749A0"/>
    <w:rsid w:val="0018119B"/>
    <w:rsid w:val="001812BE"/>
    <w:rsid w:val="001844AB"/>
    <w:rsid w:val="001853C7"/>
    <w:rsid w:val="00190839"/>
    <w:rsid w:val="00192879"/>
    <w:rsid w:val="00194365"/>
    <w:rsid w:val="001944B8"/>
    <w:rsid w:val="00196DA3"/>
    <w:rsid w:val="001A26EE"/>
    <w:rsid w:val="001A526C"/>
    <w:rsid w:val="001A68E5"/>
    <w:rsid w:val="001A69CE"/>
    <w:rsid w:val="001B2A54"/>
    <w:rsid w:val="001B2BA4"/>
    <w:rsid w:val="001B4A22"/>
    <w:rsid w:val="001B5014"/>
    <w:rsid w:val="001B7327"/>
    <w:rsid w:val="001C3E8A"/>
    <w:rsid w:val="001C646A"/>
    <w:rsid w:val="001D22EA"/>
    <w:rsid w:val="001D3674"/>
    <w:rsid w:val="001D3E9A"/>
    <w:rsid w:val="001D53B4"/>
    <w:rsid w:val="001D67FB"/>
    <w:rsid w:val="001D6C96"/>
    <w:rsid w:val="001E1835"/>
    <w:rsid w:val="001E7198"/>
    <w:rsid w:val="001F19A3"/>
    <w:rsid w:val="001F28D2"/>
    <w:rsid w:val="001F2F45"/>
    <w:rsid w:val="001F3023"/>
    <w:rsid w:val="001F3250"/>
    <w:rsid w:val="001F35F6"/>
    <w:rsid w:val="001F74CA"/>
    <w:rsid w:val="001F7590"/>
    <w:rsid w:val="002003B6"/>
    <w:rsid w:val="0020244A"/>
    <w:rsid w:val="00204609"/>
    <w:rsid w:val="002049B4"/>
    <w:rsid w:val="0020520B"/>
    <w:rsid w:val="00207490"/>
    <w:rsid w:val="002076AD"/>
    <w:rsid w:val="00213C55"/>
    <w:rsid w:val="00216412"/>
    <w:rsid w:val="00223CF4"/>
    <w:rsid w:val="00224C4A"/>
    <w:rsid w:val="00225608"/>
    <w:rsid w:val="002302D6"/>
    <w:rsid w:val="00231187"/>
    <w:rsid w:val="00233C96"/>
    <w:rsid w:val="0023407E"/>
    <w:rsid w:val="00240B40"/>
    <w:rsid w:val="00244182"/>
    <w:rsid w:val="00247817"/>
    <w:rsid w:val="002544A1"/>
    <w:rsid w:val="00256EF1"/>
    <w:rsid w:val="00257ECE"/>
    <w:rsid w:val="00260B94"/>
    <w:rsid w:val="00264F2E"/>
    <w:rsid w:val="00265463"/>
    <w:rsid w:val="00271245"/>
    <w:rsid w:val="00271720"/>
    <w:rsid w:val="00274A9E"/>
    <w:rsid w:val="00276BA1"/>
    <w:rsid w:val="002778C0"/>
    <w:rsid w:val="00280984"/>
    <w:rsid w:val="002835E3"/>
    <w:rsid w:val="00284542"/>
    <w:rsid w:val="00291840"/>
    <w:rsid w:val="00297870"/>
    <w:rsid w:val="002A14D1"/>
    <w:rsid w:val="002A1A1D"/>
    <w:rsid w:val="002A28AD"/>
    <w:rsid w:val="002A3F9B"/>
    <w:rsid w:val="002B04FD"/>
    <w:rsid w:val="002B5318"/>
    <w:rsid w:val="002B6D27"/>
    <w:rsid w:val="002B7A09"/>
    <w:rsid w:val="002C060C"/>
    <w:rsid w:val="002C5DCC"/>
    <w:rsid w:val="002C69FD"/>
    <w:rsid w:val="002C70AB"/>
    <w:rsid w:val="002D05DD"/>
    <w:rsid w:val="002D10A6"/>
    <w:rsid w:val="002D26D1"/>
    <w:rsid w:val="002D2965"/>
    <w:rsid w:val="002D2F38"/>
    <w:rsid w:val="002D3C10"/>
    <w:rsid w:val="002D3D02"/>
    <w:rsid w:val="002D4CB5"/>
    <w:rsid w:val="002D5610"/>
    <w:rsid w:val="002D684B"/>
    <w:rsid w:val="002D6FA4"/>
    <w:rsid w:val="002E1327"/>
    <w:rsid w:val="002E2AD2"/>
    <w:rsid w:val="002E2D3A"/>
    <w:rsid w:val="002E3B26"/>
    <w:rsid w:val="002E4AB8"/>
    <w:rsid w:val="002E7FC4"/>
    <w:rsid w:val="002F1132"/>
    <w:rsid w:val="00303D04"/>
    <w:rsid w:val="00310070"/>
    <w:rsid w:val="0031081B"/>
    <w:rsid w:val="00310EF7"/>
    <w:rsid w:val="003110EC"/>
    <w:rsid w:val="00314577"/>
    <w:rsid w:val="00317A51"/>
    <w:rsid w:val="003206A6"/>
    <w:rsid w:val="00322439"/>
    <w:rsid w:val="0032560D"/>
    <w:rsid w:val="00327C92"/>
    <w:rsid w:val="0033145F"/>
    <w:rsid w:val="00333292"/>
    <w:rsid w:val="003344E7"/>
    <w:rsid w:val="0033460E"/>
    <w:rsid w:val="0033580B"/>
    <w:rsid w:val="003365E7"/>
    <w:rsid w:val="003378D5"/>
    <w:rsid w:val="00341B40"/>
    <w:rsid w:val="00344BF7"/>
    <w:rsid w:val="003473D7"/>
    <w:rsid w:val="003510A4"/>
    <w:rsid w:val="00351AC8"/>
    <w:rsid w:val="00351CB6"/>
    <w:rsid w:val="00353075"/>
    <w:rsid w:val="003536F2"/>
    <w:rsid w:val="00360384"/>
    <w:rsid w:val="00361F77"/>
    <w:rsid w:val="00362110"/>
    <w:rsid w:val="00362561"/>
    <w:rsid w:val="00363022"/>
    <w:rsid w:val="00363E02"/>
    <w:rsid w:val="00370BF9"/>
    <w:rsid w:val="00372CF6"/>
    <w:rsid w:val="00373A96"/>
    <w:rsid w:val="003744F2"/>
    <w:rsid w:val="003800C3"/>
    <w:rsid w:val="0038193A"/>
    <w:rsid w:val="003826C2"/>
    <w:rsid w:val="00383728"/>
    <w:rsid w:val="00385435"/>
    <w:rsid w:val="00386239"/>
    <w:rsid w:val="003903BB"/>
    <w:rsid w:val="00392627"/>
    <w:rsid w:val="003938B3"/>
    <w:rsid w:val="003939B1"/>
    <w:rsid w:val="00394128"/>
    <w:rsid w:val="00394ADC"/>
    <w:rsid w:val="00395131"/>
    <w:rsid w:val="00395235"/>
    <w:rsid w:val="0039561A"/>
    <w:rsid w:val="0039676A"/>
    <w:rsid w:val="00397C7D"/>
    <w:rsid w:val="003A004F"/>
    <w:rsid w:val="003A085C"/>
    <w:rsid w:val="003A092F"/>
    <w:rsid w:val="003A326B"/>
    <w:rsid w:val="003A68A7"/>
    <w:rsid w:val="003B1321"/>
    <w:rsid w:val="003B154F"/>
    <w:rsid w:val="003B2E76"/>
    <w:rsid w:val="003B4130"/>
    <w:rsid w:val="003B715B"/>
    <w:rsid w:val="003C2C62"/>
    <w:rsid w:val="003C2CB8"/>
    <w:rsid w:val="003D1D14"/>
    <w:rsid w:val="003D31C0"/>
    <w:rsid w:val="003D6B5D"/>
    <w:rsid w:val="003D6C7C"/>
    <w:rsid w:val="003D6EFB"/>
    <w:rsid w:val="003D73CA"/>
    <w:rsid w:val="003D7E52"/>
    <w:rsid w:val="003E25C6"/>
    <w:rsid w:val="003F7528"/>
    <w:rsid w:val="0040083C"/>
    <w:rsid w:val="004009F4"/>
    <w:rsid w:val="004011AA"/>
    <w:rsid w:val="0040202C"/>
    <w:rsid w:val="0040563A"/>
    <w:rsid w:val="00406508"/>
    <w:rsid w:val="00412E69"/>
    <w:rsid w:val="004140DE"/>
    <w:rsid w:val="0041456E"/>
    <w:rsid w:val="00414F7E"/>
    <w:rsid w:val="004164F8"/>
    <w:rsid w:val="0042170B"/>
    <w:rsid w:val="00424A97"/>
    <w:rsid w:val="00426F05"/>
    <w:rsid w:val="00427B65"/>
    <w:rsid w:val="004327A2"/>
    <w:rsid w:val="004328E1"/>
    <w:rsid w:val="00436B56"/>
    <w:rsid w:val="0044205D"/>
    <w:rsid w:val="004426E7"/>
    <w:rsid w:val="004427B7"/>
    <w:rsid w:val="00442F6D"/>
    <w:rsid w:val="0044349F"/>
    <w:rsid w:val="00445F1F"/>
    <w:rsid w:val="004474B2"/>
    <w:rsid w:val="0045076F"/>
    <w:rsid w:val="00451F60"/>
    <w:rsid w:val="00452BB2"/>
    <w:rsid w:val="00456054"/>
    <w:rsid w:val="0045656D"/>
    <w:rsid w:val="00460B9A"/>
    <w:rsid w:val="0046291C"/>
    <w:rsid w:val="00462D98"/>
    <w:rsid w:val="00463E7D"/>
    <w:rsid w:val="0046704C"/>
    <w:rsid w:val="0047174D"/>
    <w:rsid w:val="0047268A"/>
    <w:rsid w:val="00472964"/>
    <w:rsid w:val="00472A44"/>
    <w:rsid w:val="00473A89"/>
    <w:rsid w:val="00475899"/>
    <w:rsid w:val="00482C78"/>
    <w:rsid w:val="0048634A"/>
    <w:rsid w:val="004874AE"/>
    <w:rsid w:val="004905FC"/>
    <w:rsid w:val="00494385"/>
    <w:rsid w:val="00494D24"/>
    <w:rsid w:val="004951D1"/>
    <w:rsid w:val="004960BB"/>
    <w:rsid w:val="00496773"/>
    <w:rsid w:val="00496FA4"/>
    <w:rsid w:val="004A27D0"/>
    <w:rsid w:val="004A4D67"/>
    <w:rsid w:val="004A7690"/>
    <w:rsid w:val="004B0A70"/>
    <w:rsid w:val="004B6A5D"/>
    <w:rsid w:val="004C13CB"/>
    <w:rsid w:val="004D0537"/>
    <w:rsid w:val="004D3D4B"/>
    <w:rsid w:val="004D5498"/>
    <w:rsid w:val="004D66A5"/>
    <w:rsid w:val="004D6B00"/>
    <w:rsid w:val="004D6B8C"/>
    <w:rsid w:val="004D71FC"/>
    <w:rsid w:val="004D7A64"/>
    <w:rsid w:val="004E0D39"/>
    <w:rsid w:val="004E1D50"/>
    <w:rsid w:val="004E65E1"/>
    <w:rsid w:val="004F27A0"/>
    <w:rsid w:val="004F2F91"/>
    <w:rsid w:val="004F63C7"/>
    <w:rsid w:val="004F6BAD"/>
    <w:rsid w:val="00501382"/>
    <w:rsid w:val="005029C7"/>
    <w:rsid w:val="00504B12"/>
    <w:rsid w:val="00510798"/>
    <w:rsid w:val="00512101"/>
    <w:rsid w:val="005125F1"/>
    <w:rsid w:val="0051737F"/>
    <w:rsid w:val="00522A55"/>
    <w:rsid w:val="00524A11"/>
    <w:rsid w:val="0052757B"/>
    <w:rsid w:val="00527768"/>
    <w:rsid w:val="00530EA4"/>
    <w:rsid w:val="00531AD6"/>
    <w:rsid w:val="005327FB"/>
    <w:rsid w:val="00533FCA"/>
    <w:rsid w:val="00536422"/>
    <w:rsid w:val="005470D4"/>
    <w:rsid w:val="005616B5"/>
    <w:rsid w:val="005639C3"/>
    <w:rsid w:val="005668F0"/>
    <w:rsid w:val="005679A4"/>
    <w:rsid w:val="00571FA4"/>
    <w:rsid w:val="00574B0B"/>
    <w:rsid w:val="005760E1"/>
    <w:rsid w:val="00581663"/>
    <w:rsid w:val="00585811"/>
    <w:rsid w:val="00591DC8"/>
    <w:rsid w:val="0059223D"/>
    <w:rsid w:val="00597B15"/>
    <w:rsid w:val="005A044C"/>
    <w:rsid w:val="005A149F"/>
    <w:rsid w:val="005A18B7"/>
    <w:rsid w:val="005A2656"/>
    <w:rsid w:val="005A73B1"/>
    <w:rsid w:val="005B05B5"/>
    <w:rsid w:val="005B16E3"/>
    <w:rsid w:val="005B34C9"/>
    <w:rsid w:val="005B6BD1"/>
    <w:rsid w:val="005C140C"/>
    <w:rsid w:val="005C6C95"/>
    <w:rsid w:val="005D0200"/>
    <w:rsid w:val="005D44EF"/>
    <w:rsid w:val="005D5109"/>
    <w:rsid w:val="005D5112"/>
    <w:rsid w:val="005D5A94"/>
    <w:rsid w:val="005D5D67"/>
    <w:rsid w:val="005E2874"/>
    <w:rsid w:val="005E425A"/>
    <w:rsid w:val="005E6202"/>
    <w:rsid w:val="005F240E"/>
    <w:rsid w:val="005F2B97"/>
    <w:rsid w:val="005F34CC"/>
    <w:rsid w:val="005F3914"/>
    <w:rsid w:val="005F3B5A"/>
    <w:rsid w:val="005F6AB4"/>
    <w:rsid w:val="00607471"/>
    <w:rsid w:val="00610A66"/>
    <w:rsid w:val="00610C25"/>
    <w:rsid w:val="00612CFF"/>
    <w:rsid w:val="00613177"/>
    <w:rsid w:val="00613F7C"/>
    <w:rsid w:val="00614BF2"/>
    <w:rsid w:val="0061557C"/>
    <w:rsid w:val="00617ECF"/>
    <w:rsid w:val="006208AC"/>
    <w:rsid w:val="00623DE2"/>
    <w:rsid w:val="00627601"/>
    <w:rsid w:val="006300D0"/>
    <w:rsid w:val="00630BA1"/>
    <w:rsid w:val="00632012"/>
    <w:rsid w:val="00634694"/>
    <w:rsid w:val="00635682"/>
    <w:rsid w:val="006357FD"/>
    <w:rsid w:val="00636517"/>
    <w:rsid w:val="00637122"/>
    <w:rsid w:val="00637690"/>
    <w:rsid w:val="00637BB7"/>
    <w:rsid w:val="0064044E"/>
    <w:rsid w:val="00640E1E"/>
    <w:rsid w:val="0064389A"/>
    <w:rsid w:val="00644F02"/>
    <w:rsid w:val="00645442"/>
    <w:rsid w:val="00650474"/>
    <w:rsid w:val="006525CD"/>
    <w:rsid w:val="00652C67"/>
    <w:rsid w:val="00653F7F"/>
    <w:rsid w:val="00655229"/>
    <w:rsid w:val="0065682C"/>
    <w:rsid w:val="00662EE8"/>
    <w:rsid w:val="00663813"/>
    <w:rsid w:val="00664AFD"/>
    <w:rsid w:val="00667567"/>
    <w:rsid w:val="0067391A"/>
    <w:rsid w:val="00674173"/>
    <w:rsid w:val="00676551"/>
    <w:rsid w:val="00677D87"/>
    <w:rsid w:val="0068405B"/>
    <w:rsid w:val="00690DB1"/>
    <w:rsid w:val="00691C87"/>
    <w:rsid w:val="00693404"/>
    <w:rsid w:val="006953D9"/>
    <w:rsid w:val="006A03C1"/>
    <w:rsid w:val="006A1269"/>
    <w:rsid w:val="006A49DE"/>
    <w:rsid w:val="006A5803"/>
    <w:rsid w:val="006A69C3"/>
    <w:rsid w:val="006A7C15"/>
    <w:rsid w:val="006B1242"/>
    <w:rsid w:val="006B1DBC"/>
    <w:rsid w:val="006B7C1C"/>
    <w:rsid w:val="006B7D9A"/>
    <w:rsid w:val="006C06D9"/>
    <w:rsid w:val="006C3E22"/>
    <w:rsid w:val="006C45B8"/>
    <w:rsid w:val="006C48CA"/>
    <w:rsid w:val="006C5716"/>
    <w:rsid w:val="006C64B2"/>
    <w:rsid w:val="006C6D92"/>
    <w:rsid w:val="006C74A9"/>
    <w:rsid w:val="006D07DE"/>
    <w:rsid w:val="006D361A"/>
    <w:rsid w:val="006D36C1"/>
    <w:rsid w:val="006E06D9"/>
    <w:rsid w:val="006E0FB8"/>
    <w:rsid w:val="006E1D40"/>
    <w:rsid w:val="006E2E1F"/>
    <w:rsid w:val="006E5059"/>
    <w:rsid w:val="006F0247"/>
    <w:rsid w:val="006F1A03"/>
    <w:rsid w:val="006F5F03"/>
    <w:rsid w:val="006F5FFF"/>
    <w:rsid w:val="0070078B"/>
    <w:rsid w:val="00710804"/>
    <w:rsid w:val="00711FC6"/>
    <w:rsid w:val="007130B1"/>
    <w:rsid w:val="00715071"/>
    <w:rsid w:val="00716532"/>
    <w:rsid w:val="00716F39"/>
    <w:rsid w:val="00720574"/>
    <w:rsid w:val="00720D0D"/>
    <w:rsid w:val="007231E9"/>
    <w:rsid w:val="007243E6"/>
    <w:rsid w:val="00724F0E"/>
    <w:rsid w:val="00725DA2"/>
    <w:rsid w:val="00727C59"/>
    <w:rsid w:val="00733730"/>
    <w:rsid w:val="00734E5D"/>
    <w:rsid w:val="00736013"/>
    <w:rsid w:val="00737BF8"/>
    <w:rsid w:val="0074339B"/>
    <w:rsid w:val="007516F4"/>
    <w:rsid w:val="00752504"/>
    <w:rsid w:val="00753ECD"/>
    <w:rsid w:val="00756245"/>
    <w:rsid w:val="00761662"/>
    <w:rsid w:val="0076222D"/>
    <w:rsid w:val="00763E37"/>
    <w:rsid w:val="00763F83"/>
    <w:rsid w:val="00764043"/>
    <w:rsid w:val="00766152"/>
    <w:rsid w:val="007757CF"/>
    <w:rsid w:val="0078128F"/>
    <w:rsid w:val="007819D9"/>
    <w:rsid w:val="00782F68"/>
    <w:rsid w:val="00785E68"/>
    <w:rsid w:val="007866A5"/>
    <w:rsid w:val="0078683C"/>
    <w:rsid w:val="00787C8F"/>
    <w:rsid w:val="00790EDB"/>
    <w:rsid w:val="00791538"/>
    <w:rsid w:val="0079326E"/>
    <w:rsid w:val="007954E7"/>
    <w:rsid w:val="00796EDE"/>
    <w:rsid w:val="007A085A"/>
    <w:rsid w:val="007A5A58"/>
    <w:rsid w:val="007B1C56"/>
    <w:rsid w:val="007C1DD7"/>
    <w:rsid w:val="007C3CD5"/>
    <w:rsid w:val="007C4CBA"/>
    <w:rsid w:val="007C5E88"/>
    <w:rsid w:val="007C61EF"/>
    <w:rsid w:val="007D1C0D"/>
    <w:rsid w:val="007D2D23"/>
    <w:rsid w:val="007D7AA0"/>
    <w:rsid w:val="007E2241"/>
    <w:rsid w:val="007E2627"/>
    <w:rsid w:val="007E27D6"/>
    <w:rsid w:val="007E3921"/>
    <w:rsid w:val="007F2052"/>
    <w:rsid w:val="007F40D8"/>
    <w:rsid w:val="00801028"/>
    <w:rsid w:val="00802DCE"/>
    <w:rsid w:val="00803793"/>
    <w:rsid w:val="00804000"/>
    <w:rsid w:val="0081017D"/>
    <w:rsid w:val="008153D1"/>
    <w:rsid w:val="00817A01"/>
    <w:rsid w:val="00820E1F"/>
    <w:rsid w:val="00825E35"/>
    <w:rsid w:val="00830A4E"/>
    <w:rsid w:val="008334F8"/>
    <w:rsid w:val="00835FFD"/>
    <w:rsid w:val="00844FAA"/>
    <w:rsid w:val="008504BF"/>
    <w:rsid w:val="008524CE"/>
    <w:rsid w:val="00854ED9"/>
    <w:rsid w:val="00855391"/>
    <w:rsid w:val="0086440C"/>
    <w:rsid w:val="00875269"/>
    <w:rsid w:val="00876294"/>
    <w:rsid w:val="00876659"/>
    <w:rsid w:val="0087734C"/>
    <w:rsid w:val="00881EEF"/>
    <w:rsid w:val="00882141"/>
    <w:rsid w:val="00883A1A"/>
    <w:rsid w:val="008876EC"/>
    <w:rsid w:val="008922A8"/>
    <w:rsid w:val="00894999"/>
    <w:rsid w:val="008953F3"/>
    <w:rsid w:val="00895BD5"/>
    <w:rsid w:val="008A1475"/>
    <w:rsid w:val="008A16C4"/>
    <w:rsid w:val="008A6FED"/>
    <w:rsid w:val="008B39C5"/>
    <w:rsid w:val="008B51AA"/>
    <w:rsid w:val="008C2AA8"/>
    <w:rsid w:val="008C67F2"/>
    <w:rsid w:val="008D064A"/>
    <w:rsid w:val="008D1E91"/>
    <w:rsid w:val="008D264C"/>
    <w:rsid w:val="008D2B0F"/>
    <w:rsid w:val="008D5611"/>
    <w:rsid w:val="008E294B"/>
    <w:rsid w:val="008E449E"/>
    <w:rsid w:val="008E4BDD"/>
    <w:rsid w:val="008E4DA7"/>
    <w:rsid w:val="008E5B79"/>
    <w:rsid w:val="008E770C"/>
    <w:rsid w:val="008E7CD5"/>
    <w:rsid w:val="008F187F"/>
    <w:rsid w:val="008F39F1"/>
    <w:rsid w:val="008F402F"/>
    <w:rsid w:val="008F76E8"/>
    <w:rsid w:val="0090697A"/>
    <w:rsid w:val="009078A1"/>
    <w:rsid w:val="00911E9C"/>
    <w:rsid w:val="00913A93"/>
    <w:rsid w:val="00914AD1"/>
    <w:rsid w:val="00917405"/>
    <w:rsid w:val="00920F7C"/>
    <w:rsid w:val="00924743"/>
    <w:rsid w:val="00924F78"/>
    <w:rsid w:val="00934CAE"/>
    <w:rsid w:val="0094257D"/>
    <w:rsid w:val="009467D2"/>
    <w:rsid w:val="009469A8"/>
    <w:rsid w:val="0095467C"/>
    <w:rsid w:val="00954A61"/>
    <w:rsid w:val="00955C6F"/>
    <w:rsid w:val="00956916"/>
    <w:rsid w:val="00966C7B"/>
    <w:rsid w:val="00967FE8"/>
    <w:rsid w:val="009700F4"/>
    <w:rsid w:val="009701DC"/>
    <w:rsid w:val="00970996"/>
    <w:rsid w:val="009715D8"/>
    <w:rsid w:val="0097552B"/>
    <w:rsid w:val="00976B1D"/>
    <w:rsid w:val="009775B8"/>
    <w:rsid w:val="009811A8"/>
    <w:rsid w:val="0098659E"/>
    <w:rsid w:val="009904C9"/>
    <w:rsid w:val="00992CEC"/>
    <w:rsid w:val="00995BF9"/>
    <w:rsid w:val="009A0CAF"/>
    <w:rsid w:val="009A1328"/>
    <w:rsid w:val="009A2207"/>
    <w:rsid w:val="009B0673"/>
    <w:rsid w:val="009B0EDA"/>
    <w:rsid w:val="009B3545"/>
    <w:rsid w:val="009B6C42"/>
    <w:rsid w:val="009D2690"/>
    <w:rsid w:val="009D2998"/>
    <w:rsid w:val="009D31F7"/>
    <w:rsid w:val="009D32C2"/>
    <w:rsid w:val="009D50DB"/>
    <w:rsid w:val="009E2932"/>
    <w:rsid w:val="009E2B8D"/>
    <w:rsid w:val="009E2E04"/>
    <w:rsid w:val="009E3A0A"/>
    <w:rsid w:val="009E4BCE"/>
    <w:rsid w:val="009E5ECD"/>
    <w:rsid w:val="009F3E91"/>
    <w:rsid w:val="009F7A34"/>
    <w:rsid w:val="00A008DA"/>
    <w:rsid w:val="00A00C7A"/>
    <w:rsid w:val="00A0571E"/>
    <w:rsid w:val="00A101E6"/>
    <w:rsid w:val="00A130DE"/>
    <w:rsid w:val="00A1499B"/>
    <w:rsid w:val="00A16EB2"/>
    <w:rsid w:val="00A17CCF"/>
    <w:rsid w:val="00A20CD3"/>
    <w:rsid w:val="00A30A1B"/>
    <w:rsid w:val="00A314C2"/>
    <w:rsid w:val="00A35C01"/>
    <w:rsid w:val="00A46CD5"/>
    <w:rsid w:val="00A50447"/>
    <w:rsid w:val="00A519A0"/>
    <w:rsid w:val="00A56D48"/>
    <w:rsid w:val="00A60B3D"/>
    <w:rsid w:val="00A62A2E"/>
    <w:rsid w:val="00A63E86"/>
    <w:rsid w:val="00A65139"/>
    <w:rsid w:val="00A655F5"/>
    <w:rsid w:val="00A66A60"/>
    <w:rsid w:val="00A713BD"/>
    <w:rsid w:val="00A71D1A"/>
    <w:rsid w:val="00A757C3"/>
    <w:rsid w:val="00A75E5B"/>
    <w:rsid w:val="00A7684A"/>
    <w:rsid w:val="00A83B69"/>
    <w:rsid w:val="00A86533"/>
    <w:rsid w:val="00A91CA2"/>
    <w:rsid w:val="00A92FB8"/>
    <w:rsid w:val="00A932EE"/>
    <w:rsid w:val="00A948F1"/>
    <w:rsid w:val="00AA18F9"/>
    <w:rsid w:val="00AA1D7D"/>
    <w:rsid w:val="00AA2790"/>
    <w:rsid w:val="00AA3806"/>
    <w:rsid w:val="00AA7F1B"/>
    <w:rsid w:val="00AB066F"/>
    <w:rsid w:val="00AB139D"/>
    <w:rsid w:val="00AB187D"/>
    <w:rsid w:val="00AB2D05"/>
    <w:rsid w:val="00AB3EFB"/>
    <w:rsid w:val="00AC0B05"/>
    <w:rsid w:val="00AC7F9D"/>
    <w:rsid w:val="00AD079A"/>
    <w:rsid w:val="00AD1890"/>
    <w:rsid w:val="00AD4A6B"/>
    <w:rsid w:val="00AE2149"/>
    <w:rsid w:val="00AE33AE"/>
    <w:rsid w:val="00AE3F91"/>
    <w:rsid w:val="00AE4B4A"/>
    <w:rsid w:val="00AF020F"/>
    <w:rsid w:val="00AF1F69"/>
    <w:rsid w:val="00B00288"/>
    <w:rsid w:val="00B0053D"/>
    <w:rsid w:val="00B02AF8"/>
    <w:rsid w:val="00B03916"/>
    <w:rsid w:val="00B039E3"/>
    <w:rsid w:val="00B06D36"/>
    <w:rsid w:val="00B0722E"/>
    <w:rsid w:val="00B07C1F"/>
    <w:rsid w:val="00B12BC4"/>
    <w:rsid w:val="00B22838"/>
    <w:rsid w:val="00B26818"/>
    <w:rsid w:val="00B311CE"/>
    <w:rsid w:val="00B31C60"/>
    <w:rsid w:val="00B3250C"/>
    <w:rsid w:val="00B33E95"/>
    <w:rsid w:val="00B35AE1"/>
    <w:rsid w:val="00B3720B"/>
    <w:rsid w:val="00B4477D"/>
    <w:rsid w:val="00B458F3"/>
    <w:rsid w:val="00B45D0B"/>
    <w:rsid w:val="00B4619F"/>
    <w:rsid w:val="00B54621"/>
    <w:rsid w:val="00B5558A"/>
    <w:rsid w:val="00B56513"/>
    <w:rsid w:val="00B6149B"/>
    <w:rsid w:val="00B63D36"/>
    <w:rsid w:val="00B64376"/>
    <w:rsid w:val="00B6570C"/>
    <w:rsid w:val="00B71D0E"/>
    <w:rsid w:val="00B7401F"/>
    <w:rsid w:val="00B769CF"/>
    <w:rsid w:val="00B77614"/>
    <w:rsid w:val="00B77636"/>
    <w:rsid w:val="00B806C3"/>
    <w:rsid w:val="00B80D6F"/>
    <w:rsid w:val="00B84290"/>
    <w:rsid w:val="00B84FCA"/>
    <w:rsid w:val="00B9089F"/>
    <w:rsid w:val="00B91826"/>
    <w:rsid w:val="00B91AEE"/>
    <w:rsid w:val="00B95F5A"/>
    <w:rsid w:val="00B967C6"/>
    <w:rsid w:val="00B96EAD"/>
    <w:rsid w:val="00BA21CC"/>
    <w:rsid w:val="00BA2EFC"/>
    <w:rsid w:val="00BA79F5"/>
    <w:rsid w:val="00BB10ED"/>
    <w:rsid w:val="00BB1747"/>
    <w:rsid w:val="00BB276E"/>
    <w:rsid w:val="00BB295A"/>
    <w:rsid w:val="00BB3AB6"/>
    <w:rsid w:val="00BB766D"/>
    <w:rsid w:val="00BC003F"/>
    <w:rsid w:val="00BC007B"/>
    <w:rsid w:val="00BC0FFE"/>
    <w:rsid w:val="00BC148D"/>
    <w:rsid w:val="00BC26BA"/>
    <w:rsid w:val="00BC35F8"/>
    <w:rsid w:val="00BC47D9"/>
    <w:rsid w:val="00BC481B"/>
    <w:rsid w:val="00BD1989"/>
    <w:rsid w:val="00BD2771"/>
    <w:rsid w:val="00BD617C"/>
    <w:rsid w:val="00BE1DBC"/>
    <w:rsid w:val="00BF2BD0"/>
    <w:rsid w:val="00BF376F"/>
    <w:rsid w:val="00BF3E44"/>
    <w:rsid w:val="00BF3F05"/>
    <w:rsid w:val="00BF436A"/>
    <w:rsid w:val="00BF46A6"/>
    <w:rsid w:val="00BF48F0"/>
    <w:rsid w:val="00BF53E1"/>
    <w:rsid w:val="00BF56F8"/>
    <w:rsid w:val="00BF5FD3"/>
    <w:rsid w:val="00BF71FB"/>
    <w:rsid w:val="00C02546"/>
    <w:rsid w:val="00C044C1"/>
    <w:rsid w:val="00C04AB6"/>
    <w:rsid w:val="00C06545"/>
    <w:rsid w:val="00C10D50"/>
    <w:rsid w:val="00C12CEE"/>
    <w:rsid w:val="00C134AF"/>
    <w:rsid w:val="00C17625"/>
    <w:rsid w:val="00C220FC"/>
    <w:rsid w:val="00C24B5B"/>
    <w:rsid w:val="00C24DFA"/>
    <w:rsid w:val="00C24F9D"/>
    <w:rsid w:val="00C261F6"/>
    <w:rsid w:val="00C276F6"/>
    <w:rsid w:val="00C30182"/>
    <w:rsid w:val="00C30382"/>
    <w:rsid w:val="00C30C9E"/>
    <w:rsid w:val="00C31FC9"/>
    <w:rsid w:val="00C37A63"/>
    <w:rsid w:val="00C41F60"/>
    <w:rsid w:val="00C46A36"/>
    <w:rsid w:val="00C47037"/>
    <w:rsid w:val="00C53625"/>
    <w:rsid w:val="00C53E9F"/>
    <w:rsid w:val="00C548BA"/>
    <w:rsid w:val="00C54D56"/>
    <w:rsid w:val="00C57784"/>
    <w:rsid w:val="00C602C1"/>
    <w:rsid w:val="00C63608"/>
    <w:rsid w:val="00C63FC0"/>
    <w:rsid w:val="00C66392"/>
    <w:rsid w:val="00C67D87"/>
    <w:rsid w:val="00C72C8D"/>
    <w:rsid w:val="00C73D09"/>
    <w:rsid w:val="00C74C5E"/>
    <w:rsid w:val="00C75ECA"/>
    <w:rsid w:val="00C80D87"/>
    <w:rsid w:val="00C82558"/>
    <w:rsid w:val="00C827A2"/>
    <w:rsid w:val="00C82B69"/>
    <w:rsid w:val="00C82CB3"/>
    <w:rsid w:val="00C86E29"/>
    <w:rsid w:val="00C91B28"/>
    <w:rsid w:val="00C91F3A"/>
    <w:rsid w:val="00C93590"/>
    <w:rsid w:val="00CA314D"/>
    <w:rsid w:val="00CA5446"/>
    <w:rsid w:val="00CB1213"/>
    <w:rsid w:val="00CB12E8"/>
    <w:rsid w:val="00CB218D"/>
    <w:rsid w:val="00CB3C63"/>
    <w:rsid w:val="00CB5625"/>
    <w:rsid w:val="00CB5797"/>
    <w:rsid w:val="00CB7E67"/>
    <w:rsid w:val="00CC03E5"/>
    <w:rsid w:val="00CC1C17"/>
    <w:rsid w:val="00CC4F01"/>
    <w:rsid w:val="00CC4F7F"/>
    <w:rsid w:val="00CC5C15"/>
    <w:rsid w:val="00CD0146"/>
    <w:rsid w:val="00CD0252"/>
    <w:rsid w:val="00CD09E1"/>
    <w:rsid w:val="00CD49AD"/>
    <w:rsid w:val="00CD74CC"/>
    <w:rsid w:val="00CE1780"/>
    <w:rsid w:val="00CE3028"/>
    <w:rsid w:val="00CE353F"/>
    <w:rsid w:val="00CE3C6D"/>
    <w:rsid w:val="00CE4327"/>
    <w:rsid w:val="00CE4913"/>
    <w:rsid w:val="00CE66BD"/>
    <w:rsid w:val="00CF0671"/>
    <w:rsid w:val="00CF247A"/>
    <w:rsid w:val="00CF4190"/>
    <w:rsid w:val="00CF44AD"/>
    <w:rsid w:val="00CF4FC0"/>
    <w:rsid w:val="00D00028"/>
    <w:rsid w:val="00D0107F"/>
    <w:rsid w:val="00D033A5"/>
    <w:rsid w:val="00D1072F"/>
    <w:rsid w:val="00D108A5"/>
    <w:rsid w:val="00D14585"/>
    <w:rsid w:val="00D20249"/>
    <w:rsid w:val="00D20831"/>
    <w:rsid w:val="00D20EFF"/>
    <w:rsid w:val="00D2551E"/>
    <w:rsid w:val="00D25F48"/>
    <w:rsid w:val="00D304CC"/>
    <w:rsid w:val="00D3077A"/>
    <w:rsid w:val="00D31324"/>
    <w:rsid w:val="00D36A58"/>
    <w:rsid w:val="00D47756"/>
    <w:rsid w:val="00D53ED8"/>
    <w:rsid w:val="00D604AC"/>
    <w:rsid w:val="00D608F8"/>
    <w:rsid w:val="00D64857"/>
    <w:rsid w:val="00D6493A"/>
    <w:rsid w:val="00D649A5"/>
    <w:rsid w:val="00D67875"/>
    <w:rsid w:val="00D719B9"/>
    <w:rsid w:val="00D71E86"/>
    <w:rsid w:val="00D731C6"/>
    <w:rsid w:val="00D745C5"/>
    <w:rsid w:val="00D75327"/>
    <w:rsid w:val="00D80C36"/>
    <w:rsid w:val="00D81A32"/>
    <w:rsid w:val="00D86EE1"/>
    <w:rsid w:val="00D87E70"/>
    <w:rsid w:val="00D91C23"/>
    <w:rsid w:val="00D9377F"/>
    <w:rsid w:val="00D95E90"/>
    <w:rsid w:val="00D96126"/>
    <w:rsid w:val="00D96523"/>
    <w:rsid w:val="00D97B36"/>
    <w:rsid w:val="00DA2FD5"/>
    <w:rsid w:val="00DA515B"/>
    <w:rsid w:val="00DB0B64"/>
    <w:rsid w:val="00DB2522"/>
    <w:rsid w:val="00DB42D9"/>
    <w:rsid w:val="00DB4B1C"/>
    <w:rsid w:val="00DB5085"/>
    <w:rsid w:val="00DB5E31"/>
    <w:rsid w:val="00DB619F"/>
    <w:rsid w:val="00DB6E51"/>
    <w:rsid w:val="00DC1062"/>
    <w:rsid w:val="00DC132C"/>
    <w:rsid w:val="00DC1AD2"/>
    <w:rsid w:val="00DC48CC"/>
    <w:rsid w:val="00DD078D"/>
    <w:rsid w:val="00DD3189"/>
    <w:rsid w:val="00DD4191"/>
    <w:rsid w:val="00DD43F0"/>
    <w:rsid w:val="00DD44DE"/>
    <w:rsid w:val="00DD5C4A"/>
    <w:rsid w:val="00DE09AB"/>
    <w:rsid w:val="00DE4A3F"/>
    <w:rsid w:val="00DE5A99"/>
    <w:rsid w:val="00DF24C2"/>
    <w:rsid w:val="00DF4367"/>
    <w:rsid w:val="00DF70AA"/>
    <w:rsid w:val="00DF7291"/>
    <w:rsid w:val="00E043D3"/>
    <w:rsid w:val="00E0574A"/>
    <w:rsid w:val="00E076D8"/>
    <w:rsid w:val="00E10709"/>
    <w:rsid w:val="00E1243D"/>
    <w:rsid w:val="00E12742"/>
    <w:rsid w:val="00E1403B"/>
    <w:rsid w:val="00E146D4"/>
    <w:rsid w:val="00E14B2F"/>
    <w:rsid w:val="00E15966"/>
    <w:rsid w:val="00E1744B"/>
    <w:rsid w:val="00E21D37"/>
    <w:rsid w:val="00E220ED"/>
    <w:rsid w:val="00E22B44"/>
    <w:rsid w:val="00E24551"/>
    <w:rsid w:val="00E25E48"/>
    <w:rsid w:val="00E30ACD"/>
    <w:rsid w:val="00E31806"/>
    <w:rsid w:val="00E319C3"/>
    <w:rsid w:val="00E32735"/>
    <w:rsid w:val="00E416DF"/>
    <w:rsid w:val="00E42251"/>
    <w:rsid w:val="00E44B88"/>
    <w:rsid w:val="00E51CEF"/>
    <w:rsid w:val="00E66E36"/>
    <w:rsid w:val="00E671AE"/>
    <w:rsid w:val="00E702ED"/>
    <w:rsid w:val="00E709A4"/>
    <w:rsid w:val="00E75D63"/>
    <w:rsid w:val="00E772DB"/>
    <w:rsid w:val="00E77C34"/>
    <w:rsid w:val="00E81367"/>
    <w:rsid w:val="00E8338F"/>
    <w:rsid w:val="00E85191"/>
    <w:rsid w:val="00E86012"/>
    <w:rsid w:val="00E86BAB"/>
    <w:rsid w:val="00E9037B"/>
    <w:rsid w:val="00E9432B"/>
    <w:rsid w:val="00E94E10"/>
    <w:rsid w:val="00E96743"/>
    <w:rsid w:val="00E96A42"/>
    <w:rsid w:val="00EA49C5"/>
    <w:rsid w:val="00EA6279"/>
    <w:rsid w:val="00EA68A0"/>
    <w:rsid w:val="00EA7B0A"/>
    <w:rsid w:val="00EB1969"/>
    <w:rsid w:val="00EB5027"/>
    <w:rsid w:val="00EB5EE1"/>
    <w:rsid w:val="00EC1836"/>
    <w:rsid w:val="00EC2442"/>
    <w:rsid w:val="00EC318C"/>
    <w:rsid w:val="00EC3990"/>
    <w:rsid w:val="00EC42AE"/>
    <w:rsid w:val="00EC484B"/>
    <w:rsid w:val="00EC5D8E"/>
    <w:rsid w:val="00EC7E58"/>
    <w:rsid w:val="00ED15FA"/>
    <w:rsid w:val="00ED3881"/>
    <w:rsid w:val="00ED5C9F"/>
    <w:rsid w:val="00ED7302"/>
    <w:rsid w:val="00ED7C12"/>
    <w:rsid w:val="00EE07A3"/>
    <w:rsid w:val="00EE0B52"/>
    <w:rsid w:val="00EE45D7"/>
    <w:rsid w:val="00EE6E9A"/>
    <w:rsid w:val="00EE789D"/>
    <w:rsid w:val="00EF04AC"/>
    <w:rsid w:val="00EF2AC4"/>
    <w:rsid w:val="00EF397E"/>
    <w:rsid w:val="00EF51CE"/>
    <w:rsid w:val="00EF7A17"/>
    <w:rsid w:val="00F05AE9"/>
    <w:rsid w:val="00F06F68"/>
    <w:rsid w:val="00F117BB"/>
    <w:rsid w:val="00F13DBE"/>
    <w:rsid w:val="00F1488C"/>
    <w:rsid w:val="00F15E9D"/>
    <w:rsid w:val="00F200DD"/>
    <w:rsid w:val="00F24C2D"/>
    <w:rsid w:val="00F25584"/>
    <w:rsid w:val="00F27D59"/>
    <w:rsid w:val="00F32A81"/>
    <w:rsid w:val="00F40C82"/>
    <w:rsid w:val="00F4197F"/>
    <w:rsid w:val="00F431D4"/>
    <w:rsid w:val="00F44A0E"/>
    <w:rsid w:val="00F44AF1"/>
    <w:rsid w:val="00F45DFF"/>
    <w:rsid w:val="00F46998"/>
    <w:rsid w:val="00F5382D"/>
    <w:rsid w:val="00F53D9C"/>
    <w:rsid w:val="00F5462B"/>
    <w:rsid w:val="00F57205"/>
    <w:rsid w:val="00F62DD8"/>
    <w:rsid w:val="00F634AD"/>
    <w:rsid w:val="00F63677"/>
    <w:rsid w:val="00F6568C"/>
    <w:rsid w:val="00F71EBA"/>
    <w:rsid w:val="00F75B81"/>
    <w:rsid w:val="00F804C4"/>
    <w:rsid w:val="00F80C7E"/>
    <w:rsid w:val="00F82F83"/>
    <w:rsid w:val="00F84506"/>
    <w:rsid w:val="00F85A85"/>
    <w:rsid w:val="00F873AC"/>
    <w:rsid w:val="00F90C64"/>
    <w:rsid w:val="00F92B30"/>
    <w:rsid w:val="00F933B9"/>
    <w:rsid w:val="00F94674"/>
    <w:rsid w:val="00F94919"/>
    <w:rsid w:val="00F94A59"/>
    <w:rsid w:val="00FA1E07"/>
    <w:rsid w:val="00FA25B6"/>
    <w:rsid w:val="00FA2FAF"/>
    <w:rsid w:val="00FA3757"/>
    <w:rsid w:val="00FA3C61"/>
    <w:rsid w:val="00FA54F6"/>
    <w:rsid w:val="00FA64B1"/>
    <w:rsid w:val="00FA70F3"/>
    <w:rsid w:val="00FA71CD"/>
    <w:rsid w:val="00FA7FDD"/>
    <w:rsid w:val="00FB0453"/>
    <w:rsid w:val="00FB0C07"/>
    <w:rsid w:val="00FB298D"/>
    <w:rsid w:val="00FB35EA"/>
    <w:rsid w:val="00FB4832"/>
    <w:rsid w:val="00FC1439"/>
    <w:rsid w:val="00FC1B7A"/>
    <w:rsid w:val="00FC2DB5"/>
    <w:rsid w:val="00FC33AA"/>
    <w:rsid w:val="00FC3F65"/>
    <w:rsid w:val="00FC4173"/>
    <w:rsid w:val="00FC71DA"/>
    <w:rsid w:val="00FC724B"/>
    <w:rsid w:val="00FC7668"/>
    <w:rsid w:val="00FC7910"/>
    <w:rsid w:val="00FD01E0"/>
    <w:rsid w:val="00FD0FC8"/>
    <w:rsid w:val="00FD2B6F"/>
    <w:rsid w:val="00FD4B78"/>
    <w:rsid w:val="00FD6FF8"/>
    <w:rsid w:val="00FE1627"/>
    <w:rsid w:val="00FE2AA2"/>
    <w:rsid w:val="00FE439C"/>
    <w:rsid w:val="00FE444F"/>
    <w:rsid w:val="00FE54B7"/>
    <w:rsid w:val="00FE5BD0"/>
    <w:rsid w:val="00FE62B8"/>
    <w:rsid w:val="00FE69F4"/>
    <w:rsid w:val="00FE73F0"/>
    <w:rsid w:val="00FE7E42"/>
    <w:rsid w:val="00FF092F"/>
    <w:rsid w:val="00FF0DA7"/>
    <w:rsid w:val="00FF44E0"/>
    <w:rsid w:val="00FF6C72"/>
    <w:rsid w:val="01A94010"/>
    <w:rsid w:val="01DF6F92"/>
    <w:rsid w:val="05BF1420"/>
    <w:rsid w:val="078220FB"/>
    <w:rsid w:val="09C30F57"/>
    <w:rsid w:val="0A3B3C8B"/>
    <w:rsid w:val="0B45552B"/>
    <w:rsid w:val="0BF263F6"/>
    <w:rsid w:val="0CF629FC"/>
    <w:rsid w:val="0D596940"/>
    <w:rsid w:val="0D7E0499"/>
    <w:rsid w:val="0D981BB8"/>
    <w:rsid w:val="0F3932BC"/>
    <w:rsid w:val="105E794E"/>
    <w:rsid w:val="106B05B6"/>
    <w:rsid w:val="119360D6"/>
    <w:rsid w:val="11EB3D39"/>
    <w:rsid w:val="1354798A"/>
    <w:rsid w:val="137B35AF"/>
    <w:rsid w:val="14782AA2"/>
    <w:rsid w:val="149A64B1"/>
    <w:rsid w:val="1505027F"/>
    <w:rsid w:val="15134287"/>
    <w:rsid w:val="157C4DE9"/>
    <w:rsid w:val="16CE15A3"/>
    <w:rsid w:val="177B0705"/>
    <w:rsid w:val="17A4173D"/>
    <w:rsid w:val="19CE5557"/>
    <w:rsid w:val="1A324115"/>
    <w:rsid w:val="1A540717"/>
    <w:rsid w:val="1CAF384D"/>
    <w:rsid w:val="1D814AA5"/>
    <w:rsid w:val="1DB84F1E"/>
    <w:rsid w:val="1DD73BCF"/>
    <w:rsid w:val="1EB6048B"/>
    <w:rsid w:val="1EF65EF6"/>
    <w:rsid w:val="1F234C0C"/>
    <w:rsid w:val="210755B4"/>
    <w:rsid w:val="22FB276D"/>
    <w:rsid w:val="23C547B3"/>
    <w:rsid w:val="2446477A"/>
    <w:rsid w:val="249D2C56"/>
    <w:rsid w:val="25566745"/>
    <w:rsid w:val="261F6D61"/>
    <w:rsid w:val="28386F2E"/>
    <w:rsid w:val="28AA1076"/>
    <w:rsid w:val="28EA52FA"/>
    <w:rsid w:val="29107F53"/>
    <w:rsid w:val="2AF730C2"/>
    <w:rsid w:val="2BA57BBC"/>
    <w:rsid w:val="2BEE4B94"/>
    <w:rsid w:val="2CE37EB5"/>
    <w:rsid w:val="2D113502"/>
    <w:rsid w:val="2DE86E74"/>
    <w:rsid w:val="2F2470D2"/>
    <w:rsid w:val="2F5B716B"/>
    <w:rsid w:val="307A0C5E"/>
    <w:rsid w:val="31A751BC"/>
    <w:rsid w:val="3252638A"/>
    <w:rsid w:val="33057DFC"/>
    <w:rsid w:val="337203AE"/>
    <w:rsid w:val="343B3DBB"/>
    <w:rsid w:val="36000CFE"/>
    <w:rsid w:val="36C2526A"/>
    <w:rsid w:val="376641A4"/>
    <w:rsid w:val="3811168E"/>
    <w:rsid w:val="38D41769"/>
    <w:rsid w:val="39942707"/>
    <w:rsid w:val="39A42568"/>
    <w:rsid w:val="3A022862"/>
    <w:rsid w:val="3B356BB3"/>
    <w:rsid w:val="3B3A3330"/>
    <w:rsid w:val="3B537311"/>
    <w:rsid w:val="3BBF0A71"/>
    <w:rsid w:val="3C6F3B1B"/>
    <w:rsid w:val="3D1E454A"/>
    <w:rsid w:val="3D9336D2"/>
    <w:rsid w:val="3F2324C1"/>
    <w:rsid w:val="3F4B0012"/>
    <w:rsid w:val="41221750"/>
    <w:rsid w:val="42124D27"/>
    <w:rsid w:val="422549D8"/>
    <w:rsid w:val="43885228"/>
    <w:rsid w:val="44AA183B"/>
    <w:rsid w:val="44C10336"/>
    <w:rsid w:val="44DD67C7"/>
    <w:rsid w:val="451330E0"/>
    <w:rsid w:val="45690CD5"/>
    <w:rsid w:val="45952195"/>
    <w:rsid w:val="488302E7"/>
    <w:rsid w:val="4BD97CE6"/>
    <w:rsid w:val="4BDD4185"/>
    <w:rsid w:val="4C6729B1"/>
    <w:rsid w:val="4D2D3004"/>
    <w:rsid w:val="4D424C15"/>
    <w:rsid w:val="4D822F7E"/>
    <w:rsid w:val="4DBF2D2F"/>
    <w:rsid w:val="4F0831A5"/>
    <w:rsid w:val="4F771487"/>
    <w:rsid w:val="517B52CE"/>
    <w:rsid w:val="522E0650"/>
    <w:rsid w:val="56866803"/>
    <w:rsid w:val="56F1196D"/>
    <w:rsid w:val="58ED48D0"/>
    <w:rsid w:val="59282FEE"/>
    <w:rsid w:val="5AFE591D"/>
    <w:rsid w:val="5CFE3670"/>
    <w:rsid w:val="5D7B027C"/>
    <w:rsid w:val="5E131117"/>
    <w:rsid w:val="5E4E4E2C"/>
    <w:rsid w:val="5FE91B00"/>
    <w:rsid w:val="60956786"/>
    <w:rsid w:val="617A39AA"/>
    <w:rsid w:val="61876A50"/>
    <w:rsid w:val="626C73FC"/>
    <w:rsid w:val="62EA5F8F"/>
    <w:rsid w:val="633352E7"/>
    <w:rsid w:val="63576604"/>
    <w:rsid w:val="642B3B2B"/>
    <w:rsid w:val="67C13896"/>
    <w:rsid w:val="68682E9A"/>
    <w:rsid w:val="69B52012"/>
    <w:rsid w:val="6A942F72"/>
    <w:rsid w:val="6C43379D"/>
    <w:rsid w:val="6E292BB9"/>
    <w:rsid w:val="6E4F3D89"/>
    <w:rsid w:val="70142E12"/>
    <w:rsid w:val="705C5240"/>
    <w:rsid w:val="72633030"/>
    <w:rsid w:val="72E12639"/>
    <w:rsid w:val="731A4031"/>
    <w:rsid w:val="74162BD4"/>
    <w:rsid w:val="749156AA"/>
    <w:rsid w:val="755F0D14"/>
    <w:rsid w:val="757177C2"/>
    <w:rsid w:val="76940F17"/>
    <w:rsid w:val="77577866"/>
    <w:rsid w:val="78E41947"/>
    <w:rsid w:val="79312F71"/>
    <w:rsid w:val="794A3C60"/>
    <w:rsid w:val="797E3D39"/>
    <w:rsid w:val="79D9001D"/>
    <w:rsid w:val="7A4A3CF9"/>
    <w:rsid w:val="7BAB6A04"/>
    <w:rsid w:val="7D776DF5"/>
    <w:rsid w:val="7EC65C92"/>
    <w:rsid w:val="7F5D4FEE"/>
    <w:rsid w:val="7FBB79E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qFormat="1" w:unhideWhenUsed="0" w:uiPriority="39" w:semiHidden="0" w:name="toc 7"/>
    <w:lsdException w:uiPriority="39" w:name="toc 8"/>
    <w:lsdException w:uiPriority="39" w:name="toc 9"/>
    <w:lsdException w:qFormat="1" w:unhideWhenUsed="0" w:uiPriority="0" w:semiHidden="0" w:name="Normal Indent"/>
    <w:lsdException w:uiPriority="99" w:name="footnote text"/>
    <w:lsdException w:qFormat="1" w:unhideWhenUsed="0" w:uiPriority="0" w:semiHidden="0"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qFormat="1" w:unhideWhenUsed="0" w:uiPriority="0" w:semiHidden="0"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qFormat="1" w:unhideWhenUsed="0" w:uiPriority="99" w:semiHidden="0"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0" w:semiHidden="0" w:name="Strong"/>
    <w:lsdException w:qFormat="1" w:unhideWhenUsed="0" w:uiPriority="20" w:semiHidden="0" w:name="Emphasis"/>
    <w:lsdException w:uiPriority="99" w:name="Document Map"/>
    <w:lsdException w:qFormat="1" w:unhideWhenUsed="0" w:uiPriority="99" w:semiHidden="0" w:name="Plain Text"/>
    <w:lsdException w:uiPriority="99" w:name="E-mail Signature"/>
    <w:lsdException w:qFormat="1" w:unhideWhenUsed="0" w:uiPriority="0" w:semiHidden="0" w:name="Normal (Web)"/>
    <w:lsdException w:qFormat="1" w:uiPriority="99" w:name="HTML Acronym"/>
    <w:lsdException w:uiPriority="99" w:name="HTML Address"/>
    <w:lsdException w:qFormat="1" w:uiPriority="99" w:name="HTML Cite"/>
    <w:lsdException w:qFormat="1" w:uiPriority="99" w:name="HTML Code"/>
    <w:lsdException w:qFormat="1" w:uiPriority="99" w:name="HTML Definition"/>
    <w:lsdException w:qFormat="1" w:uiPriority="99" w:name="HTML Keyboard"/>
    <w:lsdException w:uiPriority="99" w:name="HTML Preformatted"/>
    <w:lsdException w:qFormat="1" w:uiPriority="99" w:name="HTML Sample"/>
    <w:lsdException w:qFormat="1" w:uiPriority="99" w:name="HTML Typewriter"/>
    <w:lsdException w:qFormat="1"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仿宋_GB2312" w:hAnsi="@仿宋_GB2312" w:eastAsia="@仿宋_GB2312" w:cs="@仿宋_GB2312"/>
      <w:kern w:val="2"/>
      <w:sz w:val="21"/>
      <w:lang w:val="en-US" w:eastAsia="zh-CN" w:bidi="ar-SA"/>
    </w:rPr>
  </w:style>
  <w:style w:type="paragraph" w:styleId="5">
    <w:name w:val="heading 1"/>
    <w:basedOn w:val="1"/>
    <w:next w:val="1"/>
    <w:link w:val="62"/>
    <w:autoRedefine/>
    <w:qFormat/>
    <w:uiPriority w:val="9"/>
    <w:pPr>
      <w:keepNext/>
      <w:keepLines/>
      <w:spacing w:before="340" w:after="330" w:line="578" w:lineRule="auto"/>
      <w:outlineLvl w:val="0"/>
    </w:pPr>
    <w:rPr>
      <w:b/>
      <w:bCs/>
      <w:kern w:val="44"/>
      <w:sz w:val="44"/>
      <w:szCs w:val="44"/>
    </w:rPr>
  </w:style>
  <w:style w:type="paragraph" w:styleId="6">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7">
    <w:name w:val="heading 3"/>
    <w:basedOn w:val="1"/>
    <w:next w:val="1"/>
    <w:link w:val="64"/>
    <w:autoRedefine/>
    <w:semiHidden/>
    <w:unhideWhenUsed/>
    <w:qFormat/>
    <w:uiPriority w:val="9"/>
    <w:pPr>
      <w:keepNext/>
      <w:keepLines/>
      <w:spacing w:before="260" w:after="260" w:line="416" w:lineRule="auto"/>
      <w:outlineLvl w:val="2"/>
    </w:pPr>
    <w:rPr>
      <w:b/>
      <w:bCs/>
      <w:sz w:val="32"/>
      <w:szCs w:val="32"/>
    </w:rPr>
  </w:style>
  <w:style w:type="paragraph" w:styleId="8">
    <w:name w:val="heading 4"/>
    <w:basedOn w:val="1"/>
    <w:next w:val="1"/>
    <w:link w:val="69"/>
    <w:autoRedefine/>
    <w:qFormat/>
    <w:uiPriority w:val="0"/>
    <w:pPr>
      <w:keepNext/>
      <w:keepLines/>
      <w:spacing w:before="280" w:after="290" w:line="376" w:lineRule="auto"/>
      <w:outlineLvl w:val="3"/>
    </w:pPr>
    <w:rPr>
      <w:b/>
      <w:bCs/>
      <w:sz w:val="28"/>
      <w:szCs w:val="28"/>
    </w:rPr>
  </w:style>
  <w:style w:type="character" w:default="1" w:styleId="31">
    <w:name w:val="Default Paragraph Font"/>
    <w:autoRedefine/>
    <w:semiHidden/>
    <w:unhideWhenUsed/>
    <w:qFormat/>
    <w:uiPriority w:val="1"/>
  </w:style>
  <w:style w:type="table" w:default="1" w:styleId="29">
    <w:name w:val="Normal Table"/>
    <w:autoRedefine/>
    <w:semiHidden/>
    <w:unhideWhenUsed/>
    <w:qFormat/>
    <w:uiPriority w:val="99"/>
    <w:tblPr>
      <w:tblCellMar>
        <w:top w:w="0" w:type="dxa"/>
        <w:left w:w="108" w:type="dxa"/>
        <w:bottom w:w="0" w:type="dxa"/>
        <w:right w:w="108" w:type="dxa"/>
      </w:tblCellMar>
    </w:tblPr>
  </w:style>
  <w:style w:type="paragraph" w:styleId="2">
    <w:name w:val="Body Text First Indent"/>
    <w:basedOn w:val="3"/>
    <w:autoRedefine/>
    <w:semiHidden/>
    <w:unhideWhenUsed/>
    <w:qFormat/>
    <w:uiPriority w:val="99"/>
    <w:pPr>
      <w:ind w:firstLine="420" w:firstLineChars="100"/>
    </w:pPr>
  </w:style>
  <w:style w:type="paragraph" w:styleId="3">
    <w:name w:val="Body Text"/>
    <w:basedOn w:val="1"/>
    <w:next w:val="4"/>
    <w:link w:val="70"/>
    <w:autoRedefine/>
    <w:qFormat/>
    <w:uiPriority w:val="0"/>
    <w:pPr>
      <w:spacing w:after="120"/>
    </w:pPr>
    <w:rPr>
      <w:rFonts w:ascii="@微软简标宋" w:hAnsi="@微软简标宋" w:eastAsia="@微软简标宋" w:cs="@微软简标宋"/>
      <w:szCs w:val="24"/>
      <w:lang w:val="zh-CN"/>
    </w:rPr>
  </w:style>
  <w:style w:type="paragraph" w:customStyle="1" w:styleId="4">
    <w:name w:val="_Style 2"/>
    <w:basedOn w:val="1"/>
    <w:next w:val="1"/>
    <w:qFormat/>
    <w:uiPriority w:val="0"/>
    <w:pPr>
      <w:ind w:firstLine="420" w:firstLineChars="200"/>
    </w:pPr>
  </w:style>
  <w:style w:type="paragraph" w:styleId="9">
    <w:name w:val="toc 7"/>
    <w:basedOn w:val="1"/>
    <w:next w:val="1"/>
    <w:qFormat/>
    <w:uiPriority w:val="39"/>
    <w:pPr>
      <w:ind w:left="1260"/>
      <w:jc w:val="left"/>
    </w:pPr>
    <w:rPr>
      <w:sz w:val="18"/>
      <w:szCs w:val="18"/>
    </w:rPr>
  </w:style>
  <w:style w:type="paragraph" w:styleId="10">
    <w:name w:val="Normal Indent"/>
    <w:basedOn w:val="1"/>
    <w:autoRedefine/>
    <w:qFormat/>
    <w:uiPriority w:val="0"/>
    <w:pPr>
      <w:autoSpaceDE w:val="0"/>
      <w:autoSpaceDN w:val="0"/>
      <w:adjustRightInd w:val="0"/>
      <w:ind w:firstLine="420"/>
      <w:jc w:val="left"/>
    </w:pPr>
    <w:rPr>
      <w:rFonts w:ascii="宋体" w:hAnsi="Times New Roman" w:eastAsia="宋体" w:cs="Times New Roman"/>
      <w:kern w:val="0"/>
      <w:sz w:val="24"/>
    </w:rPr>
  </w:style>
  <w:style w:type="paragraph" w:styleId="11">
    <w:name w:val="toa heading"/>
    <w:basedOn w:val="1"/>
    <w:next w:val="1"/>
    <w:qFormat/>
    <w:uiPriority w:val="99"/>
    <w:pPr>
      <w:spacing w:before="120"/>
    </w:pPr>
    <w:rPr>
      <w:rFonts w:ascii="Arial" w:hAnsi="Arial"/>
      <w:sz w:val="24"/>
      <w:szCs w:val="20"/>
    </w:rPr>
  </w:style>
  <w:style w:type="paragraph" w:styleId="12">
    <w:name w:val="annotation text"/>
    <w:basedOn w:val="1"/>
    <w:link w:val="61"/>
    <w:autoRedefine/>
    <w:qFormat/>
    <w:uiPriority w:val="0"/>
    <w:pPr>
      <w:jc w:val="left"/>
    </w:pPr>
    <w:rPr>
      <w:rFonts w:ascii="Arial" w:hAnsi="Arial" w:eastAsia="黑体" w:cs="Arial"/>
    </w:rPr>
  </w:style>
  <w:style w:type="paragraph" w:styleId="13">
    <w:name w:val="Body Text Indent"/>
    <w:basedOn w:val="1"/>
    <w:next w:val="14"/>
    <w:qFormat/>
    <w:uiPriority w:val="0"/>
    <w:pPr>
      <w:spacing w:after="120"/>
      <w:ind w:left="420" w:leftChars="200"/>
    </w:pPr>
  </w:style>
  <w:style w:type="paragraph" w:styleId="14">
    <w:name w:val="envelope return"/>
    <w:basedOn w:val="1"/>
    <w:qFormat/>
    <w:uiPriority w:val="0"/>
    <w:pPr>
      <w:snapToGrid w:val="0"/>
    </w:pPr>
    <w:rPr>
      <w:rFonts w:ascii="Arial" w:hAnsi="Arial"/>
    </w:rPr>
  </w:style>
  <w:style w:type="paragraph" w:styleId="15">
    <w:name w:val="toc 3"/>
    <w:basedOn w:val="1"/>
    <w:next w:val="1"/>
    <w:autoRedefine/>
    <w:unhideWhenUsed/>
    <w:qFormat/>
    <w:uiPriority w:val="39"/>
    <w:pPr>
      <w:widowControl/>
      <w:spacing w:after="100" w:line="276" w:lineRule="auto"/>
      <w:ind w:left="440"/>
      <w:jc w:val="left"/>
    </w:pPr>
    <w:rPr>
      <w:rFonts w:asciiTheme="minorHAnsi" w:hAnsiTheme="minorHAnsi" w:eastAsiaTheme="minorEastAsia" w:cstheme="minorBidi"/>
      <w:kern w:val="0"/>
      <w:sz w:val="22"/>
      <w:szCs w:val="22"/>
    </w:rPr>
  </w:style>
  <w:style w:type="paragraph" w:styleId="16">
    <w:name w:val="Plain Text"/>
    <w:basedOn w:val="1"/>
    <w:next w:val="1"/>
    <w:link w:val="50"/>
    <w:autoRedefine/>
    <w:qFormat/>
    <w:uiPriority w:val="99"/>
    <w:rPr>
      <w:rFonts w:ascii="宋体" w:hAnsi="Courier New" w:eastAsiaTheme="minorEastAsia" w:cstheme="minorBidi"/>
      <w:szCs w:val="22"/>
    </w:rPr>
  </w:style>
  <w:style w:type="paragraph" w:styleId="17">
    <w:name w:val="Date"/>
    <w:basedOn w:val="1"/>
    <w:next w:val="1"/>
    <w:link w:val="57"/>
    <w:autoRedefine/>
    <w:qFormat/>
    <w:uiPriority w:val="0"/>
    <w:rPr>
      <w:rFonts w:ascii="Arial" w:hAnsi="Arial" w:eastAsia="宋体" w:cs="Arial"/>
      <w:b/>
      <w:sz w:val="28"/>
    </w:rPr>
  </w:style>
  <w:style w:type="paragraph" w:styleId="18">
    <w:name w:val="Body Text Indent 2"/>
    <w:basedOn w:val="1"/>
    <w:next w:val="1"/>
    <w:qFormat/>
    <w:uiPriority w:val="0"/>
    <w:pPr>
      <w:spacing w:line="360" w:lineRule="exact"/>
      <w:ind w:firstLine="600" w:firstLineChars="250"/>
      <w:jc w:val="left"/>
    </w:pPr>
    <w:rPr>
      <w:rFonts w:ascii="Times New Roman" w:hAnsi="Times New Roman" w:eastAsia="宋体" w:cs="Times New Roman"/>
      <w:sz w:val="24"/>
    </w:rPr>
  </w:style>
  <w:style w:type="paragraph" w:styleId="19">
    <w:name w:val="Balloon Text"/>
    <w:basedOn w:val="1"/>
    <w:link w:val="44"/>
    <w:autoRedefine/>
    <w:semiHidden/>
    <w:unhideWhenUsed/>
    <w:qFormat/>
    <w:uiPriority w:val="99"/>
    <w:rPr>
      <w:sz w:val="18"/>
      <w:szCs w:val="18"/>
    </w:rPr>
  </w:style>
  <w:style w:type="paragraph" w:styleId="20">
    <w:name w:val="footer"/>
    <w:basedOn w:val="1"/>
    <w:link w:val="49"/>
    <w:autoRedefine/>
    <w:unhideWhenUsed/>
    <w:qFormat/>
    <w:uiPriority w:val="99"/>
    <w:pPr>
      <w:tabs>
        <w:tab w:val="center" w:pos="4153"/>
        <w:tab w:val="right" w:pos="8306"/>
      </w:tabs>
      <w:snapToGrid w:val="0"/>
      <w:jc w:val="left"/>
    </w:pPr>
    <w:rPr>
      <w:sz w:val="18"/>
      <w:szCs w:val="18"/>
    </w:rPr>
  </w:style>
  <w:style w:type="paragraph" w:styleId="21">
    <w:name w:val="header"/>
    <w:basedOn w:val="1"/>
    <w:link w:val="48"/>
    <w:autoRedefine/>
    <w:unhideWhenUsed/>
    <w:qFormat/>
    <w:uiPriority w:val="0"/>
    <w:pPr>
      <w:pBdr>
        <w:bottom w:val="single" w:color="auto" w:sz="6" w:space="1"/>
      </w:pBdr>
      <w:tabs>
        <w:tab w:val="center" w:pos="4153"/>
        <w:tab w:val="right" w:pos="8306"/>
      </w:tabs>
      <w:snapToGrid w:val="0"/>
      <w:jc w:val="center"/>
    </w:pPr>
    <w:rPr>
      <w:sz w:val="18"/>
      <w:szCs w:val="18"/>
    </w:rPr>
  </w:style>
  <w:style w:type="paragraph" w:styleId="22">
    <w:name w:val="toc 1"/>
    <w:basedOn w:val="1"/>
    <w:next w:val="1"/>
    <w:autoRedefine/>
    <w:unhideWhenUsed/>
    <w:qFormat/>
    <w:uiPriority w:val="39"/>
    <w:pPr>
      <w:widowControl/>
      <w:spacing w:after="100" w:line="276" w:lineRule="auto"/>
      <w:jc w:val="left"/>
    </w:pPr>
    <w:rPr>
      <w:rFonts w:asciiTheme="minorHAnsi" w:hAnsiTheme="minorHAnsi" w:eastAsiaTheme="minorEastAsia" w:cstheme="minorBidi"/>
      <w:kern w:val="0"/>
      <w:sz w:val="22"/>
      <w:szCs w:val="22"/>
    </w:rPr>
  </w:style>
  <w:style w:type="paragraph" w:styleId="23">
    <w:name w:val="toc 2"/>
    <w:basedOn w:val="1"/>
    <w:next w:val="1"/>
    <w:autoRedefine/>
    <w:unhideWhenUsed/>
    <w:qFormat/>
    <w:uiPriority w:val="39"/>
    <w:pPr>
      <w:widowControl/>
      <w:spacing w:after="100" w:line="276" w:lineRule="auto"/>
      <w:ind w:left="220"/>
      <w:jc w:val="left"/>
    </w:pPr>
    <w:rPr>
      <w:rFonts w:asciiTheme="minorHAnsi" w:hAnsiTheme="minorHAnsi" w:eastAsiaTheme="minorEastAsia" w:cstheme="minorBidi"/>
      <w:kern w:val="0"/>
      <w:sz w:val="22"/>
      <w:szCs w:val="22"/>
    </w:rPr>
  </w:style>
  <w:style w:type="paragraph" w:styleId="24">
    <w:name w:val="Normal (Web)"/>
    <w:basedOn w:val="1"/>
    <w:next w:val="25"/>
    <w:autoRedefine/>
    <w:qFormat/>
    <w:uiPriority w:val="0"/>
    <w:pPr>
      <w:spacing w:before="100" w:beforeAutospacing="1" w:after="100" w:afterAutospacing="1"/>
      <w:jc w:val="left"/>
    </w:pPr>
    <w:rPr>
      <w:rFonts w:cs="Times New Roman"/>
      <w:kern w:val="0"/>
      <w:sz w:val="24"/>
    </w:rPr>
  </w:style>
  <w:style w:type="paragraph" w:customStyle="1" w:styleId="25">
    <w:name w:val="正文文字 8"/>
    <w:basedOn w:val="1"/>
    <w:next w:val="1"/>
    <w:autoRedefine/>
    <w:qFormat/>
    <w:uiPriority w:val="0"/>
    <w:pPr>
      <w:ind w:left="240"/>
    </w:pPr>
    <w:rPr>
      <w:sz w:val="16"/>
    </w:rPr>
  </w:style>
  <w:style w:type="paragraph" w:styleId="26">
    <w:name w:val="index 1"/>
    <w:basedOn w:val="1"/>
    <w:next w:val="1"/>
    <w:autoRedefine/>
    <w:qFormat/>
    <w:uiPriority w:val="0"/>
    <w:pPr>
      <w:jc w:val="center"/>
    </w:pPr>
    <w:rPr>
      <w:rFonts w:ascii="Arial" w:hAnsi="Arial" w:eastAsia="Arial" w:cs="Arial"/>
      <w:b/>
      <w:bCs/>
      <w:sz w:val="28"/>
    </w:rPr>
  </w:style>
  <w:style w:type="paragraph" w:styleId="27">
    <w:name w:val="Title"/>
    <w:basedOn w:val="1"/>
    <w:next w:val="1"/>
    <w:qFormat/>
    <w:uiPriority w:val="0"/>
    <w:pPr>
      <w:numPr>
        <w:ilvl w:val="0"/>
        <w:numId w:val="1"/>
      </w:numPr>
      <w:spacing w:line="360" w:lineRule="auto"/>
      <w:jc w:val="left"/>
      <w:outlineLvl w:val="0"/>
    </w:pPr>
    <w:rPr>
      <w:rFonts w:ascii="Cambria" w:hAnsi="Cambria" w:cs="Times New Roman"/>
      <w:b/>
      <w:bCs/>
      <w:sz w:val="28"/>
      <w:szCs w:val="32"/>
    </w:rPr>
  </w:style>
  <w:style w:type="paragraph" w:styleId="28">
    <w:name w:val="Body Text First Indent 2"/>
    <w:basedOn w:val="13"/>
    <w:next w:val="1"/>
    <w:qFormat/>
    <w:uiPriority w:val="0"/>
    <w:pPr>
      <w:ind w:firstLine="420" w:firstLineChars="200"/>
    </w:pPr>
    <w:rPr>
      <w:rFonts w:ascii="Times New Roman" w:hAnsi="Times New Roman" w:cs="Times New Roman"/>
      <w:szCs w:val="21"/>
    </w:rPr>
  </w:style>
  <w:style w:type="table" w:styleId="30">
    <w:name w:val="Table Grid"/>
    <w:basedOn w:val="29"/>
    <w:autoRedefine/>
    <w:unhideWhenUsed/>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32">
    <w:name w:val="Strong"/>
    <w:autoRedefine/>
    <w:qFormat/>
    <w:uiPriority w:val="0"/>
    <w:rPr>
      <w:b/>
      <w:bCs/>
    </w:rPr>
  </w:style>
  <w:style w:type="character" w:styleId="33">
    <w:name w:val="FollowedHyperlink"/>
    <w:basedOn w:val="31"/>
    <w:semiHidden/>
    <w:unhideWhenUsed/>
    <w:qFormat/>
    <w:uiPriority w:val="99"/>
    <w:rPr>
      <w:color w:val="5C5C5C"/>
      <w:u w:val="none"/>
    </w:rPr>
  </w:style>
  <w:style w:type="character" w:styleId="34">
    <w:name w:val="Emphasis"/>
    <w:basedOn w:val="31"/>
    <w:qFormat/>
    <w:uiPriority w:val="20"/>
    <w:rPr>
      <w:b/>
      <w:bCs/>
    </w:rPr>
  </w:style>
  <w:style w:type="character" w:styleId="35">
    <w:name w:val="HTML Definition"/>
    <w:basedOn w:val="31"/>
    <w:semiHidden/>
    <w:unhideWhenUsed/>
    <w:qFormat/>
    <w:uiPriority w:val="99"/>
  </w:style>
  <w:style w:type="character" w:styleId="36">
    <w:name w:val="HTML Typewriter"/>
    <w:basedOn w:val="31"/>
    <w:semiHidden/>
    <w:unhideWhenUsed/>
    <w:qFormat/>
    <w:uiPriority w:val="99"/>
    <w:rPr>
      <w:rFonts w:hint="default" w:ascii="monospace" w:hAnsi="monospace" w:eastAsia="monospace" w:cs="monospace"/>
      <w:sz w:val="20"/>
    </w:rPr>
  </w:style>
  <w:style w:type="character" w:styleId="37">
    <w:name w:val="HTML Acronym"/>
    <w:basedOn w:val="31"/>
    <w:semiHidden/>
    <w:unhideWhenUsed/>
    <w:qFormat/>
    <w:uiPriority w:val="99"/>
    <w:rPr>
      <w:color w:val="D6D6D6"/>
    </w:rPr>
  </w:style>
  <w:style w:type="character" w:styleId="38">
    <w:name w:val="HTML Variable"/>
    <w:basedOn w:val="31"/>
    <w:semiHidden/>
    <w:unhideWhenUsed/>
    <w:qFormat/>
    <w:uiPriority w:val="99"/>
  </w:style>
  <w:style w:type="character" w:styleId="39">
    <w:name w:val="Hyperlink"/>
    <w:basedOn w:val="31"/>
    <w:autoRedefine/>
    <w:unhideWhenUsed/>
    <w:qFormat/>
    <w:uiPriority w:val="99"/>
    <w:rPr>
      <w:color w:val="0000FF" w:themeColor="hyperlink"/>
      <w:u w:val="single"/>
      <w14:textFill>
        <w14:solidFill>
          <w14:schemeClr w14:val="hlink"/>
        </w14:solidFill>
      </w14:textFill>
    </w:rPr>
  </w:style>
  <w:style w:type="character" w:styleId="40">
    <w:name w:val="HTML Code"/>
    <w:basedOn w:val="31"/>
    <w:semiHidden/>
    <w:unhideWhenUsed/>
    <w:qFormat/>
    <w:uiPriority w:val="99"/>
    <w:rPr>
      <w:rFonts w:hint="default" w:ascii="monospace" w:hAnsi="monospace" w:eastAsia="monospace" w:cs="monospace"/>
      <w:sz w:val="20"/>
    </w:rPr>
  </w:style>
  <w:style w:type="character" w:styleId="41">
    <w:name w:val="HTML Cite"/>
    <w:basedOn w:val="31"/>
    <w:semiHidden/>
    <w:unhideWhenUsed/>
    <w:qFormat/>
    <w:uiPriority w:val="99"/>
  </w:style>
  <w:style w:type="character" w:styleId="42">
    <w:name w:val="HTML Keyboard"/>
    <w:basedOn w:val="31"/>
    <w:semiHidden/>
    <w:unhideWhenUsed/>
    <w:qFormat/>
    <w:uiPriority w:val="99"/>
    <w:rPr>
      <w:rFonts w:hint="default" w:ascii="monospace" w:hAnsi="monospace" w:eastAsia="monospace" w:cs="monospace"/>
      <w:sz w:val="20"/>
    </w:rPr>
  </w:style>
  <w:style w:type="character" w:styleId="43">
    <w:name w:val="HTML Sample"/>
    <w:basedOn w:val="31"/>
    <w:semiHidden/>
    <w:unhideWhenUsed/>
    <w:qFormat/>
    <w:uiPriority w:val="99"/>
    <w:rPr>
      <w:rFonts w:ascii="monospace" w:hAnsi="monospace" w:eastAsia="monospace" w:cs="monospace"/>
    </w:rPr>
  </w:style>
  <w:style w:type="character" w:customStyle="1" w:styleId="44">
    <w:name w:val="批注框文本 Char"/>
    <w:basedOn w:val="31"/>
    <w:link w:val="19"/>
    <w:autoRedefine/>
    <w:semiHidden/>
    <w:qFormat/>
    <w:uiPriority w:val="99"/>
    <w:rPr>
      <w:rFonts w:ascii="@仿宋_GB2312" w:hAnsi="@仿宋_GB2312" w:eastAsia="@仿宋_GB2312" w:cs="@仿宋_GB2312"/>
      <w:sz w:val="18"/>
      <w:szCs w:val="18"/>
    </w:rPr>
  </w:style>
  <w:style w:type="paragraph" w:customStyle="1" w:styleId="45">
    <w:name w:val="正文（缩进）"/>
    <w:basedOn w:val="1"/>
    <w:autoRedefine/>
    <w:qFormat/>
    <w:uiPriority w:val="0"/>
    <w:pPr>
      <w:widowControl/>
      <w:spacing w:before="156" w:after="156"/>
      <w:ind w:firstLine="480" w:firstLineChars="200"/>
      <w:jc w:val="left"/>
    </w:pPr>
    <w:rPr>
      <w:kern w:val="0"/>
      <w:sz w:val="24"/>
      <w:szCs w:val="24"/>
    </w:rPr>
  </w:style>
  <w:style w:type="paragraph" w:customStyle="1" w:styleId="46">
    <w:name w:val="xl31"/>
    <w:basedOn w:val="1"/>
    <w:autoRedefine/>
    <w:qFormat/>
    <w:uiPriority w:val="0"/>
    <w:pPr>
      <w:widowControl/>
      <w:spacing w:before="100" w:beforeAutospacing="1" w:after="100" w:afterAutospacing="1"/>
      <w:jc w:val="center"/>
    </w:pPr>
    <w:rPr>
      <w:b/>
      <w:bCs/>
      <w:kern w:val="0"/>
      <w:sz w:val="28"/>
      <w:szCs w:val="28"/>
    </w:rPr>
  </w:style>
  <w:style w:type="paragraph" w:customStyle="1" w:styleId="47">
    <w:name w:val="D&amp;L"/>
    <w:basedOn w:val="21"/>
    <w:autoRedefine/>
    <w:qFormat/>
    <w:uiPriority w:val="0"/>
    <w:pPr>
      <w:pBdr>
        <w:bottom w:val="thinThickSmallGap" w:color="auto" w:sz="18" w:space="1"/>
      </w:pBdr>
      <w:adjustRightInd w:val="0"/>
      <w:snapToGrid/>
      <w:spacing w:line="240" w:lineRule="atLeast"/>
      <w:textAlignment w:val="baseline"/>
    </w:pPr>
    <w:rPr>
      <w:kern w:val="0"/>
      <w:sz w:val="24"/>
      <w:szCs w:val="20"/>
    </w:rPr>
  </w:style>
  <w:style w:type="character" w:customStyle="1" w:styleId="48">
    <w:name w:val="页眉 Char"/>
    <w:basedOn w:val="31"/>
    <w:link w:val="21"/>
    <w:autoRedefine/>
    <w:qFormat/>
    <w:uiPriority w:val="0"/>
    <w:rPr>
      <w:rFonts w:ascii="@仿宋_GB2312" w:hAnsi="@仿宋_GB2312" w:eastAsia="@仿宋_GB2312" w:cs="@仿宋_GB2312"/>
      <w:sz w:val="18"/>
      <w:szCs w:val="18"/>
    </w:rPr>
  </w:style>
  <w:style w:type="character" w:customStyle="1" w:styleId="49">
    <w:name w:val="页脚 Char"/>
    <w:basedOn w:val="31"/>
    <w:link w:val="20"/>
    <w:autoRedefine/>
    <w:qFormat/>
    <w:uiPriority w:val="99"/>
    <w:rPr>
      <w:rFonts w:ascii="@仿宋_GB2312" w:hAnsi="@仿宋_GB2312" w:eastAsia="@仿宋_GB2312" w:cs="@仿宋_GB2312"/>
      <w:sz w:val="18"/>
      <w:szCs w:val="18"/>
    </w:rPr>
  </w:style>
  <w:style w:type="character" w:customStyle="1" w:styleId="50">
    <w:name w:val="纯文本 Char"/>
    <w:link w:val="16"/>
    <w:autoRedefine/>
    <w:qFormat/>
    <w:uiPriority w:val="0"/>
    <w:rPr>
      <w:rFonts w:ascii="宋体" w:hAnsi="Courier New"/>
    </w:rPr>
  </w:style>
  <w:style w:type="character" w:customStyle="1" w:styleId="51">
    <w:name w:val="纯文本 字符1"/>
    <w:basedOn w:val="31"/>
    <w:autoRedefine/>
    <w:semiHidden/>
    <w:qFormat/>
    <w:uiPriority w:val="99"/>
    <w:rPr>
      <w:rFonts w:hAnsi="Courier New" w:cs="Courier New" w:asciiTheme="minorEastAsia"/>
      <w:szCs w:val="20"/>
    </w:rPr>
  </w:style>
  <w:style w:type="character" w:customStyle="1" w:styleId="52">
    <w:name w:val="未处理的提及1"/>
    <w:basedOn w:val="31"/>
    <w:autoRedefine/>
    <w:semiHidden/>
    <w:unhideWhenUsed/>
    <w:qFormat/>
    <w:uiPriority w:val="99"/>
    <w:rPr>
      <w:color w:val="605E5C"/>
      <w:shd w:val="clear" w:color="auto" w:fill="E1DFDD"/>
    </w:rPr>
  </w:style>
  <w:style w:type="paragraph" w:styleId="53">
    <w:name w:val="List Paragraph"/>
    <w:basedOn w:val="1"/>
    <w:autoRedefine/>
    <w:qFormat/>
    <w:uiPriority w:val="34"/>
    <w:pPr>
      <w:ind w:firstLine="420" w:firstLineChars="200"/>
    </w:pPr>
  </w:style>
  <w:style w:type="paragraph" w:customStyle="1" w:styleId="54">
    <w:name w:val="Char Char Char Char Char Char Char1 Char"/>
    <w:basedOn w:val="1"/>
    <w:autoRedefine/>
    <w:qFormat/>
    <w:uiPriority w:val="0"/>
    <w:rPr>
      <w:rFonts w:ascii="Arial" w:hAnsi="Arial" w:eastAsia="宋体" w:cs="Arial"/>
      <w:sz w:val="24"/>
    </w:rPr>
  </w:style>
  <w:style w:type="table" w:customStyle="1" w:styleId="55">
    <w:name w:val="网格表 1 浅色1"/>
    <w:basedOn w:val="29"/>
    <w:autoRedefine/>
    <w:qFormat/>
    <w:uiPriority w:val="46"/>
    <w:tblPr>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CellMar>
        <w:top w:w="0" w:type="dxa"/>
        <w:left w:w="108" w:type="dxa"/>
        <w:bottom w:w="0" w:type="dxa"/>
        <w:right w:w="108" w:type="dxa"/>
      </w:tblCellMar>
    </w:tblPr>
    <w:tblStylePr w:type="firstRow">
      <w:rPr>
        <w:b/>
        <w:bCs/>
      </w:rPr>
      <w:tcPr>
        <w:tcBorders>
          <w:bottom w:val="single" w:color="666666" w:themeColor="text1" w:themeTint="99" w:sz="12" w:space="0"/>
        </w:tcBorders>
      </w:tcPr>
    </w:tblStylePr>
    <w:tblStylePr w:type="lastRow">
      <w:rPr>
        <w:b/>
        <w:bCs/>
      </w:rPr>
      <w:tcPr>
        <w:tcBorders>
          <w:top w:val="double" w:color="666666" w:themeColor="text1" w:themeTint="99" w:sz="2" w:space="0"/>
        </w:tcBorders>
      </w:tcPr>
    </w:tblStylePr>
    <w:tblStylePr w:type="firstCol">
      <w:rPr>
        <w:b/>
        <w:bCs/>
      </w:rPr>
    </w:tblStylePr>
    <w:tblStylePr w:type="lastCol">
      <w:rPr>
        <w:b/>
        <w:bCs/>
      </w:rPr>
    </w:tblStylePr>
  </w:style>
  <w:style w:type="character" w:customStyle="1" w:styleId="56">
    <w:name w:val="日期 字符"/>
    <w:basedOn w:val="31"/>
    <w:autoRedefine/>
    <w:semiHidden/>
    <w:qFormat/>
    <w:uiPriority w:val="99"/>
    <w:rPr>
      <w:rFonts w:ascii="@仿宋_GB2312" w:hAnsi="@仿宋_GB2312" w:eastAsia="@仿宋_GB2312" w:cs="@仿宋_GB2312"/>
      <w:szCs w:val="20"/>
    </w:rPr>
  </w:style>
  <w:style w:type="character" w:customStyle="1" w:styleId="57">
    <w:name w:val="日期 Char"/>
    <w:link w:val="17"/>
    <w:autoRedefine/>
    <w:qFormat/>
    <w:uiPriority w:val="0"/>
    <w:rPr>
      <w:rFonts w:ascii="Arial" w:hAnsi="Arial" w:eastAsia="宋体" w:cs="Arial"/>
      <w:b/>
      <w:sz w:val="28"/>
      <w:szCs w:val="20"/>
    </w:rPr>
  </w:style>
  <w:style w:type="character" w:customStyle="1" w:styleId="58">
    <w:name w:val="纯文本 Char1"/>
    <w:link w:val="59"/>
    <w:autoRedefine/>
    <w:qFormat/>
    <w:locked/>
    <w:uiPriority w:val="0"/>
    <w:rPr>
      <w:rFonts w:ascii="Arial" w:hAnsi="Arial" w:eastAsia="Arial"/>
      <w:kern w:val="2"/>
      <w:sz w:val="21"/>
      <w:lang w:val="en-US" w:eastAsia="zh-CN" w:bidi="ar-SA"/>
    </w:rPr>
  </w:style>
  <w:style w:type="paragraph" w:customStyle="1" w:styleId="59">
    <w:name w:val="纯文本1"/>
    <w:basedOn w:val="1"/>
    <w:link w:val="58"/>
    <w:autoRedefine/>
    <w:qFormat/>
    <w:uiPriority w:val="0"/>
    <w:rPr>
      <w:rFonts w:ascii="Arial" w:hAnsi="Arial" w:eastAsia="Arial" w:cstheme="minorBidi"/>
    </w:rPr>
  </w:style>
  <w:style w:type="character" w:customStyle="1" w:styleId="60">
    <w:name w:val="批注文字 Char"/>
    <w:basedOn w:val="31"/>
    <w:autoRedefine/>
    <w:semiHidden/>
    <w:qFormat/>
    <w:uiPriority w:val="99"/>
    <w:rPr>
      <w:rFonts w:ascii="@仿宋_GB2312" w:hAnsi="@仿宋_GB2312" w:eastAsia="@仿宋_GB2312" w:cs="@仿宋_GB2312"/>
      <w:szCs w:val="20"/>
    </w:rPr>
  </w:style>
  <w:style w:type="character" w:customStyle="1" w:styleId="61">
    <w:name w:val="批注文字 Char1"/>
    <w:link w:val="12"/>
    <w:autoRedefine/>
    <w:qFormat/>
    <w:uiPriority w:val="0"/>
    <w:rPr>
      <w:rFonts w:ascii="Arial" w:hAnsi="Arial" w:eastAsia="黑体" w:cs="Arial"/>
      <w:szCs w:val="20"/>
    </w:rPr>
  </w:style>
  <w:style w:type="character" w:customStyle="1" w:styleId="62">
    <w:name w:val="标题 1 Char"/>
    <w:basedOn w:val="31"/>
    <w:link w:val="5"/>
    <w:autoRedefine/>
    <w:qFormat/>
    <w:uiPriority w:val="9"/>
    <w:rPr>
      <w:rFonts w:ascii="@仿宋_GB2312" w:hAnsi="@仿宋_GB2312" w:eastAsia="@仿宋_GB2312" w:cs="@仿宋_GB2312"/>
      <w:b/>
      <w:bCs/>
      <w:kern w:val="44"/>
      <w:sz w:val="44"/>
      <w:szCs w:val="44"/>
    </w:rPr>
  </w:style>
  <w:style w:type="paragraph" w:customStyle="1" w:styleId="63">
    <w:name w:val="TOC 标题1"/>
    <w:basedOn w:val="5"/>
    <w:next w:val="1"/>
    <w:autoRedefine/>
    <w:semiHidden/>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64">
    <w:name w:val="标题 3 Char"/>
    <w:basedOn w:val="31"/>
    <w:link w:val="7"/>
    <w:autoRedefine/>
    <w:semiHidden/>
    <w:qFormat/>
    <w:uiPriority w:val="9"/>
    <w:rPr>
      <w:rFonts w:ascii="@仿宋_GB2312" w:hAnsi="@仿宋_GB2312" w:eastAsia="@仿宋_GB2312" w:cs="@仿宋_GB2312"/>
      <w:b/>
      <w:bCs/>
      <w:sz w:val="32"/>
      <w:szCs w:val="32"/>
    </w:rPr>
  </w:style>
  <w:style w:type="character" w:customStyle="1" w:styleId="65">
    <w:name w:val="fontstyle01"/>
    <w:basedOn w:val="31"/>
    <w:autoRedefine/>
    <w:qFormat/>
    <w:uiPriority w:val="0"/>
    <w:rPr>
      <w:rFonts w:hint="eastAsia" w:ascii="宋体" w:hAnsi="宋体" w:eastAsia="宋体"/>
      <w:color w:val="000000"/>
      <w:sz w:val="22"/>
      <w:szCs w:val="22"/>
    </w:rPr>
  </w:style>
  <w:style w:type="character" w:customStyle="1" w:styleId="66">
    <w:name w:val="fontstyle21"/>
    <w:basedOn w:val="31"/>
    <w:autoRedefine/>
    <w:qFormat/>
    <w:uiPriority w:val="0"/>
    <w:rPr>
      <w:rFonts w:hint="default" w:ascii="TimesNewRomanPSMT" w:hAnsi="TimesNewRomanPSMT"/>
      <w:color w:val="000000"/>
      <w:sz w:val="22"/>
      <w:szCs w:val="22"/>
    </w:rPr>
  </w:style>
  <w:style w:type="character" w:customStyle="1" w:styleId="67">
    <w:name w:val="正文文本 (2) + Sylfaen2"/>
    <w:autoRedefine/>
    <w:qFormat/>
    <w:uiPriority w:val="99"/>
    <w:rPr>
      <w:rFonts w:ascii="Sylfaen" w:hAnsi="Sylfaen" w:eastAsia="MingLiU" w:cs="Sylfaen"/>
      <w:spacing w:val="0"/>
      <w:sz w:val="23"/>
      <w:szCs w:val="23"/>
      <w:shd w:val="clear" w:color="auto" w:fill="FFFFFF"/>
      <w:lang w:val="en-US" w:eastAsia="en-US"/>
    </w:rPr>
  </w:style>
  <w:style w:type="character" w:customStyle="1" w:styleId="68">
    <w:name w:val="标题 4 字符"/>
    <w:basedOn w:val="31"/>
    <w:autoRedefine/>
    <w:semiHidden/>
    <w:qFormat/>
    <w:uiPriority w:val="9"/>
    <w:rPr>
      <w:rFonts w:asciiTheme="majorHAnsi" w:hAnsiTheme="majorHAnsi" w:eastAsiaTheme="majorEastAsia" w:cstheme="majorBidi"/>
      <w:b/>
      <w:bCs/>
      <w:sz w:val="28"/>
      <w:szCs w:val="28"/>
    </w:rPr>
  </w:style>
  <w:style w:type="character" w:customStyle="1" w:styleId="69">
    <w:name w:val="标题 4 Char"/>
    <w:link w:val="8"/>
    <w:autoRedefine/>
    <w:qFormat/>
    <w:uiPriority w:val="0"/>
    <w:rPr>
      <w:rFonts w:ascii="@仿宋_GB2312" w:hAnsi="@仿宋_GB2312" w:eastAsia="@仿宋_GB2312" w:cs="@仿宋_GB2312"/>
      <w:b/>
      <w:bCs/>
      <w:sz w:val="28"/>
      <w:szCs w:val="28"/>
    </w:rPr>
  </w:style>
  <w:style w:type="character" w:customStyle="1" w:styleId="70">
    <w:name w:val="正文文本 Char"/>
    <w:basedOn w:val="31"/>
    <w:link w:val="3"/>
    <w:autoRedefine/>
    <w:qFormat/>
    <w:uiPriority w:val="0"/>
    <w:rPr>
      <w:rFonts w:ascii="@微软简标宋" w:hAnsi="@微软简标宋" w:eastAsia="@微软简标宋" w:cs="@微软简标宋"/>
      <w:szCs w:val="24"/>
      <w:lang w:val="zh-CN" w:eastAsia="zh-CN"/>
    </w:rPr>
  </w:style>
  <w:style w:type="table" w:customStyle="1" w:styleId="71">
    <w:name w:val="网格型1"/>
    <w:basedOn w:val="29"/>
    <w:autoRedefine/>
    <w:unhideWhenUsed/>
    <w:qFormat/>
    <w:uiPriority w:val="59"/>
    <w:rPr>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72">
    <w:name w:val="Table Normal"/>
    <w:autoRedefine/>
    <w:semiHidden/>
    <w:unhideWhenUsed/>
    <w:qFormat/>
    <w:uiPriority w:val="0"/>
    <w:tblPr>
      <w:tblCellMar>
        <w:top w:w="0" w:type="dxa"/>
        <w:left w:w="0" w:type="dxa"/>
        <w:bottom w:w="0" w:type="dxa"/>
        <w:right w:w="0" w:type="dxa"/>
      </w:tblCellMar>
    </w:tblPr>
  </w:style>
  <w:style w:type="paragraph" w:customStyle="1" w:styleId="73">
    <w:name w:val="Table Text"/>
    <w:basedOn w:val="1"/>
    <w:autoRedefine/>
    <w:semiHidden/>
    <w:qFormat/>
    <w:uiPriority w:val="0"/>
    <w:rPr>
      <w:rFonts w:ascii="Arial" w:hAnsi="Arial" w:eastAsia="Arial" w:cs="Arial"/>
      <w:sz w:val="21"/>
      <w:szCs w:val="21"/>
      <w:lang w:val="en-US" w:eastAsia="en-US" w:bidi="ar-SA"/>
    </w:rPr>
  </w:style>
  <w:style w:type="character" w:customStyle="1" w:styleId="74">
    <w:name w:val="hover"/>
    <w:basedOn w:val="31"/>
    <w:qFormat/>
    <w:uiPriority w:val="0"/>
    <w:rPr>
      <w:color w:val="2590EB"/>
    </w:rPr>
  </w:style>
  <w:style w:type="character" w:customStyle="1" w:styleId="75">
    <w:name w:val="hover1"/>
    <w:basedOn w:val="31"/>
    <w:qFormat/>
    <w:uiPriority w:val="0"/>
    <w:rPr>
      <w:color w:val="2590EB"/>
    </w:rPr>
  </w:style>
  <w:style w:type="character" w:customStyle="1" w:styleId="76">
    <w:name w:val="hover2"/>
    <w:basedOn w:val="31"/>
    <w:qFormat/>
    <w:uiPriority w:val="0"/>
  </w:style>
  <w:style w:type="character" w:customStyle="1" w:styleId="77">
    <w:name w:val="hover3"/>
    <w:basedOn w:val="31"/>
    <w:qFormat/>
    <w:uiPriority w:val="0"/>
    <w:rPr>
      <w:color w:val="2590EB"/>
      <w:shd w:val="clear" w:fill="E9F4FD"/>
    </w:rPr>
  </w:style>
  <w:style w:type="character" w:customStyle="1" w:styleId="78">
    <w:name w:val="first-child"/>
    <w:basedOn w:val="31"/>
    <w:qFormat/>
    <w:uiPriority w:val="0"/>
  </w:style>
  <w:style w:type="character" w:customStyle="1" w:styleId="79">
    <w:name w:val="layui-this"/>
    <w:basedOn w:val="31"/>
    <w:qFormat/>
    <w:uiPriority w:val="0"/>
    <w:rPr>
      <w:bdr w:val="single" w:color="EEEEEE" w:sz="6" w:space="0"/>
      <w:shd w:val="clear" w:fill="FFFFFF"/>
    </w:rPr>
  </w:style>
  <w:style w:type="character" w:customStyle="1" w:styleId="80">
    <w:name w:val="hover4"/>
    <w:basedOn w:val="31"/>
    <w:qFormat/>
    <w:uiPriority w:val="0"/>
    <w:rPr>
      <w:color w:val="2590EB"/>
      <w:shd w:val="clear" w:fill="E9F4FD"/>
    </w:rPr>
  </w:style>
  <w:style w:type="character" w:customStyle="1" w:styleId="81">
    <w:name w:val="mini-outputtext1"/>
    <w:basedOn w:val="31"/>
    <w:qFormat/>
    <w:uiPriority w:val="0"/>
  </w:style>
  <w:style w:type="paragraph" w:customStyle="1" w:styleId="82">
    <w:name w:val="Blockquote"/>
    <w:basedOn w:val="1"/>
    <w:autoRedefine/>
    <w:qFormat/>
    <w:uiPriority w:val="0"/>
    <w:pPr>
      <w:autoSpaceDE w:val="0"/>
      <w:autoSpaceDN w:val="0"/>
      <w:adjustRightInd w:val="0"/>
      <w:ind w:left="360" w:right="360"/>
      <w:jc w:val="left"/>
    </w:pPr>
    <w:rPr>
      <w:kern w:val="0"/>
      <w:sz w:val="24"/>
      <w:szCs w:val="20"/>
    </w:rPr>
  </w:style>
  <w:style w:type="paragraph" w:customStyle="1" w:styleId="83">
    <w:name w:val="card-title"/>
    <w:basedOn w:val="1"/>
    <w:qFormat/>
    <w:uiPriority w:val="0"/>
    <w:pPr>
      <w:spacing w:line="543" w:lineRule="atLeast"/>
      <w:ind w:right="679"/>
      <w:jc w:val="left"/>
    </w:pPr>
    <w:rPr>
      <w:color w:val="666666"/>
      <w:kern w:val="0"/>
      <w:lang w:val="en-US" w:eastAsia="zh-CN" w:bidi="ar"/>
    </w:rPr>
  </w:style>
  <w:style w:type="paragraph" w:customStyle="1" w:styleId="84">
    <w:name w:val="段"/>
    <w:next w:val="1"/>
    <w:qFormat/>
    <w:uiPriority w:val="0"/>
    <w:pPr>
      <w:autoSpaceDE w:val="0"/>
      <w:autoSpaceDN w:val="0"/>
      <w:ind w:firstLine="420" w:firstLineChars="200"/>
      <w:jc w:val="both"/>
    </w:pPr>
    <w:rPr>
      <w:rFonts w:ascii="宋体" w:hAnsi="Times New Roman" w:eastAsia="宋体" w:cs="Times New Roman"/>
      <w:sz w:val="21"/>
      <w:szCs w:val="22"/>
      <w:lang w:val="en-US" w:eastAsia="zh-CN" w:bidi="ar-SA"/>
    </w:rPr>
  </w:style>
  <w:style w:type="character" w:customStyle="1" w:styleId="85">
    <w:name w:val="status"/>
    <w:basedOn w:val="31"/>
    <w:qFormat/>
    <w:uiPriority w:val="0"/>
    <w:rPr>
      <w:color w:val="0776DD"/>
    </w:rPr>
  </w:style>
  <w:style w:type="character" w:customStyle="1" w:styleId="86">
    <w:name w:val="time"/>
    <w:basedOn w:val="31"/>
    <w:qFormat/>
    <w:uiPriority w:val="0"/>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akoosky</Company>
  <Pages>46</Pages>
  <Words>1538</Words>
  <Characters>1878</Characters>
  <Lines>206</Lines>
  <Paragraphs>58</Paragraphs>
  <TotalTime>1</TotalTime>
  <ScaleCrop>false</ScaleCrop>
  <LinksUpToDate>false</LinksUpToDate>
  <CharactersWithSpaces>1981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2019-05-06T14:32:00Z</dcterms:created>
  <dc:creator>Anakin</dc:creator>
  <cp:lastModifiedBy>代理</cp:lastModifiedBy>
  <cp:lastPrinted>2019-12-07T15:21:00Z</cp:lastPrinted>
  <dcterms:modified xsi:type="dcterms:W3CDTF">2026-09-02T09:19:33Z</dcterms:modified>
  <cp:revision>3589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5C1EDA8257954DC08CDAAC4A47A2ED52_13</vt:lpwstr>
  </property>
  <property fmtid="{D5CDD505-2E9C-101B-9397-08002B2CF9AE}" pid="4" name="KSOTemplateDocerSaveRecord">
    <vt:lpwstr>eyJoZGlkIjoiOTc5MDNjMmIyODczM2YwMGZkZTNjYWY1NjIxZTY5YjciLCJ1c2VySWQiOiI1MDM3MjkwOTMifQ==</vt:lpwstr>
  </property>
</Properties>
</file>