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E296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2B35F52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2C100DD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3FE5728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货物类</w:t>
      </w:r>
      <w:r>
        <w:rPr>
          <w:rFonts w:hint="eastAsia" w:ascii="宋体" w:hAnsi="宋体" w:eastAsia="宋体" w:cs="宋体"/>
          <w:b/>
          <w:bCs/>
          <w:color w:val="auto"/>
          <w:sz w:val="52"/>
          <w:szCs w:val="52"/>
          <w:highlight w:val="none"/>
          <w:lang w:eastAsia="zh-CN"/>
        </w:rPr>
        <w:t>）</w:t>
      </w:r>
    </w:p>
    <w:p w14:paraId="47DDF71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7A6121EB">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35420C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650274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86A771B">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CCF753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4F44C5A">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val="en-US" w:eastAsia="zh-CN"/>
        </w:rPr>
        <w:t>滁州市智慧城市数字化设施购置安装项目</w:t>
      </w:r>
    </w:p>
    <w:p w14:paraId="6BE5D7BF">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项目编号：</w:t>
      </w:r>
      <w:r>
        <w:rPr>
          <w:rFonts w:hint="default" w:ascii="宋体" w:hAnsi="宋体" w:eastAsia="宋体" w:cs="宋体"/>
          <w:b/>
          <w:color w:val="auto"/>
          <w:spacing w:val="20"/>
          <w:kern w:val="0"/>
          <w:sz w:val="32"/>
          <w:szCs w:val="32"/>
          <w:highlight w:val="none"/>
          <w:u w:val="single"/>
          <w:lang w:val="en-US" w:eastAsia="zh-CN"/>
        </w:rPr>
        <w:t>czsjcg202406-126</w:t>
      </w:r>
    </w:p>
    <w:p w14:paraId="3113979E">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val="en-US" w:eastAsia="zh-CN"/>
        </w:rPr>
        <w:t xml:space="preserve">滁州市数据资源管理局 </w:t>
      </w:r>
    </w:p>
    <w:p w14:paraId="4C4368D0">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lang w:val="en-US" w:eastAsia="zh-CN"/>
        </w:rPr>
        <w:t>滁州市政府采购中心</w:t>
      </w:r>
    </w:p>
    <w:p w14:paraId="137202D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EEC5DC2">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u w:val="single"/>
          <w:lang w:val="en-US" w:eastAsia="zh-CN"/>
        </w:rPr>
        <w:t>2024</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u w:val="single"/>
          <w:lang w:val="en-US" w:eastAsia="zh-CN"/>
        </w:rPr>
        <w:t xml:space="preserve">6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0C03402B">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1050C553">
      <w:pPr>
        <w:pStyle w:val="22"/>
        <w:tabs>
          <w:tab w:val="right" w:leader="dot" w:pos="8306"/>
        </w:tabs>
        <w:rPr>
          <w:rFonts w:hint="eastAsia" w:ascii="宋体" w:hAnsi="宋体" w:eastAsia="宋体" w:cs="宋体"/>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_Toc23443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_Toc23443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1046F28E">
      <w:pPr>
        <w:pStyle w:val="22"/>
        <w:tabs>
          <w:tab w:val="right" w:leader="dot" w:pos="8306"/>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_Toc31935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_Toc31935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41A6A976">
      <w:pPr>
        <w:pStyle w:val="22"/>
        <w:tabs>
          <w:tab w:val="right" w:leader="dot" w:pos="8306"/>
        </w:tabs>
        <w:rPr>
          <w:rFonts w:hint="eastAsia" w:ascii="宋体" w:hAnsi="宋体" w:eastAsia="宋体" w:cs="宋体"/>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_Toc10891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第三章  采购需求</w:t>
      </w:r>
      <w:r>
        <w:rPr>
          <w:rFonts w:hint="eastAsia" w:ascii="宋体" w:hAnsi="宋体" w:eastAsia="宋体" w:cs="宋体"/>
          <w:highlight w:val="none"/>
        </w:rPr>
        <w:tab/>
      </w:r>
      <w:r>
        <w:rPr>
          <w:rFonts w:hint="eastAsia" w:ascii="宋体" w:hAnsi="宋体" w:eastAsia="宋体" w:cs="宋体"/>
          <w:highlight w:val="none"/>
          <w:lang w:val="en-US" w:eastAsia="zh-CN"/>
        </w:rPr>
        <w:t>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5</w:t>
      </w:r>
    </w:p>
    <w:p w14:paraId="7FC847ED">
      <w:pPr>
        <w:pStyle w:val="22"/>
        <w:tabs>
          <w:tab w:val="right" w:leader="dot" w:pos="8306"/>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_Toc16417 </w:instrText>
      </w:r>
      <w:r>
        <w:rPr>
          <w:rFonts w:hint="eastAsia" w:ascii="宋体" w:hAnsi="宋体" w:eastAsia="宋体" w:cs="宋体"/>
          <w:highlight w:val="none"/>
        </w:rPr>
        <w:fldChar w:fldCharType="separate"/>
      </w:r>
      <w:r>
        <w:rPr>
          <w:rFonts w:hint="eastAsia" w:ascii="宋体" w:hAnsi="宋体" w:eastAsia="宋体" w:cs="宋体"/>
          <w:highlight w:val="none"/>
        </w:rPr>
        <w:t>第四章  评标方法和标准（综合评分法）</w:t>
      </w:r>
      <w:r>
        <w:rPr>
          <w:rFonts w:hint="eastAsia" w:ascii="宋体" w:hAnsi="宋体" w:eastAsia="宋体" w:cs="宋体"/>
          <w:highlight w:val="none"/>
        </w:rPr>
        <w:tab/>
      </w:r>
      <w:r>
        <w:rPr>
          <w:rFonts w:hint="eastAsia" w:ascii="宋体" w:hAnsi="宋体" w:eastAsia="宋体" w:cs="宋体"/>
          <w:highlight w:val="none"/>
          <w:lang w:val="en-US" w:eastAsia="zh-CN"/>
        </w:rPr>
        <w:t>2</w:t>
      </w:r>
      <w:r>
        <w:rPr>
          <w:rFonts w:hint="eastAsia" w:ascii="宋体" w:hAnsi="宋体" w:eastAsia="宋体" w:cs="宋体"/>
          <w:highlight w:val="none"/>
        </w:rPr>
        <w:fldChar w:fldCharType="end"/>
      </w:r>
      <w:r>
        <w:rPr>
          <w:rFonts w:hint="eastAsia" w:ascii="宋体" w:hAnsi="宋体" w:eastAsia="宋体" w:cs="宋体"/>
          <w:highlight w:val="none"/>
          <w:lang w:val="en-US" w:eastAsia="zh-CN"/>
        </w:rPr>
        <w:t>68</w:t>
      </w:r>
    </w:p>
    <w:p w14:paraId="76897708">
      <w:pPr>
        <w:pStyle w:val="22"/>
        <w:tabs>
          <w:tab w:val="right" w:leader="dot" w:pos="8306"/>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_Toc4682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_Toc4682 \h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282</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185FE2DE">
      <w:pPr>
        <w:pStyle w:val="22"/>
        <w:tabs>
          <w:tab w:val="right" w:leader="dot" w:pos="8306"/>
        </w:tabs>
        <w:rPr>
          <w:rFonts w:hint="eastAsia" w:ascii="宋体" w:hAnsi="宋体" w:eastAsia="宋体" w:cs="宋体"/>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_Toc22492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_Toc22492 \h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30</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r>
        <w:rPr>
          <w:rFonts w:hint="eastAsia" w:ascii="宋体" w:hAnsi="宋体" w:eastAsia="宋体" w:cs="宋体"/>
          <w:highlight w:val="none"/>
          <w:lang w:val="en-US" w:eastAsia="zh-CN"/>
        </w:rPr>
        <w:t>3</w:t>
      </w:r>
    </w:p>
    <w:p w14:paraId="083991F3">
      <w:pPr>
        <w:pStyle w:val="22"/>
        <w:tabs>
          <w:tab w:val="right" w:leader="dot" w:pos="8306"/>
        </w:tabs>
        <w:rPr>
          <w:rFonts w:hint="eastAsia" w:ascii="宋体" w:hAnsi="宋体" w:eastAsia="宋体" w:cs="宋体"/>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_Toc18131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_Toc18131 \h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33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1</w:t>
      </w:r>
    </w:p>
    <w:p w14:paraId="73E09655">
      <w:pPr>
        <w:spacing w:line="360" w:lineRule="auto"/>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21D19495">
      <w:pPr>
        <w:pStyle w:val="13"/>
        <w:rPr>
          <w:rFonts w:hint="eastAsia" w:ascii="宋体" w:hAnsi="宋体" w:eastAsia="宋体" w:cs="宋体"/>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9BC9466">
      <w:pPr>
        <w:spacing w:line="360" w:lineRule="auto"/>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rPr>
        <w:t>第一章  投标邀请</w:t>
      </w:r>
      <w:bookmarkEnd w:id="1"/>
    </w:p>
    <w:p w14:paraId="7029F8D1">
      <w:pPr>
        <w:keepNext/>
        <w:keepLines/>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bookmarkStart w:id="2" w:name="_Toc1215"/>
      <w:r>
        <w:rPr>
          <w:rFonts w:hint="eastAsia" w:ascii="宋体" w:hAnsi="宋体" w:eastAsia="宋体" w:cs="宋体"/>
          <w:kern w:val="2"/>
          <w:sz w:val="24"/>
          <w:szCs w:val="24"/>
          <w:highlight w:val="none"/>
          <w:lang w:val="en-US" w:eastAsia="zh-CN" w:bidi="ar"/>
        </w:rPr>
        <w:t>项目概况</w:t>
      </w:r>
    </w:p>
    <w:p w14:paraId="2D21929E">
      <w:pPr>
        <w:keepNext/>
        <w:keepLines/>
        <w:pageBreakBefore w:val="0"/>
        <w:widowControl w:val="0"/>
        <w:suppressLineNumbers w:val="0"/>
        <w:kinsoku/>
        <w:wordWrap w:val="0"/>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 w:val="0"/>
          <w:kern w:val="2"/>
          <w:sz w:val="24"/>
          <w:szCs w:val="24"/>
          <w:highlight w:val="none"/>
          <w:u w:val="single"/>
          <w:lang w:val="en-US" w:eastAsia="zh-CN" w:bidi="ar"/>
        </w:rPr>
        <w:t>滁州市智慧城市数字化设施购置安装项目</w:t>
      </w:r>
      <w:r>
        <w:rPr>
          <w:rFonts w:hint="eastAsia" w:ascii="宋体" w:hAnsi="宋体" w:eastAsia="宋体" w:cs="宋体"/>
          <w:kern w:val="2"/>
          <w:sz w:val="24"/>
          <w:szCs w:val="24"/>
          <w:highlight w:val="none"/>
          <w:lang w:val="en-US" w:eastAsia="zh-CN" w:bidi="ar"/>
        </w:rPr>
        <w:t>的潜在投标人应在</w:t>
      </w:r>
      <w:r>
        <w:rPr>
          <w:rFonts w:hint="eastAsia" w:ascii="宋体" w:hAnsi="宋体" w:eastAsia="宋体" w:cs="宋体"/>
          <w:kern w:val="2"/>
          <w:sz w:val="24"/>
          <w:szCs w:val="24"/>
          <w:highlight w:val="none"/>
          <w:u w:val="single"/>
          <w:lang w:val="en-US" w:eastAsia="zh-CN" w:bidi="ar"/>
        </w:rPr>
        <w:t>滁州市公共资源交易中心网（http：//ggzy.chuzhou.gov.cn/）</w:t>
      </w:r>
      <w:r>
        <w:rPr>
          <w:rFonts w:hint="eastAsia" w:ascii="宋体" w:hAnsi="宋体" w:eastAsia="宋体" w:cs="宋体"/>
          <w:kern w:val="2"/>
          <w:sz w:val="24"/>
          <w:szCs w:val="24"/>
          <w:highlight w:val="none"/>
          <w:lang w:val="en-US" w:eastAsia="zh-CN" w:bidi="ar"/>
        </w:rPr>
        <w:t>获取招标文件，并于</w:t>
      </w:r>
      <w:r>
        <w:rPr>
          <w:rFonts w:hint="eastAsia" w:ascii="宋体" w:hAnsi="宋体" w:eastAsia="宋体" w:cs="宋体"/>
          <w:kern w:val="2"/>
          <w:sz w:val="24"/>
          <w:szCs w:val="24"/>
          <w:highlight w:val="none"/>
          <w:u w:val="single"/>
          <w:lang w:val="en-US" w:eastAsia="zh-CN" w:bidi="ar"/>
        </w:rPr>
        <w:t xml:space="preserve"> 2024年7月</w:t>
      </w:r>
      <w:r>
        <w:rPr>
          <w:rFonts w:hint="eastAsia" w:ascii="宋体" w:hAnsi="宋体" w:eastAsia="宋体" w:cs="宋体"/>
          <w:kern w:val="2"/>
          <w:sz w:val="24"/>
          <w:szCs w:val="24"/>
          <w:highlight w:val="none"/>
          <w:u w:val="single"/>
          <w:lang w:val="en-US" w:eastAsia="zh-CN" w:bidi="ar"/>
        </w:rPr>
        <w:t>22日</w:t>
      </w:r>
      <w:r>
        <w:rPr>
          <w:rFonts w:hint="eastAsia" w:ascii="宋体" w:hAnsi="宋体" w:eastAsia="宋体" w:cs="宋体"/>
          <w:kern w:val="2"/>
          <w:sz w:val="24"/>
          <w:szCs w:val="24"/>
          <w:highlight w:val="none"/>
          <w:u w:val="single"/>
          <w:lang w:val="en-US" w:eastAsia="zh-CN" w:bidi="ar"/>
        </w:rPr>
        <w:t>8点00分</w:t>
      </w:r>
      <w:r>
        <w:rPr>
          <w:rFonts w:hint="eastAsia" w:ascii="宋体" w:hAnsi="宋体" w:eastAsia="宋体" w:cs="宋体"/>
          <w:kern w:val="2"/>
          <w:sz w:val="24"/>
          <w:szCs w:val="24"/>
          <w:highlight w:val="none"/>
          <w:lang w:val="en-US" w:eastAsia="zh-CN" w:bidi="ar"/>
        </w:rPr>
        <w:t>（北京时间）前递交投标文件。</w:t>
      </w:r>
    </w:p>
    <w:p w14:paraId="681C76FF">
      <w:pPr>
        <w:keepNext/>
        <w:keepLines/>
        <w:pageBreakBefore w:val="0"/>
        <w:widowControl w:val="0"/>
        <w:suppressLineNumbers w:val="0"/>
        <w:kinsoku/>
        <w:overflowPunct/>
        <w:topLinePunct w:val="0"/>
        <w:autoSpaceDN/>
        <w:bidi w:val="0"/>
        <w:adjustRightInd/>
        <w:snapToGrid/>
        <w:spacing w:before="260" w:beforeLines="0" w:beforeAutospacing="0" w:after="260" w:afterLines="0" w:afterAutospacing="0" w:line="44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一、项目基本情况</w:t>
      </w:r>
    </w:p>
    <w:p w14:paraId="42E415B4">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项目编号：</w:t>
      </w:r>
      <w:r>
        <w:rPr>
          <w:rFonts w:hint="default" w:ascii="宋体" w:hAnsi="宋体" w:eastAsia="宋体" w:cs="宋体"/>
          <w:kern w:val="2"/>
          <w:sz w:val="24"/>
          <w:szCs w:val="24"/>
          <w:highlight w:val="none"/>
          <w:lang w:val="en-US" w:eastAsia="zh-CN" w:bidi="ar"/>
        </w:rPr>
        <w:t>czsjcg202406-126</w:t>
      </w:r>
    </w:p>
    <w:p w14:paraId="03301998">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项目名称：滁州市智慧城市数字化设施购置安装项目</w:t>
      </w:r>
    </w:p>
    <w:p w14:paraId="0D3B5200">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预算金额：42220000.00元</w:t>
      </w:r>
    </w:p>
    <w:p w14:paraId="023E9B08">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最高限价：42220000.00元，投标报价高于最高限价的，其投标文件按无效投标处理。</w:t>
      </w:r>
    </w:p>
    <w:p w14:paraId="2F000BA9">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采购需求：数据大厦1-3层的智能化系统和标准化建设，其中智能化系统包含综合布线系统、计算机网络系统、显示系统、分布式座席管理系统、城市运行统一门户、融合通信系统、多媒体会议系统、集中控制系统、安防监控系统、门禁系统、公共广播系统和机房工程等；标准化建设包含智慧城市运行管理大厅、智慧城市展示大厅和附属配套用房标准化建设。</w:t>
      </w:r>
    </w:p>
    <w:p w14:paraId="571CEEC6">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合同履行期限：包括建设工期、运维（质保）周期，建设工期需在2024年12月中旬前完成，项目运维（质保）周期自验收合格之日起至少3年。(本项目部分系统、服务、硬件产品的运维(或质保)期限以货物需求中的服务要求和评标方法中的中标人质保承诺为准。)</w:t>
      </w:r>
    </w:p>
    <w:p w14:paraId="68A6E7B3">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本项目不接受联合体投标。</w:t>
      </w:r>
    </w:p>
    <w:p w14:paraId="70C9F147">
      <w:pPr>
        <w:keepNext/>
        <w:keepLines/>
        <w:pageBreakBefore w:val="0"/>
        <w:widowControl w:val="0"/>
        <w:suppressLineNumbers w:val="0"/>
        <w:kinsoku/>
        <w:overflowPunct/>
        <w:topLinePunct w:val="0"/>
        <w:autoSpaceDN/>
        <w:bidi w:val="0"/>
        <w:adjustRightInd/>
        <w:snapToGrid/>
        <w:spacing w:before="260" w:beforeLines="0" w:beforeAutospacing="0" w:after="260" w:afterLines="0" w:afterAutospacing="0" w:line="44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二、申请人的资格要求</w:t>
      </w:r>
    </w:p>
    <w:p w14:paraId="524E37DE">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1.满足《中华人民共和国政府采购法》第二十二条规定；</w:t>
      </w:r>
    </w:p>
    <w:p w14:paraId="3B29BC46">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2.落实政府采购政策需满足的资格要求：</w:t>
      </w:r>
      <w:r>
        <w:rPr>
          <w:rFonts w:hint="eastAsia" w:ascii="宋体" w:hAnsi="宋体" w:eastAsia="宋体" w:cs="宋体"/>
          <w:kern w:val="2"/>
          <w:sz w:val="24"/>
          <w:szCs w:val="24"/>
          <w:highlight w:val="none"/>
          <w:u w:val="single"/>
          <w:lang w:val="en-US" w:eastAsia="zh-CN" w:bidi="ar"/>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4A08D749">
      <w:pPr>
        <w:pageBreakBefore w:val="0"/>
        <w:widowControl w:val="0"/>
        <w:kinsoku/>
        <w:overflowPunct/>
        <w:topLinePunct w:val="0"/>
        <w:autoSpaceDN/>
        <w:bidi w:val="0"/>
        <w:adjustRightInd/>
        <w:snapToGrid/>
        <w:spacing w:line="440" w:lineRule="exact"/>
        <w:ind w:firstLine="435"/>
        <w:textAlignment w:val="auto"/>
        <w:outlineLvl w:val="9"/>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3.本项目的特定资格要求：</w:t>
      </w:r>
    </w:p>
    <w:p w14:paraId="0BCFD37A">
      <w:pPr>
        <w:pageBreakBefore w:val="0"/>
        <w:widowControl w:val="0"/>
        <w:kinsoku/>
        <w:overflowPunct/>
        <w:topLinePunct w:val="0"/>
        <w:autoSpaceDN/>
        <w:bidi w:val="0"/>
        <w:adjustRightInd/>
        <w:snapToGrid/>
        <w:spacing w:line="440" w:lineRule="exact"/>
        <w:ind w:firstLine="435"/>
        <w:textAlignment w:val="auto"/>
        <w:outlineLvl w:val="9"/>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3.1同时具有电子与智能化工程专业承包一级资质和建筑装修装饰工程专业承包二级（或以上）资质；</w:t>
      </w:r>
    </w:p>
    <w:p w14:paraId="483D0336">
      <w:pPr>
        <w:pageBreakBefore w:val="0"/>
        <w:widowControl w:val="0"/>
        <w:kinsoku/>
        <w:overflowPunct/>
        <w:topLinePunct w:val="0"/>
        <w:autoSpaceDN/>
        <w:bidi w:val="0"/>
        <w:adjustRightInd/>
        <w:snapToGrid/>
        <w:spacing w:line="440" w:lineRule="exact"/>
        <w:ind w:firstLine="435"/>
        <w:textAlignment w:val="auto"/>
        <w:outlineLvl w:val="9"/>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3.2项目经理：具有注册在投标单位的机电工程专业一级注册建造师资格和有效的安全生产考核合格B类证书。</w:t>
      </w:r>
    </w:p>
    <w:p w14:paraId="7C793CBB">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4.信誉要求：投标人不得存在以下情形：</w:t>
      </w:r>
    </w:p>
    <w:p w14:paraId="0C87ABB5">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①投标人被人民法院列入失信被执行人的；</w:t>
      </w:r>
    </w:p>
    <w:p w14:paraId="1893651B">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②投标人或其法定代表人或拟派项目经理（项目负责人）前三年有行贿犯罪行为的；</w:t>
      </w:r>
    </w:p>
    <w:p w14:paraId="7B379EB6">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③投标人被市场监督管理部门列入经营异常名录或者严重违法企业名单，且未被移除的；</w:t>
      </w:r>
    </w:p>
    <w:p w14:paraId="2D4ECF4B">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④投标人被税务部门列入重大税收违法案件当事人的；</w:t>
      </w:r>
    </w:p>
    <w:p w14:paraId="14B7424C">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⑤投标人被政府采购监管部门列入政府采购严重违法失信行为记录名单的；</w:t>
      </w:r>
    </w:p>
    <w:p w14:paraId="244A3EE4">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⑥在“信用中国”网站上披露仍在公示期的严重失信行为的。</w:t>
      </w:r>
    </w:p>
    <w:p w14:paraId="6F66FFC4">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5.投标人所属分公司、办事处等分支机构存在第4款信誉要求①-⑥项情形之一的，接受投标人参加本项目。</w:t>
      </w:r>
    </w:p>
    <w:p w14:paraId="4BF2CBC2">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备注：第4、5条按照“关于联合惩戒失信行为加强信用查询管理的通知”查询或承诺。</w:t>
      </w:r>
    </w:p>
    <w:p w14:paraId="3AA736A3">
      <w:pPr>
        <w:keepNext/>
        <w:keepLines/>
        <w:pageBreakBefore w:val="0"/>
        <w:widowControl w:val="0"/>
        <w:suppressLineNumbers w:val="0"/>
        <w:kinsoku/>
        <w:overflowPunct/>
        <w:topLinePunct w:val="0"/>
        <w:autoSpaceDN/>
        <w:bidi w:val="0"/>
        <w:adjustRightInd/>
        <w:snapToGrid/>
        <w:spacing w:before="260" w:beforeLines="0" w:beforeAutospacing="0" w:after="260" w:afterLines="0" w:afterAutospacing="0" w:line="44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三、获取招标文件</w:t>
      </w:r>
    </w:p>
    <w:p w14:paraId="1DED672E">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时间：</w:t>
      </w:r>
      <w:r>
        <w:rPr>
          <w:rFonts w:hint="eastAsia" w:ascii="宋体" w:hAnsi="宋体" w:eastAsia="宋体" w:cs="宋体"/>
          <w:kern w:val="2"/>
          <w:sz w:val="24"/>
          <w:szCs w:val="24"/>
          <w:highlight w:val="none"/>
          <w:u w:val="single"/>
          <w:lang w:val="en-US" w:eastAsia="zh-CN" w:bidi="ar"/>
        </w:rPr>
        <w:t>2024年6月27日</w:t>
      </w:r>
      <w:r>
        <w:rPr>
          <w:rFonts w:hint="eastAsia" w:ascii="宋体" w:hAnsi="宋体" w:eastAsia="宋体" w:cs="宋体"/>
          <w:kern w:val="2"/>
          <w:sz w:val="24"/>
          <w:szCs w:val="24"/>
          <w:highlight w:val="none"/>
          <w:lang w:val="en-US" w:eastAsia="zh-CN" w:bidi="ar"/>
        </w:rPr>
        <w:t>至</w:t>
      </w:r>
      <w:r>
        <w:rPr>
          <w:rFonts w:hint="eastAsia" w:ascii="宋体" w:hAnsi="宋体" w:eastAsia="宋体" w:cs="宋体"/>
          <w:kern w:val="2"/>
          <w:sz w:val="24"/>
          <w:szCs w:val="24"/>
          <w:highlight w:val="none"/>
          <w:u w:val="single"/>
          <w:lang w:val="en-US" w:eastAsia="zh-CN" w:bidi="ar"/>
        </w:rPr>
        <w:t>2024年7月</w:t>
      </w:r>
      <w:r>
        <w:rPr>
          <w:rFonts w:hint="eastAsia" w:ascii="宋体" w:hAnsi="宋体" w:eastAsia="宋体" w:cs="宋体"/>
          <w:kern w:val="2"/>
          <w:sz w:val="24"/>
          <w:szCs w:val="24"/>
          <w:highlight w:val="none"/>
          <w:u w:val="single"/>
          <w:lang w:val="en-US" w:eastAsia="zh-CN" w:bidi="ar"/>
        </w:rPr>
        <w:t>22日</w:t>
      </w:r>
      <w:r>
        <w:rPr>
          <w:rFonts w:hint="eastAsia" w:ascii="宋体" w:hAnsi="宋体" w:eastAsia="宋体" w:cs="宋体"/>
          <w:kern w:val="2"/>
          <w:sz w:val="24"/>
          <w:szCs w:val="24"/>
          <w:highlight w:val="none"/>
          <w:u w:val="single"/>
          <w:lang w:val="en-US" w:eastAsia="zh-CN" w:bidi="ar"/>
        </w:rPr>
        <w:t>（提供期限自本公告发布之日起不得少于5个工作日）</w:t>
      </w:r>
    </w:p>
    <w:p w14:paraId="6B909863">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地点：滁州市公共资源交易中心网</w:t>
      </w:r>
    </w:p>
    <w:p w14:paraId="6279950D">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方式：网上下载</w:t>
      </w:r>
    </w:p>
    <w:p w14:paraId="6C9D93CA">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售价：0元</w:t>
      </w:r>
    </w:p>
    <w:p w14:paraId="546565DE">
      <w:pPr>
        <w:keepNext/>
        <w:keepLines/>
        <w:pageBreakBefore w:val="0"/>
        <w:widowControl w:val="0"/>
        <w:suppressLineNumbers w:val="0"/>
        <w:kinsoku/>
        <w:overflowPunct/>
        <w:topLinePunct w:val="0"/>
        <w:autoSpaceDN/>
        <w:bidi w:val="0"/>
        <w:adjustRightInd/>
        <w:snapToGrid/>
        <w:spacing w:before="260" w:beforeLines="0" w:beforeAutospacing="0" w:after="260" w:afterLines="0" w:afterAutospacing="0" w:line="44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四、提交投标文件截止时间、开标时间和地点</w:t>
      </w:r>
    </w:p>
    <w:p w14:paraId="1EDE84F5">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2024年7月</w:t>
      </w:r>
      <w:r>
        <w:rPr>
          <w:rFonts w:hint="eastAsia" w:ascii="宋体" w:hAnsi="宋体" w:eastAsia="宋体" w:cs="宋体"/>
          <w:kern w:val="0"/>
          <w:sz w:val="24"/>
          <w:szCs w:val="24"/>
          <w:highlight w:val="none"/>
          <w:u w:val="single"/>
          <w:lang w:val="en-US" w:eastAsia="zh-CN" w:bidi="ar"/>
        </w:rPr>
        <w:t>22日</w:t>
      </w:r>
      <w:r>
        <w:rPr>
          <w:rFonts w:hint="eastAsia" w:ascii="宋体" w:hAnsi="宋体" w:eastAsia="宋体" w:cs="宋体"/>
          <w:kern w:val="0"/>
          <w:sz w:val="24"/>
          <w:szCs w:val="24"/>
          <w:highlight w:val="none"/>
          <w:u w:val="single"/>
          <w:lang w:val="en-US" w:eastAsia="zh-CN" w:bidi="ar"/>
        </w:rPr>
        <w:t>8点00分</w:t>
      </w:r>
      <w:r>
        <w:rPr>
          <w:rFonts w:hint="eastAsia" w:ascii="宋体" w:hAnsi="宋体" w:eastAsia="宋体" w:cs="宋体"/>
          <w:kern w:val="0"/>
          <w:sz w:val="24"/>
          <w:szCs w:val="24"/>
          <w:highlight w:val="none"/>
          <w:lang w:val="en-US" w:eastAsia="zh-CN" w:bidi="ar"/>
        </w:rPr>
        <w:t>（北京时间）（自招标文件开始发出之日起至投标人提交投标文件截止之日止，不得少于20日）</w:t>
      </w:r>
    </w:p>
    <w:p w14:paraId="54CCDFD1">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地点：</w:t>
      </w:r>
      <w:r>
        <w:rPr>
          <w:rFonts w:hint="eastAsia" w:ascii="宋体" w:hAnsi="宋体" w:eastAsia="宋体" w:cs="宋体"/>
          <w:kern w:val="2"/>
          <w:sz w:val="24"/>
          <w:szCs w:val="24"/>
          <w:highlight w:val="none"/>
          <w:lang w:val="en-US" w:eastAsia="zh-CN" w:bidi="ar"/>
        </w:rPr>
        <w:t>滁州市公共资源交易中心网</w:t>
      </w:r>
    </w:p>
    <w:p w14:paraId="2824278A">
      <w:pPr>
        <w:keepNext/>
        <w:keepLines/>
        <w:pageBreakBefore w:val="0"/>
        <w:widowControl w:val="0"/>
        <w:suppressLineNumbers w:val="0"/>
        <w:kinsoku/>
        <w:overflowPunct/>
        <w:topLinePunct w:val="0"/>
        <w:autoSpaceDN/>
        <w:bidi w:val="0"/>
        <w:adjustRightInd/>
        <w:snapToGrid/>
        <w:spacing w:before="260" w:beforeLines="0" w:beforeAutospacing="0" w:after="260" w:afterLines="0" w:afterAutospacing="0" w:line="44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五、公告期限</w:t>
      </w:r>
    </w:p>
    <w:p w14:paraId="155BF8C5">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自本公告发布之日起5个工作日。</w:t>
      </w:r>
    </w:p>
    <w:p w14:paraId="7735AD8C">
      <w:pPr>
        <w:keepNext/>
        <w:keepLines/>
        <w:pageBreakBefore w:val="0"/>
        <w:widowControl w:val="0"/>
        <w:suppressLineNumbers w:val="0"/>
        <w:kinsoku/>
        <w:overflowPunct/>
        <w:topLinePunct w:val="0"/>
        <w:autoSpaceDN/>
        <w:bidi w:val="0"/>
        <w:adjustRightInd/>
        <w:snapToGrid/>
        <w:spacing w:before="260" w:beforeLines="0" w:beforeAutospacing="0" w:after="260" w:afterLines="0" w:afterAutospacing="0" w:line="440" w:lineRule="exact"/>
        <w:ind w:left="0" w:right="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六、其他补充事宜</w:t>
      </w:r>
    </w:p>
    <w:p w14:paraId="7154C6F9">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4AF276BA">
      <w:pPr>
        <w:keepNext w:val="0"/>
        <w:keepLines w:val="0"/>
        <w:pageBreakBefore w:val="0"/>
        <w:widowControl w:val="0"/>
        <w:suppressLineNumbers w:val="0"/>
        <w:kinsoku/>
        <w:overflowPunct/>
        <w:topLinePunct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2.请投标人登录滁州市公共资源交易中心网站查看参加本项目的程序。（具体操作步骤和程序请参见服务指南&gt;交易须知&gt;投标人填写投标信息、下载文件及网上提问操作手册）。</w:t>
      </w:r>
    </w:p>
    <w:p w14:paraId="6A520EB3">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49F9119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sz w:val="24"/>
          <w:szCs w:val="24"/>
          <w:highlight w:val="none"/>
          <w:u w:val="none"/>
          <w:lang w:val="en-US" w:eastAsia="zh-CN"/>
        </w:rPr>
        <w:t>。</w:t>
      </w:r>
    </w:p>
    <w:bookmarkEnd w:id="2"/>
    <w:p w14:paraId="3621BC6E">
      <w:pPr>
        <w:keepNext/>
        <w:keepLines/>
        <w:pageBreakBefore w:val="0"/>
        <w:widowControl w:val="0"/>
        <w:suppressLineNumbers w:val="0"/>
        <w:kinsoku/>
        <w:overflowPunct/>
        <w:topLinePunct w:val="0"/>
        <w:autoSpaceDN/>
        <w:bidi w:val="0"/>
        <w:adjustRightInd/>
        <w:snapToGrid/>
        <w:spacing w:before="260" w:beforeLines="0" w:beforeAutospacing="0" w:after="260" w:afterLines="0" w:afterAutospacing="0" w:line="440" w:lineRule="exact"/>
        <w:ind w:left="0" w:right="0"/>
        <w:jc w:val="both"/>
        <w:textAlignment w:val="auto"/>
        <w:rPr>
          <w:rFonts w:hint="eastAsia" w:ascii="宋体" w:hAnsi="宋体" w:eastAsia="宋体" w:cs="宋体"/>
          <w:kern w:val="2"/>
          <w:sz w:val="24"/>
          <w:szCs w:val="24"/>
          <w:highlight w:val="none"/>
          <w:lang w:val="en-US" w:eastAsia="zh-CN" w:bidi="ar"/>
        </w:rPr>
      </w:pPr>
      <w:bookmarkStart w:id="3" w:name="_Toc7265"/>
      <w:bookmarkStart w:id="4" w:name="_Toc3854"/>
      <w:r>
        <w:rPr>
          <w:rFonts w:hint="eastAsia" w:ascii="宋体" w:hAnsi="宋体" w:eastAsia="宋体" w:cs="宋体"/>
          <w:kern w:val="2"/>
          <w:sz w:val="24"/>
          <w:szCs w:val="24"/>
          <w:highlight w:val="none"/>
          <w:lang w:val="en-US" w:eastAsia="zh-CN" w:bidi="ar"/>
        </w:rPr>
        <w:t>七、</w:t>
      </w:r>
      <w:bookmarkEnd w:id="3"/>
      <w:r>
        <w:rPr>
          <w:rFonts w:hint="eastAsia" w:ascii="宋体" w:hAnsi="宋体" w:eastAsia="宋体" w:cs="宋体"/>
          <w:kern w:val="2"/>
          <w:sz w:val="24"/>
          <w:szCs w:val="24"/>
          <w:highlight w:val="none"/>
          <w:lang w:val="en-US" w:eastAsia="zh-CN" w:bidi="ar"/>
        </w:rPr>
        <w:t>对本次招标提出询问，请按以下方式联系</w:t>
      </w:r>
      <w:bookmarkEnd w:id="4"/>
    </w:p>
    <w:p w14:paraId="53D8402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1.采购人信息</w:t>
      </w:r>
    </w:p>
    <w:p w14:paraId="44F355F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名  称：</w:t>
      </w:r>
      <w:r>
        <w:rPr>
          <w:rFonts w:hint="eastAsia" w:ascii="宋体" w:hAnsi="宋体" w:eastAsia="宋体" w:cs="宋体"/>
          <w:kern w:val="2"/>
          <w:sz w:val="24"/>
          <w:szCs w:val="24"/>
          <w:highlight w:val="none"/>
          <w:u w:val="single"/>
          <w:lang w:val="en-US" w:eastAsia="zh-CN" w:bidi="ar"/>
        </w:rPr>
        <w:t>滁州市数据资源管理局</w:t>
      </w:r>
    </w:p>
    <w:p w14:paraId="7E11F5A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滁州市龙蟠大道99号</w:t>
      </w:r>
    </w:p>
    <w:p w14:paraId="1791383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联系人：</w:t>
      </w:r>
      <w:r>
        <w:rPr>
          <w:rFonts w:hint="eastAsia" w:ascii="宋体" w:hAnsi="宋体" w:eastAsia="宋体" w:cs="宋体"/>
          <w:kern w:val="2"/>
          <w:sz w:val="24"/>
          <w:szCs w:val="24"/>
          <w:highlight w:val="none"/>
          <w:u w:val="single"/>
          <w:lang w:val="en-US" w:eastAsia="zh-CN" w:bidi="ar"/>
        </w:rPr>
        <w:t>冯玮</w:t>
      </w:r>
    </w:p>
    <w:p w14:paraId="1F1E70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联系方式：</w:t>
      </w:r>
      <w:r>
        <w:rPr>
          <w:rFonts w:hint="eastAsia" w:ascii="宋体" w:hAnsi="宋体" w:eastAsia="宋体" w:cs="宋体"/>
          <w:kern w:val="2"/>
          <w:sz w:val="24"/>
          <w:szCs w:val="24"/>
          <w:highlight w:val="none"/>
          <w:u w:val="single"/>
          <w:lang w:val="en-US" w:eastAsia="zh-CN" w:bidi="ar"/>
        </w:rPr>
        <w:t>0550-3518563</w:t>
      </w:r>
    </w:p>
    <w:p w14:paraId="452545A1">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2.采购代理机构信息</w:t>
      </w:r>
    </w:p>
    <w:p w14:paraId="5DF0045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名  称：</w:t>
      </w:r>
      <w:r>
        <w:rPr>
          <w:rFonts w:hint="eastAsia" w:ascii="宋体" w:hAnsi="宋体" w:eastAsia="宋体" w:cs="宋体"/>
          <w:kern w:val="2"/>
          <w:sz w:val="24"/>
          <w:szCs w:val="24"/>
          <w:highlight w:val="none"/>
          <w:u w:val="single"/>
          <w:lang w:val="en-US" w:eastAsia="zh-CN" w:bidi="ar"/>
        </w:rPr>
        <w:t>滁州市政府采购中心</w:t>
      </w:r>
    </w:p>
    <w:p w14:paraId="5DE1254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滁州市龙蟠大道109号房产大厦二楼</w:t>
      </w:r>
    </w:p>
    <w:p w14:paraId="329B817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联系人：</w:t>
      </w:r>
      <w:r>
        <w:rPr>
          <w:rFonts w:hint="eastAsia" w:ascii="宋体" w:hAnsi="宋体" w:eastAsia="宋体" w:cs="宋体"/>
          <w:kern w:val="2"/>
          <w:sz w:val="24"/>
          <w:szCs w:val="24"/>
          <w:highlight w:val="none"/>
          <w:u w:val="single"/>
          <w:lang w:val="en-US" w:eastAsia="zh-CN" w:bidi="ar"/>
        </w:rPr>
        <w:t>周蓓蕾</w:t>
      </w:r>
    </w:p>
    <w:p w14:paraId="2296F5B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联系方式：</w:t>
      </w:r>
      <w:r>
        <w:rPr>
          <w:rFonts w:hint="eastAsia" w:ascii="宋体" w:hAnsi="宋体" w:eastAsia="宋体" w:cs="宋体"/>
          <w:kern w:val="2"/>
          <w:sz w:val="24"/>
          <w:szCs w:val="24"/>
          <w:highlight w:val="none"/>
          <w:u w:val="single"/>
          <w:lang w:val="en-US" w:eastAsia="zh-CN" w:bidi="ar"/>
        </w:rPr>
        <w:t>0550-3519519、18005505728</w:t>
      </w:r>
    </w:p>
    <w:p w14:paraId="407611B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3.政府采购监督管理部门信息</w:t>
      </w:r>
    </w:p>
    <w:p w14:paraId="47678BD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名  称：</w:t>
      </w:r>
      <w:r>
        <w:rPr>
          <w:rFonts w:hint="eastAsia" w:ascii="宋体" w:hAnsi="宋体" w:eastAsia="宋体" w:cs="宋体"/>
          <w:kern w:val="2"/>
          <w:sz w:val="24"/>
          <w:szCs w:val="24"/>
          <w:highlight w:val="none"/>
          <w:u w:val="single"/>
          <w:lang w:val="en-US" w:eastAsia="zh-CN" w:bidi="ar"/>
        </w:rPr>
        <w:t>滁州市公共资源交易监督管理局</w:t>
      </w:r>
    </w:p>
    <w:p w14:paraId="16BA8A0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滁州市龙蟠大道109号房产大厦三楼</w:t>
      </w:r>
    </w:p>
    <w:p w14:paraId="5E9D11F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联系方式：</w:t>
      </w:r>
      <w:r>
        <w:rPr>
          <w:rFonts w:hint="eastAsia" w:ascii="宋体" w:hAnsi="宋体" w:eastAsia="宋体" w:cs="宋体"/>
          <w:kern w:val="2"/>
          <w:sz w:val="24"/>
          <w:szCs w:val="24"/>
          <w:highlight w:val="none"/>
          <w:u w:val="single"/>
          <w:lang w:val="en-US" w:eastAsia="zh-CN" w:bidi="ar"/>
        </w:rPr>
        <w:t>0550-3801656</w:t>
      </w:r>
    </w:p>
    <w:p w14:paraId="18682520">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7223F464">
      <w:pPr>
        <w:spacing w:line="360" w:lineRule="auto"/>
        <w:jc w:val="center"/>
        <w:outlineLvl w:val="0"/>
        <w:rPr>
          <w:rFonts w:hint="eastAsia" w:ascii="宋体" w:hAnsi="宋体" w:eastAsia="宋体" w:cs="宋体"/>
          <w:b/>
          <w:color w:val="auto"/>
          <w:sz w:val="28"/>
          <w:highlight w:val="none"/>
        </w:rPr>
      </w:pPr>
      <w:bookmarkStart w:id="5" w:name="_Toc31935"/>
      <w:r>
        <w:rPr>
          <w:rFonts w:hint="eastAsia" w:ascii="宋体" w:hAnsi="宋体" w:eastAsia="宋体" w:cs="宋体"/>
          <w:b/>
          <w:color w:val="auto"/>
          <w:sz w:val="28"/>
          <w:highlight w:val="none"/>
        </w:rPr>
        <w:t>第二章  投标人须知</w:t>
      </w:r>
      <w:bookmarkEnd w:id="5"/>
    </w:p>
    <w:p w14:paraId="6768A718">
      <w:pPr>
        <w:spacing w:line="360" w:lineRule="auto"/>
        <w:jc w:val="center"/>
        <w:outlineLvl w:val="1"/>
        <w:rPr>
          <w:rFonts w:hint="eastAsia" w:ascii="宋体" w:hAnsi="宋体" w:eastAsia="宋体" w:cs="宋体"/>
          <w:b/>
          <w:color w:val="auto"/>
          <w:sz w:val="24"/>
          <w:highlight w:val="none"/>
        </w:rPr>
      </w:pPr>
      <w:bookmarkStart w:id="6" w:name="_Toc3114"/>
      <w:bookmarkStart w:id="7" w:name="_Toc7178"/>
      <w:r>
        <w:rPr>
          <w:rFonts w:hint="eastAsia" w:ascii="宋体" w:hAnsi="宋体" w:eastAsia="宋体" w:cs="宋体"/>
          <w:b/>
          <w:color w:val="auto"/>
          <w:sz w:val="24"/>
          <w:highlight w:val="none"/>
        </w:rPr>
        <w:t>一、投标人须知前附表</w:t>
      </w:r>
      <w:bookmarkEnd w:id="6"/>
      <w:bookmarkEnd w:id="7"/>
    </w:p>
    <w:p w14:paraId="23F586C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3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45FC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04C731">
            <w:pPr>
              <w:pStyle w:val="51"/>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174" w:type="pct"/>
            <w:vAlign w:val="center"/>
          </w:tcPr>
          <w:p w14:paraId="2F2DF102">
            <w:pPr>
              <w:pStyle w:val="51"/>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244" w:type="pct"/>
            <w:vAlign w:val="center"/>
          </w:tcPr>
          <w:p w14:paraId="262EBC6E">
            <w:pPr>
              <w:pStyle w:val="51"/>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48C4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146C6AC">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1174" w:type="pct"/>
            <w:vAlign w:val="center"/>
          </w:tcPr>
          <w:p w14:paraId="42A89F1B">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现场考察</w:t>
            </w:r>
            <w:r>
              <w:rPr>
                <w:rFonts w:hint="eastAsia" w:ascii="宋体" w:hAnsi="宋体" w:eastAsia="宋体" w:cs="宋体"/>
                <w:b w:val="0"/>
                <w:color w:val="auto"/>
                <w:sz w:val="24"/>
                <w:highlight w:val="none"/>
                <w:lang w:val="en-US" w:eastAsia="zh-CN"/>
              </w:rPr>
              <w:t>或标前答疑会</w:t>
            </w:r>
          </w:p>
        </w:tc>
        <w:tc>
          <w:tcPr>
            <w:tcW w:w="3244" w:type="pct"/>
            <w:vAlign w:val="center"/>
          </w:tcPr>
          <w:p w14:paraId="6DB3C7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3799A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2E407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分</w:t>
            </w:r>
          </w:p>
          <w:p w14:paraId="77EAC4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 xml:space="preserve">     /                  </w:t>
            </w:r>
          </w:p>
          <w:p w14:paraId="653379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      </w:t>
            </w:r>
          </w:p>
          <w:p w14:paraId="2E34A9DC">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1B74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CF63A2A">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1174" w:type="pct"/>
            <w:vAlign w:val="center"/>
          </w:tcPr>
          <w:p w14:paraId="579447FB">
            <w:pPr>
              <w:pStyle w:val="51"/>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244" w:type="pct"/>
            <w:vAlign w:val="center"/>
          </w:tcPr>
          <w:p w14:paraId="48B5D3D8">
            <w:pPr>
              <w:pStyle w:val="51"/>
              <w:widowControl w:val="0"/>
              <w:spacing w:before="0" w:beforeAutospacing="0" w:after="0" w:afterAutospacing="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2024</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7</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4</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17</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30</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分</w:t>
            </w:r>
          </w:p>
        </w:tc>
      </w:tr>
      <w:tr w14:paraId="15A5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7250B65">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1174" w:type="pct"/>
            <w:vAlign w:val="center"/>
          </w:tcPr>
          <w:p w14:paraId="6B396C1C">
            <w:pPr>
              <w:pStyle w:val="51"/>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244" w:type="pct"/>
            <w:vAlign w:val="center"/>
          </w:tcPr>
          <w:p w14:paraId="3F0A2208">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不分包     □分为  个包</w:t>
            </w:r>
          </w:p>
          <w:p w14:paraId="6FAEC8F7">
            <w:pPr>
              <w:pStyle w:val="51"/>
              <w:widowControl w:val="0"/>
              <w:spacing w:before="0" w:beforeAutospacing="0" w:after="0" w:afterAutospacing="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u w:val="single"/>
                <w:lang w:val="en-US" w:eastAsia="zh-CN"/>
              </w:rPr>
              <w:t>/</w:t>
            </w:r>
            <w:r>
              <w:rPr>
                <w:rFonts w:hint="eastAsia" w:ascii="宋体" w:hAnsi="宋体" w:eastAsia="宋体" w:cs="宋体"/>
                <w:b w:val="0"/>
                <w:bCs w:val="0"/>
                <w:color w:val="auto"/>
                <w:sz w:val="24"/>
                <w:szCs w:val="18"/>
                <w:highlight w:val="none"/>
                <w:u w:val="single"/>
              </w:rPr>
              <w:t xml:space="preserve">    </w:t>
            </w:r>
          </w:p>
        </w:tc>
      </w:tr>
      <w:tr w14:paraId="30DB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1665744D">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1174" w:type="pct"/>
            <w:vAlign w:val="center"/>
          </w:tcPr>
          <w:p w14:paraId="40597A8C">
            <w:pPr>
              <w:pStyle w:val="51"/>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244" w:type="pct"/>
            <w:vAlign w:val="center"/>
          </w:tcPr>
          <w:p w14:paraId="2F7F929E">
            <w:pPr>
              <w:spacing w:line="360" w:lineRule="auto"/>
              <w:rPr>
                <w:rFonts w:hint="eastAsia" w:ascii="宋体" w:hAnsi="宋体" w:eastAsia="宋体" w:cs="宋体"/>
                <w:color w:val="auto"/>
                <w:highlight w:val="none"/>
              </w:rPr>
            </w:pPr>
            <w:r>
              <w:rPr>
                <w:rFonts w:hint="eastAsia" w:ascii="宋体" w:hAnsi="宋体" w:eastAsia="宋体" w:cs="宋体"/>
                <w:bCs/>
                <w:color w:val="auto"/>
                <w:kern w:val="0"/>
                <w:sz w:val="24"/>
                <w:szCs w:val="28"/>
                <w:highlight w:val="none"/>
              </w:rPr>
              <w:t>不收取</w:t>
            </w:r>
          </w:p>
        </w:tc>
      </w:tr>
      <w:tr w14:paraId="1167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7640A66">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74" w:type="pct"/>
            <w:vAlign w:val="center"/>
          </w:tcPr>
          <w:p w14:paraId="39F7C711">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244" w:type="pct"/>
            <w:vAlign w:val="center"/>
          </w:tcPr>
          <w:p w14:paraId="49678205">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 xml:space="preserve">120 </w:t>
            </w:r>
            <w:r>
              <w:rPr>
                <w:rFonts w:hint="eastAsia" w:ascii="宋体" w:hAnsi="宋体" w:eastAsia="宋体" w:cs="宋体"/>
                <w:b w:val="0"/>
                <w:color w:val="auto"/>
                <w:sz w:val="24"/>
                <w:highlight w:val="none"/>
              </w:rPr>
              <w:t>日历日</w:t>
            </w:r>
          </w:p>
        </w:tc>
      </w:tr>
      <w:tr w14:paraId="6221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EE8213">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1</w:t>
            </w:r>
          </w:p>
        </w:tc>
        <w:tc>
          <w:tcPr>
            <w:tcW w:w="1174" w:type="pct"/>
            <w:vAlign w:val="center"/>
          </w:tcPr>
          <w:p w14:paraId="0F0A9158">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3244" w:type="pct"/>
            <w:vAlign w:val="center"/>
          </w:tcPr>
          <w:p w14:paraId="266EB424">
            <w:pPr>
              <w:pStyle w:val="51"/>
              <w:widowControl w:val="0"/>
              <w:spacing w:before="0" w:beforeAutospacing="0" w:after="0" w:afterAutospacing="0" w:line="360" w:lineRule="auto"/>
              <w:jc w:val="both"/>
              <w:rPr>
                <w:rFonts w:hint="eastAsia"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u w:val="none"/>
              </w:rPr>
              <w:t>投标截止时间后</w:t>
            </w: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u w:val="none"/>
              </w:rPr>
              <w:t>分钟内</w:t>
            </w:r>
            <w:r>
              <w:rPr>
                <w:rFonts w:hint="eastAsia" w:ascii="宋体" w:hAnsi="宋体" w:eastAsia="宋体" w:cs="宋体"/>
                <w:b w:val="0"/>
                <w:color w:val="auto"/>
                <w:sz w:val="24"/>
                <w:highlight w:val="none"/>
              </w:rPr>
              <w:t>（以本项目网上招投标系统解密倒计时为准）</w:t>
            </w:r>
          </w:p>
        </w:tc>
      </w:tr>
      <w:tr w14:paraId="1ACA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8EFE95">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74" w:type="pct"/>
            <w:vAlign w:val="center"/>
          </w:tcPr>
          <w:p w14:paraId="0EA89FF6">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244" w:type="pct"/>
            <w:vAlign w:val="center"/>
          </w:tcPr>
          <w:p w14:paraId="5AC4D312">
            <w:pPr>
              <w:pStyle w:val="51"/>
              <w:widowControl w:val="0"/>
              <w:spacing w:before="0" w:beforeAutospacing="0" w:after="0" w:afterAutospacing="0"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4A03E802">
            <w:pPr>
              <w:pStyle w:val="51"/>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7DF9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CD8ED7B">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1174" w:type="pct"/>
            <w:vAlign w:val="center"/>
          </w:tcPr>
          <w:p w14:paraId="35109F38">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244" w:type="pct"/>
            <w:vAlign w:val="center"/>
          </w:tcPr>
          <w:p w14:paraId="23A018AA">
            <w:pPr>
              <w:pStyle w:val="51"/>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color w:val="auto"/>
                <w:sz w:val="24"/>
                <w:highlight w:val="none"/>
                <w:u w:val="none"/>
              </w:rPr>
              <w:t>最低评标价法</w:t>
            </w:r>
          </w:p>
          <w:p w14:paraId="1D653887">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highlight w:val="none"/>
                <w:u w:val="none"/>
              </w:rPr>
              <w:t>综合评分法</w:t>
            </w:r>
          </w:p>
        </w:tc>
      </w:tr>
      <w:tr w14:paraId="5BC8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366B0B9">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.3</w:t>
            </w:r>
          </w:p>
        </w:tc>
        <w:tc>
          <w:tcPr>
            <w:tcW w:w="1174" w:type="pct"/>
            <w:vAlign w:val="center"/>
          </w:tcPr>
          <w:p w14:paraId="62A0E72B">
            <w:pPr>
              <w:pStyle w:val="51"/>
              <w:widowControl w:val="0"/>
              <w:spacing w:before="0" w:beforeAutospacing="0" w:after="0" w:afterAutospacing="0" w:line="360" w:lineRule="auto"/>
              <w:jc w:val="both"/>
              <w:rPr>
                <w:rFonts w:hint="eastAsia" w:ascii="宋体" w:hAnsi="宋体" w:eastAsia="宋体" w:cs="宋体"/>
                <w:b w:val="0"/>
                <w:i/>
                <w:color w:val="auto"/>
                <w:sz w:val="24"/>
                <w:highlight w:val="none"/>
              </w:rPr>
            </w:pPr>
            <w:r>
              <w:rPr>
                <w:rFonts w:hint="eastAsia" w:ascii="宋体" w:hAnsi="宋体" w:eastAsia="宋体" w:cs="宋体"/>
                <w:b w:val="0"/>
                <w:color w:val="auto"/>
                <w:sz w:val="24"/>
                <w:highlight w:val="none"/>
              </w:rPr>
              <w:t>报价扣除</w:t>
            </w:r>
          </w:p>
        </w:tc>
        <w:tc>
          <w:tcPr>
            <w:tcW w:w="3244" w:type="pct"/>
            <w:vAlign w:val="center"/>
          </w:tcPr>
          <w:p w14:paraId="0D671CD6">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lang w:val="en-US" w:eastAsia="zh-CN"/>
              </w:rPr>
              <w:t>对小型和微型企业产品的价格给予10%的扣除后参与评审；其评审价=投标报价*90%</w:t>
            </w:r>
            <w:r>
              <w:rPr>
                <w:rFonts w:hint="eastAsia" w:ascii="宋体" w:hAnsi="宋体" w:eastAsia="宋体" w:cs="宋体"/>
                <w:b w:val="0"/>
                <w:color w:val="auto"/>
                <w:sz w:val="24"/>
                <w:highlight w:val="none"/>
              </w:rPr>
              <w:t>。</w:t>
            </w:r>
          </w:p>
          <w:p w14:paraId="7082A6C4">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12A47A2A">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42E026D4">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cs="宋体"/>
                <w:b w:val="0"/>
                <w:color w:val="auto"/>
                <w:sz w:val="24"/>
                <w:highlight w:val="none"/>
              </w:rPr>
              <w:t>。</w:t>
            </w:r>
          </w:p>
          <w:p w14:paraId="0742C6F1">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 w:val="0"/>
                <w:color w:val="auto"/>
                <w:sz w:val="24"/>
                <w:highlight w:val="none"/>
                <w:u w:val="single"/>
                <w:lang w:val="en-US" w:eastAsia="zh-CN"/>
              </w:rPr>
              <w:t>允许大中型企业向一家或者多家小微企业分包的，对于分包意向协议约定小微企业的合同份额占到合同总金额30%以上的，给予大中型企业的投标报价按照4%标准扣除后的价格参与评审；其评审价=投标报价*96%</w:t>
            </w:r>
            <w:r>
              <w:rPr>
                <w:rFonts w:hint="eastAsia" w:ascii="宋体" w:hAnsi="宋体" w:eastAsia="宋体" w:cs="宋体"/>
                <w:b w:val="0"/>
                <w:color w:val="auto"/>
                <w:sz w:val="24"/>
                <w:highlight w:val="none"/>
              </w:rPr>
              <w:t>。</w:t>
            </w:r>
            <w:r>
              <w:rPr>
                <w:rFonts w:hint="eastAsia" w:ascii="宋体" w:hAnsi="宋体" w:eastAsia="宋体" w:cs="宋体"/>
                <w:b w:val="0"/>
                <w:i/>
                <w:color w:val="auto"/>
                <w:sz w:val="24"/>
                <w:highlight w:val="none"/>
              </w:rPr>
              <w:t>（允许大中型企业向小微企业分包的项目适用）</w:t>
            </w:r>
          </w:p>
        </w:tc>
      </w:tr>
      <w:tr w14:paraId="38E9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691EDB2">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74" w:type="pct"/>
            <w:vAlign w:val="center"/>
          </w:tcPr>
          <w:p w14:paraId="270D22C1">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244" w:type="pct"/>
            <w:vAlign w:val="center"/>
          </w:tcPr>
          <w:p w14:paraId="3FEE8192">
            <w:pPr>
              <w:pStyle w:val="51"/>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评标委员会推荐</w:t>
            </w:r>
            <w:r>
              <w:rPr>
                <w:rFonts w:hint="eastAsia" w:ascii="宋体" w:hAnsi="宋体" w:eastAsia="宋体" w:cs="宋体"/>
                <w:b w:val="0"/>
                <w:color w:val="auto"/>
                <w:sz w:val="24"/>
                <w:highlight w:val="none"/>
                <w:lang w:val="en-US" w:eastAsia="zh-CN"/>
              </w:rPr>
              <w:t>3</w:t>
            </w:r>
            <w:r>
              <w:rPr>
                <w:rFonts w:hint="eastAsia" w:ascii="宋体" w:hAnsi="宋体" w:eastAsia="宋体" w:cs="宋体"/>
                <w:b w:val="0"/>
                <w:color w:val="auto"/>
                <w:sz w:val="24"/>
                <w:highlight w:val="none"/>
              </w:rPr>
              <w:t>名中标候选人</w:t>
            </w:r>
          </w:p>
        </w:tc>
      </w:tr>
      <w:tr w14:paraId="4337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29B45B">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1174" w:type="pct"/>
            <w:vAlign w:val="center"/>
          </w:tcPr>
          <w:p w14:paraId="6919D810">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244" w:type="pct"/>
            <w:vAlign w:val="center"/>
          </w:tcPr>
          <w:p w14:paraId="115C84A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170A2FD0">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采购人确定</w:t>
            </w:r>
          </w:p>
        </w:tc>
      </w:tr>
      <w:tr w14:paraId="1FA9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5B2B089">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.3</w:t>
            </w:r>
          </w:p>
        </w:tc>
        <w:tc>
          <w:tcPr>
            <w:tcW w:w="1174" w:type="pct"/>
            <w:vAlign w:val="center"/>
          </w:tcPr>
          <w:p w14:paraId="1DDE1FCA">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w:t>
            </w:r>
            <w:r>
              <w:rPr>
                <w:rFonts w:hint="eastAsia" w:ascii="宋体" w:hAnsi="宋体" w:eastAsia="宋体" w:cs="宋体"/>
                <w:b w:val="0"/>
                <w:color w:val="auto"/>
                <w:sz w:val="24"/>
                <w:highlight w:val="none"/>
                <w:lang w:val="en-US" w:eastAsia="zh-CN"/>
              </w:rPr>
              <w:t>公告</w:t>
            </w:r>
            <w:r>
              <w:rPr>
                <w:rFonts w:hint="eastAsia" w:ascii="宋体" w:hAnsi="宋体" w:eastAsia="宋体" w:cs="宋体"/>
                <w:b w:val="0"/>
                <w:color w:val="auto"/>
                <w:sz w:val="24"/>
                <w:highlight w:val="none"/>
              </w:rPr>
              <w:t>的内容</w:t>
            </w:r>
          </w:p>
        </w:tc>
        <w:tc>
          <w:tcPr>
            <w:tcW w:w="3244" w:type="pct"/>
            <w:vAlign w:val="center"/>
          </w:tcPr>
          <w:p w14:paraId="7BD77D71">
            <w:pPr>
              <w:pStyle w:val="51"/>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1</w:t>
            </w:r>
            <w:r>
              <w:rPr>
                <w:rFonts w:hint="eastAsia" w:ascii="宋体" w:hAnsi="宋体" w:eastAsia="宋体" w:cs="宋体"/>
                <w:b w:val="0"/>
                <w:color w:val="auto"/>
                <w:sz w:val="24"/>
                <w:highlight w:val="none"/>
                <w:u w:val="none"/>
              </w:rPr>
              <w:t>）中小企业声明函；</w:t>
            </w:r>
            <w:r>
              <w:rPr>
                <w:rFonts w:hint="eastAsia" w:ascii="宋体" w:hAnsi="宋体" w:eastAsia="宋体" w:cs="宋体"/>
                <w:b w:val="0"/>
                <w:i/>
                <w:iCs/>
                <w:color w:val="auto"/>
                <w:sz w:val="24"/>
                <w:highlight w:val="none"/>
                <w:u w:val="none"/>
              </w:rPr>
              <w:t>（如有）</w:t>
            </w:r>
          </w:p>
          <w:p w14:paraId="5C6408DE">
            <w:pPr>
              <w:pStyle w:val="51"/>
              <w:widowControl w:val="0"/>
              <w:spacing w:before="0" w:beforeAutospacing="0" w:after="0" w:afterAutospacing="0" w:line="360" w:lineRule="auto"/>
              <w:jc w:val="both"/>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31A2F6F3">
            <w:pPr>
              <w:pStyle w:val="51"/>
              <w:widowControl w:val="0"/>
              <w:spacing w:before="0" w:beforeAutospacing="0" w:after="0" w:afterAutospacing="0" w:line="360" w:lineRule="auto"/>
              <w:jc w:val="both"/>
              <w:rPr>
                <w:rFonts w:hint="eastAsia" w:ascii="宋体" w:hAnsi="宋体" w:eastAsia="宋体" w:cs="宋体"/>
                <w:b w:val="0"/>
                <w:i/>
                <w:iCs/>
                <w:color w:val="auto"/>
                <w:sz w:val="24"/>
                <w:highlight w:val="none"/>
                <w:u w:val="none"/>
                <w:lang w:eastAsia="zh-CN"/>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成交</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供应商的评审总得分</w:t>
            </w:r>
            <w:r>
              <w:rPr>
                <w:rFonts w:hint="eastAsia" w:ascii="宋体" w:hAnsi="宋体" w:eastAsia="宋体" w:cs="宋体"/>
                <w:b w:val="0"/>
                <w:color w:val="auto"/>
                <w:sz w:val="24"/>
                <w:highlight w:val="none"/>
                <w:u w:val="none"/>
                <w:lang w:eastAsia="zh-CN"/>
              </w:rPr>
              <w:t>；</w:t>
            </w:r>
          </w:p>
          <w:p w14:paraId="0B8C6E74">
            <w:pPr>
              <w:pStyle w:val="51"/>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lang w:val="en-US" w:eastAsia="zh-CN"/>
              </w:rPr>
              <w:t>4</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u w:val="none"/>
                <w:lang w:val="en-US" w:eastAsia="zh-CN"/>
              </w:rPr>
              <w:t>中标（成交）供应商的分项报价清单。</w:t>
            </w:r>
          </w:p>
        </w:tc>
      </w:tr>
      <w:tr w14:paraId="7E29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721E16D">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74" w:type="pct"/>
            <w:vAlign w:val="center"/>
          </w:tcPr>
          <w:p w14:paraId="760D2592">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244" w:type="pct"/>
            <w:vAlign w:val="center"/>
          </w:tcPr>
          <w:p w14:paraId="55C03CAF">
            <w:pPr>
              <w:pStyle w:val="51"/>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77C9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7E7BD8">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1174" w:type="pct"/>
            <w:vAlign w:val="center"/>
          </w:tcPr>
          <w:p w14:paraId="45206F6C">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244" w:type="pct"/>
            <w:vAlign w:val="center"/>
          </w:tcPr>
          <w:p w14:paraId="35A8DE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7305688E">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69BC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085A5D8B">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1174" w:type="pct"/>
            <w:vAlign w:val="center"/>
          </w:tcPr>
          <w:p w14:paraId="67BB7422">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244" w:type="pct"/>
          </w:tcPr>
          <w:p w14:paraId="2E25EE5A">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23BC4878">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□免收</w:t>
            </w:r>
          </w:p>
          <w:p w14:paraId="2C7DA204">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kern w:val="0"/>
                <w:sz w:val="24"/>
                <w:szCs w:val="28"/>
                <w:highlight w:val="none"/>
                <w:u w:val="single"/>
                <w:lang w:val="en-US" w:eastAsia="zh-CN"/>
              </w:rPr>
              <w:t>2.5</w:t>
            </w:r>
            <w:r>
              <w:rPr>
                <w:rFonts w:hint="eastAsia" w:ascii="宋体" w:hAnsi="宋体" w:eastAsia="宋体" w:cs="宋体"/>
                <w:bCs/>
                <w:color w:val="auto"/>
                <w:kern w:val="0"/>
                <w:sz w:val="24"/>
                <w:szCs w:val="28"/>
                <w:highlight w:val="none"/>
              </w:rPr>
              <w:t>%</w:t>
            </w:r>
          </w:p>
          <w:p w14:paraId="1FF815CD">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元</w:t>
            </w:r>
          </w:p>
          <w:p w14:paraId="7145F7F7">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02C33750">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保函</w:t>
            </w:r>
          </w:p>
          <w:p w14:paraId="1680D34E">
            <w:pPr>
              <w:numPr>
                <w:ilvl w:val="0"/>
                <w:numId w:val="0"/>
              </w:num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3</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收取单位：</w:t>
            </w:r>
            <w:r>
              <w:rPr>
                <w:rFonts w:hint="eastAsia" w:ascii="宋体" w:hAnsi="宋体" w:eastAsia="宋体" w:cs="宋体"/>
                <w:bCs/>
                <w:color w:val="auto"/>
                <w:kern w:val="0"/>
                <w:sz w:val="24"/>
                <w:szCs w:val="28"/>
                <w:highlight w:val="none"/>
                <w:u w:val="single"/>
                <w:lang w:val="en-US" w:eastAsia="zh-CN"/>
              </w:rPr>
              <w:t>另行通知</w:t>
            </w:r>
            <w:r>
              <w:rPr>
                <w:rFonts w:hint="eastAsia" w:ascii="宋体" w:hAnsi="宋体" w:eastAsia="宋体" w:cs="宋体"/>
                <w:bCs/>
                <w:color w:val="auto"/>
                <w:kern w:val="0"/>
                <w:sz w:val="24"/>
                <w:szCs w:val="28"/>
                <w:highlight w:val="none"/>
              </w:rPr>
              <w:t xml:space="preserve">              </w:t>
            </w:r>
          </w:p>
          <w:p w14:paraId="4772F452">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val="en-US" w:eastAsia="zh-CN"/>
              </w:rPr>
              <w:t>（4）收取账号：</w:t>
            </w:r>
            <w:r>
              <w:rPr>
                <w:rFonts w:hint="eastAsia" w:ascii="宋体" w:hAnsi="宋体" w:eastAsia="宋体" w:cs="宋体"/>
                <w:bCs/>
                <w:color w:val="auto"/>
                <w:kern w:val="0"/>
                <w:sz w:val="24"/>
                <w:szCs w:val="28"/>
                <w:highlight w:val="none"/>
                <w:u w:val="single"/>
                <w:lang w:val="en-US" w:eastAsia="zh-CN"/>
              </w:rPr>
              <w:t>另行通知</w:t>
            </w:r>
          </w:p>
          <w:p w14:paraId="6310F40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szCs w:val="28"/>
                <w:highlight w:val="none"/>
              </w:rPr>
              <w:t>（</w:t>
            </w:r>
            <w:r>
              <w:rPr>
                <w:rFonts w:hint="eastAsia" w:ascii="宋体" w:hAnsi="宋体" w:eastAsia="宋体" w:cs="宋体"/>
                <w:bCs/>
                <w:color w:val="auto"/>
                <w:kern w:val="0"/>
                <w:sz w:val="24"/>
                <w:szCs w:val="28"/>
                <w:highlight w:val="none"/>
                <w:lang w:val="en-US" w:eastAsia="zh-CN"/>
              </w:rPr>
              <w:t>5</w:t>
            </w:r>
            <w:r>
              <w:rPr>
                <w:rFonts w:hint="eastAsia" w:ascii="宋体" w:hAnsi="宋体" w:eastAsia="宋体" w:cs="宋体"/>
                <w:bCs/>
                <w:color w:val="auto"/>
                <w:kern w:val="0"/>
                <w:sz w:val="24"/>
                <w:szCs w:val="28"/>
                <w:highlight w:val="none"/>
              </w:rPr>
              <w:t>）退还时间：①采用银行转账方式：政府采购验收合格后，一次性退还；②采用支票、汇票、本票、保函等方式：有效期为自合同签订之日起至</w:t>
            </w:r>
            <w:r>
              <w:rPr>
                <w:rFonts w:hint="eastAsia" w:ascii="宋体" w:hAnsi="宋体" w:eastAsia="宋体" w:cs="宋体"/>
                <w:bCs/>
                <w:color w:val="auto"/>
                <w:kern w:val="0"/>
                <w:sz w:val="24"/>
                <w:szCs w:val="28"/>
                <w:highlight w:val="none"/>
                <w:lang w:val="en-US" w:eastAsia="zh-CN"/>
              </w:rPr>
              <w:t>本项目验收合格之日</w:t>
            </w:r>
            <w:r>
              <w:rPr>
                <w:rFonts w:hint="eastAsia" w:ascii="宋体" w:hAnsi="宋体" w:eastAsia="宋体" w:cs="宋体"/>
                <w:bCs/>
                <w:color w:val="auto"/>
                <w:kern w:val="0"/>
                <w:sz w:val="24"/>
                <w:szCs w:val="28"/>
                <w:highlight w:val="none"/>
              </w:rPr>
              <w:t>止。</w:t>
            </w:r>
          </w:p>
          <w:p w14:paraId="49455D2C">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3F1D88B5">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053DD15B">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309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4944E9F3">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1174" w:type="pct"/>
            <w:vAlign w:val="center"/>
          </w:tcPr>
          <w:p w14:paraId="50AC922B">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签订合同和合同公告时间</w:t>
            </w:r>
          </w:p>
        </w:tc>
        <w:tc>
          <w:tcPr>
            <w:tcW w:w="3244" w:type="pct"/>
          </w:tcPr>
          <w:p w14:paraId="7DB95EA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4B23FD1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（2）采购人与中标人不得擅自变更合同，依照政府采购法确需变更政府采购合同内容的，采购人应当自合同变更之日起2个工作日内在安徽省政府采购网和</w:t>
            </w:r>
            <w:r>
              <w:rPr>
                <w:rFonts w:hint="eastAsia" w:ascii="宋体" w:hAnsi="宋体" w:eastAsia="宋体" w:cs="宋体"/>
                <w:highlight w:val="none"/>
                <w:lang w:eastAsia="zh-CN"/>
              </w:rPr>
              <w:t>滁州市公共资源交易中心</w:t>
            </w:r>
            <w:r>
              <w:rPr>
                <w:rFonts w:hint="eastAsia" w:ascii="宋体" w:hAnsi="宋体" w:eastAsia="宋体" w:cs="宋体"/>
                <w:highlight w:val="none"/>
                <w:lang w:val="en-US" w:eastAsia="zh-CN"/>
              </w:rPr>
              <w:t>网</w:t>
            </w:r>
            <w:r>
              <w:rPr>
                <w:rFonts w:hint="eastAsia" w:ascii="宋体" w:hAnsi="宋体" w:eastAsia="宋体" w:cs="宋体"/>
                <w:b w:val="0"/>
                <w:bCs w:val="0"/>
                <w:color w:val="auto"/>
                <w:sz w:val="24"/>
                <w:szCs w:val="24"/>
                <w:highlight w:val="none"/>
                <w:lang w:val="en-US" w:eastAsia="zh-CN"/>
              </w:rPr>
              <w:t>发布政府采购合同变更公告，但涉及国家秘密、商业秘密的信息和其他依法不得公开的信息除外。</w:t>
            </w:r>
          </w:p>
        </w:tc>
      </w:tr>
      <w:tr w14:paraId="553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A36B142">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1174" w:type="pct"/>
            <w:vAlign w:val="center"/>
          </w:tcPr>
          <w:p w14:paraId="2A8CF520">
            <w:pPr>
              <w:pStyle w:val="51"/>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代理费用</w:t>
            </w:r>
          </w:p>
        </w:tc>
        <w:tc>
          <w:tcPr>
            <w:tcW w:w="3244" w:type="pct"/>
            <w:vAlign w:val="center"/>
          </w:tcPr>
          <w:p w14:paraId="0C1946E4">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sz w:val="24"/>
                <w:szCs w:val="24"/>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中标人</w:t>
            </w:r>
          </w:p>
          <w:p w14:paraId="7BF49FDC">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cs="宋体"/>
                <w:bCs/>
                <w:color w:val="auto"/>
                <w:kern w:val="0"/>
                <w:sz w:val="24"/>
                <w:szCs w:val="28"/>
                <w:highlight w:val="none"/>
                <w:lang w:eastAsia="zh-CN"/>
              </w:rPr>
            </w:pPr>
            <w:r>
              <w:rPr>
                <w:rFonts w:hint="eastAsia" w:ascii="宋体" w:hAnsi="宋体" w:eastAsia="宋体" w:cs="宋体"/>
                <w:bCs/>
                <w:color w:val="auto"/>
                <w:kern w:val="0"/>
                <w:sz w:val="24"/>
                <w:szCs w:val="28"/>
                <w:highlight w:val="none"/>
              </w:rPr>
              <w:t>（2）收取方式</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lang w:val="en-US" w:eastAsia="zh-CN"/>
              </w:rPr>
              <w:t>/</w:t>
            </w:r>
          </w:p>
          <w:p w14:paraId="4C99DDF2">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b w:val="0"/>
                <w:bCs w:val="0"/>
                <w:kern w:val="2"/>
                <w:sz w:val="24"/>
                <w:szCs w:val="24"/>
                <w:highlight w:val="none"/>
                <w:u w:val="single" w:color="auto"/>
                <w:lang w:val="en-US" w:eastAsia="zh-CN" w:bidi="ar-SA"/>
              </w:rPr>
              <w:t>按照《滁州市公共资源交易代理机构及从业人员管理暂行办法》滁公管〔2022〕5号，以及补充文件滁公管综〔2023〕19号《关于进一步明确代理费计取标准的通知》标准，以最高限价（控制价）计算。</w:t>
            </w:r>
          </w:p>
        </w:tc>
      </w:tr>
      <w:tr w14:paraId="3CB0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E9895C5">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1174" w:type="pct"/>
            <w:vAlign w:val="center"/>
          </w:tcPr>
          <w:p w14:paraId="41254062">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244" w:type="pct"/>
            <w:vAlign w:val="center"/>
          </w:tcPr>
          <w:p w14:paraId="5305F983">
            <w:pPr>
              <w:pStyle w:val="51"/>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递交方式：</w:t>
            </w:r>
            <w:r>
              <w:rPr>
                <w:rFonts w:hint="eastAsia" w:ascii="宋体" w:hAnsi="宋体" w:eastAsia="宋体" w:cs="宋体"/>
                <w:bCs/>
                <w:color w:val="auto"/>
                <w:kern w:val="0"/>
                <w:sz w:val="24"/>
                <w:szCs w:val="28"/>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r>
              <w:rPr>
                <w:rFonts w:hint="eastAsia" w:ascii="宋体" w:hAnsi="宋体" w:eastAsia="宋体" w:cs="宋体"/>
                <w:bCs/>
                <w:color w:val="auto"/>
                <w:kern w:val="0"/>
                <w:sz w:val="24"/>
                <w:szCs w:val="28"/>
                <w:highlight w:val="none"/>
                <w:u w:val="single"/>
                <w:lang w:eastAsia="zh-CN"/>
              </w:rPr>
              <w:t>；</w:t>
            </w:r>
          </w:p>
          <w:p w14:paraId="4195E793">
            <w:pPr>
              <w:pStyle w:val="51"/>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lang w:eastAsia="zh-CN"/>
              </w:rPr>
            </w:pPr>
            <w:r>
              <w:rPr>
                <w:rFonts w:hint="eastAsia" w:ascii="宋体" w:hAnsi="宋体" w:eastAsia="宋体" w:cs="宋体"/>
                <w:b w:val="0"/>
                <w:color w:val="auto"/>
                <w:sz w:val="24"/>
                <w:highlight w:val="none"/>
              </w:rPr>
              <w:t>接收部门：</w:t>
            </w:r>
            <w:r>
              <w:rPr>
                <w:rFonts w:hint="eastAsia" w:ascii="宋体" w:hAnsi="宋体" w:eastAsia="宋体" w:cs="宋体"/>
                <w:bCs/>
                <w:color w:val="auto"/>
                <w:kern w:val="0"/>
                <w:sz w:val="24"/>
                <w:szCs w:val="28"/>
                <w:highlight w:val="none"/>
                <w:u w:val="single"/>
                <w:lang w:eastAsia="zh-CN"/>
              </w:rPr>
              <w:t xml:space="preserve">滁州市数据资源管理局 </w:t>
            </w:r>
            <w:r>
              <w:rPr>
                <w:rFonts w:hint="eastAsia" w:ascii="宋体" w:hAnsi="宋体" w:eastAsia="宋体" w:cs="宋体"/>
                <w:bCs/>
                <w:color w:val="auto"/>
                <w:kern w:val="0"/>
                <w:sz w:val="24"/>
                <w:szCs w:val="28"/>
                <w:highlight w:val="none"/>
                <w:u w:val="single"/>
              </w:rPr>
              <w:t>、</w:t>
            </w:r>
            <w:r>
              <w:rPr>
                <w:rFonts w:hint="eastAsia" w:ascii="宋体" w:hAnsi="宋体" w:eastAsia="宋体" w:cs="宋体"/>
                <w:bCs/>
                <w:color w:val="auto"/>
                <w:kern w:val="0"/>
                <w:sz w:val="24"/>
                <w:szCs w:val="28"/>
                <w:highlight w:val="none"/>
                <w:u w:val="single"/>
                <w:lang w:eastAsia="zh-CN"/>
              </w:rPr>
              <w:t>滁州市政府采购中心；</w:t>
            </w:r>
          </w:p>
          <w:p w14:paraId="2BC953F8">
            <w:pPr>
              <w:pStyle w:val="51"/>
              <w:widowControl w:val="0"/>
              <w:spacing w:before="0" w:beforeAutospacing="0" w:after="0" w:afterAutospacing="0" w:line="360" w:lineRule="auto"/>
              <w:jc w:val="both"/>
              <w:rPr>
                <w:rFonts w:hint="eastAsia" w:ascii="宋体" w:hAnsi="宋体" w:eastAsia="宋体" w:cs="宋体"/>
                <w:bCs/>
                <w:color w:val="auto"/>
                <w:kern w:val="0"/>
                <w:sz w:val="24"/>
                <w:szCs w:val="28"/>
                <w:highlight w:val="none"/>
                <w:u w:val="single"/>
              </w:rPr>
            </w:pPr>
            <w:r>
              <w:rPr>
                <w:rFonts w:hint="eastAsia" w:ascii="宋体" w:hAnsi="宋体" w:eastAsia="宋体" w:cs="宋体"/>
                <w:b w:val="0"/>
                <w:color w:val="auto"/>
                <w:sz w:val="24"/>
                <w:highlight w:val="none"/>
              </w:rPr>
              <w:t>联系电话：</w:t>
            </w:r>
            <w:r>
              <w:rPr>
                <w:rFonts w:hint="eastAsia" w:ascii="宋体" w:hAnsi="宋体" w:eastAsia="宋体" w:cs="宋体"/>
                <w:bCs/>
                <w:color w:val="auto"/>
                <w:kern w:val="0"/>
                <w:sz w:val="24"/>
                <w:szCs w:val="28"/>
                <w:highlight w:val="none"/>
                <w:u w:val="single"/>
                <w:lang w:val="en-US" w:eastAsia="zh-CN"/>
              </w:rPr>
              <w:t>0550-3518563</w:t>
            </w:r>
            <w:r>
              <w:rPr>
                <w:rFonts w:hint="eastAsia" w:ascii="宋体" w:hAnsi="宋体" w:eastAsia="宋体" w:cs="宋体"/>
                <w:bCs/>
                <w:color w:val="auto"/>
                <w:kern w:val="0"/>
                <w:sz w:val="24"/>
                <w:szCs w:val="28"/>
                <w:highlight w:val="none"/>
                <w:u w:val="single"/>
                <w:lang w:eastAsia="zh-CN"/>
              </w:rPr>
              <w:t>、0550-3519519、18005505728；</w:t>
            </w:r>
          </w:p>
          <w:p w14:paraId="2F078F94">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bCs/>
                <w:color w:val="auto"/>
                <w:kern w:val="0"/>
                <w:sz w:val="24"/>
                <w:szCs w:val="28"/>
                <w:highlight w:val="none"/>
                <w:u w:val="single"/>
                <w:lang w:eastAsia="zh-CN"/>
              </w:rPr>
              <w:t>滁州市龙蟠大道99号</w:t>
            </w:r>
            <w:r>
              <w:rPr>
                <w:rFonts w:hint="eastAsia" w:ascii="宋体" w:hAnsi="宋体" w:eastAsia="宋体" w:cs="宋体"/>
                <w:bCs/>
                <w:color w:val="auto"/>
                <w:kern w:val="0"/>
                <w:sz w:val="24"/>
                <w:szCs w:val="28"/>
                <w:highlight w:val="none"/>
                <w:u w:val="single"/>
              </w:rPr>
              <w:t>、</w:t>
            </w:r>
            <w:r>
              <w:rPr>
                <w:rFonts w:hint="eastAsia" w:ascii="宋体" w:hAnsi="宋体" w:eastAsia="宋体" w:cs="宋体"/>
                <w:bCs/>
                <w:color w:val="auto"/>
                <w:kern w:val="0"/>
                <w:sz w:val="24"/>
                <w:szCs w:val="28"/>
                <w:highlight w:val="none"/>
                <w:u w:val="single"/>
                <w:lang w:eastAsia="zh-CN"/>
              </w:rPr>
              <w:t>滁州市龙蟠大道109号房产大厦</w:t>
            </w:r>
            <w:r>
              <w:rPr>
                <w:rFonts w:hint="eastAsia" w:ascii="宋体" w:hAnsi="宋体" w:eastAsia="宋体" w:cs="宋体"/>
                <w:bCs/>
                <w:color w:val="auto"/>
                <w:kern w:val="0"/>
                <w:sz w:val="24"/>
                <w:szCs w:val="28"/>
                <w:highlight w:val="none"/>
                <w:u w:val="single"/>
                <w:lang w:val="en-US" w:eastAsia="zh-CN"/>
              </w:rPr>
              <w:t>二</w:t>
            </w:r>
            <w:r>
              <w:rPr>
                <w:rFonts w:hint="eastAsia" w:ascii="宋体" w:hAnsi="宋体" w:eastAsia="宋体" w:cs="宋体"/>
                <w:bCs/>
                <w:color w:val="auto"/>
                <w:kern w:val="0"/>
                <w:sz w:val="24"/>
                <w:szCs w:val="28"/>
                <w:highlight w:val="none"/>
                <w:u w:val="single"/>
                <w:lang w:eastAsia="zh-CN"/>
              </w:rPr>
              <w:t>楼。</w:t>
            </w:r>
          </w:p>
        </w:tc>
      </w:tr>
      <w:tr w14:paraId="1ABA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CA0CE3">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32</w:t>
            </w:r>
          </w:p>
        </w:tc>
        <w:tc>
          <w:tcPr>
            <w:tcW w:w="1174" w:type="pct"/>
            <w:vAlign w:val="center"/>
          </w:tcPr>
          <w:p w14:paraId="0CDBDAF3">
            <w:pPr>
              <w:pStyle w:val="51"/>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3244" w:type="pct"/>
            <w:vAlign w:val="center"/>
          </w:tcPr>
          <w:p w14:paraId="2A620EB6">
            <w:pPr>
              <w:pStyle w:val="51"/>
              <w:widowControl w:val="0"/>
              <w:numPr>
                <w:ilvl w:val="0"/>
                <w:numId w:val="0"/>
              </w:numPr>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1.解释权：</w:t>
            </w:r>
          </w:p>
          <w:p w14:paraId="712EB0A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626F5E0F">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2A055C3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3051FD5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4A43DD71">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4BB6E57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03118E76">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62D4B213">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u w:val="none"/>
                <w:lang w:val="en-US" w:eastAsia="zh-CN" w:bidi="ar-SA"/>
              </w:rPr>
              <w:t>部分可提供线下政采贷的金融机构：</w:t>
            </w:r>
          </w:p>
          <w:p w14:paraId="38FC07F9">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市本级</w:t>
            </w:r>
          </w:p>
          <w:p w14:paraId="08867087">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金融机构名称：兴业银行滁州分行</w:t>
            </w:r>
          </w:p>
          <w:p w14:paraId="3AC11F11">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安徽省滁州市琅琊区丰乐大道1090号</w:t>
            </w:r>
          </w:p>
          <w:p w14:paraId="0183102B">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伏庚：17755080811。</w:t>
            </w:r>
          </w:p>
          <w:p w14:paraId="6C04D839">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5.特别提示：</w:t>
            </w:r>
          </w:p>
          <w:p w14:paraId="2506B927">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（1）投标人应填写投标信息并下载招标文件，否则无法上传投标文件。</w:t>
            </w:r>
          </w:p>
          <w:p w14:paraId="12708A9F">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注：投标人如为联合体的，牵头人必须完善投标人信息，并在上传投标文件环节添加联合体投标信息。</w:t>
            </w:r>
          </w:p>
          <w:p w14:paraId="0F8F3060">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1FC52CAA">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（3）如果过程中出现招标文件更改，应以最后发布的招标答疑澄清文件中的模板制作本项目最新投标文件。</w:t>
            </w:r>
          </w:p>
          <w:p w14:paraId="70D0508F">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 xml:space="preserve">（4）投标人应当用本单位CA数字证书制作投标文件，制作成功后进行投标文件上传。 </w:t>
            </w:r>
          </w:p>
          <w:p w14:paraId="76513FA8">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76035753">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（6）请投标人注意加密投标文件CA数字证书的有效期，不在有效期的CA数字证书无法解密投标文件。</w:t>
            </w:r>
          </w:p>
          <w:p w14:paraId="4CB4074A">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（7）投标人投标MAC地址或投标人联系人或联系电话相同的，由评标委员会否决其投标，并报告监管部门作不良行为处理和进一步调查。</w:t>
            </w:r>
          </w:p>
          <w:p w14:paraId="1B0F97D3">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（8）投标人单方面出现其他投标人材料的，由评标委员会否决其投标。</w:t>
            </w:r>
          </w:p>
          <w:p w14:paraId="4237E57D">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10E8282F">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4F5BACE5">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6.评标过程中的澄清、说明或补正：</w:t>
            </w:r>
          </w:p>
          <w:p w14:paraId="0D06539D">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（1）评标委员会通过网上招投标系统将需要澄清、说明或补正的内容以询标函的形式发送给投标人，投标人应安排专人登录网上招投标系统并保持在线状态，以便及时接收评标委员会可能发出的询标函。</w:t>
            </w:r>
          </w:p>
          <w:p w14:paraId="1FD29609">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50414E57">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7.同义词语：</w:t>
            </w:r>
          </w:p>
          <w:p w14:paraId="7EEABA6F">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招标文件第六章  投标文件格式、附件1“关于联合惩戒失信行为 加强信用查询管理的通知”等章节中 “招标人”、“供应商”，等同于“采购人”、“投标人”。</w:t>
            </w:r>
          </w:p>
          <w:p w14:paraId="6C96367E">
            <w:pPr>
              <w:pStyle w:val="51"/>
              <w:widowControl w:val="0"/>
              <w:numPr>
                <w:ilvl w:val="0"/>
                <w:numId w:val="2"/>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落实政府采购支持节能产品、环境标志产品政策。</w:t>
            </w:r>
          </w:p>
          <w:p w14:paraId="093ADCD2">
            <w:pPr>
              <w:pStyle w:val="5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9.系统中提供的表格与招标文件中不一致时，以招标文件中提供的表格格式为准。</w:t>
            </w:r>
          </w:p>
        </w:tc>
      </w:tr>
    </w:tbl>
    <w:p w14:paraId="75CDD18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8" w:name="_Toc14880"/>
      <w:bookmarkStart w:id="9" w:name="_Toc24882"/>
      <w:r>
        <w:rPr>
          <w:rFonts w:hint="eastAsia" w:ascii="宋体" w:hAnsi="宋体" w:eastAsia="宋体" w:cs="宋体"/>
          <w:b/>
          <w:color w:val="auto"/>
          <w:sz w:val="24"/>
          <w:szCs w:val="24"/>
          <w:highlight w:val="none"/>
        </w:rPr>
        <w:t>二、投标人须知正文</w:t>
      </w:r>
      <w:bookmarkEnd w:id="8"/>
      <w:bookmarkEnd w:id="9"/>
    </w:p>
    <w:p w14:paraId="0D42F5C3">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3F0899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4D6E42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2B314ED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2282A8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0E7B4E9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41859A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5F39AD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6551D7E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FE7D39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4A1ECC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0096DFA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03854D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42C1CE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73FDBD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65A718F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63084FD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427C5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63243C7">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330F31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45FB42B8">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1E163D5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70FFFE94">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6C7EDEE5">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本项目本级和上级财政部门、政府采购监督管理部门的政府采购有关规定的约束，其权利受到上述法律法规的保护。</w:t>
      </w:r>
    </w:p>
    <w:p w14:paraId="3B52EE59">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5.招标文件构成</w:t>
      </w:r>
    </w:p>
    <w:p w14:paraId="1B50FB2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76B1FDB2">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567F932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3F584C0F">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E4F04B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1AE8D45A">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338F34B9">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691D1D6A">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415E67A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57B9A5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324F7EE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如需提供样品，对样品相关要求见采购需求，对样品的评审方法及评审标准见招标文件第四章。</w:t>
      </w:r>
    </w:p>
    <w:p w14:paraId="63D3FA8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投标人应认真阅读招标文件所有的事项、格式、条款和技术规范等。</w:t>
      </w:r>
    </w:p>
    <w:p w14:paraId="7621941D">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6.招标文件的澄清与修改</w:t>
      </w:r>
    </w:p>
    <w:p w14:paraId="1FB4864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6D2937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lang w:eastAsia="zh-CN"/>
        </w:rPr>
        <w:t>滁州市公共资源交易中心</w:t>
      </w:r>
      <w:r>
        <w:rPr>
          <w:rFonts w:hint="eastAsia" w:ascii="宋体" w:hAnsi="宋体" w:eastAsia="宋体" w:cs="宋体"/>
          <w:color w:val="auto"/>
          <w:sz w:val="24"/>
          <w:highlight w:val="none"/>
          <w:lang w:val="en-US" w:eastAsia="zh-CN"/>
        </w:rPr>
        <w:t>网</w:t>
      </w:r>
      <w:r>
        <w:rPr>
          <w:rFonts w:hint="eastAsia" w:ascii="宋体" w:hAnsi="宋体" w:eastAsia="宋体" w:cs="宋体"/>
          <w:color w:val="auto"/>
          <w:sz w:val="24"/>
          <w:highlight w:val="none"/>
        </w:rPr>
        <w:t>以发布更正公告的方式，澄清或修改招标文件，更正公告的内容作为招标文件的组成部分，对投标人起约束作用。投标人应主动上网查询。采购代理机构不承担投标人未及时关注相关信息引发的相关责任。</w:t>
      </w:r>
    </w:p>
    <w:p w14:paraId="20E4730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D1AD414">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44AA43D3">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7.投标范围及投标文件中标准和计量单位的使用</w:t>
      </w:r>
    </w:p>
    <w:p w14:paraId="690161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664A8C9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56A0A0B">
      <w:pPr>
        <w:spacing w:line="360" w:lineRule="auto"/>
        <w:ind w:firstLine="435"/>
        <w:rPr>
          <w:rFonts w:hint="eastAsia" w:ascii="宋体" w:hAnsi="宋体" w:eastAsia="宋体" w:cs="宋体"/>
          <w:color w:val="auto"/>
          <w:sz w:val="24"/>
          <w:highlight w:val="none"/>
        </w:rPr>
      </w:pPr>
      <w:bookmarkStart w:id="10"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.3无论招标文件中是否要求，投标人所投货物及伴随的服务和工程均应符合国家强制性标准。</w:t>
      </w:r>
    </w:p>
    <w:bookmarkEnd w:id="10"/>
    <w:p w14:paraId="6365B2D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559CE50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1995018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4D293CD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1A079DE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11" w:name="_Hlk11703583"/>
      <w:r>
        <w:rPr>
          <w:rFonts w:hint="eastAsia" w:ascii="宋体" w:hAnsi="宋体" w:eastAsia="宋体" w:cs="宋体"/>
          <w:color w:val="auto"/>
          <w:sz w:val="24"/>
          <w:highlight w:val="none"/>
          <w:lang w:val="en-US" w:eastAsia="zh-CN"/>
        </w:rPr>
        <w:t>等。</w:t>
      </w:r>
    </w:p>
    <w:bookmarkEnd w:id="11"/>
    <w:p w14:paraId="6790683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2B1B8AB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726546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01A554F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4F1D8F8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B7107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B6035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44C148D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26250C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4A34791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2E4CAA6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F03836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C346FC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D87747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49CD20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7AEC08E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7CE1FC07">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4CB7985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sz w:val="24"/>
          <w:szCs w:val="24"/>
          <w:highlight w:val="none"/>
        </w:rPr>
        <w:t>各投标人应在</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117DF8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1D25EFB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7706410A">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0F847EA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1EBE154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078ABC3A">
      <w:pPr>
        <w:spacing w:line="360" w:lineRule="auto"/>
        <w:ind w:firstLine="435"/>
        <w:rPr>
          <w:rFonts w:hint="eastAsia" w:ascii="宋体" w:hAnsi="宋体" w:eastAsia="宋体" w:cs="宋体"/>
          <w:color w:val="auto"/>
          <w:sz w:val="24"/>
          <w:szCs w:val="24"/>
          <w:highlight w:val="none"/>
        </w:rPr>
      </w:pPr>
      <w:bookmarkStart w:id="12"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D1BF26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0AAC5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2"/>
    <w:p w14:paraId="1D2DA500">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2CA8A11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09D591C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7DBAA04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.2如一个分包内只有一种产品，不同投标人所投产品为同一品牌的，按如下方式处理：</w:t>
      </w:r>
    </w:p>
    <w:p w14:paraId="286CF6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2C026D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51AEFB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.3如一个分包内包含多种产品的，采购人或采购代理机构将在</w:t>
      </w:r>
      <w:r>
        <w:rPr>
          <w:rFonts w:hint="eastAsia" w:ascii="宋体" w:hAnsi="宋体" w:eastAsia="宋体" w:cs="宋体"/>
          <w:color w:val="auto"/>
          <w:sz w:val="24"/>
          <w:highlight w:val="none"/>
          <w:u w:val="none"/>
          <w:lang w:val="en-US" w:eastAsia="zh-CN"/>
        </w:rPr>
        <w:t>采购需求</w:t>
      </w:r>
      <w:r>
        <w:rPr>
          <w:rFonts w:hint="eastAsia" w:ascii="宋体" w:hAnsi="宋体" w:eastAsia="宋体" w:cs="宋体"/>
          <w:color w:val="auto"/>
          <w:sz w:val="24"/>
          <w:highlight w:val="none"/>
          <w:u w:val="none"/>
        </w:rPr>
        <w:t>中</w:t>
      </w:r>
      <w:r>
        <w:rPr>
          <w:rFonts w:hint="eastAsia" w:ascii="宋体" w:hAnsi="宋体" w:eastAsia="宋体" w:cs="宋体"/>
          <w:color w:val="auto"/>
          <w:sz w:val="24"/>
          <w:highlight w:val="none"/>
        </w:rPr>
        <w:t>载明核心产品，多家投标人提供的核心产品品牌相同的，按第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.2款规定处理。</w:t>
      </w:r>
    </w:p>
    <w:p w14:paraId="3C9380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.4投标文件的澄清</w:t>
      </w:r>
    </w:p>
    <w:p w14:paraId="0F93EC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62D70C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4F4A20B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4.2投标人的澄清、说明或补正将作为投标文件的一部分。</w:t>
      </w:r>
    </w:p>
    <w:p w14:paraId="415C40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4.3评标委员会对投标人提交的澄清、说明或补正有疑问的，可以要求投标人进一步澄清、说明或补正，直至满足评标委员会的要求。</w:t>
      </w:r>
    </w:p>
    <w:p w14:paraId="1E58CC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5投标文件报价出现前后不一致的，按照下列规定修正：</w:t>
      </w:r>
    </w:p>
    <w:p w14:paraId="2C1F5AD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02BCFB2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2185AB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AEA0B9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9E7C73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515CEA8">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1DFAD1B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7965FAF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6B5494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4AFFF8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2B661C8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4B3A93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6E74328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547485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3511772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5F2271A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2EA783EF">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1B39079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1F65261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234FEE2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1BDAC6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0429CBE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41A0B30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2787B8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74D8B01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1B3DBDA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6627EB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63CDAE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C36502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02E6AFF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2DD9556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74BDD85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45F1776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5FC3334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189F73C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24F279A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05F3420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4E51AA1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.1评标委员会依据本项目招标文件所约定的评标方法，对实质上响应招标文件的投标人按下列方法进行排序，确定中标候选人：</w:t>
      </w:r>
    </w:p>
    <w:p w14:paraId="3C7C2B0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E920E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0677AC8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003767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6B893B3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09FFAD7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0CB4A86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63C73F5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0D6A3B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6B3C9C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9F72F3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自中标人确定之日起2个工作日内，采购代理机构将在安徽省政府采购网（www.ccgp-anhui.gov.cn）</w:t>
      </w:r>
      <w:r>
        <w:rPr>
          <w:rFonts w:hint="eastAsia" w:ascii="宋体" w:hAnsi="宋体" w:eastAsia="宋体" w:cs="宋体"/>
          <w:color w:val="auto"/>
          <w:sz w:val="24"/>
          <w:szCs w:val="18"/>
          <w:highlight w:val="none"/>
          <w:lang w:val="en-US" w:eastAsia="zh-CN"/>
        </w:rPr>
        <w:t>和</w:t>
      </w:r>
      <w:r>
        <w:rPr>
          <w:rFonts w:hint="eastAsia" w:ascii="宋体" w:hAnsi="宋体" w:eastAsia="宋体" w:cs="宋体"/>
          <w:color w:val="auto"/>
          <w:sz w:val="24"/>
          <w:szCs w:val="18"/>
          <w:highlight w:val="none"/>
          <w:lang w:eastAsia="zh-CN"/>
        </w:rPr>
        <w:t>滁州市公共资源交易中心网（http：//ggzy.chuzhou.gov.cn/）</w:t>
      </w:r>
      <w:r>
        <w:rPr>
          <w:rFonts w:hint="eastAsia" w:ascii="宋体" w:hAnsi="宋体" w:eastAsia="宋体" w:cs="宋体"/>
          <w:color w:val="auto"/>
          <w:sz w:val="24"/>
          <w:szCs w:val="18"/>
          <w:highlight w:val="none"/>
        </w:rPr>
        <w:t>上发布中标结果公告。</w:t>
      </w:r>
    </w:p>
    <w:p w14:paraId="12A3C2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.3中标结果公告内容应当包括采购人及其委托的采购代理机构的名称、地址、联系方式，项目名称和项目编号，中标人名称、地址和中标金额，主要中标标的的名称、规格型号、数量、单价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4E41DA1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5384B8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1F45380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044D81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6BEE331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28F459B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1215123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50C2BB6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3FCE3787">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618CE18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79073C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439BE4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029733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270A06C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70281D39">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4A65CB2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797A5C7F">
      <w:pPr>
        <w:spacing w:line="360" w:lineRule="auto"/>
        <w:ind w:firstLine="437"/>
        <w:outlineLvl w:val="2"/>
        <w:rPr>
          <w:rFonts w:hint="eastAsia" w:ascii="宋体" w:hAnsi="宋体" w:eastAsia="宋体" w:cs="宋体"/>
          <w:b/>
          <w:color w:val="auto"/>
          <w:sz w:val="24"/>
          <w:highlight w:val="none"/>
        </w:rPr>
      </w:pPr>
      <w:bookmarkStart w:id="13" w:name="_Toc518923100"/>
      <w:bookmarkStart w:id="14" w:name="_Toc2583661"/>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13"/>
      <w:bookmarkEnd w:id="14"/>
    </w:p>
    <w:p w14:paraId="5D4ECD2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0A65EB8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2D593D33">
      <w:pPr>
        <w:spacing w:line="360" w:lineRule="auto"/>
        <w:ind w:firstLine="437"/>
        <w:outlineLvl w:val="2"/>
        <w:rPr>
          <w:rFonts w:hint="eastAsia" w:ascii="宋体" w:hAnsi="宋体" w:eastAsia="宋体" w:cs="宋体"/>
          <w:b/>
          <w:color w:val="auto"/>
          <w:sz w:val="24"/>
          <w:highlight w:val="none"/>
        </w:rPr>
      </w:pPr>
      <w:bookmarkStart w:id="15" w:name="_Toc518923101"/>
      <w:bookmarkStart w:id="16" w:name="_Toc2583662"/>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15"/>
      <w:bookmarkEnd w:id="16"/>
    </w:p>
    <w:p w14:paraId="386DF9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0B51F38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1C3A0BA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4099E6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29F97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8BDD4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95D908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32.</w:t>
      </w:r>
      <w:r>
        <w:rPr>
          <w:rFonts w:hint="eastAsia" w:ascii="宋体" w:hAnsi="宋体" w:eastAsia="宋体" w:cs="宋体"/>
          <w:b/>
          <w:color w:val="auto"/>
          <w:sz w:val="24"/>
          <w:highlight w:val="none"/>
        </w:rPr>
        <w:t>投诉</w:t>
      </w:r>
    </w:p>
    <w:p w14:paraId="141BF839">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49956D31">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DB29C8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32.3政府采购监督管理部门在处理投诉事项期间，可以视具体情况书面通知采购人暂停采购活动，但暂停时间最长不得超过30日。</w:t>
      </w:r>
    </w:p>
    <w:p w14:paraId="3B3A3F7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.需要补充的其他内容</w:t>
      </w:r>
    </w:p>
    <w:p w14:paraId="23981E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159C965">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07CD1E28">
      <w:pPr>
        <w:spacing w:line="360" w:lineRule="auto"/>
        <w:jc w:val="center"/>
        <w:outlineLvl w:val="0"/>
        <w:rPr>
          <w:rFonts w:hint="eastAsia" w:ascii="宋体" w:hAnsi="宋体" w:eastAsia="宋体" w:cs="宋体"/>
          <w:b/>
          <w:color w:val="auto"/>
          <w:sz w:val="28"/>
          <w:highlight w:val="none"/>
          <w:lang w:eastAsia="zh-CN"/>
        </w:rPr>
      </w:pPr>
      <w:bookmarkStart w:id="17" w:name="_Toc10891"/>
      <w:r>
        <w:rPr>
          <w:rFonts w:hint="eastAsia" w:ascii="宋体" w:hAnsi="宋体" w:eastAsia="宋体" w:cs="宋体"/>
          <w:b/>
          <w:color w:val="auto"/>
          <w:sz w:val="28"/>
          <w:highlight w:val="none"/>
        </w:rPr>
        <w:t>第三章  采购需求</w:t>
      </w:r>
      <w:bookmarkEnd w:id="17"/>
    </w:p>
    <w:p w14:paraId="5863489E">
      <w:pPr>
        <w:spacing w:line="360" w:lineRule="auto"/>
        <w:rPr>
          <w:rFonts w:hint="eastAsia" w:ascii="宋体" w:hAnsi="宋体" w:eastAsia="宋体" w:cs="宋体"/>
          <w:b/>
          <w:color w:val="auto"/>
          <w:sz w:val="24"/>
          <w:highlight w:val="none"/>
        </w:rPr>
      </w:pPr>
      <w:bookmarkStart w:id="18" w:name="_Toc32151"/>
      <w:bookmarkStart w:id="19" w:name="_Toc2554"/>
      <w:r>
        <w:rPr>
          <w:rFonts w:hint="eastAsia" w:ascii="宋体" w:hAnsi="宋体" w:eastAsia="宋体" w:cs="宋体"/>
          <w:b/>
          <w:color w:val="auto"/>
          <w:sz w:val="24"/>
          <w:highlight w:val="none"/>
        </w:rPr>
        <w:t>前注：</w:t>
      </w:r>
    </w:p>
    <w:p w14:paraId="4F7C93F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7AED561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政府采购政策（包括但不限于下列具体政策要求</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w:t>
      </w:r>
    </w:p>
    <w:p w14:paraId="5C1EE73F">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（1）如属于《节能产品政府采购品目清单》中政府强制采购的节能产品，则在投标文件中提供</w:t>
      </w:r>
      <w:r>
        <w:rPr>
          <w:rFonts w:hint="eastAsia" w:ascii="宋体" w:hAnsi="宋体" w:eastAsia="宋体" w:cs="宋体"/>
          <w:color w:val="auto"/>
          <w:sz w:val="24"/>
          <w:szCs w:val="18"/>
          <w:highlight w:val="none"/>
          <w:lang w:val="en-US" w:eastAsia="zh-CN"/>
        </w:rPr>
        <w:t>所投</w:t>
      </w:r>
      <w:r>
        <w:rPr>
          <w:rFonts w:hint="eastAsia" w:ascii="宋体" w:hAnsi="宋体" w:eastAsia="宋体" w:cs="宋体"/>
          <w:color w:val="auto"/>
          <w:sz w:val="24"/>
          <w:szCs w:val="18"/>
          <w:highlight w:val="none"/>
        </w:rPr>
        <w:t>产品须具有市场监管总局公布的《参与实施政府采购节能产品认证机构目录》中的认证机构出具的、处于有效期内的节能产品认证证书。</w:t>
      </w:r>
    </w:p>
    <w:p w14:paraId="44F1797A">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B4D573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如采购人允许采用分包方式履行合同的，应当明确可以分包履行的相关内容。</w:t>
      </w:r>
    </w:p>
    <w:p w14:paraId="009D1960">
      <w:pPr>
        <w:spacing w:line="360" w:lineRule="auto"/>
        <w:ind w:firstLine="437"/>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一、采购需求前附表</w:t>
      </w:r>
      <w:bookmarkEnd w:id="18"/>
      <w:bookmarkEnd w:id="19"/>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851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0BFB12">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33B4EA34">
            <w:pPr>
              <w:pStyle w:val="51"/>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30909362">
            <w:pPr>
              <w:pStyle w:val="51"/>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2073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C0E6B41">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1F71E9B9">
            <w:pPr>
              <w:pStyle w:val="51"/>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1ABC0CFE">
            <w:pPr>
              <w:pStyle w:val="51"/>
              <w:widowControl w:val="0"/>
              <w:spacing w:before="0" w:beforeAutospacing="0" w:after="0" w:afterAutospacing="0" w:line="360" w:lineRule="auto"/>
              <w:jc w:val="both"/>
              <w:rPr>
                <w:rFonts w:hint="eastAsia"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u w:val="single"/>
              </w:rPr>
              <w:t>合同签订生效并具备实施条件后5个工作日内</w:t>
            </w:r>
            <w:r>
              <w:rPr>
                <w:rFonts w:hint="eastAsia" w:ascii="宋体" w:hAnsi="宋体" w:eastAsia="宋体" w:cs="宋体"/>
                <w:b w:val="0"/>
                <w:color w:val="auto"/>
                <w:sz w:val="24"/>
                <w:highlight w:val="none"/>
                <w:u w:val="single"/>
                <w:lang w:val="en-US" w:eastAsia="zh-CN"/>
              </w:rPr>
              <w:t>支付合同价的40%预付款，供货及安装调试完成后付至合同价的50%，试运行合格后付至合同价的80%，验收合格后付至合同价的100%。</w:t>
            </w:r>
          </w:p>
        </w:tc>
      </w:tr>
      <w:tr w14:paraId="7284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2F41D50">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6DF9F64D">
            <w:pPr>
              <w:pStyle w:val="51"/>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7" w:type="pct"/>
            <w:vAlign w:val="center"/>
          </w:tcPr>
          <w:p w14:paraId="1FB453C8">
            <w:pPr>
              <w:pStyle w:val="5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采购人指定地点</w:t>
            </w:r>
          </w:p>
        </w:tc>
      </w:tr>
      <w:tr w14:paraId="50C4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1C2B061">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15029C85">
            <w:pPr>
              <w:pStyle w:val="51"/>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7" w:type="pct"/>
            <w:vAlign w:val="center"/>
          </w:tcPr>
          <w:p w14:paraId="0799D342">
            <w:pPr>
              <w:pStyle w:val="51"/>
              <w:widowControl w:val="0"/>
              <w:spacing w:before="0" w:beforeAutospacing="0" w:after="0" w:afterAutospacing="0" w:line="360" w:lineRule="auto"/>
              <w:jc w:val="both"/>
              <w:rPr>
                <w:rFonts w:hint="eastAsia"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u w:val="single"/>
                <w:lang w:val="en-US" w:eastAsia="zh-CN"/>
              </w:rPr>
              <w:t>包括建设工期、运维（质保）周期，建设工期需在2024年12月中旬前完成</w:t>
            </w:r>
          </w:p>
        </w:tc>
      </w:tr>
      <w:tr w14:paraId="3A3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72602B">
            <w:pPr>
              <w:pStyle w:val="5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6C5058F8">
            <w:pPr>
              <w:pStyle w:val="51"/>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7" w:type="pct"/>
            <w:vAlign w:val="center"/>
          </w:tcPr>
          <w:p w14:paraId="303D222B">
            <w:pPr>
              <w:pStyle w:val="51"/>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u w:val="single"/>
                <w:lang w:val="en-US" w:eastAsia="zh-CN"/>
              </w:rPr>
              <w:t>项目运维（质保）周期自验收合格之日起至少3年。(本项目部分系统、服务、硬件产品的运维(或质保)期限以货物需求中的服务要求和评标方法中的中标人质保承诺为准。)</w:t>
            </w:r>
          </w:p>
        </w:tc>
      </w:tr>
    </w:tbl>
    <w:p w14:paraId="5202EE21">
      <w:pPr>
        <w:numPr>
          <w:ilvl w:val="0"/>
          <w:numId w:val="3"/>
        </w:numPr>
        <w:spacing w:line="360" w:lineRule="auto"/>
        <w:ind w:firstLine="437"/>
        <w:outlineLvl w:val="1"/>
        <w:rPr>
          <w:rFonts w:hint="eastAsia" w:ascii="宋体" w:hAnsi="宋体" w:eastAsia="宋体" w:cs="宋体"/>
          <w:b/>
          <w:bCs/>
          <w:color w:val="auto"/>
          <w:sz w:val="24"/>
          <w:szCs w:val="18"/>
          <w:highlight w:val="none"/>
        </w:rPr>
      </w:pPr>
      <w:bookmarkStart w:id="20" w:name="_Toc5944"/>
      <w:bookmarkStart w:id="21" w:name="_Toc7671"/>
      <w:r>
        <w:rPr>
          <w:rFonts w:hint="eastAsia" w:ascii="宋体" w:hAnsi="宋体" w:eastAsia="宋体" w:cs="宋体"/>
          <w:b/>
          <w:color w:val="auto"/>
          <w:sz w:val="24"/>
          <w:szCs w:val="18"/>
          <w:highlight w:val="none"/>
        </w:rPr>
        <w:t>货物</w:t>
      </w:r>
      <w:r>
        <w:rPr>
          <w:rFonts w:hint="eastAsia" w:ascii="宋体" w:hAnsi="宋体" w:eastAsia="宋体" w:cs="宋体"/>
          <w:b/>
          <w:bCs/>
          <w:color w:val="auto"/>
          <w:sz w:val="24"/>
          <w:szCs w:val="18"/>
          <w:highlight w:val="none"/>
        </w:rPr>
        <w:t>需求</w:t>
      </w:r>
      <w:bookmarkEnd w:id="20"/>
      <w:bookmarkEnd w:id="21"/>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83"/>
        <w:gridCol w:w="3190"/>
        <w:gridCol w:w="781"/>
        <w:gridCol w:w="759"/>
        <w:gridCol w:w="755"/>
        <w:gridCol w:w="745"/>
        <w:gridCol w:w="566"/>
      </w:tblGrid>
      <w:tr w14:paraId="36B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B66522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77" w:type="pct"/>
            <w:vAlign w:val="center"/>
          </w:tcPr>
          <w:p w14:paraId="460D66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1872" w:type="pct"/>
            <w:vAlign w:val="center"/>
          </w:tcPr>
          <w:p w14:paraId="1EFF74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技术参数及要求</w:t>
            </w:r>
          </w:p>
        </w:tc>
        <w:tc>
          <w:tcPr>
            <w:tcW w:w="458" w:type="pct"/>
            <w:vAlign w:val="center"/>
          </w:tcPr>
          <w:p w14:paraId="686D6C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445" w:type="pct"/>
            <w:vAlign w:val="center"/>
          </w:tcPr>
          <w:p w14:paraId="04EC49E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443" w:type="pct"/>
            <w:vAlign w:val="center"/>
          </w:tcPr>
          <w:p w14:paraId="7AE8EB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w:t>
            </w:r>
          </w:p>
          <w:p w14:paraId="1BDBA9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w:t>
            </w:r>
          </w:p>
        </w:tc>
        <w:tc>
          <w:tcPr>
            <w:tcW w:w="437" w:type="pct"/>
            <w:vAlign w:val="center"/>
          </w:tcPr>
          <w:p w14:paraId="6E7218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是否为核心产品</w:t>
            </w:r>
          </w:p>
        </w:tc>
        <w:tc>
          <w:tcPr>
            <w:tcW w:w="332" w:type="pct"/>
            <w:vAlign w:val="center"/>
          </w:tcPr>
          <w:p w14:paraId="059E48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B9C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3" w:type="pct"/>
            <w:vAlign w:val="center"/>
          </w:tcPr>
          <w:p w14:paraId="23E3926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p>
        </w:tc>
        <w:tc>
          <w:tcPr>
            <w:tcW w:w="4566" w:type="pct"/>
            <w:gridSpan w:val="7"/>
            <w:vAlign w:val="center"/>
          </w:tcPr>
          <w:p w14:paraId="7C549A42">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数据大厦1-3层智能化系统</w:t>
            </w:r>
          </w:p>
        </w:tc>
      </w:tr>
      <w:tr w14:paraId="76B9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3" w:type="pct"/>
            <w:vAlign w:val="center"/>
          </w:tcPr>
          <w:p w14:paraId="0C6858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4566" w:type="pct"/>
            <w:gridSpan w:val="7"/>
            <w:vAlign w:val="center"/>
          </w:tcPr>
          <w:p w14:paraId="0787993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综合布线系统</w:t>
            </w:r>
          </w:p>
        </w:tc>
      </w:tr>
      <w:tr w14:paraId="0A92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3" w:type="pct"/>
            <w:vAlign w:val="center"/>
          </w:tcPr>
          <w:p w14:paraId="60EE21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702C39EB">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工作区子系统</w:t>
            </w:r>
          </w:p>
        </w:tc>
      </w:tr>
      <w:tr w14:paraId="7C56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3" w:type="pct"/>
            <w:vAlign w:val="center"/>
          </w:tcPr>
          <w:p w14:paraId="55FA437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450F80C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六类非屏蔽模块</w:t>
            </w:r>
          </w:p>
        </w:tc>
        <w:tc>
          <w:tcPr>
            <w:tcW w:w="1872" w:type="pct"/>
            <w:vAlign w:val="center"/>
          </w:tcPr>
          <w:p w14:paraId="5824964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1、规格：六类 RJ45 非屏蔽 180°模块；</w:t>
            </w:r>
          </w:p>
          <w:p w14:paraId="49CAD16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2、直流电阻：0.3Ω；</w:t>
            </w:r>
          </w:p>
          <w:p w14:paraId="4ED9B16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3、电流：1.5A；</w:t>
            </w:r>
          </w:p>
          <w:p w14:paraId="578AF9F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4、IDC 材料：磷青铜；</w:t>
            </w:r>
          </w:p>
          <w:p w14:paraId="1144FED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5、防尘盖：透明 PC 材料；</w:t>
            </w:r>
          </w:p>
          <w:p w14:paraId="2492181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6、金针：磷青铜表面镀金，异形的金针空间排列，有效提升近端串音余量；</w:t>
            </w:r>
          </w:p>
          <w:p w14:paraId="480CC13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7、绝缘阻抗：相当于或优于 500ＭΩ；</w:t>
            </w:r>
          </w:p>
          <w:p w14:paraId="0F7360D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8、拔插寿命：≥ 1200 次；</w:t>
            </w:r>
          </w:p>
          <w:p w14:paraId="7519E99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9、端接寿命：≥300 次；</w:t>
            </w:r>
          </w:p>
          <w:p w14:paraId="212D23F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10、接点阻抗：≤20mΩ；</w:t>
            </w:r>
          </w:p>
          <w:p w14:paraId="0F1EE9A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11、端子镀金厚度：≥ 50u˝。</w:t>
            </w:r>
          </w:p>
        </w:tc>
        <w:tc>
          <w:tcPr>
            <w:tcW w:w="458" w:type="pct"/>
            <w:vAlign w:val="center"/>
          </w:tcPr>
          <w:p w14:paraId="7F485D7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860</w:t>
            </w:r>
          </w:p>
        </w:tc>
        <w:tc>
          <w:tcPr>
            <w:tcW w:w="445" w:type="pct"/>
            <w:vAlign w:val="center"/>
          </w:tcPr>
          <w:p w14:paraId="6BFEEFF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4E7A45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工业</w:t>
            </w:r>
          </w:p>
        </w:tc>
        <w:tc>
          <w:tcPr>
            <w:tcW w:w="437" w:type="pct"/>
            <w:vAlign w:val="center"/>
          </w:tcPr>
          <w:p w14:paraId="30AE0E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否</w:t>
            </w:r>
          </w:p>
        </w:tc>
        <w:tc>
          <w:tcPr>
            <w:tcW w:w="332" w:type="pct"/>
            <w:vAlign w:val="center"/>
          </w:tcPr>
          <w:p w14:paraId="13DDC0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73C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9AE1F2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77" w:type="pct"/>
            <w:vAlign w:val="center"/>
          </w:tcPr>
          <w:p w14:paraId="73BBEB83">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电话信息模块</w:t>
            </w:r>
          </w:p>
        </w:tc>
        <w:tc>
          <w:tcPr>
            <w:tcW w:w="1872" w:type="pct"/>
            <w:vAlign w:val="center"/>
          </w:tcPr>
          <w:p w14:paraId="536C2C83">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4E2A7069">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269</w:t>
            </w:r>
          </w:p>
        </w:tc>
        <w:tc>
          <w:tcPr>
            <w:tcW w:w="445" w:type="pct"/>
            <w:vAlign w:val="center"/>
          </w:tcPr>
          <w:p w14:paraId="017CC659">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2B3EF0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30EF4BE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B66CD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61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3" w:type="pct"/>
            <w:vAlign w:val="center"/>
          </w:tcPr>
          <w:p w14:paraId="4FF1721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77" w:type="pct"/>
            <w:vAlign w:val="center"/>
          </w:tcPr>
          <w:p w14:paraId="20226D6B">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单口面板</w:t>
            </w:r>
          </w:p>
        </w:tc>
        <w:tc>
          <w:tcPr>
            <w:tcW w:w="1872" w:type="pct"/>
            <w:vAlign w:val="center"/>
          </w:tcPr>
          <w:p w14:paraId="033A7AF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1、规格：单口、86×86mm；</w:t>
            </w:r>
          </w:p>
          <w:p w14:paraId="23D0C62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2、框体：嵌入式面框设计，表面不可见螺丝孔，兼具美观与实用；</w:t>
            </w:r>
          </w:p>
          <w:p w14:paraId="129E5CD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3、带有标识条，方便编号管理和维护使用；</w:t>
            </w:r>
          </w:p>
          <w:p w14:paraId="766C54B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4、密封性能良好的弹性防尘盖，有效防止灰尘和其他污染物进入；</w:t>
            </w:r>
          </w:p>
          <w:p w14:paraId="4DBEE49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5、外壳与底座材质：采用 ABS 耐冲击工程塑料，符合 UL94V-0 防火等级规范。</w:t>
            </w:r>
          </w:p>
        </w:tc>
        <w:tc>
          <w:tcPr>
            <w:tcW w:w="458" w:type="pct"/>
            <w:vAlign w:val="center"/>
          </w:tcPr>
          <w:p w14:paraId="45E1DF19">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591</w:t>
            </w:r>
          </w:p>
        </w:tc>
        <w:tc>
          <w:tcPr>
            <w:tcW w:w="445" w:type="pct"/>
            <w:vAlign w:val="center"/>
          </w:tcPr>
          <w:p w14:paraId="449C68CF">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06AF4C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5BAC3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32E76D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448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E02CCFB">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2D87BB31">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双口面板</w:t>
            </w:r>
          </w:p>
        </w:tc>
        <w:tc>
          <w:tcPr>
            <w:tcW w:w="1872" w:type="pct"/>
            <w:vAlign w:val="center"/>
          </w:tcPr>
          <w:p w14:paraId="40A0C0A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1、规格：单口、86×86mm；</w:t>
            </w:r>
          </w:p>
          <w:p w14:paraId="750494D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2、框体：嵌入式面框设计，表面不可见螺丝孔，兼具美观与实用；</w:t>
            </w:r>
          </w:p>
          <w:p w14:paraId="0D658AD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3、带有标识条，方便编号管理和维护使用；</w:t>
            </w:r>
          </w:p>
          <w:p w14:paraId="6701601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4、密封性能良好的弹性防尘盖，有效防止灰尘和其他污染物进入；</w:t>
            </w:r>
          </w:p>
          <w:p w14:paraId="2A40FB4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5、外壳与底座材质：采用 ABS 耐冲击工程塑料，符合 UL94V-0 防火等级规范。</w:t>
            </w:r>
          </w:p>
        </w:tc>
        <w:tc>
          <w:tcPr>
            <w:tcW w:w="458" w:type="pct"/>
            <w:vAlign w:val="center"/>
          </w:tcPr>
          <w:p w14:paraId="369A958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285</w:t>
            </w:r>
          </w:p>
        </w:tc>
        <w:tc>
          <w:tcPr>
            <w:tcW w:w="445" w:type="pct"/>
            <w:vAlign w:val="center"/>
          </w:tcPr>
          <w:p w14:paraId="06E952E2">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5F61F4E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20BD40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12C958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0E8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AE219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5755497B">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六类非屏蔽RJ45跳线2米</w:t>
            </w:r>
          </w:p>
        </w:tc>
        <w:tc>
          <w:tcPr>
            <w:tcW w:w="1872" w:type="pct"/>
            <w:vAlign w:val="center"/>
          </w:tcPr>
          <w:p w14:paraId="48E6FCC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1、产品规格：Cat.6 UTP、低烟无卤；</w:t>
            </w:r>
          </w:p>
          <w:p w14:paraId="7603AF8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2、水晶头：镀金片为三叉片，50μ镀金，保证了非常好的接触与信号传输性能；</w:t>
            </w:r>
          </w:p>
          <w:p w14:paraId="0C87E2A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3、护套：渐变型受力原理的加长护套，防滑拉抗，保证一定的弯曲半径；</w:t>
            </w:r>
          </w:p>
          <w:p w14:paraId="2D22F0A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4、提供不同颜色、长度跳线，使线缆管理更为简单。</w:t>
            </w:r>
          </w:p>
        </w:tc>
        <w:tc>
          <w:tcPr>
            <w:tcW w:w="458" w:type="pct"/>
            <w:vAlign w:val="center"/>
          </w:tcPr>
          <w:p w14:paraId="10F6A3E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445" w:type="pct"/>
            <w:vAlign w:val="center"/>
          </w:tcPr>
          <w:p w14:paraId="5ABB0D4F">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1624E7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1397AB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3761EC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9C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33" w:type="pct"/>
            <w:vAlign w:val="center"/>
          </w:tcPr>
          <w:p w14:paraId="515FDFE1">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67F30FD1">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RJ45电话跳线</w:t>
            </w:r>
          </w:p>
        </w:tc>
        <w:tc>
          <w:tcPr>
            <w:tcW w:w="1872" w:type="pct"/>
            <w:vAlign w:val="center"/>
          </w:tcPr>
          <w:p w14:paraId="1617D15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1、RJ45水晶头进行整体注塑制作，接触稳定、防止线缆松脱插头、导线封密不氧化；</w:t>
            </w:r>
          </w:p>
          <w:p w14:paraId="3B00A85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2、满足TIA/EIA和ISO/IEC性能标准；</w:t>
            </w:r>
          </w:p>
          <w:p w14:paraId="1233C94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3、传输带宽大于100MHz。</w:t>
            </w:r>
          </w:p>
        </w:tc>
        <w:tc>
          <w:tcPr>
            <w:tcW w:w="458" w:type="pct"/>
            <w:vAlign w:val="center"/>
          </w:tcPr>
          <w:p w14:paraId="38250752">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161</w:t>
            </w:r>
          </w:p>
        </w:tc>
        <w:tc>
          <w:tcPr>
            <w:tcW w:w="445" w:type="pct"/>
            <w:vAlign w:val="center"/>
          </w:tcPr>
          <w:p w14:paraId="01EB1C4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25F432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204D457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13136F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B2C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33" w:type="pct"/>
            <w:vAlign w:val="center"/>
          </w:tcPr>
          <w:p w14:paraId="350E03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21C344A2">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水平子系统</w:t>
            </w:r>
          </w:p>
        </w:tc>
      </w:tr>
      <w:tr w14:paraId="1797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433" w:type="pct"/>
            <w:vAlign w:val="center"/>
          </w:tcPr>
          <w:p w14:paraId="710153F2">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9550A1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六类非屏蔽双绞线</w:t>
            </w:r>
          </w:p>
        </w:tc>
        <w:tc>
          <w:tcPr>
            <w:tcW w:w="1872" w:type="pct"/>
            <w:vAlign w:val="center"/>
          </w:tcPr>
          <w:p w14:paraId="108AA1E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1、类型：六类非屏蔽低烟无卤双绞线，内带PE十字龙骨，绝缘层材料为高密度聚乙烯（HDPE）；</w:t>
            </w:r>
          </w:p>
          <w:p w14:paraId="745FB54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2、规格：采用24AWG实芯裸铜导体。内部采用十字骨架分隔结构以减少线对信号干扰和增加物理机械抗拉性；</w:t>
            </w:r>
          </w:p>
          <w:p w14:paraId="299809F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3、芯线对数：4对，每芯带有色条区别；</w:t>
            </w:r>
          </w:p>
          <w:p w14:paraId="3C182C6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4、护套：外护套采用低烟无卤材料。印有电缆编码护套，有撕裂绳；</w:t>
            </w:r>
          </w:p>
        </w:tc>
        <w:tc>
          <w:tcPr>
            <w:tcW w:w="458" w:type="pct"/>
            <w:vAlign w:val="center"/>
          </w:tcPr>
          <w:p w14:paraId="4B5A4AD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445" w:type="pct"/>
            <w:vAlign w:val="center"/>
          </w:tcPr>
          <w:p w14:paraId="66904C2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305米/箱</w:t>
            </w:r>
          </w:p>
        </w:tc>
        <w:tc>
          <w:tcPr>
            <w:tcW w:w="443" w:type="pct"/>
            <w:vAlign w:val="center"/>
          </w:tcPr>
          <w:p w14:paraId="610879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30045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6F7527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32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2DFE8B8">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A13FA7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网络机柜（弱电间）</w:t>
            </w:r>
          </w:p>
        </w:tc>
        <w:tc>
          <w:tcPr>
            <w:tcW w:w="1872" w:type="pct"/>
            <w:vAlign w:val="center"/>
          </w:tcPr>
          <w:p w14:paraId="55F9F77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高度：≥2000mm；宽度：≥600mm；深度：≥600mm；内部有效承载空间42U，满足19"国际标准机柜，颜色为黑色、哑光，机柜灯光下无眩晕感；前后门均应采用外开门方式，前门为单开门，后门为双开门，前后门带锁。</w:t>
            </w:r>
          </w:p>
        </w:tc>
        <w:tc>
          <w:tcPr>
            <w:tcW w:w="458" w:type="pct"/>
            <w:vAlign w:val="center"/>
          </w:tcPr>
          <w:p w14:paraId="144AC47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74E9370F">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11FDA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17B04A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1AE6F9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BEC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DBFBD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02055F37">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垂直子系统</w:t>
            </w:r>
          </w:p>
        </w:tc>
      </w:tr>
      <w:tr w14:paraId="3638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57AC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5776173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室内24芯单模光缆</w:t>
            </w:r>
          </w:p>
        </w:tc>
        <w:tc>
          <w:tcPr>
            <w:tcW w:w="1872" w:type="pct"/>
            <w:vAlign w:val="center"/>
          </w:tcPr>
          <w:p w14:paraId="47696DB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1、采用着色光纤，集成度高，24芯；</w:t>
            </w:r>
          </w:p>
          <w:p w14:paraId="352ADEB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2、芳纶加强元件，使光缆有优异的抗拉性能；</w:t>
            </w:r>
          </w:p>
          <w:p w14:paraId="114D6A1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3、外护材料耐腐蚀，防水，防紫外，阻燃；</w:t>
            </w:r>
          </w:p>
          <w:p w14:paraId="2C29694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4、全介质结构，不受电磁干扰。</w:t>
            </w:r>
          </w:p>
        </w:tc>
        <w:tc>
          <w:tcPr>
            <w:tcW w:w="458" w:type="pct"/>
            <w:vAlign w:val="center"/>
          </w:tcPr>
          <w:p w14:paraId="69CA72D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445" w:type="pct"/>
            <w:vAlign w:val="center"/>
          </w:tcPr>
          <w:p w14:paraId="1830AE8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5D6E9F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649AD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2EE3DA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722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59668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4566" w:type="pct"/>
            <w:gridSpan w:val="7"/>
            <w:vAlign w:val="center"/>
          </w:tcPr>
          <w:p w14:paraId="60E2AB2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管理子系统</w:t>
            </w:r>
          </w:p>
        </w:tc>
      </w:tr>
      <w:tr w14:paraId="6671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50B6F26">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4CC0B7D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24口六类非屏蔽配线架</w:t>
            </w:r>
          </w:p>
        </w:tc>
        <w:tc>
          <w:tcPr>
            <w:tcW w:w="1872" w:type="pct"/>
            <w:vAlign w:val="center"/>
          </w:tcPr>
          <w:p w14:paraId="36A3A14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1、满足IEEE 802.3标准 10G BASE-T以太网并向下兼容,24个接口；</w:t>
            </w:r>
          </w:p>
          <w:p w14:paraId="6EF2219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2、背面具有线缆管理器，材料为冷轧钢板，表层镀锌；</w:t>
            </w:r>
          </w:p>
          <w:p w14:paraId="77A27B0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3.内置线缆管理器，琴键式设计，配合线缆管理卡槽，免工具捆扎，简化安装程序，提高工作效率。</w:t>
            </w:r>
          </w:p>
        </w:tc>
        <w:tc>
          <w:tcPr>
            <w:tcW w:w="458" w:type="pct"/>
            <w:vAlign w:val="center"/>
          </w:tcPr>
          <w:p w14:paraId="6F46836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45" w:type="pct"/>
            <w:vAlign w:val="center"/>
          </w:tcPr>
          <w:p w14:paraId="43A7889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1F1FA4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32446C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1599ABF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03F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D8615F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3AC3BD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24口光纤配线架</w:t>
            </w:r>
          </w:p>
        </w:tc>
        <w:tc>
          <w:tcPr>
            <w:tcW w:w="1872" w:type="pct"/>
            <w:vAlign w:val="center"/>
          </w:tcPr>
          <w:p w14:paraId="6E8675B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1、规格：1U光纤配线架，有足够空间保证光纤的盘绕、固定和接续，带有管理器及固定附件；</w:t>
            </w:r>
          </w:p>
          <w:p w14:paraId="562342D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2、设计：19英寸机架式安装。</w:t>
            </w:r>
          </w:p>
          <w:p w14:paraId="0299C22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3、结构：可灵活适应未来的应用，提供LC形式的光纤耦合器。</w:t>
            </w:r>
          </w:p>
        </w:tc>
        <w:tc>
          <w:tcPr>
            <w:tcW w:w="458" w:type="pct"/>
            <w:vAlign w:val="center"/>
          </w:tcPr>
          <w:p w14:paraId="6F73CCC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45" w:type="pct"/>
            <w:vAlign w:val="center"/>
          </w:tcPr>
          <w:p w14:paraId="4CB16BCB">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08CD5E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132DCC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55714C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0A5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06B14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7C20872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理线架1U</w:t>
            </w:r>
          </w:p>
        </w:tc>
        <w:tc>
          <w:tcPr>
            <w:tcW w:w="1872" w:type="pct"/>
            <w:vAlign w:val="center"/>
          </w:tcPr>
          <w:p w14:paraId="0584F93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1、单面槽理线架按19英寸机架标准设计，适用于配线架及设备跳线的水平和垂直方向的线缆管理；</w:t>
            </w:r>
          </w:p>
          <w:p w14:paraId="5E67485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2、采用滑槽式封闭结构，管理跳线数≥50，满足跳线或交叉线弯曲半径的合理性，使线缆排列整齐，便于管理，减少维护成本；</w:t>
            </w:r>
          </w:p>
          <w:p w14:paraId="214A08D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3、高度：1U，提供16个管理环；</w:t>
            </w:r>
          </w:p>
          <w:p w14:paraId="13591AF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4、材质：采用全金属材质，静电喷涂，有效的防止刮伤线缆。</w:t>
            </w:r>
          </w:p>
        </w:tc>
        <w:tc>
          <w:tcPr>
            <w:tcW w:w="458" w:type="pct"/>
            <w:vAlign w:val="center"/>
          </w:tcPr>
          <w:p w14:paraId="2FD83108">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445" w:type="pct"/>
            <w:vAlign w:val="center"/>
          </w:tcPr>
          <w:p w14:paraId="7DE0B91C">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23F8031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0DC568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5665C9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75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64A5FE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44677AB6">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LC-LC耦合器</w:t>
            </w:r>
          </w:p>
        </w:tc>
        <w:tc>
          <w:tcPr>
            <w:tcW w:w="1872" w:type="pct"/>
            <w:vAlign w:val="center"/>
          </w:tcPr>
          <w:p w14:paraId="1E1B085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通过100%光学性能检测，陶瓷（氧化锆）套管。</w:t>
            </w:r>
          </w:p>
        </w:tc>
        <w:tc>
          <w:tcPr>
            <w:tcW w:w="458" w:type="pct"/>
            <w:vAlign w:val="center"/>
          </w:tcPr>
          <w:p w14:paraId="538BBAE6">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445" w:type="pct"/>
            <w:vAlign w:val="center"/>
          </w:tcPr>
          <w:p w14:paraId="0843262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3BACF1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00F707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4807B7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26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E0DFE1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16BA0C2B">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光纤熔接</w:t>
            </w:r>
          </w:p>
        </w:tc>
        <w:tc>
          <w:tcPr>
            <w:tcW w:w="1872" w:type="pct"/>
            <w:vAlign w:val="center"/>
          </w:tcPr>
          <w:p w14:paraId="07F3972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单芯光纤熔接</w:t>
            </w:r>
          </w:p>
        </w:tc>
        <w:tc>
          <w:tcPr>
            <w:tcW w:w="458" w:type="pct"/>
            <w:vAlign w:val="center"/>
          </w:tcPr>
          <w:p w14:paraId="4F8B996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EA7496C">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297ED1B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59FE00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AA3E2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82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7B287B">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206DAC8C">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2米LC-LC单模跳线</w:t>
            </w:r>
          </w:p>
        </w:tc>
        <w:tc>
          <w:tcPr>
            <w:tcW w:w="1872" w:type="pct"/>
            <w:vAlign w:val="center"/>
          </w:tcPr>
          <w:p w14:paraId="0F8F6A1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通过100%光学性能检测，具有良好质量和优良性能。</w:t>
            </w:r>
          </w:p>
        </w:tc>
        <w:tc>
          <w:tcPr>
            <w:tcW w:w="458" w:type="pct"/>
            <w:vAlign w:val="center"/>
          </w:tcPr>
          <w:p w14:paraId="477AF758">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445" w:type="pct"/>
            <w:vAlign w:val="center"/>
          </w:tcPr>
          <w:p w14:paraId="3B82B96F">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1B42F85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D85A52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8C7F9D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61B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42EB10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4566" w:type="pct"/>
            <w:gridSpan w:val="7"/>
            <w:vAlign w:val="center"/>
          </w:tcPr>
          <w:p w14:paraId="3B3E72E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r>
      <w:tr w14:paraId="1BAF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36815C">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3D07EBB">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水平桥架</w:t>
            </w:r>
          </w:p>
        </w:tc>
        <w:tc>
          <w:tcPr>
            <w:tcW w:w="1872" w:type="pct"/>
            <w:vAlign w:val="center"/>
          </w:tcPr>
          <w:p w14:paraId="767AAEC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300*100mm镀锌桥架，含吊杆、横担等。</w:t>
            </w:r>
          </w:p>
        </w:tc>
        <w:tc>
          <w:tcPr>
            <w:tcW w:w="458" w:type="pct"/>
            <w:vAlign w:val="center"/>
          </w:tcPr>
          <w:p w14:paraId="03C8B618">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445" w:type="pct"/>
            <w:vAlign w:val="center"/>
          </w:tcPr>
          <w:p w14:paraId="1718BE7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43974E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539583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51AD6D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2A9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F994436">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2EC4D4EC">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垂直桥架</w:t>
            </w:r>
          </w:p>
        </w:tc>
        <w:tc>
          <w:tcPr>
            <w:tcW w:w="1872" w:type="pct"/>
            <w:vAlign w:val="center"/>
          </w:tcPr>
          <w:p w14:paraId="2E394C2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300*100mm镀锌桥架，含支架等。</w:t>
            </w:r>
          </w:p>
        </w:tc>
        <w:tc>
          <w:tcPr>
            <w:tcW w:w="458" w:type="pct"/>
            <w:vAlign w:val="center"/>
          </w:tcPr>
          <w:p w14:paraId="5196F8EF">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442755A2">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39B499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431380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2A8F15F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081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9427C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4295877F">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PVC管</w:t>
            </w:r>
          </w:p>
        </w:tc>
        <w:tc>
          <w:tcPr>
            <w:tcW w:w="1872" w:type="pct"/>
            <w:vAlign w:val="center"/>
          </w:tcPr>
          <w:p w14:paraId="524EC19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PVC管Ø32。</w:t>
            </w:r>
          </w:p>
        </w:tc>
        <w:tc>
          <w:tcPr>
            <w:tcW w:w="458" w:type="pct"/>
            <w:vAlign w:val="center"/>
          </w:tcPr>
          <w:p w14:paraId="3DF7F66A">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445" w:type="pct"/>
            <w:vAlign w:val="center"/>
          </w:tcPr>
          <w:p w14:paraId="648C149A">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08D706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68CBB8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AE855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DA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66972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6110A73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86型底盒</w:t>
            </w:r>
          </w:p>
        </w:tc>
        <w:tc>
          <w:tcPr>
            <w:tcW w:w="1872" w:type="pct"/>
            <w:vAlign w:val="center"/>
          </w:tcPr>
          <w:p w14:paraId="62A4DDA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86型，金属材质；</w:t>
            </w:r>
          </w:p>
        </w:tc>
        <w:tc>
          <w:tcPr>
            <w:tcW w:w="458" w:type="pct"/>
            <w:vAlign w:val="center"/>
          </w:tcPr>
          <w:p w14:paraId="596B24FA">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280</w:t>
            </w:r>
          </w:p>
        </w:tc>
        <w:tc>
          <w:tcPr>
            <w:tcW w:w="445" w:type="pct"/>
            <w:vAlign w:val="center"/>
          </w:tcPr>
          <w:p w14:paraId="692F961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507A0E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3CD1D5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3841D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408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E502AA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7457A0C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72" w:type="pct"/>
            <w:vAlign w:val="center"/>
          </w:tcPr>
          <w:p w14:paraId="082A1C7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单对打线工具、五对打线工具、水晶头、魔术贴、标签等。</w:t>
            </w:r>
          </w:p>
        </w:tc>
        <w:tc>
          <w:tcPr>
            <w:tcW w:w="458" w:type="pct"/>
            <w:vAlign w:val="center"/>
          </w:tcPr>
          <w:p w14:paraId="46CE9018">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522B53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0353AB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19C85A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0A710F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1DB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2F5F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4566" w:type="pct"/>
            <w:gridSpan w:val="7"/>
            <w:vAlign w:val="center"/>
          </w:tcPr>
          <w:p w14:paraId="5FD60ABF">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计算机网络系统</w:t>
            </w:r>
          </w:p>
        </w:tc>
      </w:tr>
      <w:tr w14:paraId="1F1E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1352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141DC2E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电子政务外网/互联网</w:t>
            </w:r>
          </w:p>
        </w:tc>
      </w:tr>
      <w:tr w14:paraId="319A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247C89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274CFD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边界防火墙</w:t>
            </w:r>
          </w:p>
        </w:tc>
        <w:tc>
          <w:tcPr>
            <w:tcW w:w="1872" w:type="pct"/>
            <w:vAlign w:val="center"/>
          </w:tcPr>
          <w:p w14:paraId="743D2E1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14701D95">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lang w:val="en-US" w:eastAsia="zh-CN" w:bidi="ar-SA"/>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非OEM产品，具备国密算法；</w:t>
            </w:r>
          </w:p>
          <w:p w14:paraId="41D4DAF3">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2.▲外形：≥2U机架；防火墙吞吐率：≥25Gbps；并发连接数：≥400万；配置千兆电口≥6个，千兆SFP光口≥8个，万兆SFP+光口≥4个，标配模块化双冗余电源；（投标文件中提供官网截图及链接证明）</w:t>
            </w:r>
          </w:p>
          <w:p w14:paraId="62A150F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1572B2D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1.操作系统：为保证安全可靠性，产品由专用的硬件平台、安全操作系统及功能软件构成，采用多核多平台并行处理特性；</w:t>
            </w:r>
          </w:p>
          <w:p w14:paraId="3ED2887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2.管理与认证：具备本地认证、证书认证及免认证等方式，同时具备RADIUS、LDAP、TACACS等多种第三方外部认证设置；</w:t>
            </w:r>
          </w:p>
          <w:p w14:paraId="076F4B4B">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3.具备静态路由、RIP、OSPF、BGP等路由协议；</w:t>
            </w:r>
          </w:p>
          <w:p w14:paraId="7F19DE9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4.IPv6：具备IPv4/IPv6双栈协议；支具备基于IPv6的应用层检测（FTP\TFTP）、病毒过滤、URL过滤、ADS、IPS检测；</w:t>
            </w:r>
          </w:p>
          <w:p w14:paraId="2C3F70D6">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服务要求：</w:t>
            </w:r>
          </w:p>
          <w:p w14:paraId="494AFF7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提供3年应用特征库升级许可，3年免费整机硬件保修服务、免费技术支持服务、电话报修后4小时上门服务、12小时内排除故障的售后服务。</w:t>
            </w:r>
          </w:p>
        </w:tc>
        <w:tc>
          <w:tcPr>
            <w:tcW w:w="458" w:type="pct"/>
            <w:vAlign w:val="center"/>
          </w:tcPr>
          <w:p w14:paraId="0FBF3347">
            <w:pPr>
              <w:keepNext w:val="0"/>
              <w:keepLines w:val="0"/>
              <w:pageBreakBefore w:val="0"/>
              <w:kinsoku/>
              <w:wordWrap w:val="0"/>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3</w:t>
            </w:r>
          </w:p>
        </w:tc>
        <w:tc>
          <w:tcPr>
            <w:tcW w:w="445" w:type="pct"/>
            <w:vAlign w:val="center"/>
          </w:tcPr>
          <w:p w14:paraId="304A3AE7">
            <w:pPr>
              <w:keepNext w:val="0"/>
              <w:keepLines w:val="0"/>
              <w:pageBreakBefore w:val="0"/>
              <w:kinsoku/>
              <w:wordWrap w:val="0"/>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13BFEC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03BDF8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67C8F3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E05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A925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7" w:type="pct"/>
            <w:vAlign w:val="center"/>
          </w:tcPr>
          <w:p w14:paraId="28581A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入侵防御</w:t>
            </w:r>
          </w:p>
        </w:tc>
        <w:tc>
          <w:tcPr>
            <w:tcW w:w="1872" w:type="pct"/>
            <w:vAlign w:val="center"/>
          </w:tcPr>
          <w:p w14:paraId="65DACD4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55958EB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w:t>
            </w:r>
          </w:p>
          <w:p w14:paraId="5CE494E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2.▲外型：≥2U机架，整机吞吐率: ≥40Gbps，最大并发连接数:≥1500万，IPS吞吐率: ≥20Gbps，硬件配置：内存：≥64G,机械硬盘：≥ITB,≥16个千兆电口(含1个HA口和1个管理口),≥4个千兆光口，≥4个万兆口，满配万兆、千兆多模光模块和跳线，≥1个 CONSOLE口，冗余电源，≥3个扩展槽位；（投标文件中提供官网截图及链接证明）</w:t>
            </w:r>
          </w:p>
          <w:p w14:paraId="12B8C146">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46EF558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1.具有专业的攻击检测引擎，实现IPv4/v6网络下攻击事件检测功能，采用协议分析、模式识别、统计阀值和流量异常监视等综合技术手段，深入分析L2～L7层网络判断入侵行为，准确地发现包括溢出攻击、RPC 攻击、WEBCGI攻击、拒绝服务、木马蠕虫传播、系统漏洞攻击等在内的网络攻击行为；</w:t>
            </w:r>
          </w:p>
          <w:p w14:paraId="4CCC7F2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2.具有独立的僵尸主机特征库，能够对僵尸主机行为进行监测，包括僵尸网络、木马控制、蠕虫、挖矿、勒索、移动端木马控制、APT 等多类型的僵尸主机行为;</w:t>
            </w:r>
          </w:p>
          <w:p w14:paraId="65173EA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3.具备隐蔽通信检测，具备对 HTTP、FTP、SMTP、IMAP、POP3、Telnet 等服务的隐蔽通信检测；</w:t>
            </w:r>
          </w:p>
          <w:p w14:paraId="261FE5D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4.具备攻击报文取证功能，检测到攻击事件后对攻击事件信息记录留存；</w:t>
            </w:r>
          </w:p>
          <w:p w14:paraId="4054AC4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5.具备对 SMTP、POP3、IMAP、FTP、TELNET、RDP、LDAP、MSSQL、DB2、REDIS、POSTGRESQL、HTTP 等服务的弱口令登录行为检测，采用弱口令字典和口令强度两种方式检测，可自定义口令强度规则，如密码长度、密码字符类型等。具备对发生的弱口令事件进行告警、取证和在线阻断；</w:t>
            </w:r>
          </w:p>
          <w:p w14:paraId="704024F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6.具备卸载SSL，实现对HTTPS、IMAPS、SMTPS、POP3S、FTP、RDP、MQTT、SIP等加密流量的分析检测防护。</w:t>
            </w:r>
          </w:p>
          <w:p w14:paraId="5D7414A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服务要求：</w:t>
            </w:r>
          </w:p>
          <w:p w14:paraId="4FEF9E2C">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提供3年应用特征库升级许可，3年免费整机硬件保修服务、免费技术支持服务、电话报修后4小时上门服务、12小时内排除故障的售后服务。</w:t>
            </w:r>
          </w:p>
        </w:tc>
        <w:tc>
          <w:tcPr>
            <w:tcW w:w="458" w:type="pct"/>
            <w:vAlign w:val="center"/>
          </w:tcPr>
          <w:p w14:paraId="109AEEFB">
            <w:pPr>
              <w:keepNext w:val="0"/>
              <w:keepLines w:val="0"/>
              <w:pageBreakBefore w:val="0"/>
              <w:kinsoku/>
              <w:wordWrap w:val="0"/>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w:t>
            </w:r>
          </w:p>
        </w:tc>
        <w:tc>
          <w:tcPr>
            <w:tcW w:w="445" w:type="pct"/>
            <w:vAlign w:val="center"/>
          </w:tcPr>
          <w:p w14:paraId="6D11E07A">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5F38D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0C757F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2A8C1B6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7D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A2680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7" w:type="pct"/>
            <w:vAlign w:val="center"/>
          </w:tcPr>
          <w:p w14:paraId="1FE5A1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48口接入交换机</w:t>
            </w:r>
          </w:p>
        </w:tc>
        <w:tc>
          <w:tcPr>
            <w:tcW w:w="1872" w:type="pct"/>
            <w:vAlign w:val="center"/>
          </w:tcPr>
          <w:p w14:paraId="07FB76F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4EDBFDC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w:t>
            </w:r>
          </w:p>
          <w:p w14:paraId="6A1FD2A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2.▲交换容量≥6Tbps，包转发率≥200Mpps；具备48个千兆电口、不低于4个万兆SFP+端口；（投标文件中提供官网截图及链接证明）</w:t>
            </w:r>
          </w:p>
          <w:p w14:paraId="36B6365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3.具备MAC地址≥32K，具备IPv4 路由表≥16K，具备IPv6 路由表≥8K；</w:t>
            </w:r>
          </w:p>
          <w:p w14:paraId="13245F9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4.满配万兆单模光模块和跳线。</w:t>
            </w:r>
          </w:p>
          <w:p w14:paraId="7F6D3556">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7580882E">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1.具备静态路由、RIP V1/2、RIPng、OSPF、OSPFv3、IS-IS、IS-ISv6、BGP、BGP4+、ECMP、路由策略，具备IPv4/IPv6双栈；</w:t>
            </w:r>
          </w:p>
          <w:p w14:paraId="7DDDA2B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2.提供基于源MAC地址、目的MAC地址、源IP地址、目的IP地址的包过滤功能；</w:t>
            </w:r>
          </w:p>
          <w:p w14:paraId="63B9247B">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3.▲具备Telemetry技术（投标文件中提供官网截图及链接证明）；</w:t>
            </w:r>
          </w:p>
          <w:p w14:paraId="51DEE2D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4.具备冗余电源，冗余风扇。</w:t>
            </w:r>
          </w:p>
          <w:p w14:paraId="031916D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8C528B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95D44A9">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445" w:type="pct"/>
            <w:vAlign w:val="center"/>
          </w:tcPr>
          <w:p w14:paraId="7F23E3A2">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06C030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35CED2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EDAD1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77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6F3DC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77" w:type="pct"/>
            <w:vAlign w:val="center"/>
          </w:tcPr>
          <w:p w14:paraId="0AB9F6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24口汇聚交换机</w:t>
            </w:r>
          </w:p>
        </w:tc>
        <w:tc>
          <w:tcPr>
            <w:tcW w:w="1872" w:type="pct"/>
            <w:vAlign w:val="center"/>
          </w:tcPr>
          <w:p w14:paraId="333505B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4CB5640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w:t>
            </w:r>
          </w:p>
          <w:p w14:paraId="76730CD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2.▲交换容量≥25T，包转发率≥1200Mpps，具备万兆 SFP+端口≥24 个、40/100GE QSFP28 端口≥6 个；（投标文件中提供官网截图及链接证明）</w:t>
            </w:r>
          </w:p>
          <w:p w14:paraId="2E1B553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3.具备MAC地址≥128K，具备IPv4路由表项≥64K，具备IPv6路由表项≥64K；</w:t>
            </w:r>
          </w:p>
          <w:p w14:paraId="219A77F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4.满配万兆多模光模块和跳线。</w:t>
            </w:r>
          </w:p>
          <w:p w14:paraId="0B32C10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6C2A324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1.具备静态路由、RIP V1/2、RIPng、OSPF、OSPFv3、IS-IS、IS-ISv6、BGP、BGP4+、ECMP、路由策略，具备IPv4/IPv6双栈；</w:t>
            </w:r>
          </w:p>
          <w:p w14:paraId="4CB4335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2.提供基于源MAC地址、目的MAC地址、源IP地址、目的IP地址的包过滤功能；</w:t>
            </w:r>
          </w:p>
          <w:p w14:paraId="61B20C6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3.具备VXLAN功能，具备BGP EVPN、分布式Anycast网关。</w:t>
            </w:r>
          </w:p>
          <w:p w14:paraId="16498AB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2"/>
                <w:sz w:val="24"/>
                <w:szCs w:val="24"/>
                <w:highlight w:val="none"/>
                <w:u w:val="none"/>
                <w:lang w:val="en-US" w:eastAsia="zh-CN" w:bidi="ar-SA"/>
              </w:rPr>
              <w:t>▲具备Telemetry技术（投标文件中提供官网截图及链接证明）</w:t>
            </w:r>
            <w:r>
              <w:rPr>
                <w:rFonts w:hint="eastAsia" w:ascii="宋体" w:hAnsi="宋体" w:eastAsia="宋体" w:cs="宋体"/>
                <w:i w:val="0"/>
                <w:iCs w:val="0"/>
                <w:color w:val="000000"/>
                <w:kern w:val="0"/>
                <w:sz w:val="24"/>
                <w:szCs w:val="24"/>
                <w:highlight w:val="none"/>
                <w:u w:val="none"/>
                <w:lang w:val="en-US" w:eastAsia="zh-CN" w:bidi="ar"/>
              </w:rPr>
              <w:t>；</w:t>
            </w:r>
          </w:p>
          <w:p w14:paraId="0A55755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5.具备冗余电源，冗余风扇。</w:t>
            </w:r>
          </w:p>
          <w:p w14:paraId="21C4FF07">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服务要求：</w:t>
            </w:r>
          </w:p>
          <w:p w14:paraId="4E976CF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r>
              <w:rPr>
                <w:rFonts w:hint="eastAsia" w:ascii="宋体" w:hAnsi="宋体" w:eastAsia="宋体" w:cs="宋体"/>
                <w:i w:val="0"/>
                <w:iCs w:val="0"/>
                <w:color w:val="000000"/>
                <w:kern w:val="2"/>
                <w:sz w:val="24"/>
                <w:szCs w:val="24"/>
                <w:highlight w:val="none"/>
                <w:u w:val="none"/>
                <w:lang w:val="en-US" w:eastAsia="zh-CN" w:bidi="ar-SA"/>
              </w:rPr>
              <w:t>。</w:t>
            </w:r>
          </w:p>
        </w:tc>
        <w:tc>
          <w:tcPr>
            <w:tcW w:w="458" w:type="pct"/>
            <w:vAlign w:val="center"/>
          </w:tcPr>
          <w:p w14:paraId="6367705A">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1A0114A">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F021D2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2A4F5D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4B5CE5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978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6D528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7" w:type="pct"/>
            <w:vAlign w:val="center"/>
          </w:tcPr>
          <w:p w14:paraId="412C64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24口POE+交换机</w:t>
            </w:r>
          </w:p>
        </w:tc>
        <w:tc>
          <w:tcPr>
            <w:tcW w:w="1872" w:type="pct"/>
            <w:vAlign w:val="center"/>
          </w:tcPr>
          <w:p w14:paraId="0A4B244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3ED78BB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w:t>
            </w:r>
          </w:p>
          <w:p w14:paraId="5089FEC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2.▲交换容量≥6Tbps，包转发率≥220Mpps；具备24个千兆电口、4个万兆SFP+端口，具备24端口POE+满供；</w:t>
            </w:r>
            <w:r>
              <w:rPr>
                <w:rFonts w:hint="eastAsia" w:ascii="宋体" w:hAnsi="宋体" w:eastAsia="宋体" w:cs="宋体"/>
                <w:i w:val="0"/>
                <w:iCs w:val="0"/>
                <w:color w:val="000000"/>
                <w:kern w:val="2"/>
                <w:sz w:val="24"/>
                <w:szCs w:val="24"/>
                <w:highlight w:val="none"/>
                <w:u w:val="none"/>
                <w:lang w:val="en-US" w:eastAsia="zh-CN" w:bidi="ar-SA"/>
              </w:rPr>
              <w:t>（投标文件中提供官网截图及链接证明）</w:t>
            </w:r>
          </w:p>
          <w:p w14:paraId="62C5827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3.具备不间断PoE+功能，设备软启动时，受电设备供电不中断；</w:t>
            </w:r>
          </w:p>
          <w:p w14:paraId="0B8F65D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4.具备MAC地址≥32K；</w:t>
            </w:r>
          </w:p>
          <w:p w14:paraId="40ECA05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5.满配万兆光模块和跳线。</w:t>
            </w:r>
          </w:p>
          <w:p w14:paraId="5C73129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37593D0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1.具备静态路由、RIP V1/2、RIPng、OSPF、OSPFv3、IS-IS、IS-ISv6、BGP、BGP4+、ECMP、路由策略，具备IPv4/IPv6双栈；</w:t>
            </w:r>
          </w:p>
          <w:p w14:paraId="4D251F3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2.提供基于源MAC地址、目的MAC地址、源IP地址、目的IP地址的包过滤功能；</w:t>
            </w:r>
          </w:p>
          <w:p w14:paraId="1821F8B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3.具备冗余电源，冗余风扇。</w:t>
            </w:r>
          </w:p>
          <w:p w14:paraId="2A53CB2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41F585C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08B4B24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613C513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6B003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51BC1B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470C70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1E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CF95C1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77" w:type="pct"/>
            <w:vAlign w:val="center"/>
          </w:tcPr>
          <w:p w14:paraId="0D781377">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无线控制器</w:t>
            </w:r>
          </w:p>
        </w:tc>
        <w:tc>
          <w:tcPr>
            <w:tcW w:w="1872" w:type="pct"/>
            <w:vAlign w:val="center"/>
          </w:tcPr>
          <w:p w14:paraId="287C37C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4D365D7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w:t>
            </w:r>
          </w:p>
          <w:p w14:paraId="55F56D30">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2.</w:t>
            </w:r>
            <w:r>
              <w:rPr>
                <w:rFonts w:hint="eastAsia" w:ascii="宋体" w:hAnsi="宋体" w:eastAsia="宋体" w:cs="宋体"/>
                <w:i w:val="0"/>
                <w:iCs w:val="0"/>
                <w:color w:val="000000"/>
                <w:kern w:val="2"/>
                <w:sz w:val="24"/>
                <w:szCs w:val="24"/>
                <w:highlight w:val="none"/>
                <w:u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单台AC最大管理AP数量≥512，最大接入用户数量≥4K，提供10GE光口≥2，GE电口≥8个；整机转发吞吐量≥10Gbps</w:t>
            </w:r>
            <w:r>
              <w:rPr>
                <w:rFonts w:hint="eastAsia" w:ascii="宋体" w:hAnsi="宋体" w:eastAsia="宋体" w:cs="宋体"/>
                <w:i w:val="0"/>
                <w:iCs w:val="0"/>
                <w:color w:val="000000"/>
                <w:kern w:val="2"/>
                <w:sz w:val="24"/>
                <w:szCs w:val="24"/>
                <w:highlight w:val="none"/>
                <w:u w:val="none"/>
                <w:lang w:val="en-US" w:eastAsia="zh-CN" w:bidi="ar-SA"/>
              </w:rPr>
              <w:t>（投标文件中提供官网截图及链接证明）；</w:t>
            </w:r>
          </w:p>
          <w:p w14:paraId="3C11B02B">
            <w:pPr>
              <w:keepNext w:val="0"/>
              <w:keepLines w:val="0"/>
              <w:pageBreakBefore w:val="0"/>
              <w:widowControl/>
              <w:numPr>
                <w:ilvl w:val="0"/>
                <w:numId w:val="0"/>
              </w:numPr>
              <w:suppressLineNumbers w:val="0"/>
              <w:kinsoku/>
              <w:wordWrap w:val="0"/>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3.满配万兆单模光模块和跳线。</w:t>
            </w:r>
          </w:p>
          <w:p w14:paraId="2D06734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DDE2A1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1.具备静态路由，和RIP-1/RIP-2/OSPF/BGP/IS-IS/OSPFV3中一种；</w:t>
            </w:r>
          </w:p>
          <w:p w14:paraId="062E5F2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2.具备对802.11a/b/g/n/ac/ax AP进行统一控制；</w:t>
            </w:r>
          </w:p>
          <w:p w14:paraId="677EEFF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3.具备MAC地址认证、802.1x认证、Portal认证；</w:t>
            </w:r>
          </w:p>
          <w:p w14:paraId="6260758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4.具备AC内漫游，具备跨AC间漫游，具备跨VLAN的三层漫游；</w:t>
            </w:r>
          </w:p>
          <w:p w14:paraId="78F3ECB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5.CAPWAP隧道同时具备 IPv4 和 IPv6 双栈，具备用户地址和隧道地址任意选择使用IPv4或IPv6灵活使用；</w:t>
            </w:r>
          </w:p>
          <w:p w14:paraId="6965F0F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6.配置：本次配置不低于80个管理授权；</w:t>
            </w:r>
          </w:p>
          <w:p w14:paraId="0260E77B">
            <w:pPr>
              <w:keepNext w:val="0"/>
              <w:keepLines w:val="0"/>
              <w:pageBreakBefore w:val="0"/>
              <w:widowControl/>
              <w:numPr>
                <w:ilvl w:val="0"/>
                <w:numId w:val="0"/>
              </w:numPr>
              <w:suppressLineNumbers w:val="0"/>
              <w:kinsoku/>
              <w:wordWrap w:val="0"/>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7.要求与核心交换机兼容。</w:t>
            </w:r>
          </w:p>
          <w:p w14:paraId="799573C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62C7F8A7">
            <w:pPr>
              <w:keepNext w:val="0"/>
              <w:keepLines w:val="0"/>
              <w:pageBreakBefore w:val="0"/>
              <w:widowControl/>
              <w:numPr>
                <w:ilvl w:val="0"/>
                <w:numId w:val="0"/>
              </w:numPr>
              <w:suppressLineNumbers w:val="0"/>
              <w:kinsoku/>
              <w:wordWrap w:val="0"/>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0D7E575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990BF9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C269B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7E619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39F146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087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1A412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77" w:type="pct"/>
            <w:vAlign w:val="center"/>
          </w:tcPr>
          <w:p w14:paraId="15CFB2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无线AP（高密）</w:t>
            </w:r>
          </w:p>
        </w:tc>
        <w:tc>
          <w:tcPr>
            <w:tcW w:w="1872" w:type="pct"/>
            <w:vAlign w:val="center"/>
          </w:tcPr>
          <w:p w14:paraId="335EE66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7748C50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w:t>
            </w:r>
          </w:p>
          <w:p w14:paraId="35D2E33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2.▲</w:t>
            </w:r>
            <w:r>
              <w:rPr>
                <w:rFonts w:hint="eastAsia" w:ascii="宋体" w:hAnsi="宋体" w:eastAsia="宋体" w:cs="宋体"/>
                <w:i w:val="0"/>
                <w:iCs w:val="0"/>
                <w:color w:val="000000"/>
                <w:kern w:val="0"/>
                <w:sz w:val="24"/>
                <w:szCs w:val="24"/>
                <w:highlight w:val="none"/>
                <w:u w:val="none"/>
                <w:lang w:val="en-US" w:eastAsia="zh-CN" w:bidi="ar"/>
              </w:rPr>
              <w:t>具备802.11a/b/g/n/ac/ac wave2/ax标准（</w:t>
            </w:r>
            <w:r>
              <w:rPr>
                <w:rFonts w:hint="eastAsia" w:ascii="宋体" w:hAnsi="宋体" w:eastAsia="宋体" w:cs="宋体"/>
                <w:i w:val="0"/>
                <w:iCs w:val="0"/>
                <w:color w:val="000000"/>
                <w:kern w:val="2"/>
                <w:sz w:val="24"/>
                <w:szCs w:val="24"/>
                <w:highlight w:val="none"/>
                <w:u w:val="none"/>
                <w:lang w:val="en-US" w:eastAsia="zh-CN" w:bidi="ar-SA"/>
              </w:rPr>
              <w:t>投标文件中提供官网截图及链接证明</w:t>
            </w:r>
            <w:r>
              <w:rPr>
                <w:rFonts w:hint="eastAsia" w:ascii="宋体" w:hAnsi="宋体" w:eastAsia="宋体" w:cs="宋体"/>
                <w:i w:val="0"/>
                <w:iCs w:val="0"/>
                <w:color w:val="000000"/>
                <w:kern w:val="0"/>
                <w:sz w:val="24"/>
                <w:szCs w:val="24"/>
                <w:highlight w:val="none"/>
                <w:u w:val="none"/>
                <w:lang w:val="en-US" w:eastAsia="zh-CN" w:bidi="ar"/>
              </w:rPr>
              <w:t>）；</w:t>
            </w:r>
          </w:p>
          <w:p w14:paraId="43CDA5A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2.具备2.4GHz/5GHz双频段同时工作，具备全Wi-Fi 6射频，整机协商速率≥5.3Gbps；</w:t>
            </w:r>
          </w:p>
          <w:p w14:paraId="15698CCD">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具备≥2个千兆电口；内置智能天线。</w:t>
            </w:r>
          </w:p>
          <w:p w14:paraId="5D045579">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3D045ED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140273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445" w:type="pct"/>
            <w:vAlign w:val="center"/>
          </w:tcPr>
          <w:p w14:paraId="5466E8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884F9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7D2DDE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534E68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08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07C5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77" w:type="pct"/>
            <w:vAlign w:val="center"/>
          </w:tcPr>
          <w:p w14:paraId="009E17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面板AP</w:t>
            </w:r>
          </w:p>
        </w:tc>
        <w:tc>
          <w:tcPr>
            <w:tcW w:w="1872" w:type="pct"/>
            <w:vAlign w:val="center"/>
          </w:tcPr>
          <w:p w14:paraId="59216F4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2EC83EC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2"/>
                <w:sz w:val="24"/>
                <w:szCs w:val="24"/>
                <w:highlight w:val="none"/>
                <w:u w:val="none"/>
                <w:lang w:val="en-US" w:eastAsia="zh-CN" w:bidi="ar-SA"/>
              </w:rPr>
              <w:t>非OEM产品；</w:t>
            </w:r>
          </w:p>
          <w:p w14:paraId="1F4B11B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2"/>
                <w:sz w:val="24"/>
                <w:szCs w:val="24"/>
                <w:highlight w:val="none"/>
                <w:u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具备802.11a/b/g/n/ac/ac wave2/ax标准，总空间流数≥4；整机速率≥2.9Gbps（</w:t>
            </w:r>
            <w:r>
              <w:rPr>
                <w:rFonts w:hint="eastAsia" w:ascii="宋体" w:hAnsi="宋体" w:eastAsia="宋体" w:cs="宋体"/>
                <w:i w:val="0"/>
                <w:iCs w:val="0"/>
                <w:color w:val="000000"/>
                <w:kern w:val="2"/>
                <w:sz w:val="24"/>
                <w:szCs w:val="24"/>
                <w:highlight w:val="none"/>
                <w:u w:val="none"/>
                <w:lang w:val="en-US" w:eastAsia="zh-CN" w:bidi="ar-SA"/>
              </w:rPr>
              <w:t>投标文件中提供官网截图及链接证明</w:t>
            </w:r>
            <w:r>
              <w:rPr>
                <w:rFonts w:hint="eastAsia" w:ascii="宋体" w:hAnsi="宋体" w:eastAsia="宋体" w:cs="宋体"/>
                <w:i w:val="0"/>
                <w:iCs w:val="0"/>
                <w:color w:val="000000"/>
                <w:kern w:val="0"/>
                <w:sz w:val="24"/>
                <w:szCs w:val="24"/>
                <w:highlight w:val="none"/>
                <w:u w:val="none"/>
                <w:lang w:val="en-US" w:eastAsia="zh-CN" w:bidi="ar"/>
              </w:rPr>
              <w:t>）；</w:t>
            </w:r>
          </w:p>
          <w:p w14:paraId="2B6E7BC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3.上行具备1个GE自适应以太口，下行具备3个GE口，内置智能天线。</w:t>
            </w:r>
          </w:p>
          <w:p w14:paraId="20F907C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691960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1.面板AP适配标准86mm*86mm面板盒；</w:t>
            </w:r>
          </w:p>
          <w:p w14:paraId="001ED0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2A1EFF0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504608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445" w:type="pct"/>
            <w:vAlign w:val="center"/>
          </w:tcPr>
          <w:p w14:paraId="7AD974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B25C0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8AF5A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D485F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E7F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D4AB5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77" w:type="pct"/>
            <w:vAlign w:val="center"/>
          </w:tcPr>
          <w:p w14:paraId="341754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无线认证系统</w:t>
            </w:r>
          </w:p>
        </w:tc>
        <w:tc>
          <w:tcPr>
            <w:tcW w:w="1872" w:type="pct"/>
            <w:vAlign w:val="center"/>
          </w:tcPr>
          <w:p w14:paraId="3EDE376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5066734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系统要求配置不低于1000个终端授权；</w:t>
            </w:r>
          </w:p>
          <w:p w14:paraId="5A04871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2.配置硬件服务器1台，配置不低于2颗32核2.6GHz CPU,4*32GB内存,硬盘4*1920GB SSD,Raid卡(4G缓存),2*4 GE电口,3*2 10GE/25GE光口,2*900W AC。</w:t>
            </w:r>
          </w:p>
          <w:p w14:paraId="5F4148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4DEDCB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1.具备通过策略，保障VIP用户优先接入网络；</w:t>
            </w:r>
          </w:p>
          <w:p w14:paraId="5AA2F3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2.具备多种认证技术，如802.1x、Portal认证等，Portal页面支持定制</w:t>
            </w:r>
          </w:p>
          <w:p w14:paraId="534A9DB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3.具备与多个AD/LDAP域名服务器同步，具备基于账号属性映射成本地角色，通过角色进行网络准入；</w:t>
            </w:r>
          </w:p>
          <w:p w14:paraId="596CA3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57241F9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536D4601">
            <w:pPr>
              <w:keepNext w:val="0"/>
              <w:keepLines w:val="0"/>
              <w:pageBreakBefore w:val="0"/>
              <w:widowControl/>
              <w:suppressLineNumbers w:val="0"/>
              <w:tabs>
                <w:tab w:val="left" w:pos="514"/>
                <w:tab w:val="center" w:pos="649"/>
              </w:tabs>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07043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C16FC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706BC0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6BED90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47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9190D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77" w:type="pct"/>
            <w:vAlign w:val="center"/>
          </w:tcPr>
          <w:p w14:paraId="24E555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专线接入</w:t>
            </w:r>
          </w:p>
        </w:tc>
        <w:tc>
          <w:tcPr>
            <w:tcW w:w="1872" w:type="pct"/>
            <w:vAlign w:val="center"/>
          </w:tcPr>
          <w:p w14:paraId="15849A5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提供五年从数据大厦至市网络交换中心裸光纤双链路专线接入服务。</w:t>
            </w:r>
          </w:p>
        </w:tc>
        <w:tc>
          <w:tcPr>
            <w:tcW w:w="458" w:type="pct"/>
            <w:vAlign w:val="center"/>
          </w:tcPr>
          <w:p w14:paraId="754EBE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CCB0E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33AF06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4C2446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600F22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CD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3ABF33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74C80AB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电子政务外网网管平台</w:t>
            </w:r>
          </w:p>
        </w:tc>
      </w:tr>
      <w:tr w14:paraId="1846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43B2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4A907D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网管平台</w:t>
            </w:r>
          </w:p>
        </w:tc>
        <w:tc>
          <w:tcPr>
            <w:tcW w:w="1872" w:type="pct"/>
            <w:vAlign w:val="center"/>
          </w:tcPr>
          <w:p w14:paraId="0328782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75CA3B9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配置要求：有线设备授权数≥1500个，无线AP授权数≥100个；</w:t>
            </w:r>
          </w:p>
          <w:p w14:paraId="140C4CB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2、配套硬件服务器1台，配置不低于2颗32核2.6GHz CPU,2*32GB内存,硬盘2*1920GB SSD,Raid卡(2G缓存),2*4 GE电口,2*900W AC。</w:t>
            </w:r>
          </w:p>
          <w:p w14:paraId="2DFA6D7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5758797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1、具备SNMP v1、v2c、v3协议管理设备；具备手工增加设备；具备自动发现设备功能，自动发现设备任务可立即或周期性执行；具备设备基本信息展示：设备标签、管理状态、IP地址、掩码、sysOID、类型、系统名称、联系人、位置、设备型号、最后轮询时间、接口数量、运行时间、系统描述等。</w:t>
            </w:r>
          </w:p>
          <w:p w14:paraId="7BB95FC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2、具备接口信息展示功能：展示接口状态、接口描述、接口别名、最后改变时间、光/电口、IP地址等；具备设备导入、导出、管理、取消管理、删除、修改基本信息等；</w:t>
            </w:r>
          </w:p>
          <w:p w14:paraId="33B2B29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3、具备设备常用操作：Telnet或SSH至设备、打开设备Web网管、Ping和Tracert设备；具备设备可达性状态探测：当设备不可达时会发出不可达告警，设备状态变为红色，当可达后，发出可达告警，设备状态变为正常；</w:t>
            </w:r>
          </w:p>
          <w:p w14:paraId="62A2B9B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4、网络设备监控：具备设备CPU、内存、响应时间、不可达比例监控；具备接口收发速率、带宽利用率、丢包率等指标监控；</w:t>
            </w:r>
          </w:p>
          <w:p w14:paraId="11A2D39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5、具备接收设备发送的告警；具备系统自动产生告警：系统会定期检测网络设备不可达/可达状态，并发送告警；系统会自动生成性能阈值告警；</w:t>
            </w:r>
          </w:p>
          <w:p w14:paraId="05012F3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6、具备告警转发至邮箱、收集、微信和流程等功能；</w:t>
            </w:r>
          </w:p>
          <w:p w14:paraId="62DD806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7、具备配置操作员名称、密码、姓名、操作员全称、认证方式、手机号、所属组织、关联租户、附加信息等参数。</w:t>
            </w:r>
          </w:p>
          <w:p w14:paraId="7344AF5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8、本次网管系统对滁州市电子政务外网关键基础设施进行监控，所投产品需满足现网网络、安全等设备兼容性。</w:t>
            </w:r>
          </w:p>
          <w:p w14:paraId="0C5C4B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4D066B5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1C47A3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2E051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C9CFB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1104E6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3F71B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FE9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DF70F4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4566" w:type="pct"/>
            <w:gridSpan w:val="7"/>
            <w:vAlign w:val="center"/>
          </w:tcPr>
          <w:p w14:paraId="312CFE55">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一机两用</w:t>
            </w:r>
          </w:p>
        </w:tc>
      </w:tr>
      <w:tr w14:paraId="3977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5812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7D052C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零信任管理中心</w:t>
            </w:r>
          </w:p>
        </w:tc>
        <w:tc>
          <w:tcPr>
            <w:tcW w:w="1872" w:type="pct"/>
            <w:vAlign w:val="center"/>
          </w:tcPr>
          <w:p w14:paraId="0098613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5B16E37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非OEM产品，最大同时使用用户数≥3000，配置1套零信任访问控制系统软件;配置1000套零信任客户端授权。</w:t>
            </w:r>
          </w:p>
          <w:p w14:paraId="3CAC19C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2、内存≥16G，硬盘容量≥128G，电源：具备冗余电源，接口≥6个千兆电口+4个千兆光口SFP（满配光模块和跳线）。</w:t>
            </w:r>
          </w:p>
          <w:p w14:paraId="6D81187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AE979F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1、身份认证</w:t>
            </w:r>
          </w:p>
          <w:p w14:paraId="1A9050C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终端接入政务外网之前，用户终端应通过身份认证，非授权的用户终端不允许接入政务外网。</w:t>
            </w:r>
          </w:p>
          <w:p w14:paraId="386E826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2、安全检查</w:t>
            </w:r>
          </w:p>
          <w:p w14:paraId="18873BF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终端接入政务外网之前，应通过安全接入检查，不符合要求的终端不允许接入政务外网。</w:t>
            </w:r>
          </w:p>
          <w:p w14:paraId="4E65D5F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3、传输加密</w:t>
            </w:r>
          </w:p>
          <w:p w14:paraId="38C5F1C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终端接入通过身份认证和安全检查后，应采用密码技术保证通信传输安全。</w:t>
            </w:r>
          </w:p>
          <w:p w14:paraId="3F207F0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4、应用访问控制</w:t>
            </w:r>
          </w:p>
          <w:p w14:paraId="7CA02CE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终端接入政务外网后，应实现应用访问控制。</w:t>
            </w:r>
          </w:p>
          <w:p w14:paraId="42C1CD0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5、终端安全隔离：对终端进行恶意代码防范、终端入侵防护、非法外联控制、安全基线检查、漏洞检测修复、数据安全防护、端补丁管理、终端资产管理、终端精准阻断。</w:t>
            </w:r>
          </w:p>
          <w:p w14:paraId="1336B7E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6、所投产品须满足《政务外网终端一机两用安全管控技术指南》（GW0015—2022）要求。</w:t>
            </w:r>
          </w:p>
          <w:p w14:paraId="5CEC0A7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1381C61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71A3B3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90550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7E1EE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08D22C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6D4883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3BB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7ED6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102FA2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零信任代理网关</w:t>
            </w:r>
          </w:p>
        </w:tc>
        <w:tc>
          <w:tcPr>
            <w:tcW w:w="1872" w:type="pct"/>
            <w:vAlign w:val="center"/>
          </w:tcPr>
          <w:p w14:paraId="1EE8CB4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5B003E8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非OEM产品，最大同时使用用户数≥3000，新建连接数≥400个/秒。</w:t>
            </w:r>
          </w:p>
          <w:p w14:paraId="7AC63A1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2、内存≥16G，硬盘容量≥128G，电源：具备冗余电源，接口≥6个千兆电口+4个千兆光口SFP（满配光模块）。</w:t>
            </w:r>
          </w:p>
          <w:p w14:paraId="3CA7BF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3C05ED47">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1、所投产品须满足《政务外网终端一机两用安全管控技术指南》（GW0015—2022）要求。</w:t>
            </w:r>
          </w:p>
          <w:p w14:paraId="532A03D8">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490BAC7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576CCF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026D66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6B1F2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225224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0A86A7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91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1F48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4566" w:type="pct"/>
            <w:gridSpan w:val="7"/>
            <w:vAlign w:val="center"/>
          </w:tcPr>
          <w:p w14:paraId="53093168">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云桌面</w:t>
            </w:r>
          </w:p>
        </w:tc>
      </w:tr>
      <w:tr w14:paraId="1A4A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F5054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003F1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云桌面服务器</w:t>
            </w:r>
          </w:p>
        </w:tc>
        <w:tc>
          <w:tcPr>
            <w:tcW w:w="1872" w:type="pct"/>
            <w:vAlign w:val="center"/>
          </w:tcPr>
          <w:p w14:paraId="3F9C756B">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276DDB3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规格：2U机架式服务器</w:t>
            </w:r>
          </w:p>
          <w:p w14:paraId="5C0AC898">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1、CPU：≥2颗CPU， 主频≥2.7GHz，物理核数≥32</w:t>
            </w:r>
          </w:p>
          <w:p w14:paraId="1461FCDC">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2、内存：≥20*32GB DDR4 3200</w:t>
            </w:r>
          </w:p>
          <w:p w14:paraId="15BAF30A">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3、系统盘：≥2*240GB SSD</w:t>
            </w:r>
          </w:p>
          <w:p w14:paraId="2A3762B1">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4、缓存盘：≥2*3.84T SSD</w:t>
            </w:r>
          </w:p>
          <w:p w14:paraId="347FE8DE">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5、数据盘：≥10*机械硬盘10T，标配盘位数：12</w:t>
            </w:r>
          </w:p>
          <w:p w14:paraId="1DB47A6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6、电源：800W，具备冗余电源</w:t>
            </w:r>
          </w:p>
          <w:p w14:paraId="07A4550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7、Raid卡：具备缓存功能</w:t>
            </w:r>
          </w:p>
          <w:p w14:paraId="61868C2A">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8、接口：4千兆电口+2万兆光口（满配光模块和跳线）。</w:t>
            </w:r>
          </w:p>
          <w:p w14:paraId="3710AB3C">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515EC878">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71AB62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445" w:type="pct"/>
            <w:vAlign w:val="center"/>
          </w:tcPr>
          <w:p w14:paraId="1E1960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443" w:type="pct"/>
            <w:vAlign w:val="center"/>
          </w:tcPr>
          <w:p w14:paraId="383BA44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38CD2F2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72A91C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515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580B2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605357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瘦终端盒子(座席端)</w:t>
            </w:r>
          </w:p>
        </w:tc>
        <w:tc>
          <w:tcPr>
            <w:tcW w:w="1872" w:type="pct"/>
            <w:vAlign w:val="center"/>
          </w:tcPr>
          <w:p w14:paraId="5CF4040E">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43F1BC69">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1、CPU核心数≥4，主频≥2.0GHz，内存≥2GB，硬盘容量≥16GB，接口：≥1个千兆电口，≥2个HDMI+1个DP接口，≥4个USB2.0+2个USB3.0接口。</w:t>
            </w:r>
          </w:p>
          <w:p w14:paraId="2F25E24E">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2、本次要求HDMI接口具备：2560*1440p；2560x1080p(带鱼屏)；1920*1080p；1680*1050p等分辨率，VGA接口具备：1920*1080p；1680*1050p；1600*900p等分辨率。</w:t>
            </w:r>
          </w:p>
          <w:p w14:paraId="7168BF6C">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69491E4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1、管理方式为虚拟机和瘦终端统一管理。</w:t>
            </w:r>
          </w:p>
          <w:p w14:paraId="48A0D427">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2、具备多任务、多窗口的应用场景；</w:t>
            </w:r>
          </w:p>
          <w:p w14:paraId="0198B003">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3、具备修改云终端配置和登录信息时需要密码的功能，未接入的瘦终端在接入桌面时需要输入密码。</w:t>
            </w:r>
          </w:p>
          <w:p w14:paraId="1C2E3C95">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4、具备云终端和操作系统一体化关闭功能。</w:t>
            </w:r>
          </w:p>
          <w:p w14:paraId="00AA14E7">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5、所投产品与桌面云软件兼容。</w:t>
            </w:r>
          </w:p>
          <w:p w14:paraId="1E280F4D">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673D1664">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548E90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445" w:type="pct"/>
            <w:vAlign w:val="center"/>
          </w:tcPr>
          <w:p w14:paraId="726AAD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C28F6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42C7A4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3BE139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2BB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BD611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7" w:type="pct"/>
            <w:vAlign w:val="center"/>
          </w:tcPr>
          <w:p w14:paraId="14C81A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瘦终端盒子(办公端)</w:t>
            </w:r>
          </w:p>
        </w:tc>
        <w:tc>
          <w:tcPr>
            <w:tcW w:w="1872" w:type="pct"/>
            <w:vAlign w:val="center"/>
          </w:tcPr>
          <w:p w14:paraId="0EEBE4AE">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60BE0A07">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1、CPU核心数≥4，主频≥1.8GHz，内存≥2GB，硬盘容量≥8GB，接口：≥1个千兆电口，≥1个HDMI+1个VGA接口，≥4个USB2.0+2个USB3.0接口；</w:t>
            </w:r>
          </w:p>
          <w:p w14:paraId="19FDABEB">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2、本次要求HDMI接口具备：2560*1440p；2560x1080p(带鱼屏)；1920*1080p；1680*1050p等分辨率，VGA接口具备：1920*1080p；1680*1050p；1600*900p等分辨率。</w:t>
            </w:r>
          </w:p>
          <w:p w14:paraId="05D3FC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63A35EF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1、管理方式为虚拟机和瘦终端统一管理。</w:t>
            </w:r>
          </w:p>
          <w:p w14:paraId="139A22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2、具备多任务、多窗口的应用场景；</w:t>
            </w:r>
          </w:p>
          <w:p w14:paraId="1D3CCA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3、具备修改云终端配置和登录信息时需要密码的功能，未接入的瘦终端在接入桌面时需要输入密码。</w:t>
            </w:r>
          </w:p>
          <w:p w14:paraId="090F59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4、具备云终端和操作系统一体化关闭功能。</w:t>
            </w:r>
          </w:p>
          <w:p w14:paraId="7A9F1099">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5、所投产品与桌面云软件兼容。</w:t>
            </w:r>
          </w:p>
          <w:p w14:paraId="4F0CD6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295BF2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3C659C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1BECE2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62BA81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工业</w:t>
            </w:r>
          </w:p>
        </w:tc>
        <w:tc>
          <w:tcPr>
            <w:tcW w:w="437" w:type="pct"/>
            <w:vAlign w:val="center"/>
          </w:tcPr>
          <w:p w14:paraId="14B648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否</w:t>
            </w:r>
          </w:p>
        </w:tc>
        <w:tc>
          <w:tcPr>
            <w:tcW w:w="332" w:type="pct"/>
            <w:vAlign w:val="center"/>
          </w:tcPr>
          <w:p w14:paraId="097D59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878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850A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2584F8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云桌面软件及接入授权</w:t>
            </w:r>
          </w:p>
        </w:tc>
        <w:tc>
          <w:tcPr>
            <w:tcW w:w="1872" w:type="pct"/>
            <w:vAlign w:val="center"/>
          </w:tcPr>
          <w:p w14:paraId="5B754196">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23CEE2A">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1、接入终端操作系统类型：具备系统（如麒麟系统、UOS系统等）安装客户端接入。</w:t>
            </w:r>
          </w:p>
          <w:p w14:paraId="1EAB68F6">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2、虚拟机操作系统类型：具备发布系统（如麒麟系统、UOS系统等）的独享桌面。</w:t>
            </w:r>
          </w:p>
          <w:p w14:paraId="49E02C7D">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3、为保障外设兼容性及稳定性，所投产品需具备USB映射功能。</w:t>
            </w:r>
          </w:p>
          <w:p w14:paraId="2AAE1E05">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4、管理员可自定义进程加速应用，提升应用软件使用体验。</w:t>
            </w:r>
          </w:p>
          <w:p w14:paraId="5D11C563">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5、具备池化桌面，虚拟机与用户之间不做强绑定，使用时从桌面资源池中随机获取一个闲置虚拟机，注销后系统自动关闭虚拟机释放资源。</w:t>
            </w:r>
          </w:p>
          <w:p w14:paraId="48418F36">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6、具备自助快照恢复。</w:t>
            </w:r>
          </w:p>
          <w:p w14:paraId="1E7D405D">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7、具备在无需安装其他软件的情况下，管理员可以远程协助维护虚拟机。</w:t>
            </w:r>
          </w:p>
          <w:p w14:paraId="60A02E34">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8、具备模板链接克隆及完整复制虚拟机功能，克隆时可指定虚拟机的数量、运行位置、存储位置、网口信息、磁盘大小等。</w:t>
            </w:r>
          </w:p>
          <w:p w14:paraId="14873FD2">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9、▲具备模板升级功能，可以统一安装所需要升级的软件/补丁，一键更新到指定的虚拟机。（投标文件中提供产品功能截图）</w:t>
            </w:r>
          </w:p>
          <w:p w14:paraId="6E6D9025">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10、桌面云控制器具备集群模式，在不增加第三方负载均衡的情况下，可实现桌面云控制器宕机切换会话不中断。</w:t>
            </w:r>
          </w:p>
          <w:p w14:paraId="1A03282C">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11、具备U盘、PC本地桌面到虚拟桌面的双向拷贝管控，可控制U盘的只读和读写权限，可控制本地桌面和虚拟桌面双向拷贝、单向拷贝。</w:t>
            </w:r>
          </w:p>
          <w:p w14:paraId="35E241A3">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12、桌面云接入授权：包含独享桌面、共享桌面、远程应用。</w:t>
            </w:r>
          </w:p>
          <w:p w14:paraId="55DD416B">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13、所投产品具备在不使用第三方产品的情况下，可在桌面云管理平台配置基于虚拟机的ACL访问控制策略。</w:t>
            </w:r>
          </w:p>
          <w:p w14:paraId="6E99E46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306A7889">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26B40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445" w:type="pct"/>
            <w:vAlign w:val="center"/>
          </w:tcPr>
          <w:p w14:paraId="7CE68D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4D591C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7CCEE2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4807FE2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952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4C1E7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7" w:type="pct"/>
            <w:vAlign w:val="center"/>
          </w:tcPr>
          <w:p w14:paraId="5192DE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国产操作系统授权</w:t>
            </w:r>
          </w:p>
        </w:tc>
        <w:tc>
          <w:tcPr>
            <w:tcW w:w="1872" w:type="pct"/>
            <w:vAlign w:val="center"/>
          </w:tcPr>
          <w:p w14:paraId="3226CB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1、支持龙芯、兆芯、海光、飞腾、华为鲲鹏等主流CPU芯片。</w:t>
            </w:r>
          </w:p>
        </w:tc>
        <w:tc>
          <w:tcPr>
            <w:tcW w:w="458" w:type="pct"/>
            <w:vAlign w:val="center"/>
          </w:tcPr>
          <w:p w14:paraId="4F38CF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445" w:type="pct"/>
            <w:vAlign w:val="center"/>
          </w:tcPr>
          <w:p w14:paraId="069762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AC8DD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7647B46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F12F6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209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1DC6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53CD0B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存储交换机</w:t>
            </w:r>
          </w:p>
        </w:tc>
        <w:tc>
          <w:tcPr>
            <w:tcW w:w="1872" w:type="pct"/>
            <w:vAlign w:val="center"/>
          </w:tcPr>
          <w:p w14:paraId="063659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209760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1.万兆SFP+光口≥12，千兆电口≥12；Console口≥1个，Manage口≥1个。</w:t>
            </w:r>
          </w:p>
          <w:p w14:paraId="589071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2.具备全线速转发，交换容量≥1.28Tbps/12.8Tbps，包转发率≥480Mpps。</w:t>
            </w:r>
          </w:p>
          <w:p w14:paraId="5B1B61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3.满配光模块和跳线；</w:t>
            </w:r>
          </w:p>
          <w:p w14:paraId="4848A84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774C5D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1BAEA5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48B9A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D5977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E6736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064BB8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CE6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F0D5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7002B2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接入交换机</w:t>
            </w:r>
          </w:p>
        </w:tc>
        <w:tc>
          <w:tcPr>
            <w:tcW w:w="1872" w:type="pct"/>
            <w:vAlign w:val="center"/>
          </w:tcPr>
          <w:p w14:paraId="2D4631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09671A61">
            <w:pPr>
              <w:keepNext w:val="0"/>
              <w:keepLines w:val="0"/>
              <w:pageBreakBefore w:val="0"/>
              <w:widowControl/>
              <w:numPr>
                <w:ilvl w:val="0"/>
                <w:numId w:val="4"/>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非OEM产品；</w:t>
            </w:r>
          </w:p>
          <w:p w14:paraId="27F50770">
            <w:pPr>
              <w:keepNext w:val="0"/>
              <w:keepLines w:val="0"/>
              <w:pageBreakBefore w:val="0"/>
              <w:widowControl/>
              <w:numPr>
                <w:ilvl w:val="0"/>
                <w:numId w:val="4"/>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交换容量≥6Tbps，包转发率≥200Mpps；具备48个千兆电口、4个万兆SFP+端口；</w:t>
            </w:r>
          </w:p>
          <w:p w14:paraId="0B7FD3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3.具备MAC地址≥32K，具备IPv4 路由表≥16K，具备IPv6 路由表≥8K；</w:t>
            </w:r>
          </w:p>
          <w:p w14:paraId="5019CA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4.满配万兆单模光模块和跳线。</w:t>
            </w:r>
          </w:p>
          <w:p w14:paraId="538452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7E1BCF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1.具备静态路由、RIP V1/2、RIPng、OSPF、OSPFv3、IS-IS、IS-ISv6、BGP、BGP4+、ECMP、路由策略，具备IPv4/IPv6双栈；</w:t>
            </w:r>
          </w:p>
          <w:p w14:paraId="5F5172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2.提供基于源MAC地址、目的MAC地址、源IP地址、目的IP地址的包过滤功能；</w:t>
            </w:r>
          </w:p>
          <w:p w14:paraId="178E6B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3.具备Telemetry技术；</w:t>
            </w:r>
          </w:p>
          <w:p w14:paraId="40898C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4.具备冗余电源，冗余风扇。</w:t>
            </w:r>
          </w:p>
          <w:p w14:paraId="060B42D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3B6D56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75F956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6352F6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EE471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7ABF4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8773D8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DF3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1EEBE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4566" w:type="pct"/>
            <w:gridSpan w:val="7"/>
            <w:vAlign w:val="center"/>
          </w:tcPr>
          <w:p w14:paraId="0AA5E99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w:t>
            </w:r>
          </w:p>
        </w:tc>
      </w:tr>
      <w:tr w14:paraId="17F9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AE7BF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B5A61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图形工作站</w:t>
            </w:r>
          </w:p>
        </w:tc>
        <w:tc>
          <w:tcPr>
            <w:tcW w:w="1872" w:type="pct"/>
            <w:vAlign w:val="center"/>
          </w:tcPr>
          <w:p w14:paraId="1F0254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39728A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1、机架式服务器；</w:t>
            </w:r>
          </w:p>
          <w:p w14:paraId="47AFC2E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2、处理器：≥2颗CPU（主频不低于2.8GHz，8核心）；</w:t>
            </w:r>
          </w:p>
          <w:p w14:paraId="282F52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3、内存：≥4根32GB DDR4内存，最大支持32个内存插槽；</w:t>
            </w:r>
          </w:p>
          <w:p w14:paraId="72D1E2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4、硬盘：≥3块 1.92T SSD硬盘；</w:t>
            </w:r>
          </w:p>
          <w:p w14:paraId="171BB4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5、RAID卡：≥1块高性能RAID卡；</w:t>
            </w:r>
          </w:p>
          <w:p w14:paraId="12EEAE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6、网卡：≥4个千兆以太网口，支持OCP网络模块；</w:t>
            </w:r>
          </w:p>
          <w:p w14:paraId="65FDAD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7、GPU卡：≥1块高性能专业图形显卡，显存≥24G，显存位宽≥384bit，显存类型≥GDDR6；</w:t>
            </w:r>
          </w:p>
          <w:p w14:paraId="236818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8、电源：配置2个≥800W 热插拔冗余电源，满配冗余风扇。</w:t>
            </w:r>
          </w:p>
          <w:p w14:paraId="1131E0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1CD31B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2AF3DA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A71B1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C8A35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A3D5C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73EF0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376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282B5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35C38D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专用调度显示服务器</w:t>
            </w:r>
          </w:p>
        </w:tc>
        <w:tc>
          <w:tcPr>
            <w:tcW w:w="1872" w:type="pct"/>
            <w:vAlign w:val="center"/>
          </w:tcPr>
          <w:p w14:paraId="2F81260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128FBB7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1、机架式服务器；</w:t>
            </w:r>
          </w:p>
          <w:p w14:paraId="48E878D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2、处理器：≥2颗 CPU（不低于2.4 GHz主频，16核心）；</w:t>
            </w:r>
          </w:p>
          <w:p w14:paraId="0B58709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3、内存：≥12根32GB DDR4内存，最大支持32个内存插槽；</w:t>
            </w:r>
          </w:p>
          <w:p w14:paraId="55E0815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4、硬盘：1块480GB SATA SSD，4块 7.68TB NVME SSD硬盘，支持硬盘热拔插；最大支持39块硬盘；</w:t>
            </w:r>
          </w:p>
          <w:p w14:paraId="3EA8504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5、RAID卡：独立高性能SAS RAID卡；</w:t>
            </w:r>
          </w:p>
          <w:p w14:paraId="7B95B91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6、网口：≥4个千兆以太网口，支持OCP网络模块；</w:t>
            </w:r>
          </w:p>
          <w:p w14:paraId="4BE9907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7、GPU卡：≥4块高性能专业图形显卡，显存≥48G，显存位宽≥384bit，显存类型≥GDDR6，支持4 个双宽或8 个单宽GPU；</w:t>
            </w:r>
          </w:p>
          <w:p w14:paraId="17C17DB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8、I/O 扩展槽以及扩展模块配置：最大支持11 个PCIE 插槽，支持1个OCP 3.0 网卡和1个RAID mezz卡；</w:t>
            </w:r>
          </w:p>
          <w:p w14:paraId="2046635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9、电源：配置2个≥2700W 热插拔冗余电源，满配冗余风扇。</w:t>
            </w:r>
          </w:p>
          <w:p w14:paraId="55F5251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7557286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5AF70E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BECD8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530F4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115BF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6381E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184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F3911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34C135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专用调度终端</w:t>
            </w:r>
          </w:p>
        </w:tc>
        <w:tc>
          <w:tcPr>
            <w:tcW w:w="1872" w:type="pct"/>
            <w:vAlign w:val="center"/>
          </w:tcPr>
          <w:p w14:paraId="128B53A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51D78C7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1、ARM架构处理器，核心数≥8个，最高主频≥2.3GHz，制程工艺≤14nm，TDP功耗≤15W；</w:t>
            </w:r>
          </w:p>
          <w:p w14:paraId="284569D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2、内存≥8GB DDR4或LPDDR4x，频率≥3200MHz，硬盘≥512G固态+1T机械，显卡：集成显卡，接口具备HDMI+VGA，预装麒麟/统信/华为鸿蒙等操作系统，预装文字和表格自主可靠软件，配备键盘鼠标；</w:t>
            </w:r>
          </w:p>
          <w:p w14:paraId="7CE0E47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3、接口：至少具备VGA*1、HDMI*1、DC*1、RJ45*1、USB3.0*4。</w:t>
            </w:r>
          </w:p>
          <w:p w14:paraId="7E4B220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p w14:paraId="1ED926F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216158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1、安全特性：支持限制USB接口使用用途，可以设置USB接口为USB存储只读和USB存储拒绝（可识别鼠标和键盘）；</w:t>
            </w:r>
          </w:p>
          <w:p w14:paraId="528F7DC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2、机箱防尘：整机具备防尘设计，防尘等级满足IP5x。</w:t>
            </w:r>
          </w:p>
          <w:p w14:paraId="018707C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44A50E9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106835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445" w:type="pct"/>
            <w:vAlign w:val="center"/>
          </w:tcPr>
          <w:p w14:paraId="68D95C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3D713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60E40C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18D00F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3453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3" w:type="pct"/>
            <w:vAlign w:val="center"/>
          </w:tcPr>
          <w:p w14:paraId="38C368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77" w:type="pct"/>
            <w:vAlign w:val="center"/>
          </w:tcPr>
          <w:p w14:paraId="1CBEC5D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座席台显示器</w:t>
            </w:r>
          </w:p>
        </w:tc>
        <w:tc>
          <w:tcPr>
            <w:tcW w:w="1872" w:type="pct"/>
            <w:vAlign w:val="center"/>
          </w:tcPr>
          <w:p w14:paraId="19487D7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性能要求：</w:t>
            </w:r>
          </w:p>
          <w:p w14:paraId="5A0DE10E">
            <w:pPr>
              <w:keepNext w:val="0"/>
              <w:keepLines w:val="0"/>
              <w:pageBreakBefore w:val="0"/>
              <w:widowControl/>
              <w:numPr>
                <w:ilvl w:val="0"/>
                <w:numId w:val="5"/>
              </w:numPr>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屏幕尺寸≥34英寸；屏幕比例：21∶9；屏体对比度≥3000:1；平均亮度≥400cd/㎡；刷新率：≥165Hz；分辨率：支持3440X1440并具备向下兼容能力；曲率：≥R1000；</w:t>
            </w:r>
          </w:p>
          <w:p w14:paraId="052D01C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p w14:paraId="21EE9B0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功能要求：</w:t>
            </w:r>
          </w:p>
          <w:p w14:paraId="09E9F39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1、具备多窗口模式，具备PBP分屏功能，可实现单设备输出双信号源分屏或双设备单信号源输出分屏显示技术，可自行调节比例；</w:t>
            </w:r>
          </w:p>
          <w:p w14:paraId="40782E2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2、接口：至少具备HDMI*2、DP*1</w:t>
            </w:r>
          </w:p>
          <w:p w14:paraId="39A54A2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3、支持壁挂，配置外接电源适配器和键盘、鼠标。</w:t>
            </w:r>
          </w:p>
          <w:p w14:paraId="44EA2C3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服务需求：按照原厂标准提供三年免费质保服务，提供保修期内硬件故障的维修、设备的更换及软件的免费升级。</w:t>
            </w:r>
          </w:p>
        </w:tc>
        <w:tc>
          <w:tcPr>
            <w:tcW w:w="458" w:type="pct"/>
            <w:vAlign w:val="center"/>
          </w:tcPr>
          <w:p w14:paraId="1DB0CA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45" w:type="pct"/>
            <w:vAlign w:val="center"/>
          </w:tcPr>
          <w:p w14:paraId="44EEBB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43" w:type="pct"/>
            <w:vAlign w:val="center"/>
          </w:tcPr>
          <w:p w14:paraId="32697A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4D722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31BD53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2114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83457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577" w:type="pct"/>
            <w:vAlign w:val="center"/>
          </w:tcPr>
          <w:p w14:paraId="14D012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办公显示器</w:t>
            </w:r>
          </w:p>
        </w:tc>
        <w:tc>
          <w:tcPr>
            <w:tcW w:w="1872" w:type="pct"/>
            <w:vAlign w:val="center"/>
          </w:tcPr>
          <w:p w14:paraId="6E9EC504">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性能要求：</w:t>
            </w:r>
          </w:p>
          <w:p w14:paraId="1FCD524E">
            <w:pPr>
              <w:keepNext w:val="0"/>
              <w:keepLines w:val="0"/>
              <w:pageBreakBefore w:val="0"/>
              <w:widowControl/>
              <w:numPr>
                <w:ilvl w:val="0"/>
                <w:numId w:val="6"/>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屏幕尺寸≥27英寸；屏幕比例：16：9；屏体对比度≥3000:1；平均亮度≥400cd/㎡；刷新率：≥240Hz；分辨率：支持2560X1440并具备向下兼容能力；</w:t>
            </w:r>
          </w:p>
          <w:p w14:paraId="3AA2662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p w14:paraId="2E46717A">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功能要求：</w:t>
            </w:r>
          </w:p>
          <w:p w14:paraId="1CAF1D37">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1、具备多窗口模式，具备PBP分屏功能，可实现单设备输出</w:t>
            </w:r>
            <w:r>
              <w:rPr>
                <w:rFonts w:hint="eastAsia" w:ascii="宋体" w:hAnsi="宋体" w:eastAsia="宋体" w:cs="宋体"/>
                <w:i w:val="0"/>
                <w:iCs w:val="0"/>
                <w:color w:val="auto"/>
                <w:kern w:val="0"/>
                <w:sz w:val="24"/>
                <w:szCs w:val="24"/>
                <w:highlight w:val="none"/>
                <w:lang w:val="en-US" w:eastAsia="zh-CN" w:bidi="ar"/>
              </w:rPr>
              <w:t>双信号源分屏或双设备单信号源输出分屏显示技术，可自行调节比例；</w:t>
            </w:r>
          </w:p>
          <w:p w14:paraId="08ADBB1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2、接口：至少具备HDMI*2、DP*1</w:t>
            </w:r>
          </w:p>
          <w:p w14:paraId="33538CD7">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3、支持壁挂，配置外接电源适配器和键盘、鼠标。</w:t>
            </w:r>
          </w:p>
          <w:p w14:paraId="3D195F0B">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服务需求：</w:t>
            </w:r>
          </w:p>
          <w:p w14:paraId="2B0BD7DB">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lang w:val="en-US" w:eastAsia="zh-CN" w:bidi="ar"/>
              </w:rPr>
              <w:t>按照原厂标准提供三年免费质保服务，提供保修期内硬件故障的维修、设备的更换及软件的免费升级。</w:t>
            </w:r>
          </w:p>
        </w:tc>
        <w:tc>
          <w:tcPr>
            <w:tcW w:w="458" w:type="pct"/>
            <w:vAlign w:val="center"/>
          </w:tcPr>
          <w:p w14:paraId="38ED5E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45" w:type="pct"/>
            <w:vAlign w:val="center"/>
          </w:tcPr>
          <w:p w14:paraId="77D209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443" w:type="pct"/>
            <w:vAlign w:val="center"/>
          </w:tcPr>
          <w:p w14:paraId="5AC504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5C72F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EAB8D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5925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E777F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p>
        </w:tc>
        <w:tc>
          <w:tcPr>
            <w:tcW w:w="4566" w:type="pct"/>
            <w:gridSpan w:val="7"/>
            <w:vAlign w:val="center"/>
          </w:tcPr>
          <w:p w14:paraId="5D5229B5">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显示系统</w:t>
            </w:r>
          </w:p>
        </w:tc>
      </w:tr>
      <w:tr w14:paraId="4E7F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8062A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p>
        </w:tc>
        <w:tc>
          <w:tcPr>
            <w:tcW w:w="4566" w:type="pct"/>
            <w:gridSpan w:val="7"/>
            <w:vAlign w:val="center"/>
          </w:tcPr>
          <w:p w14:paraId="2D03EBA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auto"/>
                <w:kern w:val="0"/>
                <w:sz w:val="24"/>
                <w:szCs w:val="24"/>
                <w:highlight w:val="none"/>
                <w:u w:val="none"/>
                <w:lang w:val="en-US" w:eastAsia="zh-CN" w:bidi="ar"/>
              </w:rPr>
              <w:t>城市运行管理中心</w:t>
            </w:r>
          </w:p>
        </w:tc>
      </w:tr>
      <w:tr w14:paraId="2988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4E394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7A5207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全彩LED显示屏</w:t>
            </w:r>
          </w:p>
        </w:tc>
        <w:tc>
          <w:tcPr>
            <w:tcW w:w="1872" w:type="pct"/>
            <w:vAlign w:val="center"/>
          </w:tcPr>
          <w:p w14:paraId="5FD47E9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性能要求：</w:t>
            </w:r>
          </w:p>
          <w:p w14:paraId="7F20142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1、显示尺寸要求：宽度≥21.6m，高度：≥7.0875m；</w:t>
            </w:r>
          </w:p>
          <w:p w14:paraId="6710B39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所投产品为LED全彩屏，非OEM产品，像素点间距≤1.25mm，像素密度≥640000dot/m²,亮度≥600cd/㎡；色温：3200-9300K调节；对比度：15000:1,可视角：水平视角≥170°垂直视角≥170°；峰值功耗≤330W/㎡，平均功耗≤160W/㎡，平整度≤0.05mm；刷新率：≥3840 Hz，共阴驱动；</w:t>
            </w:r>
          </w:p>
          <w:p w14:paraId="199390A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3、标准16：9箱体，尺寸为600mm×337.5mm，分辨率480*270；</w:t>
            </w:r>
          </w:p>
          <w:p w14:paraId="6706B97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4、模组结构：灯驱合一；模组维护方式：前维护；</w:t>
            </w:r>
          </w:p>
          <w:p w14:paraId="4B0F5FD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5、★封装方式：COB全倒装封装，即RGB晶片全倒装技术，晶片直接焊在PCB上，无焊线，发光晶片单边尺寸需≤100μm，采用巨量转移固晶工艺。</w:t>
            </w:r>
          </w:p>
          <w:p w14:paraId="56D73D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功能要求：</w:t>
            </w:r>
          </w:p>
          <w:p w14:paraId="2A59EF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1、为保证整屏拼接和显示效果，具备屏体拼缝亮线、暗线校正；</w:t>
            </w:r>
          </w:p>
          <w:p w14:paraId="5038D7A0">
            <w:pPr>
              <w:keepNext w:val="0"/>
              <w:keepLines w:val="0"/>
              <w:pageBreakBefore w:val="0"/>
              <w:widowControl/>
              <w:suppressLineNumbers w:val="0"/>
              <w:kinsoku/>
              <w:wordWrap/>
              <w:overflowPunct/>
              <w:topLinePunct w:val="0"/>
              <w:autoSpaceDE/>
              <w:autoSpaceDN/>
              <w:bidi w:val="0"/>
              <w:adjustRightInd/>
              <w:snapToGrid/>
              <w:ind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2、箱体采用压铸铝合金材质，采用一次性整体压铸成型，全金属自然散热结构，无风扇、防尘、静音设计；</w:t>
            </w:r>
          </w:p>
          <w:p w14:paraId="6F4116A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3、所投LED产品墨色一致性较好，无马赛克、偏色、色彩不均匀等现象；</w:t>
            </w:r>
          </w:p>
          <w:p w14:paraId="3C7294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4、所投LED产品的模组与主板采用硬连接、板对板设计，无排线，采用浮动式接插件，且接插件需采用镀金工艺，提升稳定性；</w:t>
            </w:r>
          </w:p>
          <w:p w14:paraId="0E34699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5、所投LED产品具备高集成三合一板卡设计，电源、接收卡、HUB板一体化，板内无线连接；</w:t>
            </w:r>
          </w:p>
          <w:p w14:paraId="2FD3AC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6、★所投LED产品不接受以虚拟像素组成的显示方式；</w:t>
            </w:r>
          </w:p>
          <w:p w14:paraId="2ECAC6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7、含大屏幕控制管理软件，并提供终生产品软件升级及维护服务。</w:t>
            </w:r>
          </w:p>
          <w:p w14:paraId="38940E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3B2E44A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057264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153.09</w:t>
            </w:r>
          </w:p>
        </w:tc>
        <w:tc>
          <w:tcPr>
            <w:tcW w:w="445" w:type="pct"/>
            <w:vAlign w:val="center"/>
          </w:tcPr>
          <w:p w14:paraId="09042E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443" w:type="pct"/>
            <w:vAlign w:val="center"/>
          </w:tcPr>
          <w:p w14:paraId="41B98C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5067E8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是</w:t>
            </w:r>
          </w:p>
        </w:tc>
        <w:tc>
          <w:tcPr>
            <w:tcW w:w="332" w:type="pct"/>
            <w:vAlign w:val="center"/>
          </w:tcPr>
          <w:p w14:paraId="4A0214E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8B9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32E0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3673AF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控制系统发送卡</w:t>
            </w:r>
          </w:p>
        </w:tc>
        <w:tc>
          <w:tcPr>
            <w:tcW w:w="1872" w:type="pct"/>
            <w:vAlign w:val="center"/>
          </w:tcPr>
          <w:p w14:paraId="07E550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1、4K分辨率发送盒，不低于16网口输出；具备DP/DVI/HDMI视频输入；</w:t>
            </w:r>
          </w:p>
          <w:p w14:paraId="21CFB7B7">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须与分布式座席管理系统对接。</w:t>
            </w:r>
          </w:p>
          <w:p w14:paraId="5E9D83DD">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7D641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按照原厂标准提供五年免费质保服务，提供保修期内硬件故障的维修、设备的更换及软件的免费升级。</w:t>
            </w:r>
          </w:p>
        </w:tc>
        <w:tc>
          <w:tcPr>
            <w:tcW w:w="458" w:type="pct"/>
            <w:vAlign w:val="center"/>
          </w:tcPr>
          <w:p w14:paraId="1051E4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4CF85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00D8BC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9C6BF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20DF41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30E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AEC40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09B19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配电系统</w:t>
            </w:r>
          </w:p>
        </w:tc>
        <w:tc>
          <w:tcPr>
            <w:tcW w:w="1872" w:type="pct"/>
            <w:vAlign w:val="center"/>
          </w:tcPr>
          <w:p w14:paraId="56A977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1、负载能力要求：不少于100KW 配电柜，具有过流、短路、过压保护功能；</w:t>
            </w:r>
          </w:p>
          <w:p w14:paraId="4592D5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2、智能 PLC 控制，配电系统需采用分步顺序延时启动，PLC具备远程开关大屏的功能；</w:t>
            </w:r>
          </w:p>
          <w:p w14:paraId="3E16E9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3、配电柜采用双路供电；</w:t>
            </w:r>
          </w:p>
          <w:p w14:paraId="28C3394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4、含各种电器元件、自动空气开关、熔断器、接触器、电流表、电压表、铜排、防电磁浪涌等。服</w:t>
            </w:r>
            <w:r>
              <w:rPr>
                <w:rFonts w:hint="eastAsia" w:ascii="宋体" w:hAnsi="宋体" w:eastAsia="宋体" w:cs="宋体"/>
                <w:i w:val="0"/>
                <w:iCs w:val="0"/>
                <w:color w:val="000000"/>
                <w:kern w:val="2"/>
                <w:sz w:val="24"/>
                <w:szCs w:val="24"/>
                <w:highlight w:val="none"/>
                <w:u w:val="none"/>
                <w:lang w:val="en-US" w:eastAsia="zh-CN" w:bidi="ar-SA"/>
              </w:rPr>
              <w:t>务要求：</w:t>
            </w:r>
          </w:p>
          <w:p w14:paraId="40A59C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按照原厂标准提供五年免费质保服务，提供保修期内硬件故障的维修、设备的更换及软件的免费升级。</w:t>
            </w:r>
          </w:p>
        </w:tc>
        <w:tc>
          <w:tcPr>
            <w:tcW w:w="458" w:type="pct"/>
            <w:vAlign w:val="center"/>
          </w:tcPr>
          <w:p w14:paraId="6EF67C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EE50A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8919D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B9492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9090B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8F5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45418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4BF41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钢结构与装饰边</w:t>
            </w:r>
          </w:p>
        </w:tc>
        <w:tc>
          <w:tcPr>
            <w:tcW w:w="1872" w:type="pct"/>
            <w:vAlign w:val="center"/>
          </w:tcPr>
          <w:p w14:paraId="4159A9A0">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安装结构能满足 LED 高清显示屏的整体均匀平滑要求，采用环保型材，结构应便于安装和调试；</w:t>
            </w:r>
          </w:p>
          <w:p w14:paraId="3F2A45A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2、采用国标材料制作，定制装置，拆装方便；具备间距调节装置，可实现精确调节，显示模组之间的缝隙均匀，显示效果清晰；钢结构框架，所有材料采用国家标准材料施工制作，防锈防氧化处理。</w:t>
            </w:r>
          </w:p>
        </w:tc>
        <w:tc>
          <w:tcPr>
            <w:tcW w:w="458" w:type="pct"/>
            <w:vAlign w:val="center"/>
          </w:tcPr>
          <w:p w14:paraId="7E495E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84FD5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639D0C3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AA37C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4D9FC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0D4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A078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170889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安装调试</w:t>
            </w:r>
          </w:p>
        </w:tc>
        <w:tc>
          <w:tcPr>
            <w:tcW w:w="1872" w:type="pct"/>
            <w:vAlign w:val="center"/>
          </w:tcPr>
          <w:p w14:paraId="780FDB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提供现场安装调试，包括综合布线及相关辅材、人员培训等。</w:t>
            </w:r>
          </w:p>
        </w:tc>
        <w:tc>
          <w:tcPr>
            <w:tcW w:w="458" w:type="pct"/>
            <w:vAlign w:val="center"/>
          </w:tcPr>
          <w:p w14:paraId="7B2229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D155C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F32CD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60F5DB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1750E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09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C5287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B</w:t>
            </w:r>
          </w:p>
        </w:tc>
        <w:tc>
          <w:tcPr>
            <w:tcW w:w="2449" w:type="pct"/>
            <w:gridSpan w:val="2"/>
            <w:vAlign w:val="center"/>
          </w:tcPr>
          <w:p w14:paraId="30C3DF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3楼报告厅</w:t>
            </w:r>
          </w:p>
        </w:tc>
        <w:tc>
          <w:tcPr>
            <w:tcW w:w="458" w:type="pct"/>
            <w:vAlign w:val="center"/>
          </w:tcPr>
          <w:p w14:paraId="0CD862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5" w:type="pct"/>
            <w:vAlign w:val="center"/>
          </w:tcPr>
          <w:p w14:paraId="433FAC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vAlign w:val="center"/>
          </w:tcPr>
          <w:p w14:paraId="62A5F6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Align w:val="center"/>
          </w:tcPr>
          <w:p w14:paraId="580260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0BFB2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72F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DC6F6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577" w:type="pct"/>
            <w:vAlign w:val="center"/>
          </w:tcPr>
          <w:p w14:paraId="359776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全彩LED显示屏</w:t>
            </w:r>
          </w:p>
        </w:tc>
        <w:tc>
          <w:tcPr>
            <w:tcW w:w="1872" w:type="pct"/>
            <w:vAlign w:val="center"/>
          </w:tcPr>
          <w:p w14:paraId="3A9077C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性能要求：</w:t>
            </w:r>
          </w:p>
          <w:p w14:paraId="35D5F70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1、显示尺寸要求：宽度≥9.6m，高度：≥2.7m；</w:t>
            </w:r>
          </w:p>
          <w:p w14:paraId="41E3F1A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所投产品为LED全彩屏，非OEM产品，像素点间距≤1.25mm，像素密度≥640000dot/m²,亮度≥600cd/㎡；色温：3200-9300K调节；对比度：15000:1,可视角：水平视角≥170°垂直视角≥170°；峰值功耗≤330W/㎡，平均功耗≤160W/㎡，平整度≤0.05mm；刷新率：≥3840 Hz，共阴驱动；</w:t>
            </w:r>
          </w:p>
          <w:p w14:paraId="4FD7CF6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3、标准16：9箱体，尺寸为600mm×337.5mm，分辨率480*270；</w:t>
            </w:r>
          </w:p>
          <w:p w14:paraId="37769BA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4、模组结构：灯驱合一；模组维护方式：前维护；</w:t>
            </w:r>
          </w:p>
          <w:p w14:paraId="4380E6F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5、封装方式：COB全倒装封装，即RGB晶片全倒装技术，晶片直接焊在PCB上，无焊线，发光晶片单边尺寸需≤100μm，采用巨量转移固晶工艺。</w:t>
            </w:r>
          </w:p>
          <w:p w14:paraId="507A6F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功能要求：</w:t>
            </w:r>
          </w:p>
          <w:p w14:paraId="6CF6FC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1、为保证整屏拼接和显示效果，具备屏体拼缝亮线、暗线校正；</w:t>
            </w:r>
          </w:p>
          <w:p w14:paraId="79954B0C">
            <w:pPr>
              <w:keepNext w:val="0"/>
              <w:keepLines w:val="0"/>
              <w:pageBreakBefore w:val="0"/>
              <w:widowControl/>
              <w:suppressLineNumbers w:val="0"/>
              <w:kinsoku/>
              <w:wordWrap/>
              <w:overflowPunct/>
              <w:topLinePunct w:val="0"/>
              <w:autoSpaceDE/>
              <w:autoSpaceDN/>
              <w:bidi w:val="0"/>
              <w:adjustRightInd/>
              <w:snapToGrid/>
              <w:ind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2、箱体采用压铸铝合金材质，采用一次性整体压铸成型，全金属自然散热结构，无风扇、防尘、静音设计；</w:t>
            </w:r>
          </w:p>
          <w:p w14:paraId="29EBAD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3、所投LED产品墨色一致性较好，无马赛克、偏色、色彩不均匀等现象；</w:t>
            </w:r>
          </w:p>
          <w:p w14:paraId="2AD1DA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4、所投LED产品的模组与主板采用硬连接、板对板设计，无排线，采用浮动式接插件，且接插件需采用镀金工艺，提升稳定性；</w:t>
            </w:r>
          </w:p>
          <w:p w14:paraId="01E4EBA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5、所投LED产品具备高集成三合一板卡设计，电源、接收卡、HUB板一体化，板内无线连接；</w:t>
            </w:r>
          </w:p>
          <w:p w14:paraId="13E9FA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6、所投LED产品不接受以虚拟像素组成的显示方式；</w:t>
            </w:r>
          </w:p>
          <w:p w14:paraId="1C074A8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7、含大屏幕控制管理软件，并提供终生产品软件升级及维护服务。</w:t>
            </w:r>
          </w:p>
          <w:p w14:paraId="72AA7FA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72DCC8D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71401B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25.92</w:t>
            </w:r>
          </w:p>
        </w:tc>
        <w:tc>
          <w:tcPr>
            <w:tcW w:w="445" w:type="pct"/>
            <w:vAlign w:val="center"/>
          </w:tcPr>
          <w:p w14:paraId="55101E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443" w:type="pct"/>
            <w:vAlign w:val="center"/>
          </w:tcPr>
          <w:p w14:paraId="29CC61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1B661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35976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0F0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2265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577" w:type="pct"/>
            <w:vAlign w:val="center"/>
          </w:tcPr>
          <w:p w14:paraId="135611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控制系统发送卡</w:t>
            </w:r>
          </w:p>
        </w:tc>
        <w:tc>
          <w:tcPr>
            <w:tcW w:w="1872" w:type="pct"/>
            <w:vAlign w:val="center"/>
          </w:tcPr>
          <w:p w14:paraId="30838B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1、4K分辨率发送盒，不低于16网口输出；具备DP/DVI/HDMI视频输入；</w:t>
            </w:r>
          </w:p>
          <w:p w14:paraId="71A5F376">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须与分布式座席管理系统对接。</w:t>
            </w:r>
          </w:p>
          <w:p w14:paraId="5FE85B4D">
            <w:pPr>
              <w:keepNext w:val="0"/>
              <w:keepLines w:val="0"/>
              <w:pageBreakBefore w:val="0"/>
              <w:numPr>
                <w:ilvl w:val="0"/>
                <w:numId w:val="0"/>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服</w:t>
            </w:r>
            <w:r>
              <w:rPr>
                <w:rFonts w:hint="eastAsia" w:ascii="宋体" w:hAnsi="宋体" w:eastAsia="宋体" w:cs="宋体"/>
                <w:i w:val="0"/>
                <w:iCs w:val="0"/>
                <w:color w:val="auto"/>
                <w:kern w:val="2"/>
                <w:sz w:val="24"/>
                <w:szCs w:val="24"/>
                <w:highlight w:val="none"/>
                <w:u w:val="none"/>
                <w:lang w:val="en-US" w:eastAsia="zh-CN" w:bidi="ar-SA"/>
              </w:rPr>
              <w:t>务要求：</w:t>
            </w:r>
          </w:p>
          <w:p w14:paraId="2B9009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按照原厂标准提供五年免费质保服务，提供保修期内硬件故障的维修、设备的更换及软件的免费升级。</w:t>
            </w:r>
          </w:p>
        </w:tc>
        <w:tc>
          <w:tcPr>
            <w:tcW w:w="458" w:type="pct"/>
            <w:vAlign w:val="center"/>
          </w:tcPr>
          <w:p w14:paraId="6F817B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45" w:type="pct"/>
            <w:vAlign w:val="center"/>
          </w:tcPr>
          <w:p w14:paraId="3427FE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批</w:t>
            </w:r>
          </w:p>
        </w:tc>
        <w:tc>
          <w:tcPr>
            <w:tcW w:w="443" w:type="pct"/>
            <w:vAlign w:val="center"/>
          </w:tcPr>
          <w:p w14:paraId="15A9DE5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45E60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46B0A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BFA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059DC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577" w:type="pct"/>
            <w:vAlign w:val="center"/>
          </w:tcPr>
          <w:p w14:paraId="63E7F5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配电系统</w:t>
            </w:r>
          </w:p>
        </w:tc>
        <w:tc>
          <w:tcPr>
            <w:tcW w:w="1872" w:type="pct"/>
            <w:vAlign w:val="center"/>
          </w:tcPr>
          <w:p w14:paraId="0D00C39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1、负载能力要求：不少于15KW 配电柜，具有过流、短路、过压保护功能；</w:t>
            </w:r>
          </w:p>
          <w:p w14:paraId="70D18F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2、智能 PLC 控制，配电系统需采用分步顺序延时启动，PLC具备远程开关大屏的功能；</w:t>
            </w:r>
          </w:p>
          <w:p w14:paraId="0AEFD5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3、配电柜采用双路供电；</w:t>
            </w:r>
          </w:p>
          <w:p w14:paraId="5444FF3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4、含各种电器元件、自动空气开关、熔断器、接触器、电流表、电压表、铜排、防电磁浪涌等。服</w:t>
            </w:r>
            <w:r>
              <w:rPr>
                <w:rFonts w:hint="eastAsia" w:ascii="宋体" w:hAnsi="宋体" w:eastAsia="宋体" w:cs="宋体"/>
                <w:i w:val="0"/>
                <w:iCs w:val="0"/>
                <w:color w:val="auto"/>
                <w:kern w:val="2"/>
                <w:sz w:val="24"/>
                <w:szCs w:val="24"/>
                <w:highlight w:val="none"/>
                <w:u w:val="none"/>
                <w:lang w:val="en-US" w:eastAsia="zh-CN" w:bidi="ar-SA"/>
              </w:rPr>
              <w:t>务要求：</w:t>
            </w:r>
          </w:p>
          <w:p w14:paraId="478DD3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按照原厂标准提供五年免费质保服务，提供保修期内硬件故障的维修、设备的更换及软件的免费升级。</w:t>
            </w:r>
          </w:p>
        </w:tc>
        <w:tc>
          <w:tcPr>
            <w:tcW w:w="458" w:type="pct"/>
            <w:vAlign w:val="center"/>
          </w:tcPr>
          <w:p w14:paraId="089BA5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45" w:type="pct"/>
            <w:vAlign w:val="center"/>
          </w:tcPr>
          <w:p w14:paraId="1F9A0B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443" w:type="pct"/>
            <w:vAlign w:val="center"/>
          </w:tcPr>
          <w:p w14:paraId="0C0C4A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6056BA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45189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CD9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E6055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577" w:type="pct"/>
            <w:vAlign w:val="center"/>
          </w:tcPr>
          <w:p w14:paraId="1E7AE1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支架</w:t>
            </w:r>
          </w:p>
        </w:tc>
        <w:tc>
          <w:tcPr>
            <w:tcW w:w="1872" w:type="pct"/>
            <w:vAlign w:val="center"/>
          </w:tcPr>
          <w:p w14:paraId="71BD5A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LED一体化支架，支持拼接，全封闭防尘</w:t>
            </w:r>
          </w:p>
        </w:tc>
        <w:tc>
          <w:tcPr>
            <w:tcW w:w="458" w:type="pct"/>
            <w:vAlign w:val="center"/>
          </w:tcPr>
          <w:p w14:paraId="1E5491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45" w:type="pct"/>
            <w:vAlign w:val="center"/>
          </w:tcPr>
          <w:p w14:paraId="18CE24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项</w:t>
            </w:r>
          </w:p>
        </w:tc>
        <w:tc>
          <w:tcPr>
            <w:tcW w:w="443" w:type="pct"/>
            <w:vAlign w:val="center"/>
          </w:tcPr>
          <w:p w14:paraId="550357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kern w:val="2"/>
                <w:sz w:val="24"/>
                <w:szCs w:val="24"/>
                <w:highlight w:val="none"/>
                <w:lang w:val="en-US" w:eastAsia="zh-CN" w:bidi="ar-SA"/>
              </w:rPr>
            </w:pPr>
          </w:p>
        </w:tc>
        <w:tc>
          <w:tcPr>
            <w:tcW w:w="437" w:type="pct"/>
            <w:vAlign w:val="center"/>
          </w:tcPr>
          <w:p w14:paraId="27441A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56181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429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7A1C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577" w:type="pct"/>
            <w:vAlign w:val="center"/>
          </w:tcPr>
          <w:p w14:paraId="3F392C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安装调试</w:t>
            </w:r>
          </w:p>
        </w:tc>
        <w:tc>
          <w:tcPr>
            <w:tcW w:w="1872" w:type="pct"/>
            <w:vAlign w:val="center"/>
          </w:tcPr>
          <w:p w14:paraId="5849F6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提供现场安装调试，包括综合布线及相关辅材、人员培训等。</w:t>
            </w:r>
          </w:p>
        </w:tc>
        <w:tc>
          <w:tcPr>
            <w:tcW w:w="458" w:type="pct"/>
            <w:vAlign w:val="center"/>
          </w:tcPr>
          <w:p w14:paraId="76EDCE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45" w:type="pct"/>
            <w:vAlign w:val="center"/>
          </w:tcPr>
          <w:p w14:paraId="281368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443" w:type="pct"/>
            <w:vAlign w:val="center"/>
          </w:tcPr>
          <w:p w14:paraId="7F0075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kern w:val="2"/>
                <w:sz w:val="24"/>
                <w:szCs w:val="24"/>
                <w:highlight w:val="none"/>
                <w:lang w:val="en-US" w:eastAsia="zh-CN" w:bidi="ar-SA"/>
              </w:rPr>
            </w:pPr>
          </w:p>
        </w:tc>
        <w:tc>
          <w:tcPr>
            <w:tcW w:w="437" w:type="pct"/>
            <w:vAlign w:val="center"/>
          </w:tcPr>
          <w:p w14:paraId="7739C5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ED7A2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386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2DEF7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p>
        </w:tc>
        <w:tc>
          <w:tcPr>
            <w:tcW w:w="4566" w:type="pct"/>
            <w:gridSpan w:val="7"/>
            <w:vAlign w:val="center"/>
          </w:tcPr>
          <w:p w14:paraId="5EBC6F2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分布式坐席管理系统</w:t>
            </w:r>
          </w:p>
        </w:tc>
      </w:tr>
      <w:tr w14:paraId="1C6D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99F7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1BEFDE7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城市运行管理中心</w:t>
            </w:r>
          </w:p>
        </w:tc>
      </w:tr>
      <w:tr w14:paraId="5E85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E11F78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1</w:t>
            </w:r>
          </w:p>
        </w:tc>
        <w:tc>
          <w:tcPr>
            <w:tcW w:w="577" w:type="pct"/>
            <w:vAlign w:val="center"/>
          </w:tcPr>
          <w:p w14:paraId="2F3FD059">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分布式综合管理服务平台</w:t>
            </w:r>
          </w:p>
        </w:tc>
        <w:tc>
          <w:tcPr>
            <w:tcW w:w="1872" w:type="pct"/>
            <w:vAlign w:val="center"/>
          </w:tcPr>
          <w:p w14:paraId="4601998A">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7360F1FC">
            <w:pPr>
              <w:numPr>
                <w:ilvl w:val="0"/>
                <w:numId w:val="7"/>
              </w:num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采用网络分布式集群技术，在满足所需网络带宽前提下，系统可灵活扩容</w:t>
            </w:r>
            <w:r>
              <w:rPr>
                <w:rFonts w:hint="eastAsia" w:ascii="宋体" w:hAnsi="宋体" w:eastAsia="宋体" w:cs="宋体"/>
                <w:sz w:val="24"/>
                <w:szCs w:val="24"/>
                <w:highlight w:val="none"/>
                <w:lang w:eastAsia="zh-CN"/>
              </w:rPr>
              <w:t>。</w:t>
            </w:r>
          </w:p>
          <w:p w14:paraId="674D6BCB">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功能要求：</w:t>
            </w:r>
          </w:p>
          <w:p w14:paraId="1A539313">
            <w:pPr>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、平台管理提供B/S或C/S架构软件以及定制化软件界面，进行全域音视频调度管理，可视化操作管理任何接入信号和终端显示墙以及声光电设备；</w:t>
            </w:r>
          </w:p>
          <w:p w14:paraId="7C30E7EC">
            <w:pPr>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、可提供多用户认证和授权机制，允许多终端用户同时对大屏幕进行操作，管理员可以设置各操作员具有不同的资源调用权限和操作权限，可为用户精细分派信号源调取、预案调取及大屏幕墙的操作管理权限；</w:t>
            </w:r>
          </w:p>
          <w:p w14:paraId="63301FA7">
            <w:pPr>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具备</w:t>
            </w:r>
            <w:r>
              <w:rPr>
                <w:rFonts w:hint="eastAsia" w:ascii="宋体" w:hAnsi="宋体" w:eastAsia="宋体" w:cs="宋体"/>
                <w:sz w:val="24"/>
                <w:szCs w:val="24"/>
                <w:highlight w:val="none"/>
              </w:rPr>
              <w:t>H.265&amp;H.264标准协议码流输入输出,</w:t>
            </w:r>
            <w:r>
              <w:rPr>
                <w:rFonts w:hint="eastAsia" w:ascii="宋体" w:hAnsi="宋体" w:eastAsia="宋体" w:cs="宋体"/>
                <w:sz w:val="24"/>
                <w:szCs w:val="24"/>
                <w:highlight w:val="none"/>
                <w:lang w:eastAsia="zh-CN"/>
              </w:rPr>
              <w:t>具备</w:t>
            </w:r>
            <w:r>
              <w:rPr>
                <w:rFonts w:hint="eastAsia" w:ascii="宋体" w:hAnsi="宋体" w:eastAsia="宋体" w:cs="宋体"/>
                <w:sz w:val="24"/>
                <w:szCs w:val="24"/>
                <w:highlight w:val="none"/>
              </w:rPr>
              <w:t>国标GB/T 28181协议，可与视频监控平台或其他第三方平台进行对接；</w:t>
            </w:r>
          </w:p>
          <w:p w14:paraId="04C3E9FC">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、★具备信号源画面实时预览与输出显示内容的实时监看，在同一界面下同时可预览不低于16路画面</w:t>
            </w:r>
            <w:r>
              <w:rPr>
                <w:rFonts w:hint="eastAsia" w:ascii="宋体" w:hAnsi="宋体" w:eastAsia="宋体" w:cs="宋体"/>
                <w:sz w:val="24"/>
                <w:szCs w:val="24"/>
                <w:highlight w:val="none"/>
                <w:lang w:eastAsia="zh-CN"/>
              </w:rPr>
              <w:t>；</w:t>
            </w:r>
          </w:p>
          <w:p w14:paraId="38CA5AA5">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具备可视化管理功能、运维管理功能、自动生成图形化的设备连接拓扑图；</w:t>
            </w:r>
          </w:p>
          <w:p w14:paraId="54DBBC5D">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、具备跨网络环境，实现跨层级、跨部门音视频调度管理；</w:t>
            </w:r>
          </w:p>
          <w:p w14:paraId="6BF6B29C">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、系统可靠性高，支持7*24小时不间断使用；</w:t>
            </w:r>
          </w:p>
          <w:p w14:paraId="5C0FC10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p w14:paraId="65EC8EF0">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52E14D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A7B2B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5DC5F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34256A5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7069C5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5D4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235C4A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2</w:t>
            </w:r>
          </w:p>
        </w:tc>
        <w:tc>
          <w:tcPr>
            <w:tcW w:w="577" w:type="pct"/>
            <w:vAlign w:val="center"/>
          </w:tcPr>
          <w:p w14:paraId="45B727AA">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分布式4K输入节点</w:t>
            </w:r>
          </w:p>
        </w:tc>
        <w:tc>
          <w:tcPr>
            <w:tcW w:w="1872" w:type="pct"/>
            <w:vAlign w:val="center"/>
          </w:tcPr>
          <w:p w14:paraId="75E560C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04F5E24E">
            <w:pPr>
              <w:numPr>
                <w:ilvl w:val="0"/>
                <w:numId w:val="0"/>
              </w:numPr>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任意节点故障，均不影响系统整体运行与操作；</w:t>
            </w:r>
          </w:p>
          <w:p w14:paraId="22288202">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2、★非OEM产品，具备≥1路视频输入接口、≥1路视频环出接口、≥1路音频输入接口、≥1路音频输出接口、≥1路RJ45网口、≥1路SFP光口、≥1路串口、≥1路继电器口</w:t>
            </w:r>
            <w:r>
              <w:rPr>
                <w:rFonts w:hint="eastAsia" w:ascii="宋体" w:hAnsi="宋体" w:eastAsia="宋体" w:cs="宋体"/>
                <w:sz w:val="24"/>
                <w:szCs w:val="24"/>
                <w:highlight w:val="none"/>
                <w:lang w:eastAsia="zh-CN"/>
              </w:rPr>
              <w:t>；</w:t>
            </w:r>
          </w:p>
          <w:p w14:paraId="09581FAA">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信号源由输入节点至输出节点解码延时≤16ms。</w:t>
            </w:r>
          </w:p>
          <w:p w14:paraId="7122879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功能要求：</w:t>
            </w:r>
          </w:p>
          <w:p w14:paraId="465C3058">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输入节点具备4K分辨率采集和编码，并可向下兼容其它分辨率，无丢帧、卡顿现象；</w:t>
            </w:r>
          </w:p>
          <w:p w14:paraId="08A9CDD5">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2、具备4:4:4采样图像传输不丢帧，画质保持原图质量、色度、亮度、对比度；</w:t>
            </w:r>
          </w:p>
          <w:p w14:paraId="6A46E102">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3、具备音频加、解嵌，具备音视频同步或异步切换；</w:t>
            </w:r>
          </w:p>
          <w:p w14:paraId="7A59C213">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4、具备POE供电和DC供电模式；</w:t>
            </w:r>
          </w:p>
          <w:p w14:paraId="24E9470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服务需求：</w:t>
            </w:r>
          </w:p>
          <w:p w14:paraId="223859D2">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3506AC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20A44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074F25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D1A1D2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0E359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719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A40CB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3</w:t>
            </w:r>
          </w:p>
        </w:tc>
        <w:tc>
          <w:tcPr>
            <w:tcW w:w="577" w:type="pct"/>
            <w:vAlign w:val="center"/>
          </w:tcPr>
          <w:p w14:paraId="14047BB6">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分布式4K坐席输入节点</w:t>
            </w:r>
          </w:p>
        </w:tc>
        <w:tc>
          <w:tcPr>
            <w:tcW w:w="1872" w:type="pct"/>
            <w:vAlign w:val="center"/>
          </w:tcPr>
          <w:p w14:paraId="42CE6DB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790F7C6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1、任意节点故障，均不影响系统整体运行与操作；</w:t>
            </w:r>
          </w:p>
          <w:p w14:paraId="06E6F8D0">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2、★非OEM产品，具备≥1路视频输入接口、≥1路视频环出接口、≥1路音频输入接口、≥1路音频输出接口、≥1路RJ45网口、≥1路SFP光口、≥1路串口、≥1路继电器口</w:t>
            </w:r>
            <w:r>
              <w:rPr>
                <w:rFonts w:hint="eastAsia" w:ascii="宋体" w:hAnsi="宋体" w:eastAsia="宋体" w:cs="宋体"/>
                <w:sz w:val="24"/>
                <w:szCs w:val="24"/>
                <w:highlight w:val="none"/>
                <w:lang w:eastAsia="zh-CN"/>
              </w:rPr>
              <w:t>；</w:t>
            </w:r>
          </w:p>
          <w:p w14:paraId="3C1C92AE">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信号源由输入节点至输出节点解码延时≤16ms。</w:t>
            </w:r>
          </w:p>
          <w:p w14:paraId="73DE88B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功能要求：</w:t>
            </w:r>
          </w:p>
          <w:p w14:paraId="703F31F2">
            <w:pPr>
              <w:numPr>
                <w:ilvl w:val="0"/>
                <w:numId w:val="0"/>
              </w:num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输入节点具备4K分辨率采集和编码，并可向下兼容其它分辨率，无丢帧、卡顿现象；</w:t>
            </w:r>
          </w:p>
          <w:p w14:paraId="5E6A785F">
            <w:pPr>
              <w:numPr>
                <w:ilvl w:val="0"/>
                <w:numId w:val="0"/>
              </w:num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具备4:4:4采样图像传输不丢帧，画质保持原图质量、色度、亮度、对比度；</w:t>
            </w:r>
          </w:p>
          <w:p w14:paraId="36434EBE">
            <w:pPr>
              <w:numPr>
                <w:ilvl w:val="0"/>
                <w:numId w:val="0"/>
              </w:num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3、具备音频加、解嵌，具备音视频同步或异步切换；</w:t>
            </w:r>
          </w:p>
          <w:p w14:paraId="6434EBD1">
            <w:pPr>
              <w:numPr>
                <w:ilvl w:val="0"/>
                <w:numId w:val="0"/>
              </w:num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4、具备POE供电和DC供电模式。</w:t>
            </w:r>
          </w:p>
          <w:p w14:paraId="53A4076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服务需求：</w:t>
            </w:r>
          </w:p>
          <w:p w14:paraId="524C6E18">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2CB747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445" w:type="pct"/>
            <w:vAlign w:val="center"/>
          </w:tcPr>
          <w:p w14:paraId="4D094C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22B27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61DE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64D46C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95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25FD91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4</w:t>
            </w:r>
          </w:p>
        </w:tc>
        <w:tc>
          <w:tcPr>
            <w:tcW w:w="577" w:type="pct"/>
            <w:vAlign w:val="center"/>
          </w:tcPr>
          <w:p w14:paraId="6FB4FAEB">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分布式4K输出节点</w:t>
            </w:r>
          </w:p>
        </w:tc>
        <w:tc>
          <w:tcPr>
            <w:tcW w:w="1872" w:type="pct"/>
            <w:vAlign w:val="center"/>
          </w:tcPr>
          <w:p w14:paraId="74F1861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3C21DD7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1、任意节点故障，均不影响系统整体运行与操作；</w:t>
            </w:r>
          </w:p>
          <w:p w14:paraId="1729C9E7">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2、★非OEM产品，具备≥1路视频输出接口、≥1路音频输入接口、≥1路音频输出接口、≥1路RJ45网口、≥1路SFP光口、≥1路串口、≥1路继电器口</w:t>
            </w:r>
            <w:r>
              <w:rPr>
                <w:rFonts w:hint="eastAsia" w:ascii="宋体" w:hAnsi="宋体" w:eastAsia="宋体" w:cs="宋体"/>
                <w:sz w:val="24"/>
                <w:szCs w:val="24"/>
                <w:highlight w:val="none"/>
                <w:lang w:eastAsia="zh-CN"/>
              </w:rPr>
              <w:t>；</w:t>
            </w:r>
          </w:p>
          <w:p w14:paraId="6F13B069">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3、信号源由输入节点至输出节点解码延时≤16ms。</w:t>
            </w:r>
          </w:p>
          <w:p w14:paraId="15BD5C6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功能要求：</w:t>
            </w:r>
          </w:p>
          <w:p w14:paraId="335DE709">
            <w:pPr>
              <w:numPr>
                <w:ilvl w:val="0"/>
                <w:numId w:val="0"/>
              </w:num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输入节点具备4K分辨率采集和编码，并可向下兼容其它分辨率，无丢帧、卡顿现象；</w:t>
            </w:r>
          </w:p>
          <w:p w14:paraId="4C40859B">
            <w:pPr>
              <w:numPr>
                <w:ilvl w:val="0"/>
                <w:numId w:val="0"/>
              </w:num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具备4:4:4采样图像传输不丢帧，画质保持原图质量、色度、亮度、对比度；</w:t>
            </w:r>
          </w:p>
          <w:p w14:paraId="12AEF292">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3、具备音频加、解嵌，具备音视频同步或异步切换；</w:t>
            </w:r>
          </w:p>
          <w:p w14:paraId="34AC1D8B">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4、具备POE供电和DC供电模式；</w:t>
            </w:r>
          </w:p>
          <w:p w14:paraId="1F1A554D">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服务需求：</w:t>
            </w:r>
          </w:p>
          <w:p w14:paraId="143451F5">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4EE55F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445" w:type="pct"/>
            <w:vAlign w:val="center"/>
          </w:tcPr>
          <w:p w14:paraId="544E23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C0FE3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AFFEB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8B8B85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3B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7B3CC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5</w:t>
            </w:r>
          </w:p>
        </w:tc>
        <w:tc>
          <w:tcPr>
            <w:tcW w:w="577" w:type="pct"/>
            <w:vAlign w:val="center"/>
          </w:tcPr>
          <w:p w14:paraId="3CD64C39">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分布式4K坐席输出节点</w:t>
            </w:r>
          </w:p>
        </w:tc>
        <w:tc>
          <w:tcPr>
            <w:tcW w:w="1872" w:type="pct"/>
            <w:vAlign w:val="center"/>
          </w:tcPr>
          <w:p w14:paraId="779DEB0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1D1A74C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1、任意节点故障，均不影响系统整体运行与操作；</w:t>
            </w:r>
          </w:p>
          <w:p w14:paraId="1C3F4024">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2、★非OEM产品，具备≥1路视频输出接口、≥1路音频输出接口、≥4路USB接口、≥1路RJ45网口、≥1路SFP光口</w:t>
            </w:r>
            <w:r>
              <w:rPr>
                <w:rFonts w:hint="eastAsia" w:ascii="宋体" w:hAnsi="宋体" w:eastAsia="宋体" w:cs="宋体"/>
                <w:sz w:val="24"/>
                <w:szCs w:val="24"/>
                <w:highlight w:val="none"/>
                <w:lang w:eastAsia="zh-CN"/>
              </w:rPr>
              <w:t>；</w:t>
            </w:r>
          </w:p>
          <w:p w14:paraId="3B589AA8">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3、信号源由输入节点至输出节点解码延时≤36ms。</w:t>
            </w:r>
          </w:p>
          <w:p w14:paraId="421023C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功能要求：</w:t>
            </w:r>
          </w:p>
          <w:p w14:paraId="2857B833">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输出节点具备4K分辨率解码，并可向下兼容其它分辨率，无丢帧、卡顿现象；</w:t>
            </w:r>
          </w:p>
          <w:p w14:paraId="71405E98">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2、具备4:4:4采样图像传输不丢帧，画质保持原图质量、色度、亮度、对比度；</w:t>
            </w:r>
          </w:p>
          <w:p w14:paraId="02655F7F">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3、具备音频加、解嵌，具备音视频同步或异步切换；</w:t>
            </w:r>
          </w:p>
          <w:p w14:paraId="144863D2">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4、具备POE供电和DC供电模式；</w:t>
            </w:r>
          </w:p>
          <w:p w14:paraId="08B9B16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服务需求：</w:t>
            </w:r>
          </w:p>
          <w:p w14:paraId="51280D3A">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1081E8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445" w:type="pct"/>
            <w:vAlign w:val="center"/>
          </w:tcPr>
          <w:p w14:paraId="67B4C1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54C6C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CB53C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56CC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57A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526B4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6</w:t>
            </w:r>
          </w:p>
        </w:tc>
        <w:tc>
          <w:tcPr>
            <w:tcW w:w="577" w:type="pct"/>
            <w:vAlign w:val="center"/>
          </w:tcPr>
          <w:p w14:paraId="74C4E830">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分布式4K拼接输出节点</w:t>
            </w:r>
          </w:p>
        </w:tc>
        <w:tc>
          <w:tcPr>
            <w:tcW w:w="1872" w:type="pct"/>
            <w:vAlign w:val="center"/>
          </w:tcPr>
          <w:p w14:paraId="2D1F1A31">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0225A5F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1、任意节点故障，均不影响系统整体运行与操作；</w:t>
            </w:r>
          </w:p>
          <w:p w14:paraId="485654DF">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2、★非OEM产品，具备≥1路视频输出接口、≥1路音频输出接口、≥1路RJ45网口、≥1路SFP光口</w:t>
            </w:r>
            <w:r>
              <w:rPr>
                <w:rFonts w:hint="eastAsia" w:ascii="宋体" w:hAnsi="宋体" w:eastAsia="宋体" w:cs="宋体"/>
                <w:sz w:val="24"/>
                <w:szCs w:val="24"/>
                <w:highlight w:val="none"/>
                <w:lang w:eastAsia="zh-CN"/>
              </w:rPr>
              <w:t>；</w:t>
            </w:r>
          </w:p>
          <w:p w14:paraId="6D3795DF">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3、信号源由输入节点至输出节点解码延时≤16ms；</w:t>
            </w:r>
          </w:p>
          <w:p w14:paraId="2289DCA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功能要求：</w:t>
            </w:r>
          </w:p>
          <w:p w14:paraId="215908EE">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输出节点具备4K分辨率解码，并可向下兼容其它分辨率，无丢帧、卡顿现象；</w:t>
            </w:r>
          </w:p>
          <w:p w14:paraId="20BF77D6">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2、具备4:4:4采样图像传输不丢帧，画质保持原图质量、色度、亮度、对比度；</w:t>
            </w:r>
          </w:p>
          <w:p w14:paraId="29E645AD">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3、具备音频加、解嵌，具备音视频同步或异步切换；</w:t>
            </w:r>
          </w:p>
          <w:p w14:paraId="71F89E3F">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4、具备POE供电和DC供电模式；</w:t>
            </w:r>
          </w:p>
          <w:p w14:paraId="30F5BB8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服务需求：</w:t>
            </w:r>
          </w:p>
          <w:p w14:paraId="3CBB61A2">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1DC90D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0994C4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F26FA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8B5096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C9198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409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BD7FCC4">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7</w:t>
            </w:r>
          </w:p>
        </w:tc>
        <w:tc>
          <w:tcPr>
            <w:tcW w:w="577" w:type="pct"/>
            <w:vAlign w:val="center"/>
          </w:tcPr>
          <w:p w14:paraId="3FB5AF7A">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开关机模块</w:t>
            </w:r>
          </w:p>
        </w:tc>
        <w:tc>
          <w:tcPr>
            <w:tcW w:w="1872" w:type="pct"/>
            <w:vAlign w:val="center"/>
          </w:tcPr>
          <w:p w14:paraId="6229DD58">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与分布式系统配合，实现电脑远程开机，关机，重启功能。</w:t>
            </w:r>
          </w:p>
        </w:tc>
        <w:tc>
          <w:tcPr>
            <w:tcW w:w="458" w:type="pct"/>
            <w:vAlign w:val="center"/>
          </w:tcPr>
          <w:p w14:paraId="3799E7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45" w:type="pct"/>
            <w:vAlign w:val="center"/>
          </w:tcPr>
          <w:p w14:paraId="4D8146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223F711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3ACEB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F00B7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3D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9932C8C">
            <w:pPr>
              <w:wordWrap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8</w:t>
            </w:r>
          </w:p>
        </w:tc>
        <w:tc>
          <w:tcPr>
            <w:tcW w:w="577" w:type="pct"/>
            <w:vAlign w:val="center"/>
          </w:tcPr>
          <w:p w14:paraId="7DF90D1F">
            <w:pPr>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接入交换机</w:t>
            </w:r>
          </w:p>
        </w:tc>
        <w:tc>
          <w:tcPr>
            <w:tcW w:w="1872" w:type="pct"/>
            <w:vAlign w:val="center"/>
          </w:tcPr>
          <w:p w14:paraId="3D5F7F2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性能要求：</w:t>
            </w:r>
          </w:p>
          <w:p w14:paraId="1353D4A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非 OEM 产品，包转发率：≥252Mpps，交换容量：≥598Gbps；具备 ≥48 个千兆光口，≥4 个万兆光口，具备冗余电源</w:t>
            </w:r>
            <w:r>
              <w:rPr>
                <w:rFonts w:hint="eastAsia" w:ascii="宋体" w:hAnsi="宋体" w:eastAsia="宋体" w:cs="宋体"/>
                <w:color w:val="000000"/>
                <w:kern w:val="0"/>
                <w:sz w:val="24"/>
                <w:szCs w:val="24"/>
                <w:highlight w:val="none"/>
                <w:lang w:bidi="ar"/>
              </w:rPr>
              <w:t>；</w:t>
            </w:r>
          </w:p>
          <w:p w14:paraId="7CFA939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2.满配千兆单模光模块</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万兆单模光模块</w:t>
            </w:r>
            <w:r>
              <w:rPr>
                <w:rFonts w:hint="eastAsia" w:ascii="宋体" w:hAnsi="宋体" w:eastAsia="宋体" w:cs="宋体"/>
                <w:color w:val="000000"/>
                <w:kern w:val="0"/>
                <w:sz w:val="24"/>
                <w:szCs w:val="24"/>
                <w:highlight w:val="none"/>
                <w:lang w:val="en-US" w:eastAsia="zh-CN" w:bidi="ar"/>
              </w:rPr>
              <w:t>和跳线</w:t>
            </w:r>
            <w:r>
              <w:rPr>
                <w:rFonts w:hint="eastAsia" w:ascii="宋体" w:hAnsi="宋体" w:eastAsia="宋体" w:cs="宋体"/>
                <w:color w:val="000000"/>
                <w:kern w:val="0"/>
                <w:sz w:val="24"/>
                <w:szCs w:val="24"/>
                <w:highlight w:val="none"/>
                <w:lang w:bidi="ar"/>
              </w:rPr>
              <w:t>。</w:t>
            </w:r>
          </w:p>
          <w:p w14:paraId="3169AD0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功能要求：</w:t>
            </w:r>
          </w:p>
          <w:p w14:paraId="67C9E2CD">
            <w:pPr>
              <w:widowControl/>
              <w:numPr>
                <w:ilvl w:val="0"/>
                <w:numId w:val="8"/>
              </w:numPr>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具备静态路由、RIP V1/2、RIPng、OSPF、OSPFv3、IS-IS、IS-ISv6、BGP、BGP4+、ECMP、路由策略，具备IPv4/IPv6双栈。</w:t>
            </w:r>
          </w:p>
          <w:p w14:paraId="76A31AB0">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服务需求：</w:t>
            </w:r>
          </w:p>
          <w:p w14:paraId="55B98567">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按照原厂标准提供三年免费质保服务，提供保修期内硬件故障的维修、设备的更换及软件的免费升级。</w:t>
            </w:r>
          </w:p>
        </w:tc>
        <w:tc>
          <w:tcPr>
            <w:tcW w:w="458" w:type="pct"/>
            <w:vAlign w:val="center"/>
          </w:tcPr>
          <w:p w14:paraId="6672F0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42BAE7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697B2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54F65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5725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F27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8EBBF5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9</w:t>
            </w:r>
          </w:p>
        </w:tc>
        <w:tc>
          <w:tcPr>
            <w:tcW w:w="577" w:type="pct"/>
            <w:vAlign w:val="center"/>
          </w:tcPr>
          <w:p w14:paraId="2CDBEA04">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汇聚交换机</w:t>
            </w:r>
          </w:p>
        </w:tc>
        <w:tc>
          <w:tcPr>
            <w:tcW w:w="1872" w:type="pct"/>
            <w:vAlign w:val="center"/>
          </w:tcPr>
          <w:p w14:paraId="3ACB666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性能要求：</w:t>
            </w:r>
          </w:p>
          <w:p w14:paraId="7884DCBF">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非 OEM 产品，交换容量≥25T，包转发率≥1200Mpps，具备万兆 SFP+端口≥24 个、40/100GE QSFP28 端口≥6 个</w:t>
            </w:r>
            <w:r>
              <w:rPr>
                <w:rFonts w:hint="eastAsia" w:ascii="宋体" w:hAnsi="宋体" w:eastAsia="宋体" w:cs="宋体"/>
                <w:color w:val="000000"/>
                <w:kern w:val="0"/>
                <w:sz w:val="24"/>
                <w:szCs w:val="24"/>
                <w:highlight w:val="none"/>
                <w:lang w:bidi="ar"/>
              </w:rPr>
              <w:t>；</w:t>
            </w:r>
          </w:p>
          <w:p w14:paraId="367F9891">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2.具备MAC地址≥128K，具备IPv4路由表项</w:t>
            </w:r>
            <w:r>
              <w:rPr>
                <w:rFonts w:hint="default"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64K，具备IPv6路由表项</w:t>
            </w:r>
            <w:r>
              <w:rPr>
                <w:rFonts w:hint="default"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64K</w:t>
            </w:r>
            <w:r>
              <w:rPr>
                <w:rFonts w:hint="eastAsia" w:ascii="宋体" w:hAnsi="宋体" w:eastAsia="宋体" w:cs="宋体"/>
                <w:color w:val="000000"/>
                <w:kern w:val="0"/>
                <w:sz w:val="24"/>
                <w:szCs w:val="24"/>
                <w:highlight w:val="none"/>
                <w:lang w:bidi="ar"/>
              </w:rPr>
              <w:t>；</w:t>
            </w:r>
          </w:p>
          <w:p w14:paraId="7127AB9A">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.提供满配万兆单模光模块。</w:t>
            </w:r>
          </w:p>
          <w:p w14:paraId="6C64BEA0">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sz w:val="24"/>
                <w:szCs w:val="24"/>
                <w:highlight w:val="none"/>
              </w:rPr>
              <w:t>功</w:t>
            </w:r>
            <w:r>
              <w:rPr>
                <w:rFonts w:hint="eastAsia" w:ascii="宋体" w:hAnsi="宋体" w:eastAsia="宋体" w:cs="宋体"/>
                <w:color w:val="000000"/>
                <w:kern w:val="0"/>
                <w:sz w:val="24"/>
                <w:szCs w:val="24"/>
                <w:highlight w:val="none"/>
                <w:lang w:bidi="ar"/>
              </w:rPr>
              <w:t>能要求：</w:t>
            </w:r>
          </w:p>
          <w:p w14:paraId="26079A7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1.具备静态路由、RIP V1/2、RIPng、OSPF、OSPFv3、IS-IS、IS-ISv6、BGP、BGP4+、ECMP、路由策略，具备IPv4/IPv6双栈；</w:t>
            </w:r>
          </w:p>
          <w:p w14:paraId="46287AB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2.提供基于源MAC地址、目的MAC地址、源IP地址、目的IP地址的包过滤功能；</w:t>
            </w:r>
          </w:p>
          <w:p w14:paraId="7FBFCBA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3.具备VXLAN功能，具备BGP EVPN、分布式Anycast网关。</w:t>
            </w:r>
          </w:p>
          <w:p w14:paraId="48C0BBF9">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r>
              <w:rPr>
                <w:rFonts w:hint="eastAsia" w:ascii="宋体" w:hAnsi="宋体" w:eastAsia="宋体" w:cs="宋体"/>
                <w:color w:val="000000"/>
                <w:kern w:val="0"/>
                <w:sz w:val="24"/>
                <w:szCs w:val="24"/>
                <w:highlight w:val="none"/>
                <w:lang w:eastAsia="zh-CN" w:bidi="ar"/>
              </w:rPr>
              <w:t>具备</w:t>
            </w:r>
            <w:r>
              <w:rPr>
                <w:rFonts w:hint="eastAsia" w:ascii="宋体" w:hAnsi="宋体" w:eastAsia="宋体" w:cs="宋体"/>
                <w:color w:val="000000"/>
                <w:kern w:val="0"/>
                <w:sz w:val="24"/>
                <w:szCs w:val="24"/>
                <w:highlight w:val="none"/>
                <w:lang w:bidi="ar"/>
              </w:rPr>
              <w:t>Telemetry技术；</w:t>
            </w:r>
          </w:p>
          <w:p w14:paraId="232DADF6">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5.具备冗余电源，冗余风扇。</w:t>
            </w:r>
          </w:p>
          <w:p w14:paraId="3E361872">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服务要求：</w:t>
            </w:r>
          </w:p>
          <w:p w14:paraId="6533639E">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按照原厂标准提供三年免费质保服务，提供保修期内硬件故障的维修、设备的更换及软件的免费升级。</w:t>
            </w:r>
          </w:p>
        </w:tc>
        <w:tc>
          <w:tcPr>
            <w:tcW w:w="458" w:type="pct"/>
            <w:vAlign w:val="center"/>
          </w:tcPr>
          <w:p w14:paraId="1BDC35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2A2C4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64FFE7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1B2DAE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7C1DD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00F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20910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10</w:t>
            </w:r>
          </w:p>
        </w:tc>
        <w:tc>
          <w:tcPr>
            <w:tcW w:w="577" w:type="pct"/>
            <w:vAlign w:val="center"/>
          </w:tcPr>
          <w:p w14:paraId="5A2001A5">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安装辅材</w:t>
            </w:r>
          </w:p>
        </w:tc>
        <w:tc>
          <w:tcPr>
            <w:tcW w:w="1872" w:type="pct"/>
            <w:vAlign w:val="center"/>
          </w:tcPr>
          <w:p w14:paraId="36ADD644">
            <w:pPr>
              <w:widowControl/>
              <w:jc w:val="left"/>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节点集中供电箱、安装托盘、转接头、连接线等</w:t>
            </w:r>
          </w:p>
        </w:tc>
        <w:tc>
          <w:tcPr>
            <w:tcW w:w="458" w:type="pct"/>
            <w:vAlign w:val="center"/>
          </w:tcPr>
          <w:p w14:paraId="531405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4FEC5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5A1D7A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15987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0B5E0F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E40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B9EB3D6">
            <w:pPr>
              <w:wordWrap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B</w:t>
            </w:r>
          </w:p>
        </w:tc>
        <w:tc>
          <w:tcPr>
            <w:tcW w:w="4566" w:type="pct"/>
            <w:gridSpan w:val="7"/>
            <w:vAlign w:val="center"/>
          </w:tcPr>
          <w:p w14:paraId="16E3DA6A">
            <w:pPr>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2F指挥调度室</w:t>
            </w:r>
          </w:p>
        </w:tc>
      </w:tr>
      <w:tr w14:paraId="108B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0496B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1</w:t>
            </w:r>
          </w:p>
        </w:tc>
        <w:tc>
          <w:tcPr>
            <w:tcW w:w="577" w:type="pct"/>
            <w:vAlign w:val="center"/>
          </w:tcPr>
          <w:p w14:paraId="15E4B441">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分布式4K输入节点</w:t>
            </w:r>
          </w:p>
        </w:tc>
        <w:tc>
          <w:tcPr>
            <w:tcW w:w="1872" w:type="pct"/>
            <w:vAlign w:val="center"/>
          </w:tcPr>
          <w:p w14:paraId="7942C42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2B681569">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1、任意节点故障，均不影响系统整体运行与操作；</w:t>
            </w:r>
          </w:p>
          <w:p w14:paraId="736FA4FE">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2、★非OEM产品，具备≥1路视频输入接口、≥1路视频环出接口、≥1路音频输入接口、≥1路音频输出接口、≥1路RJ45网口、≥1路SFP光口、≥1路串口、≥1路继电器口</w:t>
            </w:r>
            <w:r>
              <w:rPr>
                <w:rFonts w:hint="eastAsia" w:ascii="宋体" w:hAnsi="宋体" w:eastAsia="宋体" w:cs="宋体"/>
                <w:sz w:val="24"/>
                <w:szCs w:val="24"/>
                <w:highlight w:val="none"/>
                <w:lang w:eastAsia="zh-CN"/>
              </w:rPr>
              <w:t>；</w:t>
            </w:r>
          </w:p>
          <w:p w14:paraId="23CAB857">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信号源由输入节点至输出节点解码延时≤16ms。</w:t>
            </w:r>
          </w:p>
          <w:p w14:paraId="441D6384">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功能要求：</w:t>
            </w:r>
          </w:p>
          <w:p w14:paraId="326EF037">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输入节点具备4K分辨率采集和编码，并可向下兼容其它分辨率，无丢帧、卡顿现象；</w:t>
            </w:r>
          </w:p>
          <w:p w14:paraId="687BDB6B">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2、具备4:4:4采样图像传输不丢帧，画质保持原图质量、色度、亮度、对比度；</w:t>
            </w:r>
          </w:p>
          <w:p w14:paraId="1C434DA3">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3、具备音频加、解嵌，具备音视频同步或异步切换；</w:t>
            </w:r>
          </w:p>
          <w:p w14:paraId="09E03E10">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4、具备POE供电和DC供电模式。</w:t>
            </w:r>
          </w:p>
          <w:p w14:paraId="7A22D68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要</w:t>
            </w:r>
            <w:r>
              <w:rPr>
                <w:rFonts w:hint="eastAsia" w:ascii="宋体" w:hAnsi="宋体" w:eastAsia="宋体" w:cs="宋体"/>
                <w:sz w:val="24"/>
                <w:szCs w:val="24"/>
                <w:highlight w:val="none"/>
              </w:rPr>
              <w:t>求：</w:t>
            </w:r>
          </w:p>
          <w:p w14:paraId="6A7B6625">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7CB98B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445" w:type="pct"/>
            <w:vAlign w:val="center"/>
          </w:tcPr>
          <w:p w14:paraId="72439A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443" w:type="pct"/>
            <w:vAlign w:val="center"/>
          </w:tcPr>
          <w:p w14:paraId="5F058E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294C0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ABB9D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545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083DC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bidi="ar"/>
              </w:rPr>
              <w:t>2</w:t>
            </w:r>
          </w:p>
        </w:tc>
        <w:tc>
          <w:tcPr>
            <w:tcW w:w="577" w:type="pct"/>
            <w:vAlign w:val="center"/>
          </w:tcPr>
          <w:p w14:paraId="2632F49A">
            <w:pPr>
              <w:widowControl/>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000000"/>
                <w:kern w:val="0"/>
                <w:sz w:val="24"/>
                <w:szCs w:val="24"/>
                <w:highlight w:val="none"/>
                <w:lang w:bidi="ar"/>
              </w:rPr>
              <w:t>分布式4K输出节点</w:t>
            </w:r>
          </w:p>
        </w:tc>
        <w:tc>
          <w:tcPr>
            <w:tcW w:w="1872" w:type="pct"/>
            <w:vAlign w:val="center"/>
          </w:tcPr>
          <w:p w14:paraId="64BBEB2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p w14:paraId="3D49521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1、任意节点故障，均不影响系统整体运行与操作；</w:t>
            </w:r>
          </w:p>
          <w:p w14:paraId="2A8939BE">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2、★非OEM产品，具备≥1路视频输出接口、≥1路音频输入接口、≥1路音频输出接口、≥1路电口、≥1路光口、≥1路串口、≥1路继电器口</w:t>
            </w:r>
            <w:r>
              <w:rPr>
                <w:rFonts w:hint="eastAsia" w:ascii="宋体" w:hAnsi="宋体" w:eastAsia="宋体" w:cs="宋体"/>
                <w:sz w:val="24"/>
                <w:szCs w:val="24"/>
                <w:highlight w:val="none"/>
                <w:lang w:eastAsia="zh-CN"/>
              </w:rPr>
              <w:t>；</w:t>
            </w:r>
          </w:p>
          <w:p w14:paraId="37D2F318">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3、信号源由输入节点至输出节点解码延时≤16ms。</w:t>
            </w:r>
          </w:p>
          <w:p w14:paraId="1B971B2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功能要求：</w:t>
            </w:r>
          </w:p>
          <w:p w14:paraId="4334B022">
            <w:pPr>
              <w:numPr>
                <w:ilvl w:val="0"/>
                <w:numId w:val="0"/>
              </w:numPr>
              <w:jc w:val="left"/>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输出节点</w:t>
            </w:r>
            <w:r>
              <w:rPr>
                <w:rFonts w:hint="eastAsia" w:ascii="宋体" w:hAnsi="宋体" w:eastAsia="宋体" w:cs="宋体"/>
                <w:sz w:val="24"/>
                <w:szCs w:val="24"/>
                <w:highlight w:val="none"/>
                <w:lang w:eastAsia="zh-CN"/>
              </w:rPr>
              <w:t>具备</w:t>
            </w:r>
            <w:r>
              <w:rPr>
                <w:rFonts w:hint="eastAsia" w:ascii="宋体" w:hAnsi="宋体" w:eastAsia="宋体" w:cs="宋体"/>
                <w:sz w:val="24"/>
                <w:szCs w:val="24"/>
                <w:highlight w:val="none"/>
              </w:rPr>
              <w:t>4K分辨率解码，并可向下兼容其它分辨率，无丢帧、卡顿现象</w:t>
            </w:r>
            <w:r>
              <w:rPr>
                <w:rFonts w:hint="eastAsia" w:ascii="宋体" w:hAnsi="宋体" w:eastAsia="宋体" w:cs="宋体"/>
                <w:sz w:val="24"/>
                <w:szCs w:val="24"/>
                <w:highlight w:val="none"/>
                <w:lang w:eastAsia="zh-CN"/>
              </w:rPr>
              <w:t>；</w:t>
            </w:r>
          </w:p>
          <w:p w14:paraId="5E29A5F6">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2、具备4:4:4采样图像传输不丢帧，画质保持原图质量、色度、亮度、对比度；</w:t>
            </w:r>
          </w:p>
          <w:p w14:paraId="69B6AA0E">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3、具备音频加、解嵌，具备音视频同步或异步切换；</w:t>
            </w:r>
          </w:p>
          <w:p w14:paraId="63B6718C">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4、具备POE供电和DC供电模式。</w:t>
            </w:r>
          </w:p>
          <w:p w14:paraId="0CF18E3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p w14:paraId="2F3E7996">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按照原厂标准提供三年免费质保服务，提供保修期内硬件故障的维修、设备的更换及软件的免费升级。</w:t>
            </w:r>
          </w:p>
        </w:tc>
        <w:tc>
          <w:tcPr>
            <w:tcW w:w="458" w:type="pct"/>
            <w:vAlign w:val="center"/>
          </w:tcPr>
          <w:p w14:paraId="07A8D1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2A31AA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06358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C0224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ACB78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5B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E77B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p>
        </w:tc>
        <w:tc>
          <w:tcPr>
            <w:tcW w:w="4566" w:type="pct"/>
            <w:gridSpan w:val="7"/>
            <w:vAlign w:val="center"/>
          </w:tcPr>
          <w:p w14:paraId="23B1BAB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城市运行统一门户</w:t>
            </w:r>
          </w:p>
        </w:tc>
      </w:tr>
      <w:tr w14:paraId="03FA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6AE6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244B13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城市运行体征数据展示</w:t>
            </w:r>
          </w:p>
        </w:tc>
        <w:tc>
          <w:tcPr>
            <w:tcW w:w="1872" w:type="pct"/>
            <w:vAlign w:val="center"/>
          </w:tcPr>
          <w:p w14:paraId="3A7AE1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过接入城市大脑、城市生命线、网格化服务管理平台、环保监测、气象水利、雪亮工程等多维城市运行数据，实现城市信息的全面感知和整合。项目采用分层设计的思想，在城运中心构建了一个由数据采集层、数据处理层、数据应用层组成的智慧城市运行管理中心系统。其中，数据采集层负责接入各类城市运行数据，数据处理层负责对数据进行清洗、整合和分析，数据应用层则负责为智慧城市运行管理中心提供一屏展示。</w:t>
            </w:r>
          </w:p>
        </w:tc>
        <w:tc>
          <w:tcPr>
            <w:tcW w:w="458" w:type="pct"/>
            <w:vAlign w:val="center"/>
          </w:tcPr>
          <w:p w14:paraId="36623F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ADCD6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605C272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5F8572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20D399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0B6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EEB3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4566" w:type="pct"/>
            <w:gridSpan w:val="7"/>
            <w:vAlign w:val="center"/>
          </w:tcPr>
          <w:p w14:paraId="0C2EDFE2">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融合通信系统</w:t>
            </w:r>
          </w:p>
        </w:tc>
      </w:tr>
      <w:tr w14:paraId="3D0B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18C92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344C6648">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融合通信基础模块</w:t>
            </w:r>
          </w:p>
        </w:tc>
      </w:tr>
      <w:tr w14:paraId="7BCB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9EED8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577" w:type="pct"/>
            <w:vAlign w:val="center"/>
          </w:tcPr>
          <w:p w14:paraId="60402D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音视频集群统一调度模块</w:t>
            </w:r>
          </w:p>
        </w:tc>
        <w:tc>
          <w:tcPr>
            <w:tcW w:w="1872" w:type="pct"/>
            <w:vAlign w:val="center"/>
          </w:tcPr>
          <w:p w14:paraId="23C885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08B253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1、★并发数：不低于600路语音、120路1080P视频、250个群组；</w:t>
            </w:r>
          </w:p>
          <w:p w14:paraId="420C1FB1">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0C63B4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1、融合通信业务管理平台，包括语音业务管理、视频业务管理、录音录像业务管理、短信业务管理和GIS业务管理，以及融合通信系统与第三方业务系统的对接。</w:t>
            </w:r>
          </w:p>
          <w:p w14:paraId="1FDC4A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2、语音业务：具备点对点私密呼叫、紧急呼叫、组呼、点呼转接、抢话、强拆、动态重组、临时组呼、缜密监听和半双工呼叫等语音业务。</w:t>
            </w:r>
          </w:p>
          <w:p w14:paraId="3BFF76F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3、视频业务：具备视频回传、视</w:t>
            </w:r>
            <w:r>
              <w:rPr>
                <w:rFonts w:hint="eastAsia" w:ascii="宋体" w:hAnsi="宋体" w:eastAsia="宋体" w:cs="宋体"/>
                <w:i w:val="0"/>
                <w:iCs w:val="0"/>
                <w:color w:val="000000"/>
                <w:kern w:val="0"/>
                <w:sz w:val="24"/>
                <w:szCs w:val="24"/>
                <w:highlight w:val="none"/>
                <w:u w:val="none"/>
                <w:lang w:val="en-US" w:eastAsia="zh-CN" w:bidi="ar"/>
              </w:rPr>
              <w:t>频监控、视频分发、视频点呼、视频上下屏、视频上下墙和视频轮询等视频业务。</w:t>
            </w:r>
          </w:p>
          <w:p w14:paraId="102E8A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4、短信业务：具备短信点到点发送，短信在群组内发送。</w:t>
            </w:r>
          </w:p>
          <w:p w14:paraId="6A06A2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5、GIS业务：具备GIS终端管理、定位GIS终端、跟踪GIS终端、GIS轨迹回放，圈选用户后可以发起临时组呼、视频监控业务。</w:t>
            </w:r>
          </w:p>
        </w:tc>
        <w:tc>
          <w:tcPr>
            <w:tcW w:w="458" w:type="pct"/>
            <w:vAlign w:val="center"/>
          </w:tcPr>
          <w:p w14:paraId="7523F1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7B4C4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F5FA62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50351B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25344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B2D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AA6F1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577" w:type="pct"/>
            <w:vAlign w:val="center"/>
          </w:tcPr>
          <w:p w14:paraId="07E49C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基础语音调度模块</w:t>
            </w:r>
          </w:p>
        </w:tc>
        <w:tc>
          <w:tcPr>
            <w:tcW w:w="1872" w:type="pct"/>
            <w:vAlign w:val="center"/>
          </w:tcPr>
          <w:p w14:paraId="3E9AB1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6C809A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1、具备各种音频系统（办公电话、调度电话、卫星电话、对讲系统、移动单兵、手机、家庭座机等）的统一接入，实现所有音频系统的集中管理与调度，各种音频系统之间的无缝互通；</w:t>
            </w:r>
          </w:p>
          <w:p w14:paraId="503659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2、具备语音调度、数字集群调度功能，与PSTN的点呼互通功能；</w:t>
            </w:r>
          </w:p>
          <w:p w14:paraId="715E70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3、具备公网终端组呼互通功能、抢权功能，多终端语音会议功能；</w:t>
            </w:r>
          </w:p>
          <w:p w14:paraId="664A03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4、预留专网集群对接能力，具备PSIP协议对接及背靠背对接，实现组呼功能，专网集群接入后可与公网终端混合编组联合调度。</w:t>
            </w:r>
          </w:p>
        </w:tc>
        <w:tc>
          <w:tcPr>
            <w:tcW w:w="458" w:type="pct"/>
            <w:vAlign w:val="center"/>
          </w:tcPr>
          <w:p w14:paraId="2409B4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FF460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1BB27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3397DA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D1396F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5F0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F7A45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577" w:type="pct"/>
            <w:vAlign w:val="center"/>
          </w:tcPr>
          <w:p w14:paraId="63F109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视频调度模块</w:t>
            </w:r>
          </w:p>
        </w:tc>
        <w:tc>
          <w:tcPr>
            <w:tcW w:w="1872" w:type="pct"/>
            <w:vAlign w:val="center"/>
          </w:tcPr>
          <w:p w14:paraId="788195B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2F66932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1、通过GB28181协议融合接入各种视频资源，包括视频监控系统，视频会议资源，公网终端的视频资源等，具备H.265编码格式的摄像头视频流接入；</w:t>
            </w:r>
          </w:p>
          <w:p w14:paraId="46E6E1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SA"/>
              </w:rPr>
              <w:t>具备宽带集群终端、无人机、CPE无线固定摄像头、执法记录仪、无线宽带车载应急通信系统等视频资源接入能力；</w:t>
            </w:r>
          </w:p>
          <w:p w14:paraId="6A6712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3、手持终端可回传视频，终端之间可进行视频通话，视频上传、视频分发、视频监控可以和非视频呼叫业务(语音点呼/组呼)并发；</w:t>
            </w:r>
          </w:p>
          <w:p w14:paraId="1D2952C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4、具备对前端摄像机进行云台控制的功能，调度台可实时点播监控固定摄像头视频流。</w:t>
            </w:r>
          </w:p>
        </w:tc>
        <w:tc>
          <w:tcPr>
            <w:tcW w:w="458" w:type="pct"/>
            <w:vAlign w:val="center"/>
          </w:tcPr>
          <w:p w14:paraId="00223C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F2253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BA4EBF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7B10B4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4B7089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4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3CFF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577" w:type="pct"/>
            <w:vAlign w:val="center"/>
          </w:tcPr>
          <w:p w14:paraId="6596D0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视频会议融合模块</w:t>
            </w:r>
          </w:p>
        </w:tc>
        <w:tc>
          <w:tcPr>
            <w:tcW w:w="1872" w:type="pct"/>
            <w:vAlign w:val="center"/>
          </w:tcPr>
          <w:p w14:paraId="4A7D44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FE666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1、对接会议系统，实现组会并发起视频会议的功能，智能终端可通过APP被呼叫参与视频会议的功能；</w:t>
            </w:r>
          </w:p>
          <w:p w14:paraId="23A9D6C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2、具备将普通话机、移动电话、对讲机等语音终端接入到视频会商中，并可以实现语音和视频的混合调度功能，实现各类音视频终端的统一会商；</w:t>
            </w:r>
          </w:p>
          <w:p w14:paraId="657881C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可创建会议，添加成员，重呼成员，挂断成员，结束会议，成员主动/被动入会；启动会议录制，订阅/去订阅会议事件；静音/取消静音，静音/取消静音会议，成员举手发言，保持/取消保持会议，摄像头入会等；可选看与会者，选看视频多画面，广播与会者，广播视频多画面，取消广播视频多画面/进入自由模式；</w:t>
            </w:r>
          </w:p>
          <w:p w14:paraId="59D0942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4、具备SIP/H.323与三方视频会议系统对接，具备H.264/H.265视频编码及2K/1080P/720P视频分辨率格式。</w:t>
            </w:r>
          </w:p>
        </w:tc>
        <w:tc>
          <w:tcPr>
            <w:tcW w:w="458" w:type="pct"/>
            <w:vAlign w:val="center"/>
          </w:tcPr>
          <w:p w14:paraId="454E2C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5CF2C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B7532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41B516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EEBF8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7C4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983FE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577" w:type="pct"/>
            <w:vAlign w:val="center"/>
          </w:tcPr>
          <w:p w14:paraId="480F4E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地理化调度模块</w:t>
            </w:r>
          </w:p>
        </w:tc>
        <w:tc>
          <w:tcPr>
            <w:tcW w:w="1872" w:type="pct"/>
            <w:vAlign w:val="center"/>
          </w:tcPr>
          <w:p w14:paraId="1DD90EA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5BFB875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1、融合具备统一采集、存储各系统终端的定位数据。通过融合通信平台，可以获取终端的GIS位置信息，在地图上实时显示终端的当前位置和状态；</w:t>
            </w:r>
          </w:p>
          <w:p w14:paraId="7B6D3F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2、系统可配置GIS上报周期，可圈选区域内的用户（固定摄像头，移动终端、视频记录仪等）；</w:t>
            </w:r>
          </w:p>
          <w:p w14:paraId="2BCB87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3、GIS地图上对选定的终端进行轨迹跟踪，并实时显示终端轨迹的功能。</w:t>
            </w:r>
          </w:p>
        </w:tc>
        <w:tc>
          <w:tcPr>
            <w:tcW w:w="458" w:type="pct"/>
            <w:vAlign w:val="center"/>
          </w:tcPr>
          <w:p w14:paraId="517CC6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00590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DF7DA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6DB09D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631F3C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FC6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93D30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577" w:type="pct"/>
            <w:vAlign w:val="center"/>
          </w:tcPr>
          <w:p w14:paraId="7094CE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多媒体调度模块</w:t>
            </w:r>
          </w:p>
        </w:tc>
        <w:tc>
          <w:tcPr>
            <w:tcW w:w="1872" w:type="pct"/>
            <w:vAlign w:val="center"/>
          </w:tcPr>
          <w:p w14:paraId="7CC567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5DB037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1、实现系统间短信功能的互通，实现通过短信进行通知和调度。</w:t>
            </w:r>
          </w:p>
          <w:p w14:paraId="09C07C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2、后端调度台、公网终端可进行点对点、点对群组的多媒体消息功能，包括短信、图片、声音、文字，具备一键式照片上传；</w:t>
            </w:r>
          </w:p>
          <w:p w14:paraId="28EC72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3、公网终端和调度台通过公网接入，可以与系统内用户以及其他公网用户进行集群语音点呼、视频、短信等业务，也可在授权情况下上报GIS定位信息的功能。</w:t>
            </w:r>
          </w:p>
        </w:tc>
        <w:tc>
          <w:tcPr>
            <w:tcW w:w="458" w:type="pct"/>
            <w:vAlign w:val="center"/>
          </w:tcPr>
          <w:p w14:paraId="646CF1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B5E3F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414A48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3C524A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9D67C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1B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21678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577" w:type="pct"/>
            <w:vAlign w:val="center"/>
          </w:tcPr>
          <w:p w14:paraId="76EFCA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终端接入模块</w:t>
            </w:r>
          </w:p>
        </w:tc>
        <w:tc>
          <w:tcPr>
            <w:tcW w:w="1872" w:type="pct"/>
            <w:vAlign w:val="center"/>
          </w:tcPr>
          <w:p w14:paraId="6DD7CC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37EFFE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移动终端授权数：不低于2万个，具备扩容扩展能力；</w:t>
            </w:r>
          </w:p>
          <w:p w14:paraId="4A0683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5F145F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1、具备终端APP、记录仪接入，包括开户、注册、状态管理等，为业务调度提供基础。</w:t>
            </w:r>
          </w:p>
          <w:p w14:paraId="65A913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2、提供终端APP、记录仪之间的语音单呼、组呼、视频监控、视频点呼、短消息收发 等音视频业务互通功能，支撑终端间的本地业务调度；</w:t>
            </w:r>
          </w:p>
          <w:p w14:paraId="0BFEF4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3、具备移动视频自适应码率调整，保证视频业务连续。</w:t>
            </w:r>
          </w:p>
        </w:tc>
        <w:tc>
          <w:tcPr>
            <w:tcW w:w="458" w:type="pct"/>
            <w:vAlign w:val="center"/>
          </w:tcPr>
          <w:p w14:paraId="511144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42595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F6606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443758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4F71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086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C6EA9A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highlight w:val="none"/>
                <w:u w:val="none"/>
                <w:lang w:val="en-US" w:eastAsia="zh-CN"/>
              </w:rPr>
              <w:t>8</w:t>
            </w:r>
          </w:p>
        </w:tc>
        <w:tc>
          <w:tcPr>
            <w:tcW w:w="577" w:type="pct"/>
            <w:vAlign w:val="center"/>
          </w:tcPr>
          <w:p w14:paraId="53D6E7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互联互通模块</w:t>
            </w:r>
          </w:p>
        </w:tc>
        <w:tc>
          <w:tcPr>
            <w:tcW w:w="1872" w:type="pct"/>
            <w:vAlign w:val="center"/>
          </w:tcPr>
          <w:p w14:paraId="2EAABD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互联网接入区，具备移动终端接入功能，与政务外网融合通信系统互联互通。</w:t>
            </w:r>
          </w:p>
        </w:tc>
        <w:tc>
          <w:tcPr>
            <w:tcW w:w="458" w:type="pct"/>
            <w:vAlign w:val="center"/>
          </w:tcPr>
          <w:p w14:paraId="12F05B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45346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A9F00C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6CA114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06A6B8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052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7AC2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1EEC1D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录音录像模块</w:t>
            </w:r>
          </w:p>
        </w:tc>
        <w:tc>
          <w:tcPr>
            <w:tcW w:w="1872" w:type="pct"/>
            <w:vAlign w:val="center"/>
          </w:tcPr>
          <w:p w14:paraId="5C8B4F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1、音视频存储模块可实现将融合通信系统接入的各类音视频信号进行录播并存储，可对录音录像进行回放、下载、查询等；</w:t>
            </w:r>
          </w:p>
          <w:p w14:paraId="1153C7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2、具备手持终端的视频回传录像管理功能，可对手持终端和摄像头回传的视频进行存储，对存储文件进行查询、下载和删除。</w:t>
            </w:r>
          </w:p>
        </w:tc>
        <w:tc>
          <w:tcPr>
            <w:tcW w:w="458" w:type="pct"/>
            <w:vAlign w:val="center"/>
          </w:tcPr>
          <w:p w14:paraId="12384B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80CCD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5FABD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51B9CD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D46AB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3B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DF558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577" w:type="pct"/>
            <w:vAlign w:val="center"/>
          </w:tcPr>
          <w:p w14:paraId="538962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视频系统对接网关</w:t>
            </w:r>
          </w:p>
        </w:tc>
        <w:tc>
          <w:tcPr>
            <w:tcW w:w="1872" w:type="pct"/>
            <w:vAlign w:val="center"/>
          </w:tcPr>
          <w:p w14:paraId="6E6BBA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4794AA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具备不低于12万个摄像头接入。</w:t>
            </w:r>
          </w:p>
          <w:p w14:paraId="0F4462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424A06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1、融合通信平台与其他视频平台的互联互通的视频网关，支持GB28181协议,能与现网视频平台的互联互通，实现视频资源的双向共享；</w:t>
            </w:r>
          </w:p>
          <w:p w14:paraId="086488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2、具备系统间视频设备的GIS信息订阅和上报功能。</w:t>
            </w:r>
          </w:p>
        </w:tc>
        <w:tc>
          <w:tcPr>
            <w:tcW w:w="458" w:type="pct"/>
            <w:vAlign w:val="center"/>
          </w:tcPr>
          <w:p w14:paraId="77D0B4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5F932B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97A91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004F84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DA4C5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CCD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77E14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11 </w:t>
            </w:r>
          </w:p>
        </w:tc>
        <w:tc>
          <w:tcPr>
            <w:tcW w:w="577" w:type="pct"/>
            <w:vAlign w:val="center"/>
          </w:tcPr>
          <w:p w14:paraId="29D77D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能力开放模块</w:t>
            </w:r>
          </w:p>
        </w:tc>
        <w:tc>
          <w:tcPr>
            <w:tcW w:w="1872" w:type="pct"/>
            <w:vAlign w:val="center"/>
          </w:tcPr>
          <w:p w14:paraId="073B7A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4AB90F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1、具备与第三方业务系统对接统一API接口，包含BS和CS集成模式；</w:t>
            </w:r>
          </w:p>
          <w:p w14:paraId="7796F2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2、提供语音能力开放、视频能力开放、数据能力开放、位置能力开放等服务能力；提供会议上墙调度接口能力，具备监控上墙调度接口能力；</w:t>
            </w:r>
          </w:p>
          <w:p w14:paraId="400530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3、具备Restful接口，具备Restful接口二次开发并实现音视频会议、语音点呼的功能；</w:t>
            </w:r>
          </w:p>
          <w:p w14:paraId="29A239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4、SDK接口二次开发实现实时视频预览、发送短数据的功能</w:t>
            </w:r>
            <w:r>
              <w:rPr>
                <w:rFonts w:hint="eastAsia" w:ascii="宋体" w:hAnsi="宋体" w:eastAsia="宋体" w:cs="宋体"/>
                <w:i w:val="0"/>
                <w:iCs w:val="0"/>
                <w:color w:val="000000"/>
                <w:kern w:val="2"/>
                <w:sz w:val="24"/>
                <w:szCs w:val="24"/>
                <w:highlight w:val="none"/>
                <w:u w:val="none"/>
                <w:lang w:val="en-US" w:eastAsia="zh-CN" w:bidi="ar-SA"/>
              </w:rPr>
              <w:t>。</w:t>
            </w:r>
          </w:p>
        </w:tc>
        <w:tc>
          <w:tcPr>
            <w:tcW w:w="458" w:type="pct"/>
            <w:vAlign w:val="center"/>
          </w:tcPr>
          <w:p w14:paraId="20B210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278BF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A7E8D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3667262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1F3969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219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5C94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58AF57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无人机服务</w:t>
            </w:r>
          </w:p>
        </w:tc>
        <w:tc>
          <w:tcPr>
            <w:tcW w:w="1872" w:type="pct"/>
            <w:vAlign w:val="center"/>
          </w:tcPr>
          <w:p w14:paraId="78DF47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提供无人机巡检保障服务4次/年，满足重大活动和应急场景需要（包含无人机保障方案）。无人机须结合不同任务需要，配备相应设备，满足使用需求。</w:t>
            </w:r>
          </w:p>
        </w:tc>
        <w:tc>
          <w:tcPr>
            <w:tcW w:w="458" w:type="pct"/>
            <w:vAlign w:val="center"/>
          </w:tcPr>
          <w:p w14:paraId="5984B4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3EBA9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4BBC6B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74A0A3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7B7D66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9D4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FF8C6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highlight w:val="none"/>
                <w:u w:val="none"/>
                <w:lang w:val="en-US" w:eastAsia="zh-CN"/>
              </w:rPr>
              <w:t>13</w:t>
            </w:r>
          </w:p>
        </w:tc>
        <w:tc>
          <w:tcPr>
            <w:tcW w:w="577" w:type="pct"/>
            <w:vAlign w:val="center"/>
          </w:tcPr>
          <w:p w14:paraId="769BD9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sz w:val="24"/>
                <w:szCs w:val="24"/>
                <w:highlight w:val="none"/>
                <w:u w:val="none"/>
                <w:lang w:val="en-US" w:eastAsia="zh-CN"/>
              </w:rPr>
              <w:t>重大活动保障服务</w:t>
            </w:r>
          </w:p>
        </w:tc>
        <w:tc>
          <w:tcPr>
            <w:tcW w:w="1872" w:type="pct"/>
            <w:vAlign w:val="center"/>
          </w:tcPr>
          <w:p w14:paraId="656F45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sz w:val="24"/>
                <w:szCs w:val="24"/>
                <w:highlight w:val="none"/>
                <w:u w:val="none"/>
              </w:rPr>
              <w:t>专业人员提供现场保障服务，每次不超过5天，包括事前的资源容量评估，网络检查，网络调整，应急预案定制与演练，备件保障，事中的事件值守，事后的保障总结，保障系统运行安全，提高网络抗风险能力</w:t>
            </w:r>
            <w:r>
              <w:rPr>
                <w:rFonts w:hint="eastAsia" w:ascii="宋体" w:hAnsi="宋体" w:eastAsia="宋体" w:cs="宋体"/>
                <w:i w:val="0"/>
                <w:iCs w:val="0"/>
                <w:color w:val="000000"/>
                <w:sz w:val="24"/>
                <w:szCs w:val="24"/>
                <w:highlight w:val="none"/>
                <w:u w:val="none"/>
                <w:lang w:eastAsia="zh-CN"/>
              </w:rPr>
              <w:t>。</w:t>
            </w:r>
          </w:p>
        </w:tc>
        <w:tc>
          <w:tcPr>
            <w:tcW w:w="458" w:type="pct"/>
            <w:vAlign w:val="center"/>
          </w:tcPr>
          <w:p w14:paraId="7054DE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445" w:type="pct"/>
            <w:vAlign w:val="center"/>
          </w:tcPr>
          <w:p w14:paraId="7F704F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sz w:val="24"/>
                <w:szCs w:val="24"/>
                <w:highlight w:val="none"/>
                <w:u w:val="none"/>
                <w:lang w:val="en-US" w:eastAsia="zh-CN"/>
              </w:rPr>
              <w:t>次</w:t>
            </w:r>
          </w:p>
        </w:tc>
        <w:tc>
          <w:tcPr>
            <w:tcW w:w="443" w:type="pct"/>
            <w:vAlign w:val="center"/>
          </w:tcPr>
          <w:p w14:paraId="401846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79A425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09072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3E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A299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5EFDC615">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联动指挥</w:t>
            </w:r>
          </w:p>
        </w:tc>
      </w:tr>
      <w:tr w14:paraId="0A76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F1096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w:t>
            </w:r>
          </w:p>
        </w:tc>
        <w:tc>
          <w:tcPr>
            <w:tcW w:w="577" w:type="pct"/>
            <w:vAlign w:val="center"/>
          </w:tcPr>
          <w:p w14:paraId="07FA76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联动指挥平台软件</w:t>
            </w:r>
          </w:p>
        </w:tc>
        <w:tc>
          <w:tcPr>
            <w:tcW w:w="1872" w:type="pct"/>
            <w:vAlign w:val="center"/>
          </w:tcPr>
          <w:p w14:paraId="597B0C9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功能要求：</w:t>
            </w:r>
          </w:p>
          <w:p w14:paraId="3A7768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1、通过列表方式选择设备进行语音呼叫、视频呼叫、群组呼叫、视频监控等；</w:t>
            </w:r>
          </w:p>
          <w:p w14:paraId="683D95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2、接听语音呼叫、视频呼叫等；</w:t>
            </w:r>
          </w:p>
          <w:p w14:paraId="2D71F5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3、提供视频播放窗口，通过列表方式查看视频监控，进行视频轮询等；</w:t>
            </w:r>
          </w:p>
          <w:p w14:paraId="02C217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4、登录认证管理，通过角色关联权限点的方式对用户权限进行管理。</w:t>
            </w:r>
          </w:p>
        </w:tc>
        <w:tc>
          <w:tcPr>
            <w:tcW w:w="458" w:type="pct"/>
            <w:vAlign w:val="center"/>
          </w:tcPr>
          <w:p w14:paraId="7EECED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DCBF5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7F0F92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77DD3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55830F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C1A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5E9A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2</w:t>
            </w:r>
          </w:p>
        </w:tc>
        <w:tc>
          <w:tcPr>
            <w:tcW w:w="577" w:type="pct"/>
            <w:vAlign w:val="center"/>
          </w:tcPr>
          <w:p w14:paraId="6EB7BE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用户设备管理功能软件</w:t>
            </w:r>
          </w:p>
        </w:tc>
        <w:tc>
          <w:tcPr>
            <w:tcW w:w="1872" w:type="pct"/>
            <w:vAlign w:val="center"/>
          </w:tcPr>
          <w:p w14:paraId="65C0FA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0E2AEF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1、人员管理：包括人员的基础信息维护、启停状态维护、批量导入导出等；</w:t>
            </w:r>
          </w:p>
          <w:p w14:paraId="3FF084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2、组织管理：包括对组织的基础信息维护、批量导入导出等；</w:t>
            </w:r>
          </w:p>
          <w:p w14:paraId="7D2E33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3、相关设备管理：视频会议相关参数进行配置管理、通讯调度相关参数进行配置管理、监控资源层级管理等。</w:t>
            </w:r>
          </w:p>
        </w:tc>
        <w:tc>
          <w:tcPr>
            <w:tcW w:w="458" w:type="pct"/>
            <w:vAlign w:val="center"/>
          </w:tcPr>
          <w:p w14:paraId="52EE70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E12E2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CAA6E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B0A57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EF0A7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1D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C466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3</w:t>
            </w:r>
          </w:p>
        </w:tc>
        <w:tc>
          <w:tcPr>
            <w:tcW w:w="577" w:type="pct"/>
            <w:vAlign w:val="center"/>
          </w:tcPr>
          <w:p w14:paraId="1490DE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信息上图功能软件</w:t>
            </w:r>
          </w:p>
        </w:tc>
        <w:tc>
          <w:tcPr>
            <w:tcW w:w="1872" w:type="pct"/>
            <w:vAlign w:val="center"/>
          </w:tcPr>
          <w:p w14:paraId="04EAAB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2B137E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1、加载地图，对地图进行放大、缩小、移动、资源聚合等操作；</w:t>
            </w:r>
          </w:p>
          <w:p w14:paraId="7400B0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2、在地图上加载各种图层，可选择展示或隐藏图层，将图层资源在地图上撒点展示；</w:t>
            </w:r>
          </w:p>
          <w:p w14:paraId="5B02F0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3、风险隐患、应急力量、公共设施等图层资源图层显示；</w:t>
            </w:r>
          </w:p>
          <w:p w14:paraId="2DB7AD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4、具备地图拖拽、视角调整等功能；</w:t>
            </w:r>
          </w:p>
          <w:p w14:paraId="31D495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5、地点检索、资源名称检索等；</w:t>
            </w:r>
          </w:p>
          <w:p w14:paraId="5E3ADD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6、通讯录展示，包括人员、群组、视频监控等信息；</w:t>
            </w:r>
          </w:p>
          <w:p w14:paraId="68ADFB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7、可创建、编辑、删除主题组，可选择资源（监控、记录仪、终端等）纳入主题组中，勾选某个主题组时，地图上仅显示该主题组的资源；</w:t>
            </w:r>
          </w:p>
          <w:p w14:paraId="36C475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8、需对接城市生命线平台，收到预警信息在地图上展示。</w:t>
            </w:r>
          </w:p>
        </w:tc>
        <w:tc>
          <w:tcPr>
            <w:tcW w:w="458" w:type="pct"/>
            <w:vAlign w:val="center"/>
          </w:tcPr>
          <w:p w14:paraId="1A7954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F58EA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BD392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724274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294530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ACC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F7416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4</w:t>
            </w:r>
          </w:p>
        </w:tc>
        <w:tc>
          <w:tcPr>
            <w:tcW w:w="577" w:type="pct"/>
            <w:vAlign w:val="center"/>
          </w:tcPr>
          <w:p w14:paraId="07CCAF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融合通信调度功能软件</w:t>
            </w:r>
          </w:p>
        </w:tc>
        <w:tc>
          <w:tcPr>
            <w:tcW w:w="1872" w:type="pct"/>
            <w:vAlign w:val="center"/>
          </w:tcPr>
          <w:p w14:paraId="133ECCF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5DCF7F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具备语音呼叫、视频呼叫、集群呼叫和即时消息等融合通信功能：</w:t>
            </w:r>
          </w:p>
          <w:p w14:paraId="747355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1、指挥中心与用户间、用户与用户间的点对点呼叫；</w:t>
            </w:r>
          </w:p>
          <w:p w14:paraId="10C03D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2、对语音音频控制，包括话筒静音、听筒静音，具备缜密监听功能；</w:t>
            </w:r>
          </w:p>
          <w:p w14:paraId="74AC42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3、拨号盘按钮，可通过拨号盘进行语音呼叫操作；</w:t>
            </w:r>
          </w:p>
          <w:p w14:paraId="2CB83B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4、调度台具备对用户发起视频通话、视频查看、监控，用户可主动发起视频回传；</w:t>
            </w:r>
          </w:p>
          <w:p w14:paraId="456429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5、视频可分发到用户和群组，视频画面可云台操作；</w:t>
            </w:r>
          </w:p>
          <w:p w14:paraId="7AC7F5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6、调度台具备对视频呼叫强拆功能；</w:t>
            </w:r>
          </w:p>
          <w:p w14:paraId="3FEA2F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7、群组页面可显示群组名称，群组成员、成员状态等信息；可选择并订阅已有群组（静态组），发起组呼；可设置快捷按钮，按住发起讲话，不按时只听群组说话；</w:t>
            </w:r>
          </w:p>
          <w:p w14:paraId="43F73F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8、可创建动态群组，动态加入/移除成员，可用关键字对群组过滤检索；群组具备分离合并功能和成员混合编组功能；</w:t>
            </w:r>
          </w:p>
          <w:p w14:paraId="105695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9、具备点对点、点对群组发送文字及语音消息，短消息聊天窗口；</w:t>
            </w:r>
          </w:p>
          <w:p w14:paraId="5B83F8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10、具备预定义状态信息功能，调度台可以实现接收终端用户的状态反馈。</w:t>
            </w:r>
          </w:p>
        </w:tc>
        <w:tc>
          <w:tcPr>
            <w:tcW w:w="458" w:type="pct"/>
            <w:vAlign w:val="center"/>
          </w:tcPr>
          <w:p w14:paraId="27962D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28D00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45185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7843EBD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EF2EC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793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937B4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5</w:t>
            </w:r>
          </w:p>
        </w:tc>
        <w:tc>
          <w:tcPr>
            <w:tcW w:w="577" w:type="pct"/>
            <w:vAlign w:val="center"/>
          </w:tcPr>
          <w:p w14:paraId="074882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图上指挥功能软件</w:t>
            </w:r>
          </w:p>
        </w:tc>
        <w:tc>
          <w:tcPr>
            <w:tcW w:w="1872" w:type="pct"/>
            <w:vAlign w:val="center"/>
          </w:tcPr>
          <w:p w14:paraId="6C24F03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763073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1、具备在地图上选择设备/人员进行语音呼叫/视频呼叫/短信等操作；</w:t>
            </w:r>
          </w:p>
          <w:p w14:paraId="285046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2、具备在地图上查看监控资源，点播监控图像，进行视频分发等；</w:t>
            </w:r>
          </w:p>
          <w:p w14:paraId="3CA1E0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3、具备在地图上圈选、框选、多边形选择在线终端，创建动态群组；</w:t>
            </w:r>
          </w:p>
          <w:p w14:paraId="619C39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4、具备在地图上圈选、框选、多边形选择相应的监控终端，实现一键调取多画面监控播放；</w:t>
            </w:r>
          </w:p>
          <w:p w14:paraId="05C6F88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5、具备在地图上圈选、框选、多边形选择相应的与会终端，实现一键加入会场；</w:t>
            </w:r>
          </w:p>
          <w:p w14:paraId="54262C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6、具备地图轨迹回放，选择某个移动终端进行轨迹回放操作；</w:t>
            </w:r>
          </w:p>
          <w:p w14:paraId="653385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7、具备地理围栏功能，可在地图上绘制围栏区域，终端设备离开所设置的围栏区域时，系统将收到预警信息；</w:t>
            </w:r>
          </w:p>
          <w:p w14:paraId="558953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8、具备录音录像的查询、回放、下载功能。</w:t>
            </w:r>
          </w:p>
        </w:tc>
        <w:tc>
          <w:tcPr>
            <w:tcW w:w="458" w:type="pct"/>
            <w:vAlign w:val="center"/>
          </w:tcPr>
          <w:p w14:paraId="4E7054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43096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0A5F8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231F326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2C459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EE8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02095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6</w:t>
            </w:r>
          </w:p>
        </w:tc>
        <w:tc>
          <w:tcPr>
            <w:tcW w:w="577" w:type="pct"/>
            <w:vAlign w:val="center"/>
          </w:tcPr>
          <w:p w14:paraId="21266A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视频会商功能软件</w:t>
            </w:r>
          </w:p>
        </w:tc>
        <w:tc>
          <w:tcPr>
            <w:tcW w:w="1872" w:type="pct"/>
            <w:vAlign w:val="center"/>
          </w:tcPr>
          <w:p w14:paraId="227789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745774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1、图上组会，可在地图上选择会议终端进行组会操作；</w:t>
            </w:r>
          </w:p>
          <w:p w14:paraId="4A3160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2、具备会议修改功能，包括会议日期和时间、参会人数、会议主题、会议议程等；</w:t>
            </w:r>
          </w:p>
          <w:p w14:paraId="459EB1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3、具备会议管理功能，提供会议列表，区分即时会议、预约会议等；</w:t>
            </w:r>
          </w:p>
          <w:p w14:paraId="42B252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4、具备会议查询功能，可以快速查看会议类型、会议主题、会议时间、会议召集人、会议ID和会议状态，并可以导出参会人员信息；</w:t>
            </w:r>
          </w:p>
          <w:p w14:paraId="70721E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5、具备会议控制功能，可查看会议信息、延长会议、结束会议、会议成员管理、会议主席设置、静音控制、多画面设置等；</w:t>
            </w:r>
          </w:p>
          <w:p w14:paraId="72A048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6、具备多画面轮询、会议横幅、会议字幕等设置；</w:t>
            </w:r>
          </w:p>
          <w:p w14:paraId="7B15E4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7、具备自动呼叫入会、会议列表一键入会、拨号入会、被邀请入会等多种方式入会。</w:t>
            </w:r>
          </w:p>
        </w:tc>
        <w:tc>
          <w:tcPr>
            <w:tcW w:w="458" w:type="pct"/>
            <w:vAlign w:val="center"/>
          </w:tcPr>
          <w:p w14:paraId="1B1ED4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6FF20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2DA213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79AACE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0C323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79C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0FA0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7</w:t>
            </w:r>
          </w:p>
        </w:tc>
        <w:tc>
          <w:tcPr>
            <w:tcW w:w="577" w:type="pct"/>
            <w:vAlign w:val="center"/>
          </w:tcPr>
          <w:p w14:paraId="194DEB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资源管理功能软件</w:t>
            </w:r>
          </w:p>
        </w:tc>
        <w:tc>
          <w:tcPr>
            <w:tcW w:w="1872" w:type="pct"/>
            <w:vAlign w:val="center"/>
          </w:tcPr>
          <w:p w14:paraId="12BCA08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0C41F5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1、具备应急力量维护管理，包括：应急救援力量、社会救援力量等；</w:t>
            </w:r>
          </w:p>
          <w:p w14:paraId="052F1E7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2、具备对救援物资进行维护管理，包括应急仓库维护、物资维护等；</w:t>
            </w:r>
          </w:p>
          <w:p w14:paraId="152795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3、具备对医疗资源、避难场所等进行维护管理；</w:t>
            </w:r>
          </w:p>
          <w:p w14:paraId="0D0F1A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4、具备对应急资源进行导入导出、上图展示、资源卡片展示等。</w:t>
            </w:r>
          </w:p>
        </w:tc>
        <w:tc>
          <w:tcPr>
            <w:tcW w:w="458" w:type="pct"/>
            <w:vAlign w:val="center"/>
          </w:tcPr>
          <w:p w14:paraId="72081D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AEA27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89A14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EFD54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585C8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C36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DE6C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8</w:t>
            </w:r>
          </w:p>
        </w:tc>
        <w:tc>
          <w:tcPr>
            <w:tcW w:w="577" w:type="pct"/>
            <w:vAlign w:val="center"/>
          </w:tcPr>
          <w:p w14:paraId="157833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预案管理功能软件</w:t>
            </w:r>
          </w:p>
        </w:tc>
        <w:tc>
          <w:tcPr>
            <w:tcW w:w="1872" w:type="pct"/>
            <w:vAlign w:val="center"/>
          </w:tcPr>
          <w:p w14:paraId="62ED88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BD54A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1、预案增加、删除，修改，查阅预案；</w:t>
            </w:r>
          </w:p>
          <w:p w14:paraId="3AF1EA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2、预案匹配列表，可根据事件类型、事件地点，自动匹配相关预案；</w:t>
            </w:r>
          </w:p>
          <w:p w14:paraId="38244F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3、可上传Word、PDF、图片等文件格式文本预案；</w:t>
            </w:r>
          </w:p>
          <w:p w14:paraId="5BF599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4、可通过预案类型、编制时间、预案名称、所属辖区、进行检索；</w:t>
            </w:r>
          </w:p>
          <w:p w14:paraId="60F5DF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5、可选择预案启动处置工作组，将处置工作组中的联系人员拉入会议中。</w:t>
            </w:r>
          </w:p>
        </w:tc>
        <w:tc>
          <w:tcPr>
            <w:tcW w:w="458" w:type="pct"/>
            <w:vAlign w:val="center"/>
          </w:tcPr>
          <w:p w14:paraId="1244A0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8B2E2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1C2FB0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42F24D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20CC1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CDA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0B07A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9</w:t>
            </w:r>
          </w:p>
        </w:tc>
        <w:tc>
          <w:tcPr>
            <w:tcW w:w="577" w:type="pct"/>
            <w:vAlign w:val="center"/>
          </w:tcPr>
          <w:p w14:paraId="744C58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事件管理功能软件</w:t>
            </w:r>
          </w:p>
        </w:tc>
        <w:tc>
          <w:tcPr>
            <w:tcW w:w="1872" w:type="pct"/>
            <w:vAlign w:val="center"/>
          </w:tcPr>
          <w:p w14:paraId="660330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DC9DC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实现事件登记、事件处置和事件联动能力</w:t>
            </w:r>
          </w:p>
          <w:p w14:paraId="5D6CEE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1、可对事件增删改查，多条件检索对事件进行检索、导出；</w:t>
            </w:r>
          </w:p>
          <w:p w14:paraId="5F890A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2、具备事件统计功能，包括相关的事件总数，伤亡人数、经济损失汇总等；</w:t>
            </w:r>
          </w:p>
          <w:p w14:paraId="52C2FB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3、可对整个处置过程进行跟踪，包括处置过程的调派、反馈信息记录，处置过程中的视频，处置人员的实时轨迹等；</w:t>
            </w:r>
          </w:p>
          <w:p w14:paraId="229E7B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4、地图页面提供实时事件展示；</w:t>
            </w:r>
          </w:p>
          <w:p w14:paraId="4C5C81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5、可用不同的颜色标注不同等级的事件；</w:t>
            </w:r>
          </w:p>
          <w:p w14:paraId="14720C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6、可展开查看事件简易详情；</w:t>
            </w:r>
          </w:p>
          <w:p w14:paraId="432090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7、具备图上分析研判功能（周边资源与风险分析）；</w:t>
            </w:r>
          </w:p>
          <w:p w14:paraId="3155A7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8、基于事件的指挥调度（集群和视频会商的功能）；</w:t>
            </w:r>
          </w:p>
          <w:p w14:paraId="3D2E5C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9、可一键将事先录制的紧急广播信息应急启动；</w:t>
            </w:r>
          </w:p>
          <w:p w14:paraId="363F15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10、具备可批示填补、上传，下发传达到相关人员与部门；</w:t>
            </w:r>
          </w:p>
          <w:p w14:paraId="3A7ECC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11、可设置不同灾情类型关联到相应的资源与风险，可关联展示出相应的资源和风险；可结合处置力量及处置状态进行调派；</w:t>
            </w:r>
          </w:p>
          <w:p w14:paraId="458C42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12、可通过事件检索直接进入事件处置页面。</w:t>
            </w:r>
          </w:p>
        </w:tc>
        <w:tc>
          <w:tcPr>
            <w:tcW w:w="458" w:type="pct"/>
            <w:vAlign w:val="center"/>
          </w:tcPr>
          <w:p w14:paraId="1EAEAE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25726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90A45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3F67BE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9CCE3C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CB6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8325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10</w:t>
            </w:r>
          </w:p>
        </w:tc>
        <w:tc>
          <w:tcPr>
            <w:tcW w:w="577" w:type="pct"/>
            <w:vAlign w:val="center"/>
          </w:tcPr>
          <w:p w14:paraId="1DCDBC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应用场景</w:t>
            </w:r>
          </w:p>
        </w:tc>
        <w:tc>
          <w:tcPr>
            <w:tcW w:w="1872" w:type="pct"/>
            <w:vAlign w:val="center"/>
          </w:tcPr>
          <w:p w14:paraId="0DF655D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针对滁州市实际情况，提供指挥调度相关的应用场景，包含但不限于演唱会、体育赛事等重要活动保障、防汛抗洪、应急救援等。</w:t>
            </w:r>
          </w:p>
        </w:tc>
        <w:tc>
          <w:tcPr>
            <w:tcW w:w="458" w:type="pct"/>
            <w:vAlign w:val="center"/>
          </w:tcPr>
          <w:p w14:paraId="12129C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6ED73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1985BA6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39DA73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918DC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C44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95D1B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182A536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4349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C6ADD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8040A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融合通信主机服务器</w:t>
            </w:r>
          </w:p>
        </w:tc>
        <w:tc>
          <w:tcPr>
            <w:tcW w:w="1872" w:type="pct"/>
            <w:vAlign w:val="center"/>
          </w:tcPr>
          <w:p w14:paraId="5041BC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2CC085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1、CPU：≥2颗CPU（主频≥2.6GHz，物理核数≥32）；</w:t>
            </w:r>
          </w:p>
          <w:p w14:paraId="00AC24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2、内存：≥4*32GB DDR4内存；</w:t>
            </w:r>
          </w:p>
          <w:p w14:paraId="34BC1E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3、硬盘：≥5*1.2TB SAS硬盘；</w:t>
            </w:r>
          </w:p>
          <w:p w14:paraId="1650A6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4、RAID卡：独立高性能；</w:t>
            </w:r>
          </w:p>
          <w:p w14:paraId="05E126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5、网口：≥6*GE电口，2*10GE光口（满配万兆光模块和跳线）。</w:t>
            </w:r>
          </w:p>
          <w:p w14:paraId="109AC6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5FC491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70B892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438455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F62DA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DF21C0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7475EE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20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43DA0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1BC4CF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录音录像服务器</w:t>
            </w:r>
          </w:p>
        </w:tc>
        <w:tc>
          <w:tcPr>
            <w:tcW w:w="1872" w:type="pct"/>
            <w:vAlign w:val="center"/>
          </w:tcPr>
          <w:p w14:paraId="72CAA8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1CD5DA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1、CPU：≥2颗CPU（主频≥2.6GHz，物理核数≥32）；</w:t>
            </w:r>
          </w:p>
          <w:p w14:paraId="0B2857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2、内存：≥2*32GB DDR4内存；</w:t>
            </w:r>
          </w:p>
          <w:p w14:paraId="125C0F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3、硬盘：≥2*600GB SAS硬盘（转速≥10K)，7*8TB SATA硬盘(转速≥7.2K)；</w:t>
            </w:r>
          </w:p>
          <w:p w14:paraId="00FB47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4、RAID卡：独立高性能；</w:t>
            </w:r>
          </w:p>
          <w:p w14:paraId="7DFBA8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5、网口：≥6*GE电口，2*10GE光口（满配万兆光模块）。</w:t>
            </w:r>
          </w:p>
          <w:p w14:paraId="703931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58CD98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0001B3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C833D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37718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F0FCF0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66969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A5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8757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42423D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视频监控融合网关服务器</w:t>
            </w:r>
          </w:p>
        </w:tc>
        <w:tc>
          <w:tcPr>
            <w:tcW w:w="1872" w:type="pct"/>
            <w:vAlign w:val="center"/>
          </w:tcPr>
          <w:p w14:paraId="724F56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120928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1、CPU：≥2颗CPU（主频≥2.6GHz，物理核数≥32）；</w:t>
            </w:r>
          </w:p>
          <w:p w14:paraId="111E91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2、内存：≥2*32GB DDR4内存；</w:t>
            </w:r>
          </w:p>
          <w:p w14:paraId="5B379F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3、硬盘：≥4*600GB SAS硬盘（转速≥10K)；</w:t>
            </w:r>
          </w:p>
          <w:p w14:paraId="608422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4、RAID卡：独立高性能；</w:t>
            </w:r>
          </w:p>
          <w:p w14:paraId="0701D6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5、网口：≥6*GE电口，2*10GE光口（满配万兆光模块和跳线）。</w:t>
            </w:r>
          </w:p>
          <w:p w14:paraId="150D52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1C9F18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61503E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57FB8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136075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2E253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0946B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02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51EDB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6C959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联动指挥平台应用服务器</w:t>
            </w:r>
          </w:p>
        </w:tc>
        <w:tc>
          <w:tcPr>
            <w:tcW w:w="1872" w:type="pct"/>
            <w:vAlign w:val="center"/>
          </w:tcPr>
          <w:p w14:paraId="26A97F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673468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1、CPU：≥2颗CPU（主频≥2.6GHz，物理核数≥32）；</w:t>
            </w:r>
          </w:p>
          <w:p w14:paraId="2BAA53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2、内存：≥2*32GB DDR4内存；</w:t>
            </w:r>
          </w:p>
          <w:p w14:paraId="2EE1AE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3、硬盘：≥4*600GB SAS硬盘（转速≥10K)；</w:t>
            </w:r>
          </w:p>
          <w:p w14:paraId="05A50B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4、RAID卡：独立高性能；</w:t>
            </w:r>
          </w:p>
          <w:p w14:paraId="52456B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5、网口：≥6*GE电口，2*10GE光口（满配万兆光模块和跳线）。</w:t>
            </w:r>
          </w:p>
          <w:p w14:paraId="5BBA30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06AA15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4C7DC2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61C33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1C789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A9271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A531D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FD0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E196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1941B7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PSTN网关</w:t>
            </w:r>
          </w:p>
        </w:tc>
        <w:tc>
          <w:tcPr>
            <w:tcW w:w="1872" w:type="pct"/>
            <w:vAlign w:val="center"/>
          </w:tcPr>
          <w:p w14:paraId="2AE4D82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2BC1CD0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1、融合通信平台与公用交换电话网的协议转换网关，通过E1线连接程控交换机。</w:t>
            </w:r>
          </w:p>
          <w:p w14:paraId="5B38D5B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2、配备 4个E1接口和4个IP中继接口（10/100/1000Mbps，或万兆网卡配备SFP+光模块），实现PRI 信令与SIP 信令映射，并实现公用电话交换网的承载通道与IP网媒体流之间的转换。</w:t>
            </w:r>
          </w:p>
          <w:p w14:paraId="44FE19A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4796BB6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1.具备SIP协议（RFC3261）、具备SDP协议（RFC2327），具备UDP承载SIP协议，实现向呼叫控制器的注册</w:t>
            </w:r>
          </w:p>
          <w:p w14:paraId="41485D2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2.配合呼叫控制器，具备传统的语音业务：语音、传真、呼叫转移、呼叫等待、呼叫保持等</w:t>
            </w:r>
          </w:p>
          <w:p w14:paraId="508DD21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3.具备G.711U、G.711A、G.723.1、G.729语音编解码格式；</w:t>
            </w:r>
          </w:p>
          <w:p w14:paraId="550A31A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4.实现静音抑制和检测。</w:t>
            </w:r>
          </w:p>
          <w:p w14:paraId="12D0EC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0C0781C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2A0256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5C85C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C75893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74C5B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8813C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91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848A7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p>
        </w:tc>
        <w:tc>
          <w:tcPr>
            <w:tcW w:w="4566" w:type="pct"/>
            <w:gridSpan w:val="7"/>
            <w:vAlign w:val="center"/>
          </w:tcPr>
          <w:p w14:paraId="4D4F617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一网统管“一屏观滁州”指挥调度能力提升</w:t>
            </w:r>
          </w:p>
        </w:tc>
      </w:tr>
      <w:tr w14:paraId="089D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22AF7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048315C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融合通信底座对接</w:t>
            </w:r>
          </w:p>
        </w:tc>
      </w:tr>
      <w:tr w14:paraId="3C7E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7A71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000000"/>
                <w:kern w:val="2"/>
                <w:sz w:val="24"/>
                <w:szCs w:val="24"/>
                <w:highlight w:val="none"/>
                <w:u w:val="none"/>
                <w:lang w:val="en-US" w:eastAsia="zh-CN" w:bidi="ar-SA"/>
              </w:rPr>
              <w:t>1</w:t>
            </w:r>
          </w:p>
        </w:tc>
        <w:tc>
          <w:tcPr>
            <w:tcW w:w="577" w:type="pct"/>
            <w:vAlign w:val="center"/>
          </w:tcPr>
          <w:p w14:paraId="1C372F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视频能力提升</w:t>
            </w:r>
          </w:p>
        </w:tc>
        <w:tc>
          <w:tcPr>
            <w:tcW w:w="1872" w:type="pct"/>
            <w:vAlign w:val="center"/>
          </w:tcPr>
          <w:p w14:paraId="5B633F5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依托融合通信平台，滁州市网格化服务管理平台对接对方统一的移动视频源调用接口，将融合通信平台中的摄像头、执法终端的实时现场画面融合进指挥调度大屏中，最终实现移动视频源的视频汇聚功能，实现在网格地图上进行热力分步分析、撒点展示，并可根据视频密度进行接口调用及分布位置管理，对重点区域、重点人员等所处位置进行点位分析，对视频点位分布不足的地方后期硬件建设提供决策依据。</w:t>
            </w:r>
          </w:p>
        </w:tc>
        <w:tc>
          <w:tcPr>
            <w:tcW w:w="458" w:type="pct"/>
            <w:vAlign w:val="center"/>
          </w:tcPr>
          <w:p w14:paraId="11E33F4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1CA6FC8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29BBA8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CA0531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30D55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40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01932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2</w:t>
            </w:r>
          </w:p>
        </w:tc>
        <w:tc>
          <w:tcPr>
            <w:tcW w:w="577" w:type="pct"/>
            <w:vAlign w:val="center"/>
          </w:tcPr>
          <w:p w14:paraId="72A284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GIS定位对接</w:t>
            </w:r>
          </w:p>
        </w:tc>
        <w:tc>
          <w:tcPr>
            <w:tcW w:w="1872" w:type="pct"/>
            <w:vAlign w:val="center"/>
          </w:tcPr>
          <w:p w14:paraId="147E51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融合通信平台定时抓取接入终端设备的经纬度GIS定位，滁州市网格化服务管理平台获取实时定位，在此基础上形成网格要素撒点、网格要素轨迹等系统应用。</w:t>
            </w:r>
          </w:p>
        </w:tc>
        <w:tc>
          <w:tcPr>
            <w:tcW w:w="458" w:type="pct"/>
            <w:vAlign w:val="center"/>
          </w:tcPr>
          <w:p w14:paraId="37C04E4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648723F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6C89F8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7485E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D947A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53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15E7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3</w:t>
            </w:r>
          </w:p>
        </w:tc>
        <w:tc>
          <w:tcPr>
            <w:tcW w:w="577" w:type="pct"/>
            <w:vAlign w:val="center"/>
          </w:tcPr>
          <w:p w14:paraId="4F625F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会议能力对接</w:t>
            </w:r>
          </w:p>
        </w:tc>
        <w:tc>
          <w:tcPr>
            <w:tcW w:w="1872" w:type="pct"/>
            <w:vAlign w:val="center"/>
          </w:tcPr>
          <w:p w14:paraId="6C0AE4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对接融合通信平台的音视频通信接口，实现网格化系统各移动终端与联动指挥中心一对一、一对多的多场景通信能力，包括语音通话、视频聊天、远程会议、实时监控等。</w:t>
            </w:r>
          </w:p>
          <w:p w14:paraId="4BB181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对接融合通信平台的会议能力接口，定制化开发会议召集、会议看板、会场控制、会议成员管理、即时通讯等各项会议管理功能。</w:t>
            </w:r>
          </w:p>
        </w:tc>
        <w:tc>
          <w:tcPr>
            <w:tcW w:w="458" w:type="pct"/>
            <w:vAlign w:val="center"/>
          </w:tcPr>
          <w:p w14:paraId="78C612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35FE975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50B95E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D9B81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C20A76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A9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4335F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51F5E1EF">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城运中心日常指挥应用:“一屏统览”</w:t>
            </w:r>
          </w:p>
        </w:tc>
      </w:tr>
      <w:tr w14:paraId="3736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2B39A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w:t>
            </w:r>
          </w:p>
        </w:tc>
        <w:tc>
          <w:tcPr>
            <w:tcW w:w="577" w:type="pct"/>
            <w:vAlign w:val="center"/>
          </w:tcPr>
          <w:p w14:paraId="4EE034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实时数据调度上图</w:t>
            </w:r>
          </w:p>
        </w:tc>
        <w:tc>
          <w:tcPr>
            <w:tcW w:w="1872" w:type="pct"/>
            <w:vAlign w:val="center"/>
          </w:tcPr>
          <w:p w14:paraId="3B310F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在指挥调度界面上，可以提供实时数据调度功能，对人员、车辆、终端设备等进行上图，根据人员使用手机APP GPS定位、车辆GPS定位、终端设备点位上传信号等，将实时数据回传至城运中心，根据回传数据在大屏地图上进行标点，实现一张图可统览网格内资源。若网格内发生紧急事件时，可通过大屏对事件等及时调度指挥，根据已有的人员、车辆等数据，进行事件附近网格力量的调度。</w:t>
            </w:r>
          </w:p>
        </w:tc>
        <w:tc>
          <w:tcPr>
            <w:tcW w:w="458" w:type="pct"/>
            <w:vAlign w:val="center"/>
          </w:tcPr>
          <w:p w14:paraId="4076B26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0C75B4D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09D83C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8EB37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0A567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B6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AFA04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2</w:t>
            </w:r>
          </w:p>
        </w:tc>
        <w:tc>
          <w:tcPr>
            <w:tcW w:w="577" w:type="pct"/>
            <w:vAlign w:val="center"/>
          </w:tcPr>
          <w:p w14:paraId="211A51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事件处置流程展示</w:t>
            </w:r>
          </w:p>
        </w:tc>
        <w:tc>
          <w:tcPr>
            <w:tcW w:w="1872" w:type="pct"/>
            <w:vAlign w:val="center"/>
          </w:tcPr>
          <w:p w14:paraId="6B4BC6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将事件流程的进度在大屏中进行展示，对原有事件详情进行升级，增加事件流程，便于城市运行管理中心了解事件处置进度，可根据事件处置情况进行及时调度或催办等。如事件分类、上报人、处置人、现场处置情况等内容以及事件处置后的结果闭环。</w:t>
            </w:r>
          </w:p>
        </w:tc>
        <w:tc>
          <w:tcPr>
            <w:tcW w:w="458" w:type="pct"/>
            <w:vAlign w:val="center"/>
          </w:tcPr>
          <w:p w14:paraId="60A98F1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115A402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22A2EC3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69E6F8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830DF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C6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9D309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3288826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一键会商</w:t>
            </w:r>
          </w:p>
        </w:tc>
      </w:tr>
      <w:tr w14:paraId="3899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BEE9F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w:t>
            </w:r>
          </w:p>
        </w:tc>
        <w:tc>
          <w:tcPr>
            <w:tcW w:w="577" w:type="pct"/>
            <w:vAlign w:val="center"/>
          </w:tcPr>
          <w:p w14:paraId="7D1087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通讯录</w:t>
            </w:r>
          </w:p>
        </w:tc>
        <w:tc>
          <w:tcPr>
            <w:tcW w:w="1872" w:type="pct"/>
            <w:vAlign w:val="center"/>
          </w:tcPr>
          <w:p w14:paraId="3EAE16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将通讯录相关功能集成到会议中心，实现融合通信平台接入用户及移动视频源与网格化平台本地用户的通讯录整合，配合事件联动、微群联动、事件派单、指令下达的最基本功能组件，所有用户可查询相关用户的联系方式，同时可按用户职责、所属区域分组管理和更新。</w:t>
            </w:r>
          </w:p>
          <w:p w14:paraId="272C53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功能包括单位通讯录和个人通讯了，单位通讯录只能查询所属单位权限内的通讯录信息。个人通讯录包括：查询联系人、删除联系人、增加联系人、修改联系人等。</w:t>
            </w:r>
          </w:p>
          <w:p w14:paraId="51C226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系统具备用户在通讯录中点选人员快速召开会议。</w:t>
            </w:r>
          </w:p>
        </w:tc>
        <w:tc>
          <w:tcPr>
            <w:tcW w:w="458" w:type="pct"/>
            <w:vAlign w:val="center"/>
          </w:tcPr>
          <w:p w14:paraId="6770BB6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17F9558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4D46E7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28CB20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216283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DAC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0B8C2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2</w:t>
            </w:r>
          </w:p>
        </w:tc>
        <w:tc>
          <w:tcPr>
            <w:tcW w:w="577" w:type="pct"/>
            <w:vAlign w:val="center"/>
          </w:tcPr>
          <w:p w14:paraId="484420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会议群组</w:t>
            </w:r>
          </w:p>
        </w:tc>
        <w:tc>
          <w:tcPr>
            <w:tcW w:w="1872" w:type="pct"/>
            <w:vAlign w:val="center"/>
          </w:tcPr>
          <w:p w14:paraId="4683F2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视频会议按需召集与会人员，通过在系统内选择需要参会的人员建立会议群组，进行调度指挥语音、画面实时交流，参会人员可通过会已有的会议摄像头、手机APP、智能执法仪等会议终端参会。</w:t>
            </w:r>
          </w:p>
        </w:tc>
        <w:tc>
          <w:tcPr>
            <w:tcW w:w="458" w:type="pct"/>
            <w:vAlign w:val="center"/>
          </w:tcPr>
          <w:p w14:paraId="0584E50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1915F50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75B5B61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1949A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0A441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2D9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52B0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3</w:t>
            </w:r>
          </w:p>
        </w:tc>
        <w:tc>
          <w:tcPr>
            <w:tcW w:w="577" w:type="pct"/>
            <w:vAlign w:val="center"/>
          </w:tcPr>
          <w:p w14:paraId="4007BE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会议中心管理</w:t>
            </w:r>
          </w:p>
        </w:tc>
        <w:tc>
          <w:tcPr>
            <w:tcW w:w="1872" w:type="pct"/>
            <w:vAlign w:val="center"/>
          </w:tcPr>
          <w:p w14:paraId="066E8F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提供会议中心功能，用户可通过WEB 方式登陆会议中心完成会议预约、会议控制功能。会议组织具备即时会议和预定会议功能。预定会议方式下，会议的开始时间为将来某一时刻，当该时刻到达时，会议自动开始。在即时会议方式下，会议从当前时刻马上开始。</w:t>
            </w:r>
          </w:p>
        </w:tc>
        <w:tc>
          <w:tcPr>
            <w:tcW w:w="458" w:type="pct"/>
            <w:vAlign w:val="center"/>
          </w:tcPr>
          <w:p w14:paraId="42D8DC6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423A66D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457421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2E68732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A08D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D0B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A48D3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4</w:t>
            </w:r>
          </w:p>
        </w:tc>
        <w:tc>
          <w:tcPr>
            <w:tcW w:w="577" w:type="pct"/>
            <w:vAlign w:val="center"/>
          </w:tcPr>
          <w:p w14:paraId="09D704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会议预案管理</w:t>
            </w:r>
          </w:p>
        </w:tc>
        <w:tc>
          <w:tcPr>
            <w:tcW w:w="1872" w:type="pct"/>
            <w:vAlign w:val="center"/>
          </w:tcPr>
          <w:p w14:paraId="6794A1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会议预案管理用户设置会议主题、会议时间、参会人员、会议文件等为会议预案，根据预案类型和等级，系统具备启动紧急会议研判，一键开启融合通信会议。</w:t>
            </w:r>
          </w:p>
          <w:p w14:paraId="0E91C0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以现有视频会议系统为基础核心，完成委办局视频会议系统、终端融合互通，具备视频调度集成，统一视频调度对外的接口，具备在视频融合的基础上，提供更多的视频指挥调度类业务。</w:t>
            </w:r>
          </w:p>
        </w:tc>
        <w:tc>
          <w:tcPr>
            <w:tcW w:w="458" w:type="pct"/>
            <w:vAlign w:val="center"/>
          </w:tcPr>
          <w:p w14:paraId="25902DC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449274E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4ECBED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66627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1E31FD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24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B5BCC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7" w:type="pct"/>
            <w:vAlign w:val="center"/>
          </w:tcPr>
          <w:p w14:paraId="2717C4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即时通讯</w:t>
            </w:r>
          </w:p>
        </w:tc>
        <w:tc>
          <w:tcPr>
            <w:tcW w:w="1872" w:type="pct"/>
            <w:vAlign w:val="center"/>
          </w:tcPr>
          <w:p w14:paraId="108553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实现主流社交媒体式的即时通信能力，具备文字聊天，图片上传等。提供通讯录集成，未读消息提醒，来电名片等配套功能。</w:t>
            </w:r>
          </w:p>
        </w:tc>
        <w:tc>
          <w:tcPr>
            <w:tcW w:w="458" w:type="pct"/>
            <w:vAlign w:val="center"/>
          </w:tcPr>
          <w:p w14:paraId="671E1BF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1D1243F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6D541A2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25900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4738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5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7CA40A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4566" w:type="pct"/>
            <w:gridSpan w:val="7"/>
            <w:vAlign w:val="center"/>
          </w:tcPr>
          <w:p w14:paraId="7C4AF05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值班值守</w:t>
            </w:r>
          </w:p>
        </w:tc>
      </w:tr>
      <w:tr w14:paraId="747F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5EA697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0EBC68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排班管理</w:t>
            </w:r>
          </w:p>
        </w:tc>
        <w:tc>
          <w:tcPr>
            <w:tcW w:w="1872" w:type="pct"/>
            <w:vAlign w:val="center"/>
          </w:tcPr>
          <w:p w14:paraId="576828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对指挥中心和值班室人员的排班进行日常管理和智能调度，包括日常排班、值班表、值班日志、部门维护、人员维护、班次管理等功能。</w:t>
            </w:r>
          </w:p>
        </w:tc>
        <w:tc>
          <w:tcPr>
            <w:tcW w:w="458" w:type="pct"/>
            <w:vAlign w:val="center"/>
          </w:tcPr>
          <w:p w14:paraId="76836F9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30514CB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268722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3D17A4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0041C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A4B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18B03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7" w:type="pct"/>
            <w:vAlign w:val="center"/>
          </w:tcPr>
          <w:p w14:paraId="594613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排班信息上图</w:t>
            </w:r>
          </w:p>
        </w:tc>
        <w:tc>
          <w:tcPr>
            <w:tcW w:w="1872" w:type="pct"/>
            <w:vAlign w:val="center"/>
          </w:tcPr>
          <w:p w14:paraId="138186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具备地图界面展示当日值排班情况，到岗状态一目了然。根据中心的签到打卡情况，标注在线值班人员信息，方便第一时间查询在线值守人员。</w:t>
            </w:r>
          </w:p>
        </w:tc>
        <w:tc>
          <w:tcPr>
            <w:tcW w:w="458" w:type="pct"/>
            <w:vAlign w:val="center"/>
          </w:tcPr>
          <w:p w14:paraId="591535A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49D6FC2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0798C41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2990B4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13068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E7F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D618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7" w:type="pct"/>
            <w:vAlign w:val="center"/>
          </w:tcPr>
          <w:p w14:paraId="0EF2CA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值班值守可视化</w:t>
            </w:r>
          </w:p>
        </w:tc>
        <w:tc>
          <w:tcPr>
            <w:tcW w:w="1872" w:type="pct"/>
            <w:vAlign w:val="center"/>
          </w:tcPr>
          <w:p w14:paraId="212A7B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过利用GIS地图、可视化技术和工具，将值班值守的相关数据、信息和指标以图表、仪表盘等形式呈现出来，以便更直观地监控和管理各项工作。调度坐席值班，可在值班页面直接拨打电话呼叫相关人员，突发情况快速处置。</w:t>
            </w:r>
          </w:p>
        </w:tc>
        <w:tc>
          <w:tcPr>
            <w:tcW w:w="458" w:type="pct"/>
            <w:vAlign w:val="center"/>
          </w:tcPr>
          <w:p w14:paraId="2D422D3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7EBF302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41B50A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6E3299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16433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BB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91201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000000"/>
                <w:kern w:val="2"/>
                <w:sz w:val="24"/>
                <w:szCs w:val="24"/>
                <w:highlight w:val="none"/>
                <w:u w:val="none"/>
                <w:lang w:val="en-US" w:eastAsia="zh-CN" w:bidi="ar-SA"/>
              </w:rPr>
              <w:t>E</w:t>
            </w:r>
          </w:p>
        </w:tc>
        <w:tc>
          <w:tcPr>
            <w:tcW w:w="577" w:type="pct"/>
            <w:vAlign w:val="center"/>
          </w:tcPr>
          <w:p w14:paraId="2598C4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短信平台</w:t>
            </w:r>
          </w:p>
        </w:tc>
        <w:tc>
          <w:tcPr>
            <w:tcW w:w="1872" w:type="pct"/>
            <w:vAlign w:val="center"/>
          </w:tcPr>
          <w:p w14:paraId="020A66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平台内建设可用于批量发送短信的信息化系统。包括短信群发、定时发送、短信模板、发送记录统计等功能，同时具备网页前端、移动端APP等多种应用场景。</w:t>
            </w:r>
          </w:p>
        </w:tc>
        <w:tc>
          <w:tcPr>
            <w:tcW w:w="458" w:type="pct"/>
            <w:vAlign w:val="center"/>
          </w:tcPr>
          <w:p w14:paraId="2569C10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28D1C81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6AA1DC7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00BA1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06C280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198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EB2D2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4566" w:type="pct"/>
            <w:gridSpan w:val="7"/>
            <w:vAlign w:val="center"/>
          </w:tcPr>
          <w:p w14:paraId="30AFF60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网格通指挥调度应用</w:t>
            </w:r>
          </w:p>
        </w:tc>
      </w:tr>
      <w:tr w14:paraId="6CBA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5F7E8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w:t>
            </w:r>
          </w:p>
        </w:tc>
        <w:tc>
          <w:tcPr>
            <w:tcW w:w="577" w:type="pct"/>
            <w:vAlign w:val="center"/>
          </w:tcPr>
          <w:p w14:paraId="7A0376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视频点调改造</w:t>
            </w:r>
          </w:p>
        </w:tc>
        <w:tc>
          <w:tcPr>
            <w:tcW w:w="1872" w:type="pct"/>
            <w:vAlign w:val="center"/>
          </w:tcPr>
          <w:p w14:paraId="1CF8B2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在移动端集成视频会议功能，网格服务管理中心建立电话会议，通知用户参加视频会议。针对某个事件或突发情况快速建立视频会议，通过现有的各种电信通讯传输媒体，将人物的静、动态图像、语音、文字、图片等多种资料分送到各个用户的计算机和移动终端上，使得在地理上分散的用户可以共聚一处，通过图形、声音等多种方式交流信息，增加双方对内容的理解能力。实现多网协作、高清化、开发化的高效处置一件事。</w:t>
            </w:r>
          </w:p>
        </w:tc>
        <w:tc>
          <w:tcPr>
            <w:tcW w:w="458" w:type="pct"/>
            <w:vAlign w:val="center"/>
          </w:tcPr>
          <w:p w14:paraId="2ABBFBC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3EC6EF2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14F4BC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AF86E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80913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755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F0483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G</w:t>
            </w:r>
          </w:p>
        </w:tc>
        <w:tc>
          <w:tcPr>
            <w:tcW w:w="4566" w:type="pct"/>
            <w:gridSpan w:val="7"/>
            <w:vAlign w:val="center"/>
          </w:tcPr>
          <w:p w14:paraId="35704D0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网格化服务管理平台功能升级优化</w:t>
            </w:r>
          </w:p>
        </w:tc>
      </w:tr>
      <w:tr w14:paraId="0552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53404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577" w:type="pct"/>
            <w:vAlign w:val="center"/>
          </w:tcPr>
          <w:p w14:paraId="18528F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视频、数据贴合</w:t>
            </w:r>
          </w:p>
        </w:tc>
        <w:tc>
          <w:tcPr>
            <w:tcW w:w="1872" w:type="pct"/>
            <w:vAlign w:val="center"/>
          </w:tcPr>
          <w:p w14:paraId="50CF00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基于滁州市网格化平台在现有地图服务的基础上，选择指定区域，通过视频、数据贴合的方式，在地图上对人房数据、实时视频数据进行动态精准展示。</w:t>
            </w:r>
          </w:p>
        </w:tc>
        <w:tc>
          <w:tcPr>
            <w:tcW w:w="458" w:type="pct"/>
            <w:vAlign w:val="center"/>
          </w:tcPr>
          <w:p w14:paraId="332F120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644805D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492980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D15C2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6AB99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0F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8E67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w:t>
            </w:r>
          </w:p>
        </w:tc>
        <w:tc>
          <w:tcPr>
            <w:tcW w:w="577" w:type="pct"/>
            <w:vAlign w:val="center"/>
          </w:tcPr>
          <w:p w14:paraId="4D9F12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任务管理</w:t>
            </w:r>
          </w:p>
        </w:tc>
        <w:tc>
          <w:tcPr>
            <w:tcW w:w="1872" w:type="pct"/>
            <w:vAlign w:val="center"/>
          </w:tcPr>
          <w:p w14:paraId="4DB6A8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通过任务管理模块，网格中心可以对辖区内网格力量下派任务，所有用户可在移动端上查看任务详情并反馈，具备多人任务下派。</w:t>
            </w:r>
          </w:p>
        </w:tc>
        <w:tc>
          <w:tcPr>
            <w:tcW w:w="458" w:type="pct"/>
            <w:vAlign w:val="center"/>
          </w:tcPr>
          <w:p w14:paraId="36585AE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6E9A4B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0065E4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35926C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0F1CE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3F6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FFF78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w:t>
            </w:r>
          </w:p>
        </w:tc>
        <w:tc>
          <w:tcPr>
            <w:tcW w:w="577" w:type="pct"/>
            <w:vAlign w:val="center"/>
          </w:tcPr>
          <w:p w14:paraId="2FB533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事件处置优化升级</w:t>
            </w:r>
          </w:p>
        </w:tc>
        <w:tc>
          <w:tcPr>
            <w:tcW w:w="1872" w:type="pct"/>
            <w:vAlign w:val="center"/>
          </w:tcPr>
          <w:p w14:paraId="66D93C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按照业务需求，定制专业条线事件处置流程。</w:t>
            </w:r>
          </w:p>
        </w:tc>
        <w:tc>
          <w:tcPr>
            <w:tcW w:w="458" w:type="pct"/>
            <w:vAlign w:val="center"/>
          </w:tcPr>
          <w:p w14:paraId="59B276C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7BC6059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6B948E3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4A6A1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1A4313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B00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50A3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w:t>
            </w:r>
          </w:p>
        </w:tc>
        <w:tc>
          <w:tcPr>
            <w:tcW w:w="577" w:type="pct"/>
            <w:vAlign w:val="center"/>
          </w:tcPr>
          <w:p w14:paraId="12FD94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系统对接</w:t>
            </w:r>
          </w:p>
        </w:tc>
        <w:tc>
          <w:tcPr>
            <w:tcW w:w="1872" w:type="pct"/>
            <w:vAlign w:val="center"/>
          </w:tcPr>
          <w:p w14:paraId="7F364002">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与社会治理相关业务系统对接：按照省市相关业务要求，预留与其他单位社会治理相关业务系统对接接口，便于后期与其他业务平台数据打通，将相关数据进行同步，实现社会治理“一网统管”。</w:t>
            </w:r>
          </w:p>
          <w:p w14:paraId="0737DDC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2、与省级一网统管平台对接：预留与省级一网统管平台对接接口，便于后期与省级平台数据打通，将相关数据进行同步。</w:t>
            </w:r>
          </w:p>
        </w:tc>
        <w:tc>
          <w:tcPr>
            <w:tcW w:w="458" w:type="pct"/>
            <w:vAlign w:val="center"/>
          </w:tcPr>
          <w:p w14:paraId="52406FE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76053D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项</w:t>
            </w:r>
          </w:p>
        </w:tc>
        <w:tc>
          <w:tcPr>
            <w:tcW w:w="443" w:type="pct"/>
            <w:vAlign w:val="center"/>
          </w:tcPr>
          <w:p w14:paraId="1ECE60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3ADE8D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1146D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35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1684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5</w:t>
            </w:r>
          </w:p>
        </w:tc>
        <w:tc>
          <w:tcPr>
            <w:tcW w:w="577" w:type="pct"/>
            <w:vAlign w:val="center"/>
          </w:tcPr>
          <w:p w14:paraId="199DB3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地图数据</w:t>
            </w:r>
          </w:p>
        </w:tc>
        <w:tc>
          <w:tcPr>
            <w:tcW w:w="1872" w:type="pct"/>
            <w:vAlign w:val="center"/>
          </w:tcPr>
          <w:p w14:paraId="5599AB04">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本次需要完善地图POI（兴趣点）数据，涵盖滁州市全域大类及小类POI并整合匹配入数字孪生平台，包括地点的名称和位置，包含详细的地址、联系电话、营业时间、用户评分、标签分类、用户评论、图片等；</w:t>
            </w:r>
          </w:p>
          <w:p w14:paraId="254EACB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至少每半年更新一次POI数据，提供3年免费地图更新维护服务。</w:t>
            </w:r>
          </w:p>
        </w:tc>
        <w:tc>
          <w:tcPr>
            <w:tcW w:w="458" w:type="pct"/>
            <w:vAlign w:val="center"/>
          </w:tcPr>
          <w:p w14:paraId="76F4FA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C740E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7EFB7F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21FCF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5CDCAB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214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C0C3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w:t>
            </w:r>
          </w:p>
        </w:tc>
        <w:tc>
          <w:tcPr>
            <w:tcW w:w="4566" w:type="pct"/>
            <w:gridSpan w:val="7"/>
            <w:vAlign w:val="center"/>
          </w:tcPr>
          <w:p w14:paraId="0F15678F">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多媒体会议系统</w:t>
            </w:r>
          </w:p>
        </w:tc>
      </w:tr>
      <w:tr w14:paraId="6DA4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16999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w:t>
            </w:r>
          </w:p>
        </w:tc>
        <w:tc>
          <w:tcPr>
            <w:tcW w:w="4566" w:type="pct"/>
            <w:gridSpan w:val="7"/>
            <w:vAlign w:val="center"/>
          </w:tcPr>
          <w:p w14:paraId="688A706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城市运行管理中心</w:t>
            </w:r>
          </w:p>
        </w:tc>
      </w:tr>
      <w:tr w14:paraId="49F5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5AAB6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6754348E">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发言扩声系统</w:t>
            </w:r>
          </w:p>
        </w:tc>
      </w:tr>
      <w:tr w14:paraId="20BB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A399C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E01DB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升降电子席卡</w:t>
            </w:r>
          </w:p>
        </w:tc>
        <w:tc>
          <w:tcPr>
            <w:tcW w:w="1872" w:type="pct"/>
            <w:vAlign w:val="center"/>
          </w:tcPr>
          <w:p w14:paraId="19A4007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35966CD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1.主屏幕尺寸：≥7英寸</w:t>
            </w:r>
          </w:p>
          <w:p w14:paraId="65F4C3B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2.主屏幕比例：16：9</w:t>
            </w:r>
          </w:p>
          <w:p w14:paraId="35F5F53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3.主屏幕分辨率：≥1024*600</w:t>
            </w:r>
          </w:p>
          <w:p w14:paraId="60094FE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4.双屏夹角：≥2.5度</w:t>
            </w:r>
          </w:p>
          <w:p w14:paraId="0FB0E61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5.接口：≥1路485输入，≥1路485输出。</w:t>
            </w:r>
          </w:p>
          <w:p w14:paraId="39C07C4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70795CB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1.采用双屏液晶显示屏</w:t>
            </w:r>
          </w:p>
          <w:p w14:paraId="7F4F997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2.具备同步显示参会人员姓名、职称、会徽会标、会议主题等参会者信息功能。</w:t>
            </w:r>
          </w:p>
          <w:p w14:paraId="0B665CC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3.可通过软件进行集中控制，一键可让室内所有的桌牌都上升或下降。</w:t>
            </w:r>
          </w:p>
          <w:p w14:paraId="31A6A25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4.桌牌在上升后，屏幕自动供电，下降后，屏幕自行断电。</w:t>
            </w:r>
          </w:p>
          <w:p w14:paraId="522E9B4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5.升降器控制软件具备PC机安装，兼容常用操作系统，可统一控制也可以任意分组控制升降器上升、暂停、下降等运动状态。</w:t>
            </w:r>
          </w:p>
          <w:p w14:paraId="57AF70E7">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6.含升降器软件和必要配套设施。</w:t>
            </w:r>
          </w:p>
          <w:p w14:paraId="1AF85B5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40CCC6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388EF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445" w:type="pct"/>
            <w:vAlign w:val="center"/>
          </w:tcPr>
          <w:p w14:paraId="16E67B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35F4E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4D046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64CF8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FB5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E3DA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3FDD47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升降话筒单元</w:t>
            </w:r>
          </w:p>
        </w:tc>
        <w:tc>
          <w:tcPr>
            <w:tcW w:w="1872" w:type="pct"/>
            <w:vAlign w:val="center"/>
          </w:tcPr>
          <w:p w14:paraId="234DA18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51BE982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1.安装方式:嵌入电动升降式安装；</w:t>
            </w:r>
          </w:p>
          <w:p w14:paraId="53F8E49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2.功率：≥15W；</w:t>
            </w:r>
          </w:p>
          <w:p w14:paraId="0DB9B2B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3.运行环境：工作温度:-5~45℃</w:t>
            </w:r>
          </w:p>
          <w:p w14:paraId="697D02E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4.咪杆长度：≥40cm。</w:t>
            </w:r>
          </w:p>
          <w:p w14:paraId="6153EB3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656D42D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1.内嵌升降器控制软件，具备PC机安装，兼容常用操作系统，可统一控制也可以任意分组控制升降器上升、暂停、下降等运动状态。</w:t>
            </w:r>
          </w:p>
          <w:p w14:paraId="4654A66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2.具有话筒开关键，主席单元有主席优先键。</w:t>
            </w:r>
          </w:p>
          <w:p w14:paraId="571293E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3.智能控制话筒，只有升到顶部才能开话筒，话筒下降时自动关闭话筒。</w:t>
            </w:r>
          </w:p>
          <w:p w14:paraId="3BDEBEA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4.具备与集中控制系统对接能力。</w:t>
            </w:r>
          </w:p>
          <w:p w14:paraId="27B9DF5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A025AF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FAD77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445" w:type="pct"/>
            <w:vAlign w:val="center"/>
          </w:tcPr>
          <w:p w14:paraId="4C9AE5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87989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221D8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B6570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449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9EA5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2A14BE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会议主机</w:t>
            </w:r>
          </w:p>
        </w:tc>
        <w:tc>
          <w:tcPr>
            <w:tcW w:w="1872" w:type="pct"/>
            <w:vAlign w:val="center"/>
          </w:tcPr>
          <w:p w14:paraId="7F8854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1.会议控制主机最多可连接128台会议单元，通过会议扩展主机，一套会议系统最多可接入4096台会议单元。</w:t>
            </w:r>
          </w:p>
          <w:p w14:paraId="3638DE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2.8芯航空插头连接，“手拉手”连接方式。</w:t>
            </w:r>
          </w:p>
          <w:p w14:paraId="098FBC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3.具有同时发言人数限制（1/2/3/4/5/6）设置功能。</w:t>
            </w:r>
          </w:p>
          <w:p w14:paraId="2047A1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4.具有投票表决，发言限制等数据管理功能。</w:t>
            </w:r>
          </w:p>
          <w:p w14:paraId="3AA897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5.系统显示字幕中/英文两种语言可选择。</w:t>
            </w:r>
          </w:p>
          <w:p w14:paraId="2EA2F2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6.内置DSP数字音效处理器，包括低频切除和均衡器等。</w:t>
            </w:r>
          </w:p>
          <w:p w14:paraId="1C3D9E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7.可以全程会议录音，有自动录音和手动录音两种录音方式可选。</w:t>
            </w:r>
          </w:p>
          <w:p w14:paraId="39B7FF9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8.具有单元检测功能，具有自动检测和手动检测两种检测方式。</w:t>
            </w:r>
          </w:p>
          <w:p w14:paraId="53EA81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9.具有发言定时和定时发言结束提醒倒计时功能。发言定时功能可以设置单元的发言时间，也可关闭发言定时，即不做限制。</w:t>
            </w:r>
          </w:p>
          <w:p w14:paraId="0D954E9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10.具有一个RS232串口，可实现与中控系统的无缝连接；一个RS422串口，连接摄像头控制线，实现对摄像头的集中控制。</w:t>
            </w:r>
          </w:p>
          <w:p w14:paraId="7833F3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11.具有+5V告警触发电压输入接口，与报警音频输入接口结合实现紧急告警强插功能。</w:t>
            </w:r>
          </w:p>
          <w:p w14:paraId="5666E6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12.具有TCP/IP网络协议下的RJ45接口，连接网络，通过PC端软件控制系统的全部功能。</w:t>
            </w:r>
          </w:p>
          <w:p w14:paraId="34577E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13.外壳采用全金属材料设计，线路与外壳都加强了与地线的连接，2U标准机箱，可安装在19英寸标准机柜。</w:t>
            </w:r>
          </w:p>
          <w:p w14:paraId="73606D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14.设备具有会议发言录音功能；搭配会议话筒可以录制单个话筒发言音频或录制所有话筒混音输出音频。</w:t>
            </w:r>
          </w:p>
          <w:p w14:paraId="4E9DE5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15.系统具备显示中/英文两种语言字幕。</w:t>
            </w:r>
          </w:p>
          <w:p w14:paraId="71E0AC3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16.具备环形手拉手功能，确保在其中的一条网线断开或者话筒出现故障时，会议能继续正常进行。</w:t>
            </w:r>
          </w:p>
          <w:p w14:paraId="5CEFF49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DF961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7D67F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C72EE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226CC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4BBE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F36F6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091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5660F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4976C8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会议延长线</w:t>
            </w:r>
          </w:p>
        </w:tc>
        <w:tc>
          <w:tcPr>
            <w:tcW w:w="1872" w:type="pct"/>
            <w:vAlign w:val="center"/>
          </w:tcPr>
          <w:p w14:paraId="78A336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≥20米8芯延长线（一公一母接头）</w:t>
            </w:r>
          </w:p>
        </w:tc>
        <w:tc>
          <w:tcPr>
            <w:tcW w:w="458" w:type="pct"/>
            <w:vAlign w:val="center"/>
          </w:tcPr>
          <w:p w14:paraId="2D3B5B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77A97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批</w:t>
            </w:r>
          </w:p>
        </w:tc>
        <w:tc>
          <w:tcPr>
            <w:tcW w:w="443" w:type="pct"/>
            <w:vAlign w:val="center"/>
          </w:tcPr>
          <w:p w14:paraId="09CC5C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6D81C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77EB20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9A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ACA6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5489CF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一拖四无线话筒</w:t>
            </w:r>
          </w:p>
        </w:tc>
        <w:tc>
          <w:tcPr>
            <w:tcW w:w="1872" w:type="pct"/>
            <w:vAlign w:val="center"/>
          </w:tcPr>
          <w:p w14:paraId="36CE90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1.信噪比：≥105 dB；</w:t>
            </w:r>
          </w:p>
          <w:p w14:paraId="779815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2.频率范围 : 610~670 MHz；</w:t>
            </w:r>
          </w:p>
          <w:p w14:paraId="6953CB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3.可调范围 : 50MHz；</w:t>
            </w:r>
          </w:p>
          <w:p w14:paraId="560F9E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4.具有IR红外线自动对频功能，一键自动对频锁定；</w:t>
            </w:r>
          </w:p>
          <w:p w14:paraId="49F2E2B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5.具有V/A显示屏显示信道号与工作频率；带射频电平显示，音频电平显示，频道菜单显示，静音显示；</w:t>
            </w:r>
          </w:p>
          <w:p w14:paraId="57A9958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FF9E1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1B8E49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5C13DD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套</w:t>
            </w:r>
          </w:p>
        </w:tc>
        <w:tc>
          <w:tcPr>
            <w:tcW w:w="443" w:type="pct"/>
            <w:vAlign w:val="center"/>
          </w:tcPr>
          <w:p w14:paraId="6D1EF9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33241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D744D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FAF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C041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w:t>
            </w:r>
          </w:p>
        </w:tc>
        <w:tc>
          <w:tcPr>
            <w:tcW w:w="577" w:type="pct"/>
            <w:vAlign w:val="center"/>
          </w:tcPr>
          <w:p w14:paraId="05B224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音响</w:t>
            </w:r>
          </w:p>
        </w:tc>
        <w:tc>
          <w:tcPr>
            <w:tcW w:w="1872" w:type="pct"/>
            <w:vAlign w:val="center"/>
          </w:tcPr>
          <w:p w14:paraId="7F1381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1.频率响应：60 Hz ~18 kHz(±3dB)50 Hz~20 kHz (-10 dB)</w:t>
            </w:r>
          </w:p>
          <w:p w14:paraId="63494C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2.标称指向性：50°-100°(水平)55°(垂直)恒定指向</w:t>
            </w:r>
          </w:p>
          <w:p w14:paraId="164BA3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3.灵敏度(@1W/1m)：96 dB SPL</w:t>
            </w:r>
          </w:p>
          <w:p w14:paraId="6A3CA0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4.扬声器功率：≥400W；</w:t>
            </w:r>
          </w:p>
          <w:p w14:paraId="27DDC7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5.最大声压级：≥122 dB；</w:t>
            </w:r>
          </w:p>
          <w:p w14:paraId="3BB177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6.材料:≥18mm多层夹板</w:t>
            </w:r>
          </w:p>
          <w:p w14:paraId="2BD725F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7.颜色:支持定制颜色。</w:t>
            </w:r>
          </w:p>
          <w:p w14:paraId="5850B28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069F5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772089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12</w:t>
            </w:r>
          </w:p>
        </w:tc>
        <w:tc>
          <w:tcPr>
            <w:tcW w:w="445" w:type="pct"/>
            <w:vAlign w:val="center"/>
          </w:tcPr>
          <w:p w14:paraId="74CE99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只</w:t>
            </w:r>
          </w:p>
        </w:tc>
        <w:tc>
          <w:tcPr>
            <w:tcW w:w="443" w:type="pct"/>
            <w:vAlign w:val="center"/>
          </w:tcPr>
          <w:p w14:paraId="62DDE3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1FCB8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Cs/>
                <w:color w:val="auto"/>
                <w:sz w:val="24"/>
                <w:szCs w:val="24"/>
                <w:highlight w:val="none"/>
                <w:lang w:val="en-US" w:eastAsia="zh-CN"/>
              </w:rPr>
              <w:t>否</w:t>
            </w:r>
          </w:p>
        </w:tc>
        <w:tc>
          <w:tcPr>
            <w:tcW w:w="332" w:type="pct"/>
            <w:vAlign w:val="center"/>
          </w:tcPr>
          <w:p w14:paraId="36F250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p>
        </w:tc>
      </w:tr>
      <w:tr w14:paraId="36B5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1D99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w:t>
            </w:r>
          </w:p>
        </w:tc>
        <w:tc>
          <w:tcPr>
            <w:tcW w:w="577" w:type="pct"/>
            <w:vAlign w:val="center"/>
          </w:tcPr>
          <w:p w14:paraId="17A7D9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功放</w:t>
            </w:r>
          </w:p>
        </w:tc>
        <w:tc>
          <w:tcPr>
            <w:tcW w:w="1872" w:type="pct"/>
            <w:vAlign w:val="center"/>
          </w:tcPr>
          <w:p w14:paraId="6821BB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01A80E4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1.输出功率：立体声8Ω：≥600W×2；立体声4Ω：≥750W×2；</w:t>
            </w:r>
          </w:p>
          <w:p w14:paraId="288B86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2.频率响应 20Hz-20KHz(+0,-5dB) ；</w:t>
            </w:r>
          </w:p>
          <w:p w14:paraId="7BF9B5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4.输入阻抗 20KΩ(平衡)；10KΩ(不平衡) ；</w:t>
            </w:r>
          </w:p>
          <w:p w14:paraId="450A59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5.灵敏度 ≤1000mV ；</w:t>
            </w:r>
          </w:p>
          <w:p w14:paraId="4E798F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6.谐波失真：≤0.3% ；</w:t>
            </w:r>
          </w:p>
          <w:p w14:paraId="41D10C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7.信噪比：≥93dB ；</w:t>
            </w:r>
          </w:p>
          <w:p w14:paraId="13C66B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8.阻尼系数：≥200 ；</w:t>
            </w:r>
          </w:p>
          <w:p w14:paraId="65E6C2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289DCB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1.电源采用开关电源技术，效率高，有效的抑制电源谐波，具有自恢复式短路保护功能，动作时不用跳继电器，短路故障解除后电路自动恢复工作状态；</w:t>
            </w:r>
          </w:p>
          <w:p w14:paraId="091B296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2.具有过压保护，欠压保护，过流保护，直流保护，输出短路保护，温控风扇等功能。</w:t>
            </w:r>
          </w:p>
          <w:p w14:paraId="0E57697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F7F6C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18F231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w:t>
            </w:r>
          </w:p>
        </w:tc>
        <w:tc>
          <w:tcPr>
            <w:tcW w:w="445" w:type="pct"/>
            <w:vAlign w:val="center"/>
          </w:tcPr>
          <w:p w14:paraId="57C7DD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只</w:t>
            </w:r>
          </w:p>
        </w:tc>
        <w:tc>
          <w:tcPr>
            <w:tcW w:w="443" w:type="pct"/>
            <w:vAlign w:val="center"/>
          </w:tcPr>
          <w:p w14:paraId="5B90989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DB367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Cs/>
                <w:color w:val="auto"/>
                <w:sz w:val="24"/>
                <w:szCs w:val="24"/>
                <w:highlight w:val="none"/>
                <w:lang w:val="en-US" w:eastAsia="zh-CN"/>
              </w:rPr>
              <w:t>否</w:t>
            </w:r>
          </w:p>
        </w:tc>
        <w:tc>
          <w:tcPr>
            <w:tcW w:w="332" w:type="pct"/>
            <w:vAlign w:val="center"/>
          </w:tcPr>
          <w:p w14:paraId="244E10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宋体" w:hAnsi="宋体" w:eastAsia="宋体" w:cs="宋体"/>
                <w:i w:val="0"/>
                <w:iCs w:val="0"/>
                <w:color w:val="000000"/>
                <w:kern w:val="2"/>
                <w:sz w:val="24"/>
                <w:szCs w:val="24"/>
                <w:highlight w:val="none"/>
                <w:u w:val="none"/>
                <w:lang w:val="en-US" w:eastAsia="zh-CN" w:bidi="ar-SA"/>
              </w:rPr>
            </w:pPr>
          </w:p>
        </w:tc>
      </w:tr>
      <w:tr w14:paraId="19FE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5DAD4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69849C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无线手持话筒</w:t>
            </w:r>
          </w:p>
        </w:tc>
        <w:tc>
          <w:tcPr>
            <w:tcW w:w="1872" w:type="pct"/>
            <w:vAlign w:val="center"/>
          </w:tcPr>
          <w:p w14:paraId="1C428C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1.具有自动频率扫描功能，可快速地给麦克风找到清晰的频率。</w:t>
            </w:r>
          </w:p>
          <w:p w14:paraId="6AC2BA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2.具备混响调节功能，比例调节、延时调节、电平调节≥25个档位。</w:t>
            </w:r>
          </w:p>
          <w:p w14:paraId="514D39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3.具有自动静音功能，麦克风跌落、抛掷时，毫秒级响应自动静音，避免冲击声；产品静置5秒自动静音。</w:t>
            </w:r>
          </w:p>
          <w:p w14:paraId="2B83A0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4.频率范围等同或优于540MHz-590MHz、640MHz-690MHz。</w:t>
            </w:r>
          </w:p>
          <w:p w14:paraId="14A5F34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5.接收机具有≥2路平衡输出、≥1路非平衡混音输出。</w:t>
            </w:r>
          </w:p>
          <w:p w14:paraId="3520745B">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D24BE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0D8E73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445" w:type="pct"/>
            <w:vAlign w:val="center"/>
          </w:tcPr>
          <w:p w14:paraId="04FDE10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套</w:t>
            </w:r>
          </w:p>
        </w:tc>
        <w:tc>
          <w:tcPr>
            <w:tcW w:w="443" w:type="pct"/>
            <w:vAlign w:val="center"/>
          </w:tcPr>
          <w:p w14:paraId="38EDF8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46A5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6CF17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BE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93994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136F92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UHF指向性放大天线</w:t>
            </w:r>
          </w:p>
        </w:tc>
        <w:tc>
          <w:tcPr>
            <w:tcW w:w="1872" w:type="pct"/>
            <w:vAlign w:val="center"/>
          </w:tcPr>
          <w:p w14:paraId="280C8EDB">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1.八通道低损耗天线分配电路设计，4套单频道自动选讯接收机可共同一对天线；</w:t>
            </w:r>
          </w:p>
          <w:p w14:paraId="0BFBB0DC">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2.单一方向接收天线，能有效减少其他设备对接收机的干扰；</w:t>
            </w:r>
          </w:p>
          <w:p w14:paraId="6526B29D">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3.高增益设计，能有效增加接收距离，使无线麦克风接收信号更加稳定；</w:t>
            </w:r>
          </w:p>
          <w:p w14:paraId="107D9EFA">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4.宽频带，覆盖所有无线麦克风UHF频段，通用性更强；</w:t>
            </w:r>
          </w:p>
          <w:p w14:paraId="1A8DA38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5.天线输入阻抗：50Ω 天线输出阻抗：50Ω；</w:t>
            </w:r>
          </w:p>
          <w:p w14:paraId="1B16DBB6">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6.天线输入插座：BNC 天线输出插座：BNC；</w:t>
            </w:r>
          </w:p>
          <w:p w14:paraId="332970C0">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7.增益：3dB；</w:t>
            </w:r>
          </w:p>
          <w:p w14:paraId="35E10A3D">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8.工作频带：≥500MHz；</w:t>
            </w:r>
          </w:p>
          <w:p w14:paraId="4D0437CB">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9.供电：DC12-18V 3000Ma；</w:t>
            </w:r>
          </w:p>
          <w:p w14:paraId="164CF8CD">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10.定向宽频天线：2块</w:t>
            </w:r>
          </w:p>
          <w:p w14:paraId="75DFE74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11.二分八天线分配器：1台。</w:t>
            </w: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3805E4B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1154B8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792D83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套</w:t>
            </w:r>
          </w:p>
        </w:tc>
        <w:tc>
          <w:tcPr>
            <w:tcW w:w="443" w:type="pct"/>
            <w:vAlign w:val="center"/>
          </w:tcPr>
          <w:p w14:paraId="0AF357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83901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A60CD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86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AA88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0B125D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数字调音台</w:t>
            </w:r>
          </w:p>
        </w:tc>
        <w:tc>
          <w:tcPr>
            <w:tcW w:w="1872" w:type="pct"/>
            <w:vAlign w:val="center"/>
          </w:tcPr>
          <w:p w14:paraId="2E1583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1.具备≥16路MIC和LINE联合输入接口，配备有≥16路麦克风前级放大器；</w:t>
            </w:r>
          </w:p>
          <w:p w14:paraId="436E88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2.提供≥4路线性输入接口；</w:t>
            </w:r>
          </w:p>
          <w:p w14:paraId="2A83A0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3.提供≥8路断点插入；</w:t>
            </w:r>
          </w:p>
          <w:p w14:paraId="2AB3B9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4.提供≥2组立体主输出、≥8路辅助输出、≥1组立体监听输出、≥2个耳机监听输出；</w:t>
            </w:r>
          </w:p>
          <w:p w14:paraId="2F491D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5.具备场景记忆功能，可保存、调用≥24组场景；</w:t>
            </w:r>
          </w:p>
          <w:p w14:paraId="3D4B6D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6.具备DCA分组功能，可以把几个输入信号编成1组来控制音量大小；</w:t>
            </w:r>
          </w:p>
          <w:p w14:paraId="67129F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7.具备复制功能，可快速调试完成设置通道；锁定、解锁、密码修改功能，有效防止误操作；</w:t>
            </w:r>
          </w:p>
          <w:p w14:paraId="076CCFE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8.具备数字信号输入和数字信号输出功能且可独立开关。</w:t>
            </w:r>
          </w:p>
          <w:p w14:paraId="2E87A1D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90C3B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1500F8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36F01F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3B1345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51961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4229B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5AC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D551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3A7E99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数字音频处理器</w:t>
            </w:r>
          </w:p>
        </w:tc>
        <w:tc>
          <w:tcPr>
            <w:tcW w:w="1872" w:type="pct"/>
            <w:vAlign w:val="center"/>
          </w:tcPr>
          <w:p w14:paraId="3D135D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1.具有液晶显示屏，具备显示设备网络信息、实时电平、通道静音状态、矩阵混音状态。</w:t>
            </w:r>
          </w:p>
          <w:p w14:paraId="179BF5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2.具备对接集中控制系统进行操作控制。</w:t>
            </w:r>
          </w:p>
          <w:p w14:paraId="27A805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3.配置双向RS-232接口，可用于控制外部设备；配置RS-485接口，可实现自动摄像跟踪功能。配置≥8通道可编程GPIO控制接口（可自定义输入输出）；</w:t>
            </w:r>
          </w:p>
          <w:p w14:paraId="7E647A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4.具备断电自动保护记忆功能。具备通道拷贝、粘贴、联控功能。具备通过浏览器访问设备，下载自带管理控制软件；</w:t>
            </w:r>
          </w:p>
          <w:p w14:paraId="1919F2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5.具备不小于8路平衡式话筒/线路输入通道，采用裸线接口端子，平衡接法；具备不小于8路平衡式线路输出，采用裸线接口端子，平衡接法；</w:t>
            </w:r>
          </w:p>
          <w:p w14:paraId="538E91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6.输入通道具备前级放大、信号发生器、扩展器、压缩器、≥5段参量均衡、AM自动混音功能、AFC自适应反馈消除、AEC回声</w:t>
            </w:r>
            <w:r>
              <w:rPr>
                <w:rFonts w:hint="eastAsia" w:ascii="宋体" w:hAnsi="宋体" w:eastAsia="宋体" w:cs="宋体"/>
                <w:i w:val="0"/>
                <w:iCs w:val="0"/>
                <w:color w:val="auto"/>
                <w:kern w:val="2"/>
                <w:sz w:val="24"/>
                <w:szCs w:val="24"/>
                <w:highlight w:val="none"/>
                <w:u w:val="none"/>
                <w:lang w:val="en-US" w:eastAsia="zh-CN" w:bidi="ar-SA"/>
              </w:rPr>
              <w:t>消除、ANC噪声消除。</w:t>
            </w:r>
          </w:p>
          <w:p w14:paraId="6AC057E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7.▲内嵌高解析高保真音响音频解析系统软件，</w:t>
            </w:r>
            <w:r>
              <w:rPr>
                <w:rFonts w:hint="eastAsia" w:ascii="宋体" w:hAnsi="宋体" w:eastAsia="宋体" w:cs="宋体"/>
                <w:i w:val="0"/>
                <w:iCs w:val="0"/>
                <w:color w:val="000000"/>
                <w:kern w:val="0"/>
                <w:sz w:val="24"/>
                <w:szCs w:val="24"/>
                <w:highlight w:val="none"/>
                <w:u w:val="none"/>
                <w:lang w:val="en-US" w:eastAsia="zh-CN" w:bidi="ar"/>
              </w:rPr>
              <w:t>投标文件中</w:t>
            </w:r>
            <w:r>
              <w:rPr>
                <w:rFonts w:hint="eastAsia" w:ascii="宋体" w:hAnsi="宋体" w:eastAsia="宋体" w:cs="宋体"/>
                <w:i w:val="0"/>
                <w:iCs w:val="0"/>
                <w:color w:val="auto"/>
                <w:kern w:val="2"/>
                <w:sz w:val="24"/>
                <w:szCs w:val="24"/>
                <w:highlight w:val="none"/>
                <w:u w:val="none"/>
                <w:lang w:val="en-US" w:eastAsia="zh-CN" w:bidi="ar-SA"/>
              </w:rPr>
              <w:t>提供具有第三方软件评测中心出具的软件产品登记测试报告</w:t>
            </w:r>
            <w:r>
              <w:rPr>
                <w:rFonts w:hint="eastAsia" w:ascii="宋体" w:hAnsi="宋体" w:eastAsia="宋体" w:cs="宋体"/>
                <w:i w:val="0"/>
                <w:iCs w:val="0"/>
                <w:color w:val="auto"/>
                <w:kern w:val="2"/>
                <w:sz w:val="24"/>
                <w:szCs w:val="24"/>
                <w:highlight w:val="none"/>
                <w:u w:val="none"/>
                <w:lang w:val="en-US" w:eastAsia="zh-CN" w:bidi="ar-SA"/>
              </w:rPr>
              <w:t>。</w:t>
            </w:r>
          </w:p>
          <w:p w14:paraId="6B97FFC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382AC05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164A3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1A2C2A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6704F9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46E05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A9D178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8D9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C9B5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000000"/>
                <w:kern w:val="2"/>
                <w:sz w:val="24"/>
                <w:szCs w:val="24"/>
                <w:highlight w:val="none"/>
                <w:u w:val="none"/>
                <w:lang w:val="en-US" w:eastAsia="zh-CN" w:bidi="ar-SA"/>
              </w:rPr>
              <w:t>12</w:t>
            </w:r>
          </w:p>
        </w:tc>
        <w:tc>
          <w:tcPr>
            <w:tcW w:w="577" w:type="pct"/>
            <w:vAlign w:val="center"/>
          </w:tcPr>
          <w:p w14:paraId="373FA8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1872" w:type="pct"/>
            <w:vAlign w:val="center"/>
          </w:tcPr>
          <w:p w14:paraId="301AC3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1.具备不小于32-bit DSP处理器；</w:t>
            </w:r>
          </w:p>
          <w:p w14:paraId="75D2B3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2.均衡器具备不小于30段图示均衡器和8段参量均衡器；</w:t>
            </w:r>
          </w:p>
          <w:p w14:paraId="3A442A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3.具有不小于48个陷波器状态LED指示灯实时显示，每通道≥12个静态+≥12个动态陷波器；</w:t>
            </w:r>
          </w:p>
          <w:p w14:paraId="78E1E5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4.具有自动增益功能，声音达到一定峰值自动衰减变小，声音较小则自动增益放大；</w:t>
            </w:r>
          </w:p>
          <w:p w14:paraId="4CEC39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5.具备设备定位功能、断电自动保护记忆功能；</w:t>
            </w:r>
          </w:p>
          <w:p w14:paraId="41ABEC0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6.具备通过后台管理软件对多台设备进行批量升级功能。</w:t>
            </w:r>
          </w:p>
          <w:p w14:paraId="5C47292C">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97C8A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25ED1D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307723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2DBCE6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852720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A08FE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72D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91DAA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13</w:t>
            </w:r>
          </w:p>
        </w:tc>
        <w:tc>
          <w:tcPr>
            <w:tcW w:w="577" w:type="pct"/>
            <w:vAlign w:val="center"/>
          </w:tcPr>
          <w:p w14:paraId="543489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电源时序器</w:t>
            </w:r>
          </w:p>
        </w:tc>
        <w:tc>
          <w:tcPr>
            <w:tcW w:w="1872" w:type="pct"/>
            <w:vAlign w:val="center"/>
          </w:tcPr>
          <w:p w14:paraId="6132B17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1.机柜式设计，黑色氧化铝拉丝面板；</w:t>
            </w:r>
          </w:p>
          <w:p w14:paraId="561865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2.可与定时器、智能控制器相连接，实现自动控制；具备配置CH1和CH2通道为受控或不受控状态；</w:t>
            </w:r>
          </w:p>
          <w:p w14:paraId="68C294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3.具备≥8路电源输出，具有≥8个AC220V(10A)， 电源插口总容量达≥6KVA；</w:t>
            </w:r>
          </w:p>
          <w:p w14:paraId="03E59B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4.可手动控制≥8个电源上断电；</w:t>
            </w:r>
          </w:p>
          <w:p w14:paraId="0879F21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5.具备≥1路24V消防信号输入接口；≥1路消防短路报警触发信号输出。</w:t>
            </w:r>
          </w:p>
          <w:p w14:paraId="39F9F21F">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980A6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7F8BBC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2</w:t>
            </w:r>
          </w:p>
        </w:tc>
        <w:tc>
          <w:tcPr>
            <w:tcW w:w="445" w:type="pct"/>
            <w:vAlign w:val="center"/>
          </w:tcPr>
          <w:p w14:paraId="0C51C1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40D3EF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8B74E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A48CB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A2A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8F6DF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250305E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视频会议系统</w:t>
            </w:r>
          </w:p>
        </w:tc>
      </w:tr>
      <w:tr w14:paraId="038F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E294E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C476C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视讯业务管理平台</w:t>
            </w:r>
          </w:p>
        </w:tc>
        <w:tc>
          <w:tcPr>
            <w:tcW w:w="1872" w:type="pct"/>
            <w:vAlign w:val="center"/>
          </w:tcPr>
          <w:p w14:paraId="3BE361D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性</w:t>
            </w:r>
            <w:r>
              <w:rPr>
                <w:rFonts w:hint="eastAsia" w:ascii="宋体" w:hAnsi="宋体" w:eastAsia="宋体" w:cs="宋体"/>
                <w:i w:val="0"/>
                <w:iCs w:val="0"/>
                <w:color w:val="000000"/>
                <w:kern w:val="2"/>
                <w:sz w:val="24"/>
                <w:szCs w:val="24"/>
                <w:highlight w:val="none"/>
                <w:u w:val="none"/>
                <w:lang w:val="en-US" w:eastAsia="zh-CN" w:bidi="ar-SA"/>
              </w:rPr>
              <w:t>能要求：</w:t>
            </w:r>
          </w:p>
          <w:p w14:paraId="071C3AB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1、采用安全可靠的处理芯片、操作系统和数据库软件；</w:t>
            </w:r>
          </w:p>
          <w:p w14:paraId="28A3132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2、单个会议最大与会终端≥3000方；≥10000台设备管理，≥128台MCU资源池管理。</w:t>
            </w:r>
          </w:p>
          <w:p w14:paraId="7A8BF70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5523C76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1、采用独立硬件部署（非MCU内置模块），基于容器的服务化架构，具备将不同功能的业务部署在不同的容器内运行，避免应用对资源抢占和相互影响；</w:t>
            </w:r>
          </w:p>
          <w:p w14:paraId="4DF535C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2、具备IPv4协议、IPv6协议、IPv4和IPv6协议混合组网；具备H.460、ICE、STUN、TURN、SNP协议，实现设备H.323/SIP注册、呼叫、公私网穿越功能；</w:t>
            </w:r>
          </w:p>
          <w:p w14:paraId="1BBC4C9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3、具备H.323Gatekeeper、SipServer、SIPProxy等功能；</w:t>
            </w:r>
          </w:p>
          <w:p w14:paraId="4B19D07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4、具备将多台MCU组成资源池的功能，实现MCU资源统一管理，系统可根据MCU资源使用情况，动态分配MCU资源，实现MCU资源负载均衡；</w:t>
            </w:r>
          </w:p>
          <w:p w14:paraId="4ED61DC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5、具备资源集中管理、按需分配、浮动共享功能。</w:t>
            </w:r>
          </w:p>
          <w:p w14:paraId="22621CA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668CA89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46EC5C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445" w:type="pct"/>
            <w:vAlign w:val="center"/>
          </w:tcPr>
          <w:p w14:paraId="5DB985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97416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5F50A2E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4D0AA1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6EA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1D76D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614AC0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MCU</w:t>
            </w:r>
          </w:p>
        </w:tc>
        <w:tc>
          <w:tcPr>
            <w:tcW w:w="1872" w:type="pct"/>
            <w:vAlign w:val="center"/>
          </w:tcPr>
          <w:p w14:paraId="5692C65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4047890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采用安全可靠嵌入式操作系统；</w:t>
            </w:r>
          </w:p>
          <w:p w14:paraId="08D313E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配置不少于20路1080P 60fps全编全解端口。</w:t>
            </w:r>
          </w:p>
          <w:p w14:paraId="61453B7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18F901E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1、具备ITU-TH.323、IETFSIP通信标准，具备良好的兼容性和开放性；</w:t>
            </w:r>
          </w:p>
          <w:p w14:paraId="576190C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2、具备ITU-TH.263、H.264BP、H.264HP、H.265视频协议；</w:t>
            </w:r>
          </w:p>
          <w:p w14:paraId="65CBBF9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3、具备64Kbps-8Mbps呼叫带宽；</w:t>
            </w:r>
          </w:p>
          <w:p w14:paraId="3739681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4、具备4K30fps、1080p60fps、1080p30fps、720p60fps、720p30fps、4CIF视频格式；</w:t>
            </w:r>
          </w:p>
          <w:p w14:paraId="3B3702D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5、具备G.711A、G.711μ、G.722、G.722.1C、G.729、AAC-LD、Opus、iLBC音频协议；</w:t>
            </w:r>
          </w:p>
          <w:p w14:paraId="387C44C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6、具备AVC/SVC混合会议，以适应不同线路带宽、不同设备能力、不同网络环境下的组网要求；</w:t>
            </w:r>
          </w:p>
          <w:p w14:paraId="08500FD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7、在全编全解模式下，单台MCU最大具备≥16个4K30fps视频端口或者32个1080P60fps视频端口或者64个1080P30fps视频端口或者128个720P30fps视频端口。</w:t>
            </w:r>
          </w:p>
          <w:p w14:paraId="1752E8E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服务要求：</w:t>
            </w:r>
          </w:p>
          <w:p w14:paraId="6EE10D3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7A4EAA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445" w:type="pct"/>
            <w:vAlign w:val="center"/>
          </w:tcPr>
          <w:p w14:paraId="3B8EF2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A709AF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842082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3EA92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4F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4919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83E72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录播服务器</w:t>
            </w:r>
          </w:p>
        </w:tc>
        <w:tc>
          <w:tcPr>
            <w:tcW w:w="1872" w:type="pct"/>
            <w:vAlign w:val="center"/>
          </w:tcPr>
          <w:p w14:paraId="2ACAEB2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21FE130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1、采用嵌入式一体化设计；</w:t>
            </w:r>
          </w:p>
          <w:p w14:paraId="5146C74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2、采用安全可靠的处理芯片、操作系统和数据库软件；</w:t>
            </w:r>
          </w:p>
          <w:p w14:paraId="373E0D7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3、硬盘容量≥7.2TB硬盘，具备IPSAN、NAS等网络存储协议，扩展存储空间。</w:t>
            </w:r>
          </w:p>
          <w:p w14:paraId="2DFDA79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29BC6D7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1、具备128Kbps-8Mbps录制带宽；</w:t>
            </w:r>
          </w:p>
          <w:p w14:paraId="29C985C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2、具备H.264BP、H.264HP、H.265等视频编解码协议；</w:t>
            </w:r>
          </w:p>
          <w:p w14:paraId="3DF704D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3、具备License许可资源集中管理、按需分配、浮动共享，可通过软件许可和计算资源平滑扩容系统容量功能；</w:t>
            </w:r>
          </w:p>
          <w:p w14:paraId="6A5EBCC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4、具备基于JSON的RESTful接口和基于Stomp的订阅框架，便于与第三方系统集成；</w:t>
            </w:r>
          </w:p>
          <w:p w14:paraId="321E48D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服务要求：</w:t>
            </w:r>
          </w:p>
          <w:p w14:paraId="2547200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11B3C9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445" w:type="pct"/>
            <w:vAlign w:val="center"/>
          </w:tcPr>
          <w:p w14:paraId="2BCA2C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10F7B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F8DF7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873DD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30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59E7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2310A3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融合网关</w:t>
            </w:r>
          </w:p>
        </w:tc>
        <w:tc>
          <w:tcPr>
            <w:tcW w:w="1872" w:type="pct"/>
            <w:vAlign w:val="center"/>
          </w:tcPr>
          <w:p w14:paraId="7BA1549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1、具备会议视频、监控视频、eLTE 集群、VoLTE、语音(手机/固话、IP 话机)音视频资源融合调度,资源列表可通过网络实时获取，无须在多个界面间切换操作。作为中间件协同视讯系统和第三方融合通讯平台对接，实现视讯业务可被融合通讯平台调度功能。</w:t>
            </w:r>
          </w:p>
          <w:p w14:paraId="4FAF850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2、具备基于 GB/T 28181-2016协议与视频监控平台融合互通。</w:t>
            </w:r>
          </w:p>
          <w:p w14:paraId="2715266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 ITU-T H. 265、H.264 HP、H. 264BP 监控视频融合接入；具备ITU-T G.711A、G.711U、G.722.1监控音频接入；</w:t>
            </w:r>
          </w:p>
          <w:p w14:paraId="21A68CA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4、具备将监控视频添加到会议多画面，具备多画面轮询观看，轮询间隔可设置；</w:t>
            </w:r>
          </w:p>
          <w:p w14:paraId="29F2B71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5、具备单调和多调模式；</w:t>
            </w:r>
          </w:p>
          <w:p w14:paraId="1B981E3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6、具备按用户操作习惯，自定义会控功能按钮的优先顺序，不同的账号(客户端)拥有各自界面布局，布局设定后下次登录自动应用，无须重新设置；</w:t>
            </w:r>
          </w:p>
          <w:p w14:paraId="0318AC0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7、具备单画面轮询、多画面轮询、广播轮询、本地轮询模式，具备设置分屏模式、轮询会场、轮询顺序、轮询间隔。</w:t>
            </w:r>
          </w:p>
          <w:p w14:paraId="238B1C47">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AF918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86164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CF327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4F7D4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11C9B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AFAB9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11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F2866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06E22C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分体式超高清终端</w:t>
            </w:r>
          </w:p>
        </w:tc>
        <w:tc>
          <w:tcPr>
            <w:tcW w:w="1872" w:type="pct"/>
            <w:vAlign w:val="center"/>
          </w:tcPr>
          <w:p w14:paraId="75F2FA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0E943C6D">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采用安全可靠编解码芯片和操作系统，分体式设计，嵌入式架构；</w:t>
            </w:r>
          </w:p>
          <w:p w14:paraId="09A7B7A0">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具备≥4路高清视频输入接口、≥3路高清视频输出接口；</w:t>
            </w:r>
          </w:p>
          <w:p w14:paraId="7C3F60E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3、具备1080P视频信号远距离传输功能，通过以太网线无须增加额外设备，传输距离≥100米；</w:t>
            </w:r>
          </w:p>
          <w:p w14:paraId="7236C35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4、提供≥5路音频输入接口、≥5路音频输出接口，具备卡侬头、RCA等音频接口；</w:t>
            </w:r>
          </w:p>
          <w:p w14:paraId="65D42E9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5、配置≥10英寸触控平板。</w:t>
            </w:r>
          </w:p>
          <w:p w14:paraId="5AD2A91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4EAE32D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1、具备H.265、H.264HP、H.264BP视频编解码格式；</w:t>
            </w:r>
          </w:p>
          <w:p w14:paraId="705BE8D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2、具备4K30fps、1080P60fps、1080P30fps、720P30fps、4CIF、CIF分辨率。</w:t>
            </w:r>
          </w:p>
          <w:p w14:paraId="0BEBBD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3E935B4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717002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445" w:type="pct"/>
            <w:vAlign w:val="center"/>
          </w:tcPr>
          <w:p w14:paraId="598D5A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1B84F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5814A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A5412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F0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F4D02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65D63F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超高清摄像机</w:t>
            </w:r>
          </w:p>
        </w:tc>
        <w:tc>
          <w:tcPr>
            <w:tcW w:w="1872" w:type="pct"/>
            <w:vAlign w:val="center"/>
          </w:tcPr>
          <w:p w14:paraId="7B30E51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28ECF01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1、配置850万像素1/2.5英寸CMOS成像芯片，具备WDR图像数字宽动态功能；</w:t>
            </w:r>
          </w:p>
          <w:p w14:paraId="3DBA4EA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2、具备4K30、4K25、1080p60、1080p50、1080p30、1080p25、720p60、720p50等视频输出格式；</w:t>
            </w:r>
          </w:p>
          <w:p w14:paraId="4AC7D84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3、具备12倍光学变焦，水平视角≥80°，水平转动范围：≥+/-110°，垂直转动范围：≥+/-30°；</w:t>
            </w:r>
          </w:p>
          <w:p w14:paraId="717A50F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4、具备254个预置位，≥2路高清视频输出接口；</w:t>
            </w:r>
          </w:p>
          <w:p w14:paraId="356DC41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5、具备2个RS-232控制接口，具备标准VISCA控制协议。</w:t>
            </w:r>
          </w:p>
          <w:p w14:paraId="4DCD7A4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512604B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1、具备红外透传功能，实现终端遥控器通过摄像机控制机房内会议终端，方便调试；</w:t>
            </w:r>
          </w:p>
          <w:p w14:paraId="1CCB86E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2、具备图像倒转功能；</w:t>
            </w:r>
          </w:p>
          <w:p w14:paraId="1443839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3、具备本地USB接口软件升级功能。</w:t>
            </w:r>
          </w:p>
          <w:p w14:paraId="65382B0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7BB8B10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33CA50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445" w:type="pct"/>
            <w:vAlign w:val="center"/>
          </w:tcPr>
          <w:p w14:paraId="62E482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2CFF1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B2552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4E750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43D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D2A55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p>
        </w:tc>
        <w:tc>
          <w:tcPr>
            <w:tcW w:w="4566" w:type="pct"/>
            <w:gridSpan w:val="7"/>
            <w:vAlign w:val="center"/>
          </w:tcPr>
          <w:p w14:paraId="4277AC0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2F指挥调度室</w:t>
            </w:r>
          </w:p>
        </w:tc>
      </w:tr>
      <w:tr w14:paraId="3787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F7E80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58BF8F2E">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无纸化会议系统</w:t>
            </w:r>
          </w:p>
        </w:tc>
      </w:tr>
      <w:tr w14:paraId="671C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A1AF5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9C41A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无纸化系统服务软件</w:t>
            </w:r>
          </w:p>
        </w:tc>
        <w:tc>
          <w:tcPr>
            <w:tcW w:w="1872" w:type="pct"/>
            <w:vAlign w:val="center"/>
          </w:tcPr>
          <w:p w14:paraId="3BD1085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1.采用B/S架构，具备任何电脑与无线移动设备浏览器远程访问登录与控制；</w:t>
            </w:r>
          </w:p>
          <w:p w14:paraId="306D80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2.具备在同一网络内，任何一台计算机都可以远程登录后台，完成会前准备、会中控制、会后查询等操作；</w:t>
            </w:r>
          </w:p>
          <w:p w14:paraId="3073CE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3.具备多会议室管理操作,同时具备跨网络管理多个远程会议室,多个会议室具备独立召开会议,同时具备多个会议室合并召开会议；</w:t>
            </w:r>
          </w:p>
          <w:p w14:paraId="754582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4.具备多主席机制：无论任何时间都可以设定相关设备为主席机，最多所有设备为主席，主席可在终端软件完成对设备管理与控制；</w:t>
            </w:r>
          </w:p>
          <w:p w14:paraId="6B80ED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5.具备文件夹整体上传功能，会议议题并自动按文件夹名称显示，文件夹内的会议文件按附件进行排列显示；</w:t>
            </w:r>
          </w:p>
          <w:p w14:paraId="1D998B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6.具备多场会议资料预置功能，管理人员可以进行多场会议所需的功能模块预置、会议材料预置、参会人员信息预置等准备工作，会议开始前一键启动预置的任何一场会议；</w:t>
            </w:r>
          </w:p>
          <w:p w14:paraId="57CA84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7.具备多管理员同时操作功能，各个管理员之间互不干扰，文件相互保密，管理界面独立并且所有数据独立完成保存与设置；</w:t>
            </w:r>
          </w:p>
          <w:p w14:paraId="28EE4B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8.具备功能模块包括：人名显示、模拟排位、终端控制、会议议程、会议信息、视频同步、读取U盘、我的电脑、网页浏览、电子白板、会议服务、会议交流、同屏申请、分组同步、签到、投票表决等模块操作；</w:t>
            </w:r>
          </w:p>
          <w:p w14:paraId="68B597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2"/>
                <w:sz w:val="24"/>
                <w:szCs w:val="24"/>
                <w:highlight w:val="none"/>
                <w:u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内嵌智慧无纸化系统软件，投标文件中提供具有第三方软件评测中心出具的软件产品登记测试报告</w:t>
            </w:r>
            <w:r>
              <w:rPr>
                <w:rFonts w:hint="eastAsia" w:ascii="宋体" w:hAnsi="宋体" w:eastAsia="宋体" w:cs="宋体"/>
                <w:i w:val="0"/>
                <w:iCs w:val="0"/>
                <w:color w:val="000000"/>
                <w:kern w:val="0"/>
                <w:sz w:val="24"/>
                <w:szCs w:val="24"/>
                <w:highlight w:val="none"/>
                <w:u w:val="none"/>
                <w:lang w:val="en-US" w:eastAsia="zh-CN" w:bidi="ar"/>
              </w:rPr>
              <w:t>。</w:t>
            </w:r>
          </w:p>
        </w:tc>
        <w:tc>
          <w:tcPr>
            <w:tcW w:w="458" w:type="pct"/>
            <w:vAlign w:val="center"/>
          </w:tcPr>
          <w:p w14:paraId="2DD4AF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98000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9DFCE9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630C58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D5E91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420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95BD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033AA8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无纸化系统服务器</w:t>
            </w:r>
          </w:p>
        </w:tc>
        <w:tc>
          <w:tcPr>
            <w:tcW w:w="1872" w:type="pct"/>
            <w:vAlign w:val="center"/>
          </w:tcPr>
          <w:p w14:paraId="6B9F3E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37535F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1.具有CPU配置≥六核，内存配置≥8G，硬盘容量≥1TB</w:t>
            </w:r>
          </w:p>
          <w:p w14:paraId="7844A4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2.具有千兆网络接口；具有视频输出接口：≥1×HDMI；具备音频接口：≥1×3.5mm音频输入接口、≥1×3.5mm音频输出接口；具备其他接口：≥1×VGA、≥6×USB接口。</w:t>
            </w:r>
          </w:p>
          <w:p w14:paraId="4DF565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3EDA0D79">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1.具备会前准备：设置主席机与代表机、添加参会人员、设置欢迎词、设置会议主题、安排参会人员座位、上传会议资料并设置文件权限、添加投票并选择参与投票人员；</w:t>
            </w:r>
          </w:p>
          <w:p w14:paraId="442B6DB8">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2.会中控制：具备签到、文件智能分发、会议同屏互动演示、外部信号到终端显示、终端任意画面上大屏幕、会议服务、会议投票、会议交流、交互式电子白板</w:t>
            </w:r>
          </w:p>
          <w:p w14:paraId="77B727E5">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3.会后具备保存功能；</w:t>
            </w:r>
          </w:p>
          <w:p w14:paraId="270D9678">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4.具备客户端访问模式、WEB访问模式，具备高级管理员登录、普通管理人员登录，具备参会人会前预览会议资料，具备在线编辑批注会议资料并在线上传更新。具备历史会议资料检索归档。</w:t>
            </w:r>
          </w:p>
          <w:p w14:paraId="7FAF723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5.具备多管理员和超级管理员，不同管理员创建的会议互相保密，不同的管理员有不同的默认会议模板。超级管理员有管理所有会议的权限。</w:t>
            </w:r>
          </w:p>
          <w:p w14:paraId="57949B3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447344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6B56DD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9DC42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F38D9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F8A21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05D27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76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9CC3F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22845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无纸化客户端主机（含软件）</w:t>
            </w:r>
          </w:p>
        </w:tc>
        <w:tc>
          <w:tcPr>
            <w:tcW w:w="1872" w:type="pct"/>
            <w:vAlign w:val="center"/>
          </w:tcPr>
          <w:p w14:paraId="3001EA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性能要求：</w:t>
            </w:r>
          </w:p>
          <w:p w14:paraId="2326E795">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配置：主机硬件配置：CPU不低于4核，主频≥3.0Ghz，内存：≥8GB，硬盘：≥256G SSD固态；</w:t>
            </w:r>
          </w:p>
          <w:p w14:paraId="6ACD4F52">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功能要求：</w:t>
            </w:r>
          </w:p>
          <w:p w14:paraId="1F966CD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1.全部控制信号、文档、视频统一通过千兆以太网通信，免VGA、AV布线；</w:t>
            </w:r>
          </w:p>
          <w:p w14:paraId="748EB6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会议文件智能推送功能，后台文件按会议进程自动按权限推送到前端会议终端，具备文件推送权限设定，无权显示的会议终端自动屏蔽该文件显示；具备兼容常用办公软件与文件格式；具备会议签到、投票表决、交互式电子白板、电子铭牌显示、文件标注、会议交流、会议服务、会议通知等会议功能；</w:t>
            </w:r>
          </w:p>
          <w:p w14:paraId="01088F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3.具备会议文件源文件推送功能，会议文件不需要进行二次转换，保证文件格式一致性，控制主机上传什么格式文件会议终端便显示并查看一样的格式文件；</w:t>
            </w:r>
          </w:p>
          <w:p w14:paraId="2AD083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4.具备PPT文件动态播放，保证PPT播放特效；</w:t>
            </w:r>
          </w:p>
          <w:p w14:paraId="29595A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5.具备任何会议终端一键同屏（本地终端通过按键一键同步画面到其他会议终端与大屏幕或只同屏到大屏幕显示）；</w:t>
            </w:r>
          </w:p>
          <w:p w14:paraId="565E89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6.具备任何多媒体会议终端播放的视频文件同步到其他会议终端与大屏幕或只同屏到大屏幕显示；</w:t>
            </w:r>
          </w:p>
          <w:p w14:paraId="36F9D7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7.具备在同步画面共享时其它所有会议终端包括大屏幕同步显示文档的放大缩小等显示特性，保证触控屏的触控功能；</w:t>
            </w:r>
          </w:p>
          <w:p w14:paraId="7939C2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服务要求：</w:t>
            </w:r>
          </w:p>
          <w:p w14:paraId="009EF8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按照原厂标准提供三年免费质保服务，提供保修期内硬件故障的维修、设备的更换及软件的免费升级。</w:t>
            </w:r>
          </w:p>
        </w:tc>
        <w:tc>
          <w:tcPr>
            <w:tcW w:w="458" w:type="pct"/>
            <w:vAlign w:val="center"/>
          </w:tcPr>
          <w:p w14:paraId="7E0312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45" w:type="pct"/>
            <w:vAlign w:val="center"/>
          </w:tcPr>
          <w:p w14:paraId="2E2F9D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E8894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8767C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20D2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7AF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1BF12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6138F1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无纸化会议双屏升降一体机（带话筒）</w:t>
            </w:r>
          </w:p>
        </w:tc>
        <w:tc>
          <w:tcPr>
            <w:tcW w:w="1872" w:type="pct"/>
            <w:vAlign w:val="center"/>
          </w:tcPr>
          <w:p w14:paraId="6D35828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1、主屏幕尺寸：≥15.6英寸，屏幕分辨率：≥1920*1080；显示比例：16:9，显示屏视角：IPS全视角；背屏尺寸：≥9寸，分辨率：≥1280*800；</w:t>
            </w:r>
          </w:p>
          <w:p w14:paraId="58E926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2、10点触控电容屏；</w:t>
            </w:r>
          </w:p>
          <w:p w14:paraId="7A7B37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3、升降器具有防水设计；</w:t>
            </w:r>
          </w:p>
          <w:p w14:paraId="595BD6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4、触控超薄高清显示屏与超薄圆轴式升降器无外露连接线、无连接背板、无外露螺丝，保证升降显示触控屏整体美观大方；</w:t>
            </w:r>
          </w:p>
          <w:p w14:paraId="198EAD9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5、升降器面板具备：上升、暂停、下降、多媒体会议终端开关、USB接口等；</w:t>
            </w:r>
          </w:p>
          <w:p w14:paraId="7061D7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6、升降器具备自动仰角≥15度，保证显示器最佳观看视角与触控角度；</w:t>
            </w:r>
          </w:p>
          <w:p w14:paraId="49FC1D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7、接口：HDMI输入≥1、电源≥1、RS232*2、USB口≥5、VGA≥1；</w:t>
            </w:r>
          </w:p>
          <w:p w14:paraId="70958D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8、面板自带上升，下降，暂停，话筒开关，指示灯功能；</w:t>
            </w:r>
          </w:p>
          <w:p w14:paraId="6311C0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9、升降器控制软件具备PC机安装，兼容常用操作系统，可统一控制也可以任意分组控制升降器上升、暂停、下降等运动状态；</w:t>
            </w:r>
          </w:p>
          <w:p w14:paraId="658596E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10、内嵌话筒高灵敏度软件。</w:t>
            </w:r>
          </w:p>
          <w:p w14:paraId="4144793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31F217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5F858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45" w:type="pct"/>
            <w:vAlign w:val="center"/>
          </w:tcPr>
          <w:p w14:paraId="196B99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9F70E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3A085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905B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5A9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7526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6B59DA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会议主机</w:t>
            </w:r>
          </w:p>
        </w:tc>
        <w:tc>
          <w:tcPr>
            <w:tcW w:w="1872" w:type="pct"/>
            <w:vAlign w:val="center"/>
          </w:tcPr>
          <w:p w14:paraId="137402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1.采用数字集成电路技术，低功耗、高保真、极稳定；</w:t>
            </w:r>
          </w:p>
          <w:p w14:paraId="6AC692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2.七种发言模式：主席专用、先进先出、后进先出、限制发言、自由讨论、压倒轮替 、申请发言；</w:t>
            </w:r>
          </w:p>
          <w:p w14:paraId="76B239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3.七种发言人数:1-6（人任选 ）、N（全开放）；</w:t>
            </w:r>
          </w:p>
          <w:p w14:paraId="468380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4.开机自检功能，连接状态不正常时主机产生蜂鸣；</w:t>
            </w:r>
          </w:p>
          <w:p w14:paraId="18482D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5.断电智能记忆功能，可记忆程序原运行状态。若意外断电后，通电即恢复最后一次设置；</w:t>
            </w:r>
          </w:p>
          <w:p w14:paraId="2789F4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6.通用USB录音接口，具备热插拔，插入U盘即可录音，方便会议内容存档。</w:t>
            </w:r>
          </w:p>
          <w:p w14:paraId="5BD3E6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7.具有中/英文语言切换功能；</w:t>
            </w:r>
          </w:p>
          <w:p w14:paraId="7F9C67E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8.具有≥4.3寸彩屏显示系统设置内容；</w:t>
            </w:r>
          </w:p>
          <w:p w14:paraId="5FE64D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采用轻触式开关按键控制菜单功能，设有音量调节、电话输入和总音量输出调节器；·自带防啸叫功能，开启移频功能可以有效地抑制啸叫、扩展音量，增加拾音距离，保证语音的传送质量，保真度高，声音清晰。</w:t>
            </w:r>
          </w:p>
          <w:p w14:paraId="2D3E5D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10.主机最少可连接60个会议话筒单元,具四路并联输出，每路可连接20个单元,可无限增加电源扩展或数据扩展；</w:t>
            </w:r>
          </w:p>
          <w:p w14:paraId="7AEC779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11.内置电话耦合器输入和输出端口,可用来召开远程电话会议。</w:t>
            </w:r>
          </w:p>
          <w:p w14:paraId="3168C64C">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DA5C8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4495D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7D328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D99768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EBDB2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9CCF9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3D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017E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3C9C57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流媒体服务器（含软件）</w:t>
            </w:r>
          </w:p>
        </w:tc>
        <w:tc>
          <w:tcPr>
            <w:tcW w:w="1872" w:type="pct"/>
            <w:vAlign w:val="center"/>
          </w:tcPr>
          <w:p w14:paraId="2869C7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1、CPU配置不低于4核，内存≥4G，硬盘容量≥128G，固态硬盘；</w:t>
            </w:r>
          </w:p>
          <w:p w14:paraId="43FAF8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2、输出接口:</w:t>
            </w:r>
            <w:r>
              <w:rPr>
                <w:rFonts w:hint="eastAsia" w:ascii="宋体" w:hAnsi="宋体" w:eastAsia="宋体" w:cs="宋体"/>
                <w:i w:val="0"/>
                <w:iCs w:val="0"/>
                <w:color w:val="000000"/>
                <w:kern w:val="2"/>
                <w:sz w:val="24"/>
                <w:szCs w:val="24"/>
                <w:highlight w:val="none"/>
                <w:u w:val="none"/>
                <w:lang w:val="en-US" w:eastAsia="zh-CN" w:bidi="ar-SA"/>
              </w:rPr>
              <w:t>≥1路</w:t>
            </w:r>
            <w:r>
              <w:rPr>
                <w:rFonts w:hint="eastAsia" w:ascii="宋体" w:hAnsi="宋体" w:eastAsia="宋体" w:cs="宋体"/>
                <w:i w:val="0"/>
                <w:iCs w:val="0"/>
                <w:color w:val="000000"/>
                <w:kern w:val="0"/>
                <w:sz w:val="24"/>
                <w:szCs w:val="24"/>
                <w:highlight w:val="none"/>
                <w:u w:val="none"/>
                <w:lang w:val="en-US" w:eastAsia="zh-CN" w:bidi="ar"/>
              </w:rPr>
              <w:t>VGA、</w:t>
            </w:r>
            <w:r>
              <w:rPr>
                <w:rFonts w:hint="eastAsia" w:ascii="宋体" w:hAnsi="宋体" w:eastAsia="宋体" w:cs="宋体"/>
                <w:i w:val="0"/>
                <w:iCs w:val="0"/>
                <w:color w:val="000000"/>
                <w:kern w:val="2"/>
                <w:sz w:val="24"/>
                <w:szCs w:val="24"/>
                <w:highlight w:val="none"/>
                <w:u w:val="none"/>
                <w:lang w:val="en-US" w:eastAsia="zh-CN" w:bidi="ar-SA"/>
              </w:rPr>
              <w:t>≥1路</w:t>
            </w:r>
            <w:r>
              <w:rPr>
                <w:rFonts w:hint="eastAsia" w:ascii="宋体" w:hAnsi="宋体" w:eastAsia="宋体" w:cs="宋体"/>
                <w:i w:val="0"/>
                <w:iCs w:val="0"/>
                <w:color w:val="000000"/>
                <w:kern w:val="0"/>
                <w:sz w:val="24"/>
                <w:szCs w:val="24"/>
                <w:highlight w:val="none"/>
                <w:u w:val="none"/>
                <w:lang w:val="en-US" w:eastAsia="zh-CN" w:bidi="ar"/>
              </w:rPr>
              <w:t>HDMI、</w:t>
            </w:r>
            <w:r>
              <w:rPr>
                <w:rFonts w:hint="eastAsia" w:ascii="宋体" w:hAnsi="宋体" w:eastAsia="宋体" w:cs="宋体"/>
                <w:i w:val="0"/>
                <w:iCs w:val="0"/>
                <w:color w:val="000000"/>
                <w:kern w:val="2"/>
                <w:sz w:val="24"/>
                <w:szCs w:val="24"/>
                <w:highlight w:val="none"/>
                <w:u w:val="none"/>
                <w:lang w:val="en-US" w:eastAsia="zh-CN" w:bidi="ar-SA"/>
              </w:rPr>
              <w:t>≥1路</w:t>
            </w:r>
            <w:r>
              <w:rPr>
                <w:rFonts w:hint="eastAsia" w:ascii="宋体" w:hAnsi="宋体" w:eastAsia="宋体" w:cs="宋体"/>
                <w:i w:val="0"/>
                <w:iCs w:val="0"/>
                <w:color w:val="000000"/>
                <w:kern w:val="0"/>
                <w:sz w:val="24"/>
                <w:szCs w:val="24"/>
                <w:highlight w:val="none"/>
                <w:u w:val="none"/>
                <w:lang w:val="en-US" w:eastAsia="zh-CN" w:bidi="ar"/>
              </w:rPr>
              <w:t xml:space="preserve">DVI </w:t>
            </w:r>
            <w:r>
              <w:rPr>
                <w:rFonts w:hint="eastAsia" w:ascii="宋体" w:hAnsi="宋体" w:eastAsia="宋体" w:cs="宋体"/>
                <w:i w:val="0"/>
                <w:iCs w:val="0"/>
                <w:color w:val="000000"/>
                <w:kern w:val="2"/>
                <w:sz w:val="24"/>
                <w:szCs w:val="24"/>
                <w:highlight w:val="none"/>
                <w:u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6路*USB、电源、音频、网口；输入接口:</w:t>
            </w:r>
            <w:r>
              <w:rPr>
                <w:rFonts w:hint="eastAsia" w:ascii="宋体" w:hAnsi="宋体" w:eastAsia="宋体" w:cs="宋体"/>
                <w:i w:val="0"/>
                <w:iCs w:val="0"/>
                <w:color w:val="000000"/>
                <w:kern w:val="2"/>
                <w:sz w:val="24"/>
                <w:szCs w:val="24"/>
                <w:highlight w:val="none"/>
                <w:u w:val="none"/>
                <w:lang w:val="en-US" w:eastAsia="zh-CN" w:bidi="ar-SA"/>
              </w:rPr>
              <w:t>≥1路</w:t>
            </w:r>
            <w:r>
              <w:rPr>
                <w:rFonts w:hint="eastAsia" w:ascii="宋体" w:hAnsi="宋体" w:eastAsia="宋体" w:cs="宋体"/>
                <w:i w:val="0"/>
                <w:iCs w:val="0"/>
                <w:color w:val="000000"/>
                <w:kern w:val="0"/>
                <w:sz w:val="24"/>
                <w:szCs w:val="24"/>
                <w:highlight w:val="none"/>
                <w:u w:val="none"/>
                <w:lang w:val="en-US" w:eastAsia="zh-CN" w:bidi="ar"/>
              </w:rPr>
              <w:t>HDMI；</w:t>
            </w:r>
          </w:p>
          <w:p w14:paraId="1825D42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2"/>
                <w:sz w:val="24"/>
                <w:szCs w:val="24"/>
                <w:highlight w:val="none"/>
                <w:u w:val="none"/>
                <w:lang w:val="en-US" w:eastAsia="zh-CN" w:bidi="ar-SA"/>
              </w:rPr>
              <w:t>▲</w:t>
            </w:r>
            <w:r>
              <w:rPr>
                <w:rFonts w:hint="eastAsia" w:ascii="宋体" w:hAnsi="宋体" w:eastAsia="宋体" w:cs="宋体"/>
                <w:i w:val="0"/>
                <w:iCs w:val="0"/>
                <w:color w:val="000000"/>
                <w:kern w:val="0"/>
                <w:sz w:val="24"/>
                <w:szCs w:val="24"/>
                <w:highlight w:val="none"/>
                <w:u w:val="none"/>
                <w:lang w:val="en-US" w:eastAsia="zh-CN" w:bidi="ar"/>
              </w:rPr>
              <w:t>内嵌一键同屏软件，投标文件中提供具有第三方软件评测中心出具的软件产品登记测试报告</w:t>
            </w:r>
            <w:r>
              <w:rPr>
                <w:rFonts w:hint="eastAsia" w:ascii="宋体" w:hAnsi="宋体" w:eastAsia="宋体" w:cs="宋体"/>
                <w:i w:val="0"/>
                <w:iCs w:val="0"/>
                <w:color w:val="000000"/>
                <w:kern w:val="0"/>
                <w:sz w:val="24"/>
                <w:szCs w:val="24"/>
                <w:highlight w:val="none"/>
                <w:u w:val="none"/>
                <w:lang w:val="en-US" w:eastAsia="zh-CN" w:bidi="ar"/>
              </w:rPr>
              <w:t>。</w:t>
            </w:r>
          </w:p>
          <w:p w14:paraId="4307690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7E0BE8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41547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F4E34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39DFC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FA05BA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AFAD0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3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6B74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6B4DA1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会议延长线</w:t>
            </w:r>
          </w:p>
        </w:tc>
        <w:tc>
          <w:tcPr>
            <w:tcW w:w="1872" w:type="pct"/>
            <w:vAlign w:val="center"/>
          </w:tcPr>
          <w:p w14:paraId="3FDD10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用于数字会议主机与发言单元之间的不少于20米专用连接线。</w:t>
            </w:r>
          </w:p>
        </w:tc>
        <w:tc>
          <w:tcPr>
            <w:tcW w:w="458" w:type="pct"/>
            <w:vAlign w:val="center"/>
          </w:tcPr>
          <w:p w14:paraId="403AE6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DEEDE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B1447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7BDC9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C6F03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053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D5738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3E658B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会议交换机</w:t>
            </w:r>
          </w:p>
        </w:tc>
        <w:tc>
          <w:tcPr>
            <w:tcW w:w="1872" w:type="pct"/>
            <w:vAlign w:val="center"/>
          </w:tcPr>
          <w:p w14:paraId="6AD81348">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1、交换容量：≥96Gbps，包转发率：≥71.4Mpps</w:t>
            </w:r>
          </w:p>
          <w:p w14:paraId="0C15A67F">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2、端口数量：≥24个千兆电口；</w:t>
            </w:r>
          </w:p>
          <w:p w14:paraId="77D3EF6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3、速度：10/100/1000Mbps。</w:t>
            </w:r>
          </w:p>
          <w:p w14:paraId="7DE595DF">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C7585A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285633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0797E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5CE011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2F0D43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DA64D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539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20FC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662919FD">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扩声系统</w:t>
            </w:r>
          </w:p>
        </w:tc>
      </w:tr>
      <w:tr w14:paraId="585F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4B86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26BB16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音响</w:t>
            </w:r>
          </w:p>
        </w:tc>
        <w:tc>
          <w:tcPr>
            <w:tcW w:w="1872" w:type="pct"/>
            <w:vAlign w:val="center"/>
          </w:tcPr>
          <w:p w14:paraId="17CF11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1.频率响应：60 Hz ~18 kHz</w:t>
            </w:r>
          </w:p>
          <w:p w14:paraId="3418E9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2.指向性：50°-100°(水平)55°(垂直)</w:t>
            </w:r>
          </w:p>
          <w:p w14:paraId="2F06A6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3.灵敏度(@1W/1m)：≥96 dB SPL</w:t>
            </w:r>
          </w:p>
          <w:p w14:paraId="6E7419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4.扬声器功率：≥350W</w:t>
            </w:r>
          </w:p>
          <w:p w14:paraId="46C945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5.阻抗：8Ω</w:t>
            </w:r>
          </w:p>
          <w:p w14:paraId="21FD95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6.最大声压级：≥122 dB</w:t>
            </w:r>
          </w:p>
          <w:p w14:paraId="3A6AB3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7.扬声器单元：LF 1x12"(75mm音圈)低音单元</w:t>
            </w:r>
          </w:p>
          <w:p w14:paraId="6C1190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8.材料:≥18mm多层夹板</w:t>
            </w:r>
          </w:p>
          <w:p w14:paraId="57C984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9.颜色:支持定制颜色</w:t>
            </w:r>
          </w:p>
          <w:p w14:paraId="54D4B9D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10.产品配有安装支架</w:t>
            </w:r>
          </w:p>
          <w:p w14:paraId="5E3C15E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DEC18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3732D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57EB85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29573E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59DD7E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33423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A24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947C7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23CD50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1872" w:type="pct"/>
            <w:vAlign w:val="center"/>
          </w:tcPr>
          <w:p w14:paraId="6ABD95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12729D4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1.输出功率：立体声8Ω：≥450W×2；立体声4Ω：≥600W×2；</w:t>
            </w:r>
          </w:p>
          <w:p w14:paraId="31D5A24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2.频率响应 20Hz-20KHz(+0,-5dB) ；</w:t>
            </w:r>
          </w:p>
          <w:p w14:paraId="058AA6A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3.输入阻抗 20KΩ(平衡)；10KΩ(不平衡) ；</w:t>
            </w:r>
          </w:p>
          <w:p w14:paraId="79EA324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4.灵敏度 ≤1000mV ；</w:t>
            </w:r>
          </w:p>
          <w:p w14:paraId="5F2B86F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5.谐波失真：≤0.3% ；</w:t>
            </w:r>
          </w:p>
          <w:p w14:paraId="610ACA2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6.信噪比：≥93dB ；</w:t>
            </w:r>
          </w:p>
          <w:p w14:paraId="2C5AAF4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7.阻尼系数：≥200。</w:t>
            </w:r>
          </w:p>
          <w:p w14:paraId="791D85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3CC116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1.电源采用开关电源技术，效率高，有效的抑制电源谐波，具有自恢复式短路保护功能，动作时不用跳继电器，短路故障解除后电路自动恢复工作状态；</w:t>
            </w:r>
          </w:p>
          <w:p w14:paraId="2CD26E7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2.具有过压保护，欠压保护，过流保护，直流保护，输出短路保护，温控风扇等功能。</w:t>
            </w:r>
          </w:p>
          <w:p w14:paraId="1079C397">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1439EA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693C5A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078A19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4B9E8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E0BAF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C1AD2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EC0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BA7B3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3F8A3F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无线手持话筒</w:t>
            </w:r>
          </w:p>
        </w:tc>
        <w:tc>
          <w:tcPr>
            <w:tcW w:w="1872" w:type="pct"/>
            <w:vAlign w:val="center"/>
          </w:tcPr>
          <w:p w14:paraId="3C8119B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1.具有自动频率扫描功能，可快速地给麦克风找到清晰的频率。</w:t>
            </w:r>
          </w:p>
          <w:p w14:paraId="266D575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2.具备混响调节功能，比例调节、延时调节、电平调节≥25个档位。</w:t>
            </w:r>
          </w:p>
          <w:p w14:paraId="1688621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3.具有自动静音功能，麦克风跌落、抛掷时，毫秒级响应自动静音，避免冲击声；产品静置5秒自动静音。</w:t>
            </w:r>
          </w:p>
          <w:p w14:paraId="35916D5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4.频率范围等同或优于540MHz-590MHz、640MHz-690MHz。</w:t>
            </w:r>
          </w:p>
          <w:p w14:paraId="0A26877B">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5.接收机具有≥2路平衡输出、≥1路非平衡混音输出。</w:t>
            </w:r>
          </w:p>
          <w:p w14:paraId="7BE6ED4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3F3E6F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5713C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03384B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DB245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06495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B9EE7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881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3F237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450C7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数字调音台</w:t>
            </w:r>
          </w:p>
        </w:tc>
        <w:tc>
          <w:tcPr>
            <w:tcW w:w="1872" w:type="pct"/>
            <w:vAlign w:val="center"/>
          </w:tcPr>
          <w:p w14:paraId="3ED172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1.具备≥16路MIC和LINE联合输入接口，配备有≥16路麦克风前级放大器；</w:t>
            </w:r>
          </w:p>
          <w:p w14:paraId="7AA3E0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2.提供≥4路线性输入接口；</w:t>
            </w:r>
          </w:p>
          <w:p w14:paraId="6DFB5C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3.提供≥8路断点插入；</w:t>
            </w:r>
          </w:p>
          <w:p w14:paraId="6DBAF6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4.提供≥2组立体主输出、≥8路辅助输出、≥1组立体监听输出、≥2个耳机监听输出；</w:t>
            </w:r>
          </w:p>
          <w:p w14:paraId="4C3888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5.具备场景记忆功能，可保存、调用≥24组场景；</w:t>
            </w:r>
          </w:p>
          <w:p w14:paraId="5CF84F5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6.具备DCA分组功能，可以把几个输入信号编成1组来控制音量大小；</w:t>
            </w:r>
          </w:p>
          <w:p w14:paraId="40299DD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7.具备复制功能，可快速调试完成设置通道；锁定、解锁、密码修改功能，有效防止误操作；</w:t>
            </w:r>
          </w:p>
          <w:p w14:paraId="00C97A0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8.具备数字信号输入和数字信号输出功能且可独立开关。</w:t>
            </w:r>
          </w:p>
          <w:p w14:paraId="36212DF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1F9E7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E79C4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5BAC4C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00A1DC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E491C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4B71C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B18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A2CBF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269352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数字音频处理器</w:t>
            </w:r>
          </w:p>
        </w:tc>
        <w:tc>
          <w:tcPr>
            <w:tcW w:w="1872" w:type="pct"/>
            <w:vAlign w:val="center"/>
          </w:tcPr>
          <w:p w14:paraId="562D4E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1.具有液晶显示屏，具备显示设备网络信息、实时电平、通道静音状态、矩阵混音状态。</w:t>
            </w:r>
          </w:p>
          <w:p w14:paraId="129EAB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2.具备对接中控系统进行操作控制。</w:t>
            </w:r>
          </w:p>
          <w:p w14:paraId="37C6A1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3.配置双向RS-232接口，可用于控制外部设备；配置RS-485接口，可实现自动摄像跟踪功能。配置≥8通道可编程GPIO控制接口（可自定义输入输出）；</w:t>
            </w:r>
          </w:p>
          <w:p w14:paraId="68D57D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4.具备断电自动保护记忆功能。具备通道拷贝、粘贴、联控功能。具备通过浏览器访问设备，下载自带管理控制软件；</w:t>
            </w:r>
          </w:p>
          <w:p w14:paraId="311DBD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5.数字音频处理器具备不小于8路平衡式话筒/线路输入通道，采用裸线接口端子，平衡接法；具备不小于8路平衡式线路输出，采用裸线接口端子，平衡接法；</w:t>
            </w:r>
          </w:p>
          <w:p w14:paraId="2427E4D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6.输入通道具备前级放大、信号发生器、扩展器、压缩器、≥5段参量均衡、AM自动混音功能、AFC自适应反馈消除、AEC回声消除、ANC噪声消除。</w:t>
            </w:r>
          </w:p>
          <w:p w14:paraId="276B49BE">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B1E6B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2CD398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2A3B45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78B390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3F98C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655C7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83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433" w:type="pct"/>
            <w:vAlign w:val="center"/>
          </w:tcPr>
          <w:p w14:paraId="68D6EB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000000"/>
                <w:kern w:val="2"/>
                <w:sz w:val="24"/>
                <w:szCs w:val="24"/>
                <w:highlight w:val="none"/>
                <w:u w:val="none"/>
                <w:lang w:val="en-US" w:eastAsia="zh-CN" w:bidi="ar-SA"/>
              </w:rPr>
              <w:t>6</w:t>
            </w:r>
          </w:p>
        </w:tc>
        <w:tc>
          <w:tcPr>
            <w:tcW w:w="577" w:type="pct"/>
            <w:vAlign w:val="center"/>
          </w:tcPr>
          <w:p w14:paraId="0DF296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1872" w:type="pct"/>
            <w:vAlign w:val="center"/>
          </w:tcPr>
          <w:p w14:paraId="37D9D1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1.具备不小于32-bit DSP处理器；</w:t>
            </w:r>
          </w:p>
          <w:p w14:paraId="1F3698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2.均衡器具备不小于30段图示均衡器和8段参量均衡器；</w:t>
            </w:r>
          </w:p>
          <w:p w14:paraId="5AFC67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3.具有不小于48个陷波器状态LED指示灯实时显示，每通道≥12个静态+≥12个动态陷波器；</w:t>
            </w:r>
          </w:p>
          <w:p w14:paraId="47D779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4.具有自动增益功能，声音达到一定峰值自动衰减变小，声音较小则自动增益放大；</w:t>
            </w:r>
          </w:p>
          <w:p w14:paraId="3EBDCE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5.具备设备定位功能、断电自动保护记忆功能；</w:t>
            </w:r>
          </w:p>
          <w:p w14:paraId="6473D6DC">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6.具备通过后台管理软件对多台设备进行批量升级功能。</w:t>
            </w:r>
          </w:p>
          <w:p w14:paraId="5EA94A6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25B30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08B5C4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678F43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5F6577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E432C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63BCD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FA9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0D03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9</w:t>
            </w:r>
          </w:p>
        </w:tc>
        <w:tc>
          <w:tcPr>
            <w:tcW w:w="577" w:type="pct"/>
            <w:vAlign w:val="center"/>
          </w:tcPr>
          <w:p w14:paraId="436C59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电源时序器</w:t>
            </w:r>
          </w:p>
        </w:tc>
        <w:tc>
          <w:tcPr>
            <w:tcW w:w="1872" w:type="pct"/>
            <w:vAlign w:val="center"/>
          </w:tcPr>
          <w:p w14:paraId="620756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1.机柜式设计，黑色氧化铝拉丝面板；</w:t>
            </w:r>
          </w:p>
          <w:p w14:paraId="50E2F7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2.可与定时器、智能控制器相连接，实现自动控制；具备配置CH1和CH2通道为受控或不受控状态；</w:t>
            </w:r>
          </w:p>
          <w:p w14:paraId="39347F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3.具备≥8路电源输出，具有≥8个AC220V(10A)， 电源插口总容量达≥6KVA；</w:t>
            </w:r>
          </w:p>
          <w:p w14:paraId="499C58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4.可手动控制≥8个电源上断电；</w:t>
            </w:r>
          </w:p>
          <w:p w14:paraId="752F7D4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5.具备≥1路24V消防信号输入接口；≥1路消防短路报警触发信号输出。</w:t>
            </w:r>
          </w:p>
          <w:p w14:paraId="4A519A1A">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D80C1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77CC1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5D13A6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1E7A250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2A4B7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EB053F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1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D6B0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746863C5">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视频会议系统</w:t>
            </w:r>
          </w:p>
        </w:tc>
      </w:tr>
      <w:tr w14:paraId="1EC5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D2751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6703F2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分体式超高清终端</w:t>
            </w:r>
          </w:p>
        </w:tc>
        <w:tc>
          <w:tcPr>
            <w:tcW w:w="1872" w:type="pct"/>
            <w:vAlign w:val="center"/>
          </w:tcPr>
          <w:p w14:paraId="317B2F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性能</w:t>
            </w:r>
            <w:r>
              <w:rPr>
                <w:rFonts w:hint="eastAsia" w:ascii="宋体" w:hAnsi="宋体" w:eastAsia="宋体" w:cs="宋体"/>
                <w:i w:val="0"/>
                <w:iCs w:val="0"/>
                <w:color w:val="000000"/>
                <w:kern w:val="2"/>
                <w:sz w:val="24"/>
                <w:szCs w:val="24"/>
                <w:highlight w:val="none"/>
                <w:u w:val="none"/>
                <w:lang w:val="en-US" w:eastAsia="zh-CN" w:bidi="ar-SA"/>
              </w:rPr>
              <w:t>要求：</w:t>
            </w:r>
          </w:p>
          <w:p w14:paraId="1943BD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1、采用安全可靠编解码芯片和操作系统，分体式设计，嵌入式架构；</w:t>
            </w:r>
          </w:p>
          <w:p w14:paraId="2F0F15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2、具备≥4路高清视频输入接口、≥3路高清视频输出接口；</w:t>
            </w:r>
          </w:p>
          <w:p w14:paraId="1AFA40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3、具备1080P视频信号远距离传输功能，通过以太网线无须增加额外设备，传输距离≥100米；</w:t>
            </w:r>
          </w:p>
          <w:p w14:paraId="64B4BB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4、提供≥5路音频输入接口、≥5路音频输出接口，具备卡侬头、RCA等音频接口；</w:t>
            </w:r>
          </w:p>
          <w:p w14:paraId="3461A8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5、配置10英寸触控平板。</w:t>
            </w:r>
          </w:p>
          <w:p w14:paraId="06DFB6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2C51E6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1、具备H.265、H.264HP、H.264BP视频编解码格式；</w:t>
            </w:r>
          </w:p>
          <w:p w14:paraId="4157A9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2、具备4K30fps、1080P60fps、1080P30fps、720P30fps、4CIF、CIF分辨率。</w:t>
            </w:r>
          </w:p>
          <w:p w14:paraId="636D8E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服务要求：</w:t>
            </w:r>
          </w:p>
          <w:p w14:paraId="111EDD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38716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731BF9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4BF5B1F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C65A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E8E01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CF6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76035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4D6E2E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超高清摄像机</w:t>
            </w:r>
          </w:p>
        </w:tc>
        <w:tc>
          <w:tcPr>
            <w:tcW w:w="1872" w:type="pct"/>
            <w:vAlign w:val="center"/>
          </w:tcPr>
          <w:p w14:paraId="0DC78B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725327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1、配置850万像素1/2.5英寸CMOS成像芯片，具备WDR图像数字宽动态功能；</w:t>
            </w:r>
          </w:p>
          <w:p w14:paraId="79C788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2、具备4K30、4K25、1080p60、1080p50、1080p30、1080p25、720p60、720p50等视频输出格式；</w:t>
            </w:r>
          </w:p>
          <w:p w14:paraId="216B33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3、具备12倍光学变焦，水平视角≥80°，水平转动范围：≥+/-110°，垂直转动范围：≥+/-30°；</w:t>
            </w:r>
          </w:p>
          <w:p w14:paraId="450D1E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4、具备254个预置位，≥2路高清视频输出接口。</w:t>
            </w:r>
          </w:p>
          <w:p w14:paraId="4E81209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1A2F3C9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1、具备红外透传功能，实现终端遥控器通过摄像机控制机房内会议终端，方便调试；</w:t>
            </w:r>
          </w:p>
          <w:p w14:paraId="14B15A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2、具备图像倒转功能；</w:t>
            </w:r>
          </w:p>
          <w:p w14:paraId="3ADC775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3、具备本地USB接口软件升级功能。</w:t>
            </w:r>
          </w:p>
          <w:p w14:paraId="5D2252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服务要求：</w:t>
            </w:r>
          </w:p>
          <w:p w14:paraId="26571A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2A4473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2</w:t>
            </w:r>
          </w:p>
        </w:tc>
        <w:tc>
          <w:tcPr>
            <w:tcW w:w="445" w:type="pct"/>
            <w:vAlign w:val="center"/>
          </w:tcPr>
          <w:p w14:paraId="278E4B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1F44D2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1F67B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087F2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19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62A6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C50DD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会议一体机</w:t>
            </w:r>
          </w:p>
        </w:tc>
        <w:tc>
          <w:tcPr>
            <w:tcW w:w="1872" w:type="pct"/>
            <w:vAlign w:val="center"/>
          </w:tcPr>
          <w:p w14:paraId="23227F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1.屏幕实际显示尺寸：≥110寸；显示分辨率：3840×2160；显示比例：16:9；响应时间：≤4毫秒，亮度：≥500cd/㎡；对比度：≥5000：1；可视角度：≥178°；</w:t>
            </w:r>
          </w:p>
          <w:p w14:paraId="16C0C9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2.显示颜色：1.07B（10bit） ；色域：≥95%；透光率＞95%；</w:t>
            </w:r>
          </w:p>
          <w:p w14:paraId="2242BB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3.整机采用金属结构一体化设计，外部无可见内部功能模块的连接线，表面无尖锐边缘或突起，整体设计安全，牢固，美观。</w:t>
            </w:r>
          </w:p>
          <w:p w14:paraId="6AF510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4.屏幕表面采用全钢化防眩光玻璃，表面硬度≥9H；</w:t>
            </w:r>
          </w:p>
          <w:p w14:paraId="10FA63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5.采用红外多点触摸感应技术，在Windows系统下可支持≥20点触摸。触摸精准度：≤1mm；光标速度：≥300点/秒；</w:t>
            </w:r>
          </w:p>
          <w:p w14:paraId="6EB8D6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6.整机内置高清摄像头，非外接摄像头不占用设备接口，外部无可见连接线，可拍摄不低于1300万像素数的照片，对角角度≥135°</w:t>
            </w:r>
          </w:p>
          <w:p w14:paraId="1F7A0D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7.系统配置：内存≥3G，存储内存≥32G。</w:t>
            </w:r>
          </w:p>
          <w:p w14:paraId="64A2DC3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8.常用外接接口：USB接口≥2路、Type-C接口≥1路、HDMI接口≥1路</w:t>
            </w:r>
          </w:p>
          <w:p w14:paraId="405AFB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9.采用隐藏式内嵌结构，须具备防撞挡板保护，使用时通过打开挡板，不使用时合上挡板，阻挡灰尘、水汽。</w:t>
            </w:r>
          </w:p>
          <w:p w14:paraId="1D55BA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10.OPS电脑参数：处理器不低于i5 8代，内存：≥8GB，固态硬盘：≥256GB,配置正版激活系统；</w:t>
            </w:r>
          </w:p>
          <w:p w14:paraId="0FDD3C1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r>
              <w:rPr>
                <w:rFonts w:hint="eastAsia" w:ascii="宋体" w:hAnsi="宋体" w:eastAsia="宋体" w:cs="宋体"/>
                <w:i w:val="0"/>
                <w:iCs w:val="0"/>
                <w:color w:val="auto"/>
                <w:kern w:val="0"/>
                <w:sz w:val="24"/>
                <w:szCs w:val="24"/>
                <w:highlight w:val="none"/>
                <w:u w:val="none"/>
                <w:lang w:val="en-US" w:eastAsia="zh-CN" w:bidi="ar"/>
              </w:rPr>
              <w:t>模块具有多个独立非外扩展的电脑USB3.0接口,不少于3路，具</w:t>
            </w:r>
            <w:r>
              <w:rPr>
                <w:rFonts w:hint="eastAsia" w:ascii="宋体" w:hAnsi="宋体" w:eastAsia="宋体" w:cs="宋体"/>
                <w:i w:val="0"/>
                <w:iCs w:val="0"/>
                <w:color w:val="000000"/>
                <w:kern w:val="0"/>
                <w:sz w:val="24"/>
                <w:szCs w:val="24"/>
                <w:highlight w:val="none"/>
                <w:u w:val="none"/>
                <w:lang w:val="en-US" w:eastAsia="zh-CN" w:bidi="ar"/>
              </w:rPr>
              <w:t>有独立非外扩展的视频输出接口：≥2路HDMI。</w:t>
            </w:r>
          </w:p>
          <w:p w14:paraId="6AB80737">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09C7D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85AD0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EF5D8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C5DC41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A5895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F3F95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FA7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82EAB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w:t>
            </w:r>
          </w:p>
        </w:tc>
        <w:tc>
          <w:tcPr>
            <w:tcW w:w="4566" w:type="pct"/>
            <w:gridSpan w:val="7"/>
            <w:vAlign w:val="center"/>
          </w:tcPr>
          <w:p w14:paraId="3510CD09">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3楼报告厅</w:t>
            </w:r>
          </w:p>
        </w:tc>
      </w:tr>
      <w:tr w14:paraId="0C89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E3416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39F6D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音箱</w:t>
            </w:r>
          </w:p>
        </w:tc>
        <w:tc>
          <w:tcPr>
            <w:tcW w:w="1872" w:type="pct"/>
            <w:vAlign w:val="center"/>
          </w:tcPr>
          <w:p w14:paraId="1A05BF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1.频率响应：60 Hz ~18 kHz</w:t>
            </w:r>
          </w:p>
          <w:p w14:paraId="3A622B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2.指向性：50°-100°(水平)55°(垂直)</w:t>
            </w:r>
          </w:p>
          <w:p w14:paraId="35A006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3.灵敏度(@1W/1m)：≥96 dB SPL</w:t>
            </w:r>
          </w:p>
          <w:p w14:paraId="7252DB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4.扬声器功率：≥400W</w:t>
            </w:r>
          </w:p>
          <w:p w14:paraId="3B5E4D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5.阻抗：8Ω</w:t>
            </w:r>
          </w:p>
          <w:p w14:paraId="1C61B9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6.最大声压级：≥122 dB</w:t>
            </w:r>
          </w:p>
          <w:p w14:paraId="027A6D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7.扬声器单元：LF 1x12"(75mm音圈)低音单元</w:t>
            </w:r>
          </w:p>
          <w:p w14:paraId="7D877E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8.材料:≥18mm多层夹板</w:t>
            </w:r>
          </w:p>
          <w:p w14:paraId="53F8F9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9.颜色:支持定制颜色</w:t>
            </w:r>
          </w:p>
          <w:p w14:paraId="5B0474F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2"/>
                <w:sz w:val="24"/>
                <w:szCs w:val="24"/>
                <w:highlight w:val="none"/>
                <w:u w:val="none"/>
                <w:lang w:val="en-US" w:eastAsia="zh-CN" w:bidi="ar-SA"/>
              </w:rPr>
              <w:t>10.</w:t>
            </w:r>
            <w:r>
              <w:rPr>
                <w:rFonts w:hint="eastAsia" w:ascii="宋体" w:hAnsi="宋体" w:eastAsia="宋体" w:cs="宋体"/>
                <w:i w:val="0"/>
                <w:iCs w:val="0"/>
                <w:color w:val="000000"/>
                <w:kern w:val="0"/>
                <w:sz w:val="24"/>
                <w:szCs w:val="24"/>
                <w:highlight w:val="none"/>
                <w:u w:val="none"/>
                <w:lang w:val="en-US" w:eastAsia="zh-CN" w:bidi="ar"/>
              </w:rPr>
              <w:t>产品配有安装支架</w:t>
            </w:r>
          </w:p>
          <w:p w14:paraId="7D1D5AB7">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BF1A4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2B0D0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37B38E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4313BB7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0E4BD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2614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6BB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567D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23420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1872" w:type="pct"/>
            <w:vAlign w:val="center"/>
          </w:tcPr>
          <w:p w14:paraId="0F79DA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性能要求：</w:t>
            </w:r>
          </w:p>
          <w:p w14:paraId="7CA592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1.输出功率：立体声8Ω：≥600W×2；立体声4Ω：≥750W×2；</w:t>
            </w:r>
          </w:p>
          <w:p w14:paraId="0BFC93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2.频率响应 20Hz-20KHz(+0,-5dB) ；</w:t>
            </w:r>
          </w:p>
          <w:p w14:paraId="78E4AC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3.输入阻抗 20KΩ(平衡)；10KΩ(不平衡) ；</w:t>
            </w:r>
          </w:p>
          <w:p w14:paraId="4D3E88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4.灵敏度 ≤1000mV ；</w:t>
            </w:r>
          </w:p>
          <w:p w14:paraId="3DC6C3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5.谐波失真：≤0.3% ；</w:t>
            </w:r>
          </w:p>
          <w:p w14:paraId="5B1F2F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6.信噪比：≥93dB ；</w:t>
            </w:r>
          </w:p>
          <w:p w14:paraId="5DB02A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7.阻尼系数：≥200。</w:t>
            </w:r>
          </w:p>
          <w:p w14:paraId="32F1AFE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功能要求：</w:t>
            </w:r>
          </w:p>
          <w:p w14:paraId="65E752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1.电源采用开关电源技术，效率高，有效的抑制电源谐波，具有自恢复式短路保护功能，动作时不用跳继电器，短路故障解除后电路自动恢复工作状态；</w:t>
            </w:r>
          </w:p>
          <w:p w14:paraId="03C0C55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2.具有过压保护，欠压保护，过流保护，直流保护，输出短路保护，温控风扇等功能。</w:t>
            </w:r>
          </w:p>
          <w:p w14:paraId="60E74A6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179B65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44FA9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3AF046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44F76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FC88C6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9A26C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3A7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467B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088A97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无线手持话筒</w:t>
            </w:r>
          </w:p>
        </w:tc>
        <w:tc>
          <w:tcPr>
            <w:tcW w:w="1872" w:type="pct"/>
            <w:vAlign w:val="center"/>
          </w:tcPr>
          <w:p w14:paraId="457A96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1.具有自动频率扫描功能，可快速地给麦克风找到清晰的频率。</w:t>
            </w:r>
          </w:p>
          <w:p w14:paraId="0C7B21A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2.具备混响调节功能，比例调节、延时调节、电平调节≥25个档位。</w:t>
            </w:r>
          </w:p>
          <w:p w14:paraId="58D041B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3.具有自动静音功能，麦克风跌落、抛掷时，毫秒级响应自动静音，避免冲击声；产品静置5秒自动静音。</w:t>
            </w:r>
          </w:p>
          <w:p w14:paraId="4471321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4.频率范围等同或优于540MHz-590MHz、640MHz-690MHz。</w:t>
            </w:r>
          </w:p>
          <w:p w14:paraId="600FF4F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5.接收机具有≥2路平衡输出、≥1路非平衡混音输出。</w:t>
            </w:r>
          </w:p>
          <w:p w14:paraId="4E789E3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077359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65C377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52F7F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2BA5F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01E86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1324F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B7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F7E5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217986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UHF指向性放大天线</w:t>
            </w:r>
          </w:p>
        </w:tc>
        <w:tc>
          <w:tcPr>
            <w:tcW w:w="1872" w:type="pct"/>
            <w:vAlign w:val="center"/>
          </w:tcPr>
          <w:p w14:paraId="4E4A70F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1.八通道低损耗天线分配电路设计，4套单频道自动选讯接收机可共同一对天线；</w:t>
            </w:r>
          </w:p>
          <w:p w14:paraId="3C84E8C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2.单一方向接收天线，能有效减少其他设备对接收机的干扰；</w:t>
            </w:r>
          </w:p>
          <w:p w14:paraId="4D12AA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3.高增益设计，能有效增加接收距离，使无线麦克风接收信号更加稳定；</w:t>
            </w:r>
          </w:p>
          <w:p w14:paraId="3E4BEB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4.宽频带，覆盖所有无线麦克风UHF频段，通用性更强；</w:t>
            </w:r>
          </w:p>
          <w:p w14:paraId="00D88F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5.天线输入阻抗：50Ω 天线输出阻抗：50Ω；</w:t>
            </w:r>
          </w:p>
          <w:p w14:paraId="5BAD8D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6.天线输入插座：BNC 天线输出插座：BNC；</w:t>
            </w:r>
          </w:p>
          <w:p w14:paraId="00A891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7.增益：3dB；</w:t>
            </w:r>
          </w:p>
          <w:p w14:paraId="1DD2D4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8.工作频带：≥500MHz；</w:t>
            </w:r>
          </w:p>
          <w:p w14:paraId="0C0F22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9.供电：DC12-18V 3000Ma；</w:t>
            </w:r>
          </w:p>
          <w:p w14:paraId="071A94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10.定向宽频天线：2块                                                                                            </w:t>
            </w:r>
          </w:p>
          <w:p w14:paraId="49FD00CB">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11.二分八天线分配器：1台。</w:t>
            </w:r>
          </w:p>
          <w:p w14:paraId="42D4D6F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142C58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EA066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1EF19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50836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C87D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3367EB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C1B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C6B24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0737F1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专用延长线</w:t>
            </w:r>
          </w:p>
        </w:tc>
        <w:tc>
          <w:tcPr>
            <w:tcW w:w="1872" w:type="pct"/>
            <w:vAlign w:val="center"/>
          </w:tcPr>
          <w:p w14:paraId="4B3124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用于天线到分配器之间的连接</w:t>
            </w:r>
          </w:p>
        </w:tc>
        <w:tc>
          <w:tcPr>
            <w:tcW w:w="458" w:type="pct"/>
            <w:vAlign w:val="center"/>
          </w:tcPr>
          <w:p w14:paraId="69A127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2F4985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443" w:type="pct"/>
            <w:vAlign w:val="center"/>
          </w:tcPr>
          <w:p w14:paraId="73A533E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920192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5D188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201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FABDC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6B67E6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数字会议主机</w:t>
            </w:r>
          </w:p>
        </w:tc>
        <w:tc>
          <w:tcPr>
            <w:tcW w:w="1872" w:type="pct"/>
            <w:vAlign w:val="center"/>
          </w:tcPr>
          <w:p w14:paraId="71ACB0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1.会议控制主机最多可连接128台会议单元，通过会议扩展主机，一套会议系统最多可接入4096台会议单元。</w:t>
            </w:r>
          </w:p>
          <w:p w14:paraId="1C8384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2.8芯航空插头连接，“手拉手”连接方式。</w:t>
            </w:r>
          </w:p>
          <w:p w14:paraId="348F30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3.具有同时发言人数限制（1/2/3/4/5/6）设置功能。</w:t>
            </w:r>
          </w:p>
          <w:p w14:paraId="69F243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4.具有投票表决，发言限制等数据管理功能。</w:t>
            </w:r>
          </w:p>
          <w:p w14:paraId="33625A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5.系统显示字幕中/英文两种语言可选择。</w:t>
            </w:r>
          </w:p>
          <w:p w14:paraId="0A0057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6.内置DSP数字音效处理器，包括低频切除和均衡器等。</w:t>
            </w:r>
          </w:p>
          <w:p w14:paraId="62E5CA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7.可以全程会议录音，有自动录音和手动录音两种录音方式可选。</w:t>
            </w:r>
          </w:p>
          <w:p w14:paraId="70D4EB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8.具有单元检测功能，具有自动检测和手动检测两种检测方式。</w:t>
            </w:r>
          </w:p>
          <w:p w14:paraId="029F2F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9.具有发言定时和定时发言结束提醒倒计时功能。发言定时功能可以设置单元的发言时间，也可关闭发言定时，即不做限制。</w:t>
            </w:r>
          </w:p>
          <w:p w14:paraId="2BA5A3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10.具有一个RS232串口，可实现与中控系统的无缝连接；一个RS422串口，连接摄像头控制线，实现对摄像头的集中控制。</w:t>
            </w:r>
          </w:p>
          <w:p w14:paraId="42B3B1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11.具有+5V告警触发电压输入接口，与报警音频输入接口结合实现紧急告警强插功能。</w:t>
            </w:r>
          </w:p>
          <w:p w14:paraId="1B07CE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12.具有TCP/IP网络协议下的RJ45接口，连接网络，通过PC端软件控制系统的全部功能。</w:t>
            </w:r>
          </w:p>
          <w:p w14:paraId="571DF2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13.外壳采用全金属材料设计，线路与外壳都加强了与地线的连接，2U标准机箱，可安装在19英寸标准机柜。</w:t>
            </w:r>
          </w:p>
          <w:p w14:paraId="406E50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14.设备具有会议发言录音功能；搭配会议话筒可以录制单个话筒发言音频或录制所有话筒混音输出音频。</w:t>
            </w:r>
          </w:p>
          <w:p w14:paraId="2145FD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15.系统具备显示中/英文两种语言字幕。</w:t>
            </w:r>
          </w:p>
          <w:p w14:paraId="15F39B6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16.具备环形手拉手功能，确保在其中的一条网线断开或者话筒出现故障时，会议能继续正常进行。</w:t>
            </w:r>
          </w:p>
          <w:p w14:paraId="4A0E614E">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03C892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2AB634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8B874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9B29B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9295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6EE9BE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270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59FDD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780AFF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桌面式触摸主席单元</w:t>
            </w:r>
          </w:p>
        </w:tc>
        <w:tc>
          <w:tcPr>
            <w:tcW w:w="1872" w:type="pct"/>
            <w:vAlign w:val="center"/>
          </w:tcPr>
          <w:p w14:paraId="41A94F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1、桌面式安装，通过CAT6网线连接。</w:t>
            </w:r>
          </w:p>
          <w:p w14:paraId="6BB36C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2、主席单元具备会议控制功能，可批准代表单元的发言申请，可强行关闭正在发言的代表单元。</w:t>
            </w:r>
          </w:p>
          <w:p w14:paraId="075600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3、电容式心型指向性拾音器，带双色指示灯。</w:t>
            </w:r>
          </w:p>
          <w:p w14:paraId="3D756C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4、电容触摸按键设计，无机械按键声，具备按键签到功能。</w:t>
            </w:r>
          </w:p>
          <w:p w14:paraId="2FD875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5、具有3.5mm立体声耳机插口，具备音量大小调节。</w:t>
            </w:r>
          </w:p>
          <w:p w14:paraId="2C01B3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6、具备自动摄像跟踪功能。</w:t>
            </w:r>
          </w:p>
          <w:p w14:paraId="2EA14B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7、采用数字音频流处理技术，内置全频压限电路，音质清晰浑厚。</w:t>
            </w:r>
          </w:p>
          <w:p w14:paraId="7A0C698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8、咪杆长度：≥420mm。</w:t>
            </w:r>
          </w:p>
          <w:p w14:paraId="774574D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9、工作电压：DC24V，由会议主机直接供电。</w:t>
            </w:r>
          </w:p>
          <w:p w14:paraId="7DABD03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712F9C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F9527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F6C49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8BC99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50CFF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C731AF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4C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7B17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661DC8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桌面式触摸代表单元</w:t>
            </w:r>
          </w:p>
        </w:tc>
        <w:tc>
          <w:tcPr>
            <w:tcW w:w="1872" w:type="pct"/>
            <w:vAlign w:val="center"/>
          </w:tcPr>
          <w:p w14:paraId="39F88F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1、桌面式安装，通过CAT6网线连接。</w:t>
            </w:r>
          </w:p>
          <w:p w14:paraId="2D3080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2、电容式心型指向性拾音器，带双色指示灯。</w:t>
            </w:r>
          </w:p>
          <w:p w14:paraId="06D4CE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3、电容触摸按键设计，无机械按键声，具备按键签到功能。</w:t>
            </w:r>
          </w:p>
          <w:p w14:paraId="14942B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4、具有3.5mm立体声耳机插口，具备音量大小调节。</w:t>
            </w:r>
          </w:p>
          <w:p w14:paraId="3F727D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5、具备自动摄像跟踪功能。</w:t>
            </w:r>
          </w:p>
          <w:p w14:paraId="3AA170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6、采用数字音频流处理技术，内置全频压限电路，音质清晰浑厚。</w:t>
            </w:r>
          </w:p>
          <w:p w14:paraId="444BAD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7、咪杆长度：≥420mm。</w:t>
            </w:r>
          </w:p>
          <w:p w14:paraId="2145EE0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8、工作电压：DC24V，由会议主机直接供电。</w:t>
            </w:r>
          </w:p>
          <w:p w14:paraId="5F05374E">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007BB5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133A0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45" w:type="pct"/>
            <w:vAlign w:val="center"/>
          </w:tcPr>
          <w:p w14:paraId="15C497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6C8FE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77020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9BC43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8B8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A474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7A1A7A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会议延长线</w:t>
            </w:r>
          </w:p>
        </w:tc>
        <w:tc>
          <w:tcPr>
            <w:tcW w:w="1872" w:type="pct"/>
            <w:vAlign w:val="center"/>
          </w:tcPr>
          <w:p w14:paraId="2AE289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用于数字会议主机与发言单元之间的不少于20米专用连接线。</w:t>
            </w:r>
          </w:p>
        </w:tc>
        <w:tc>
          <w:tcPr>
            <w:tcW w:w="458" w:type="pct"/>
            <w:vAlign w:val="center"/>
          </w:tcPr>
          <w:p w14:paraId="43B84D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331A1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1F381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14CC8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08A23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4CA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E0E3C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2290CA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数字调音台</w:t>
            </w:r>
          </w:p>
        </w:tc>
        <w:tc>
          <w:tcPr>
            <w:tcW w:w="1872" w:type="pct"/>
            <w:vAlign w:val="center"/>
          </w:tcPr>
          <w:p w14:paraId="644FF4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1.具备≥16路MIC和LINE联合输入接口，配备有≥16路麦克风前级放大器；</w:t>
            </w:r>
          </w:p>
          <w:p w14:paraId="653CEE8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2.提供≥4路线性输入接口；</w:t>
            </w:r>
          </w:p>
          <w:p w14:paraId="45A5E5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3.提供≥8路断点插入；</w:t>
            </w:r>
          </w:p>
          <w:p w14:paraId="37776B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4.提供≥2组立体主输出、≥8路辅助输出、≥1组立体监听输出、≥2个耳机监听输出；</w:t>
            </w:r>
          </w:p>
          <w:p w14:paraId="61CC72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5.具备场景记忆功能，可保存、调用≥24组场景；</w:t>
            </w:r>
          </w:p>
          <w:p w14:paraId="0FCC4A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6.具备DCA分组功能，可以把几个输入信号编成1组来控制音量大小；</w:t>
            </w:r>
          </w:p>
          <w:p w14:paraId="19FA7B9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7.具备复制功能，可快速调试完成设置通道；锁定、解锁、密码修改功能，有效防止误操作；</w:t>
            </w:r>
          </w:p>
          <w:p w14:paraId="3AC6B866">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8.具备数字信号输入和数字信号输出功能且可独立开关；</w:t>
            </w:r>
          </w:p>
          <w:p w14:paraId="0C5B26C2">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49F309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6FF367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6A5F04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2CA948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93868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A7CD2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85A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4FFF5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55545F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1872" w:type="pct"/>
            <w:vAlign w:val="center"/>
          </w:tcPr>
          <w:p w14:paraId="32452A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1.具有液晶显示屏，具备显示设备网络信息、实时电平、通道静音状态、矩阵混音状态。</w:t>
            </w:r>
          </w:p>
          <w:p w14:paraId="10E45F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2.具备对接中控系统进行操作控制。</w:t>
            </w:r>
          </w:p>
          <w:p w14:paraId="6B3A98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3.配置双向RS-232接口，可用于控制外部设备；配置RS-485接口，可实现自动摄像跟踪功能。配置≥8通道可编程GPIO控制接口（可自定义输入输出）；</w:t>
            </w:r>
          </w:p>
          <w:p w14:paraId="71B56C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4.具备断电自动保护记忆功能。具备通道拷贝、粘贴、联控功能。具备通过浏览器访问设备，下载自带管理控制软件；</w:t>
            </w:r>
          </w:p>
          <w:p w14:paraId="64B474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5.数字音频处理器具备不小于8路平衡式话筒/线路输入通道，采用裸线接口端子，平衡接法；具备不小于8路平衡式线路输出，采用裸线接口端子，平衡接法；</w:t>
            </w:r>
          </w:p>
          <w:p w14:paraId="138DCAD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6.输入通道具备前级放大、信号发生器、扩展器、压缩器、≥5段参量均衡、AM自动混音功能、AFC自适应反馈消除、AEC回声消除、ANC噪声消除。</w:t>
            </w:r>
          </w:p>
          <w:p w14:paraId="57ED1FB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AE6ED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705413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502EB9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7376FA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179F1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B22AA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509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045CE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12</w:t>
            </w:r>
          </w:p>
        </w:tc>
        <w:tc>
          <w:tcPr>
            <w:tcW w:w="577" w:type="pct"/>
            <w:vAlign w:val="center"/>
          </w:tcPr>
          <w:p w14:paraId="073B11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音频处理器</w:t>
            </w:r>
          </w:p>
        </w:tc>
        <w:tc>
          <w:tcPr>
            <w:tcW w:w="1872" w:type="pct"/>
            <w:vAlign w:val="center"/>
          </w:tcPr>
          <w:p w14:paraId="1F27BE5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1.具备不小于32-bit DSP处理器；</w:t>
            </w:r>
          </w:p>
          <w:p w14:paraId="18AF91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2.均衡器具备不小于30段图示均衡器和8段参量均衡器；</w:t>
            </w:r>
          </w:p>
          <w:p w14:paraId="50307F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3.具有不小于48个陷波器状态LED指示灯实时显示，每通道≥12个静态+≥12个动态陷波器；</w:t>
            </w:r>
          </w:p>
          <w:p w14:paraId="2CAA92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4.具有自动增益功能，声音达到一定峰值自动衰减变小，声音较小则自动增益放大；</w:t>
            </w:r>
          </w:p>
          <w:p w14:paraId="27B487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5.具备设备定位功能、断电自动保护记忆功能；</w:t>
            </w:r>
          </w:p>
          <w:p w14:paraId="5303A050">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6.具备通过后台管理软件对多台设备进行批量升级功能。</w:t>
            </w:r>
          </w:p>
          <w:p w14:paraId="156F16F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4D7EB7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60B62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04123C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56E8242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435DD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FA8AD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9C3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5695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13</w:t>
            </w:r>
          </w:p>
        </w:tc>
        <w:tc>
          <w:tcPr>
            <w:tcW w:w="577" w:type="pct"/>
            <w:vAlign w:val="center"/>
          </w:tcPr>
          <w:p w14:paraId="3B52BD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电源时序器</w:t>
            </w:r>
          </w:p>
        </w:tc>
        <w:tc>
          <w:tcPr>
            <w:tcW w:w="1872" w:type="pct"/>
            <w:vAlign w:val="center"/>
          </w:tcPr>
          <w:p w14:paraId="49FD7A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1.机柜式设计，黑色氧化铝拉丝面板；</w:t>
            </w:r>
          </w:p>
          <w:p w14:paraId="1E48ED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2.可与定时器、智能控制器相连接，实现自动控制；支持配置CH1和CH2通道为受控或不受控状态；</w:t>
            </w:r>
          </w:p>
          <w:p w14:paraId="53A44E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3.支持≥8路电源输出，具有≥8个AC220V(10A)， 电源插口总容量达≥6KVA；</w:t>
            </w:r>
          </w:p>
          <w:p w14:paraId="340207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4.可手动控制≥8个电源上断电；</w:t>
            </w:r>
          </w:p>
          <w:p w14:paraId="36BFAAF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5.具备≥1路24V消防信号输入接口；≥1路消防短路报警触发信号输出。</w:t>
            </w:r>
          </w:p>
          <w:p w14:paraId="37DD333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2643F5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44E0F2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1</w:t>
            </w:r>
          </w:p>
        </w:tc>
        <w:tc>
          <w:tcPr>
            <w:tcW w:w="445" w:type="pct"/>
            <w:vAlign w:val="center"/>
          </w:tcPr>
          <w:p w14:paraId="16AA33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511977E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127C3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08CCE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BC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3197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8.4</w:t>
            </w:r>
          </w:p>
        </w:tc>
        <w:tc>
          <w:tcPr>
            <w:tcW w:w="4566" w:type="pct"/>
            <w:gridSpan w:val="7"/>
            <w:vAlign w:val="center"/>
          </w:tcPr>
          <w:p w14:paraId="353E8D0D">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36人会议室</w:t>
            </w:r>
          </w:p>
        </w:tc>
      </w:tr>
      <w:tr w14:paraId="55CD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1301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8129B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会议一体机</w:t>
            </w:r>
          </w:p>
        </w:tc>
        <w:tc>
          <w:tcPr>
            <w:tcW w:w="1872" w:type="pct"/>
            <w:vAlign w:val="center"/>
          </w:tcPr>
          <w:p w14:paraId="3DB90FC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1.屏幕实际显示尺寸：≥110寸；显示分辨率：3840×2160；显示比例：16:9；响应时间：≤4毫秒，亮度：≥500cd/㎡；对比度：≥5000：1；可视角度：≥178°；</w:t>
            </w:r>
          </w:p>
          <w:p w14:paraId="54AFDDC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2.显示颜色：1.07B（10bit） ；色域：≥95%；透光率＞95%；</w:t>
            </w:r>
          </w:p>
          <w:p w14:paraId="00142A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3.整机采用金属结构一体化设计，外部无可见内部功能模块的连接线，表面无尖锐边缘或突起，整体设计安全，牢固，美观。</w:t>
            </w:r>
          </w:p>
          <w:p w14:paraId="623494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4.屏幕表面采用全钢化防眩光玻璃，表面硬度≥9H；</w:t>
            </w:r>
          </w:p>
          <w:p w14:paraId="37F31A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5.采用红外多点触摸感应技术，在Windows系统下可支持≥20点触摸。触摸精准度：≤1mm；光标速度：≥300点/秒；</w:t>
            </w:r>
          </w:p>
          <w:p w14:paraId="60FF01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6.整机内置高清摄像头，非外接摄像头不占用设备接口，外部无可见连接线，可拍摄不低于1300万像素数的照片，对角角度≥135°；</w:t>
            </w:r>
          </w:p>
          <w:p w14:paraId="490441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7.系统配置：内存≥3G，存储内存≥32G；</w:t>
            </w:r>
          </w:p>
          <w:p w14:paraId="2DFA21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8.常用外接接口：USB接口≥2路、Type-C接口≥1路、HDMI接口≥1路；</w:t>
            </w:r>
          </w:p>
          <w:p w14:paraId="1F2A32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9.采用隐藏式内嵌结构，须具备防撞挡板保护，使用时通过打开挡板，不使用时合上挡板，阻挡灰尘、水汽；</w:t>
            </w:r>
          </w:p>
          <w:p w14:paraId="349E67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10.OPS电脑参数：处理器不低于i5 8代，内存：≥8GB，固态硬盘：≥256GB,配置正版激活系统；</w:t>
            </w:r>
          </w:p>
          <w:p w14:paraId="0A9D335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11.模块具有多个独立非外扩展的电脑USB3.0接口,不少于3路，具有独立非外扩展的视频输出接口：≥2路HDMI。</w:t>
            </w:r>
          </w:p>
          <w:p w14:paraId="2E3D846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75F897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7F7CD5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023CF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CC1C4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D6B6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A8BB5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DA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78FC8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w:t>
            </w:r>
          </w:p>
        </w:tc>
        <w:tc>
          <w:tcPr>
            <w:tcW w:w="4566" w:type="pct"/>
            <w:gridSpan w:val="7"/>
            <w:vAlign w:val="center"/>
          </w:tcPr>
          <w:p w14:paraId="2F6CCD4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党员活动室</w:t>
            </w:r>
          </w:p>
        </w:tc>
      </w:tr>
      <w:tr w14:paraId="615C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C2B64E">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577" w:type="pct"/>
            <w:vAlign w:val="center"/>
          </w:tcPr>
          <w:p w14:paraId="17A4EC9C">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会议一体机</w:t>
            </w:r>
          </w:p>
        </w:tc>
        <w:tc>
          <w:tcPr>
            <w:tcW w:w="1872" w:type="pct"/>
            <w:vAlign w:val="center"/>
          </w:tcPr>
          <w:p w14:paraId="5146FED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1.屏幕实际显示尺寸：≥86寸；显示分辨率：3840×2160；显示比例：16:9；响应时间：≤4毫秒，亮度：≥500cd/㎡；对比度：≥5000：1；可视角度：≥178°；</w:t>
            </w:r>
          </w:p>
          <w:p w14:paraId="0183168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2.显示颜色：1.07B（10bit） ；色域：≥95%；透光率＞95%；</w:t>
            </w:r>
          </w:p>
          <w:p w14:paraId="0C5D8B4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3.整机采用金属结构一体化设计，外部无可见内部功能模块的连接线，表面无尖锐边缘或突起，整体设计安全，牢固，美观；</w:t>
            </w:r>
          </w:p>
          <w:p w14:paraId="69E56CA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4.屏幕表面采用全钢化防眩光玻璃，表面硬度≥9H；</w:t>
            </w:r>
          </w:p>
          <w:p w14:paraId="706C39D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5.采用红外多点触摸感应技术，在Windows系统下可支持≥20点触摸。触摸精准度：≤1mm；光标速度：≥300点/秒；</w:t>
            </w:r>
          </w:p>
          <w:p w14:paraId="4A66896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6.整机内置高清摄像头，非外接摄像头不占用设备接口，外部无可见连接线，可拍摄不低于1300万像素数的照片；</w:t>
            </w:r>
          </w:p>
          <w:p w14:paraId="53F160B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7.系统配置：内存≥3G，存储内存≥32G；</w:t>
            </w:r>
          </w:p>
          <w:p w14:paraId="24A2FC5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8.常用外接接口：USB接口≥2路、Type-C接口≥1路、HDMI接口≥1路；</w:t>
            </w:r>
          </w:p>
          <w:p w14:paraId="5F48B6B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9.采用隐藏式内嵌结构，须具备防撞挡板保护，使用时通过打开挡板，不使用时合上挡板，阻挡灰尘、水汽；</w:t>
            </w:r>
          </w:p>
          <w:p w14:paraId="0B3F8EF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10.OPS电脑参数：处理器不低于i5 8代，内存：≥8GB，固态硬盘：≥256GB,配置正版激活系统；</w:t>
            </w:r>
          </w:p>
          <w:p w14:paraId="7CBEECF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11.模块具有多个独立非外扩展的电脑USB3.0接口,不少于3路，具有独立非外扩展的视频输出接口：≥2路HDMI。</w:t>
            </w:r>
          </w:p>
          <w:p w14:paraId="1674142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服务要求：</w:t>
            </w:r>
          </w:p>
          <w:p w14:paraId="39DE68D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1C7773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69A16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8A759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271E2E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B1A3D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363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BBF3FB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w:t>
            </w:r>
          </w:p>
        </w:tc>
        <w:tc>
          <w:tcPr>
            <w:tcW w:w="4566" w:type="pct"/>
            <w:gridSpan w:val="7"/>
            <w:vAlign w:val="center"/>
          </w:tcPr>
          <w:p w14:paraId="24360DAB">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集中控制系统</w:t>
            </w:r>
          </w:p>
        </w:tc>
      </w:tr>
      <w:tr w14:paraId="34CD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5379A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6768E885">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城市运行管理中心及1-3层办公区</w:t>
            </w:r>
          </w:p>
        </w:tc>
      </w:tr>
      <w:tr w14:paraId="434B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72051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577" w:type="pct"/>
            <w:vAlign w:val="center"/>
          </w:tcPr>
          <w:p w14:paraId="3E7E0223">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 w:val="0"/>
                <w:bCs w:val="0"/>
                <w:sz w:val="24"/>
                <w:szCs w:val="24"/>
                <w:highlight w:val="none"/>
                <w:lang w:val="en-US" w:eastAsia="zh-CN"/>
              </w:rPr>
              <w:t>中央控制主机</w:t>
            </w:r>
          </w:p>
        </w:tc>
        <w:tc>
          <w:tcPr>
            <w:tcW w:w="1872" w:type="pct"/>
            <w:vAlign w:val="center"/>
          </w:tcPr>
          <w:p w14:paraId="48ADF72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1.支持多操作系统，如麒麟、鸿蒙等。</w:t>
            </w:r>
          </w:p>
          <w:p w14:paraId="7F7BFA7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2.ARM 64位内嵌式处理器，主频≥1.8GHz的；内存≥3G；存储内存≥32G。</w:t>
            </w:r>
          </w:p>
          <w:p w14:paraId="7E67136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3.支持8个多功能串口（RS232/422/485）,支持8个IR红外接口，支持8个I/O接口，支持10个弱电继电器，支持双网口。</w:t>
            </w:r>
          </w:p>
          <w:p w14:paraId="33BAFC1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4.设备支持7×24小时工作；支持双机冗余备份；支持背板双总线冗余备份；风扇转速可进行自动调节和手动调节，支持风扇工作状态检测和告警。</w:t>
            </w:r>
          </w:p>
          <w:p w14:paraId="1AFD401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5.支持B/S架构，支持B/S端编程和操控，无需安装软件，直接通过浏览器访问控制主机IP地址进行编程和操控。支持多操作系统操控和管理。</w:t>
            </w:r>
          </w:p>
          <w:p w14:paraId="12BD7B5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6.支持添加和管控多种设备，支持视频设备、控制网关、音频设备、环境设备管理、IPC、IP电源控制器，对设备进行统一集中管控；支持拼接器叠加、漫游、开窗、切换、场景调用控制。</w:t>
            </w:r>
          </w:p>
          <w:p w14:paraId="244D413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7.支持摄像机云台控制，可实时监看摄像机信号，支持对前端设备的动作进行遥控，包括摄像机方向控制、变倍调焦控制、保存调用预置位功能。</w:t>
            </w:r>
          </w:p>
          <w:p w14:paraId="2A6DB9A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8.可视化音频控制，可以控制音量大小、切换静音模式、音频通道切换、实时声压大小展示、预案保存与调用；支持对设备电源进行控制。</w:t>
            </w:r>
          </w:p>
          <w:p w14:paraId="5B0CE36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9.支持在控制界面中嵌入第三方网页页面，可在中控页面中对第三方网页内容进行显示和控制。</w:t>
            </w:r>
          </w:p>
          <w:p w14:paraId="053184F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14:paraId="554E1B8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6579DA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1</w:t>
            </w:r>
          </w:p>
        </w:tc>
        <w:tc>
          <w:tcPr>
            <w:tcW w:w="445" w:type="pct"/>
            <w:vAlign w:val="center"/>
          </w:tcPr>
          <w:p w14:paraId="3F4E1B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台</w:t>
            </w:r>
          </w:p>
        </w:tc>
        <w:tc>
          <w:tcPr>
            <w:tcW w:w="443" w:type="pct"/>
            <w:vAlign w:val="center"/>
          </w:tcPr>
          <w:p w14:paraId="017E2E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AACDC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25E0F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094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B8EC0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577" w:type="pct"/>
            <w:vAlign w:val="center"/>
          </w:tcPr>
          <w:p w14:paraId="681FD9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 w:val="0"/>
                <w:bCs w:val="0"/>
                <w:sz w:val="24"/>
                <w:szCs w:val="24"/>
                <w:highlight w:val="none"/>
                <w:lang w:val="en-US" w:eastAsia="zh-CN"/>
              </w:rPr>
              <w:t>串口扩展器</w:t>
            </w:r>
          </w:p>
        </w:tc>
        <w:tc>
          <w:tcPr>
            <w:tcW w:w="1872" w:type="pct"/>
            <w:vAlign w:val="center"/>
          </w:tcPr>
          <w:p w14:paraId="7E7B44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8路网络/串口转串口转换器，1路RS232串口输入或一路RJ45网络输入，8路RS-232/422/485串口输出，支持Modbus协议，支持数据双向传输，1U标准机架安装</w:t>
            </w:r>
          </w:p>
        </w:tc>
        <w:tc>
          <w:tcPr>
            <w:tcW w:w="458" w:type="pct"/>
            <w:vAlign w:val="center"/>
          </w:tcPr>
          <w:p w14:paraId="62C4A3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4</w:t>
            </w:r>
          </w:p>
        </w:tc>
        <w:tc>
          <w:tcPr>
            <w:tcW w:w="445" w:type="pct"/>
            <w:vAlign w:val="center"/>
          </w:tcPr>
          <w:p w14:paraId="72BA12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台</w:t>
            </w:r>
          </w:p>
        </w:tc>
        <w:tc>
          <w:tcPr>
            <w:tcW w:w="443" w:type="pct"/>
            <w:vAlign w:val="center"/>
          </w:tcPr>
          <w:p w14:paraId="044BB4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BA111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86629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173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D4C8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577" w:type="pct"/>
            <w:vAlign w:val="center"/>
          </w:tcPr>
          <w:p w14:paraId="493F28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 w:val="0"/>
                <w:bCs w:val="0"/>
                <w:sz w:val="24"/>
                <w:szCs w:val="24"/>
                <w:highlight w:val="none"/>
                <w:lang w:val="en-US" w:eastAsia="zh-CN"/>
              </w:rPr>
              <w:t>中控编程软件</w:t>
            </w:r>
          </w:p>
        </w:tc>
        <w:tc>
          <w:tcPr>
            <w:tcW w:w="1872" w:type="pct"/>
            <w:vAlign w:val="center"/>
          </w:tcPr>
          <w:p w14:paraId="472051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1、实现对周边设备进行控制，包括大屏开关、电视开关、投影机开关、投影机输入切换、幕布升降、灯光开关、灯光明暗度调节、窗帘开关、话筒开关、矩阵切换、音量调节、播放器控制、摄像机云台控制、场景调用。                                                                                                                                                                                                                                                                                                                                           2、可根据实际需求进行定制化。</w:t>
            </w:r>
          </w:p>
        </w:tc>
        <w:tc>
          <w:tcPr>
            <w:tcW w:w="458" w:type="pct"/>
            <w:vAlign w:val="center"/>
          </w:tcPr>
          <w:p w14:paraId="18B46C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1</w:t>
            </w:r>
          </w:p>
        </w:tc>
        <w:tc>
          <w:tcPr>
            <w:tcW w:w="445" w:type="pct"/>
            <w:vAlign w:val="center"/>
          </w:tcPr>
          <w:p w14:paraId="407217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项</w:t>
            </w:r>
          </w:p>
        </w:tc>
        <w:tc>
          <w:tcPr>
            <w:tcW w:w="443" w:type="pct"/>
            <w:vAlign w:val="center"/>
          </w:tcPr>
          <w:p w14:paraId="510B5E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52331F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556B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2F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5DEDE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577" w:type="pct"/>
            <w:vAlign w:val="center"/>
          </w:tcPr>
          <w:p w14:paraId="501404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 w:val="0"/>
                <w:bCs w:val="0"/>
                <w:sz w:val="24"/>
                <w:szCs w:val="24"/>
                <w:highlight w:val="none"/>
                <w:lang w:val="en-US" w:eastAsia="zh-CN"/>
              </w:rPr>
              <w:t>8路机柜电源控制器</w:t>
            </w:r>
          </w:p>
        </w:tc>
        <w:tc>
          <w:tcPr>
            <w:tcW w:w="1872" w:type="pct"/>
            <w:vAlign w:val="center"/>
          </w:tcPr>
          <w:p w14:paraId="08A499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8路时序净化电源，内置电源滤波器，支持前面板按键直控，前面板液晶屏支持电源状态显示，支持网络和RS485控制，支持每路具有独立单独控制，支持AC110-230V、整机最大电流20A、单路13A。</w:t>
            </w:r>
          </w:p>
        </w:tc>
        <w:tc>
          <w:tcPr>
            <w:tcW w:w="458" w:type="pct"/>
            <w:vAlign w:val="center"/>
          </w:tcPr>
          <w:p w14:paraId="0EC575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7</w:t>
            </w:r>
          </w:p>
        </w:tc>
        <w:tc>
          <w:tcPr>
            <w:tcW w:w="445" w:type="pct"/>
            <w:vAlign w:val="center"/>
          </w:tcPr>
          <w:p w14:paraId="147853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台</w:t>
            </w:r>
          </w:p>
        </w:tc>
        <w:tc>
          <w:tcPr>
            <w:tcW w:w="443" w:type="pct"/>
            <w:vAlign w:val="center"/>
          </w:tcPr>
          <w:p w14:paraId="4957FFE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57751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9B2B3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0CA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A8C8B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1893EB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可视化管理平台</w:t>
            </w:r>
          </w:p>
        </w:tc>
        <w:tc>
          <w:tcPr>
            <w:tcW w:w="1872" w:type="pct"/>
            <w:vAlign w:val="center"/>
          </w:tcPr>
          <w:p w14:paraId="21DE73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1、支持KNX接口，可选用建筑视图或平面图自定义背景图像；</w:t>
            </w:r>
          </w:p>
          <w:p w14:paraId="0D6DEE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2、自定义组件显示，多种样式可选，账号和密码登录，多用户账号，权限分级便于管理；</w:t>
            </w:r>
          </w:p>
          <w:p w14:paraId="01FD8B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3、智能照明：实时显示灯光（继电器，调光器，色温灯，RGB灯）的开、关、故障状态，可通过场景、定时任务等复杂功能控制；</w:t>
            </w:r>
          </w:p>
          <w:p w14:paraId="0670A9F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4、窗帘控制：普通窗帘、开合帘、卷帘、新功能支持自动化、群控、场景；</w:t>
            </w:r>
          </w:p>
          <w:p w14:paraId="1E442F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5、空调控制：新功能支持自动化、群控、场景。</w:t>
            </w:r>
          </w:p>
          <w:p w14:paraId="39F42A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6、传感器：支持空气质量传感器、7合1，红外吸顶等河东总线传感器；</w:t>
            </w:r>
          </w:p>
          <w:p w14:paraId="26ADAF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7、modbus设备：支持三方智能电表的电压，电流，功率等信息的监控显示；</w:t>
            </w:r>
          </w:p>
          <w:p w14:paraId="4D2BF6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8、能源管理：分析并计算每天、每周、每月及每年的消耗量，图形化展示。</w:t>
            </w:r>
          </w:p>
        </w:tc>
        <w:tc>
          <w:tcPr>
            <w:tcW w:w="458" w:type="pct"/>
            <w:vAlign w:val="center"/>
          </w:tcPr>
          <w:p w14:paraId="4440BA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92E25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B511DC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2A5706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AD273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21E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81F5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58608D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系统集成网关</w:t>
            </w:r>
          </w:p>
        </w:tc>
        <w:tc>
          <w:tcPr>
            <w:tcW w:w="1872" w:type="pct"/>
            <w:vAlign w:val="center"/>
          </w:tcPr>
          <w:p w14:paraId="7CEBBDC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1、工作电压 21~30V DC、工作电流 20mA/30V DC、辅助电压 20~30V DC、辅助电流 200mA/24V DC、通信协议 KNX，RS485，以太网；</w:t>
            </w:r>
          </w:p>
          <w:p w14:paraId="581940F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2、接口：KNX接口≥1、辅助电源接口≥1、RS485接口≥2、RJ45接口≥1、SD卡卡槽≥1；</w:t>
            </w:r>
          </w:p>
          <w:p w14:paraId="6BBE2D2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3、硬件配置≥1GHz、内存≥4G RAM、8G Flash。</w:t>
            </w:r>
          </w:p>
        </w:tc>
        <w:tc>
          <w:tcPr>
            <w:tcW w:w="458" w:type="pct"/>
            <w:vAlign w:val="center"/>
          </w:tcPr>
          <w:p w14:paraId="3205CE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491CE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537F4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FB4B75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FBFF9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6C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A8862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71E144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触控平板</w:t>
            </w:r>
          </w:p>
        </w:tc>
        <w:tc>
          <w:tcPr>
            <w:tcW w:w="1872" w:type="pct"/>
            <w:vAlign w:val="center"/>
          </w:tcPr>
          <w:p w14:paraId="747D9065">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性能要求：</w:t>
            </w:r>
          </w:p>
          <w:p w14:paraId="4813483E">
            <w:pPr>
              <w:keepNext w:val="0"/>
              <w:keepLines w:val="0"/>
              <w:pageBreakBefore w:val="0"/>
              <w:numPr>
                <w:ilvl w:val="0"/>
                <w:numId w:val="9"/>
              </w:numPr>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屏幕大小≥11寸，分辨率≥2560*1600，刷新率≥120Hz，运行内存≥12G，存储容量≥512G；</w:t>
            </w:r>
          </w:p>
          <w:p w14:paraId="396A1BFE">
            <w:pPr>
              <w:keepNext w:val="0"/>
              <w:keepLines w:val="0"/>
              <w:pageBreakBefore w:val="0"/>
              <w:numPr>
                <w:ilvl w:val="0"/>
                <w:numId w:val="9"/>
              </w:numPr>
              <w:kinsoku/>
              <w:wordWrap w:val="0"/>
              <w:overflowPunct/>
              <w:topLinePunct w:val="0"/>
              <w:autoSpaceDE/>
              <w:autoSpaceDN/>
              <w:bidi w:val="0"/>
              <w:adjustRightInd/>
              <w:snapToGrid/>
              <w:ind w:left="0" w:leftChars="0"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p w14:paraId="0BE708A1">
            <w:pPr>
              <w:keepNext w:val="0"/>
              <w:keepLines w:val="0"/>
              <w:pageBreakBefore w:val="0"/>
              <w:numPr>
                <w:ilvl w:val="0"/>
                <w:numId w:val="0"/>
              </w:numPr>
              <w:kinsoku/>
              <w:wordWrap w:val="0"/>
              <w:overflowPunct/>
              <w:topLinePunct w:val="0"/>
              <w:autoSpaceDE/>
              <w:autoSpaceDN/>
              <w:bidi w:val="0"/>
              <w:adjustRightInd/>
              <w:snapToGrid/>
              <w:ind w:left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0CD756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218BA9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5AE793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014E8A3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A0497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56554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71A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47700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704B9E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逻辑网关</w:t>
            </w:r>
          </w:p>
        </w:tc>
        <w:tc>
          <w:tcPr>
            <w:tcW w:w="1872" w:type="pct"/>
            <w:vAlign w:val="center"/>
          </w:tcPr>
          <w:p w14:paraId="3C1E9B3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1、接口：KNX接口≥1，RS485接口≥1，232接口≥1，RJ45接口≥1；</w:t>
            </w:r>
          </w:p>
          <w:p w14:paraId="55D526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2、逻辑控制，语音控制，远程控制，可视化APP，支持KNX IP Router模式；</w:t>
            </w:r>
          </w:p>
          <w:p w14:paraId="33A938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可与会议/中控系统/BA/BMS进行集成；</w:t>
            </w:r>
          </w:p>
          <w:p w14:paraId="0B8B61C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4、可与中央空调、新风等系统进行集成；</w:t>
            </w:r>
          </w:p>
          <w:p w14:paraId="40057B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可与安防报警、门禁系统进行集成 支持远程调试及配置；</w:t>
            </w:r>
          </w:p>
          <w:p w14:paraId="6BB02C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6、对接协议支持标准Modbus RTU/TCP、BACnet/IP、自定义RS232/RS485、TCP/IP或UDP等；</w:t>
            </w:r>
          </w:p>
          <w:p w14:paraId="010DE3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 需9-30V辅助供电。</w:t>
            </w:r>
          </w:p>
        </w:tc>
        <w:tc>
          <w:tcPr>
            <w:tcW w:w="458" w:type="pct"/>
            <w:vAlign w:val="center"/>
          </w:tcPr>
          <w:p w14:paraId="2F4192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455450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367D6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6B985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7DE17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A89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732A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68E3D0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耦合器</w:t>
            </w:r>
          </w:p>
        </w:tc>
        <w:tc>
          <w:tcPr>
            <w:tcW w:w="1872" w:type="pct"/>
            <w:vAlign w:val="center"/>
          </w:tcPr>
          <w:p w14:paraId="38DB52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1、实现线/区隔离，同时数据包可以被过滤，减少电报流量，保持通信顺畅；</w:t>
            </w:r>
          </w:p>
          <w:p w14:paraId="76C321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2、工作电压：21-31DC，通讯方式：KNX/EIB。</w:t>
            </w:r>
          </w:p>
        </w:tc>
        <w:tc>
          <w:tcPr>
            <w:tcW w:w="458" w:type="pct"/>
            <w:vAlign w:val="center"/>
          </w:tcPr>
          <w:p w14:paraId="5BF3E8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62B4C4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5C07D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6E167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8874D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1EA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33" w:type="pct"/>
            <w:vAlign w:val="center"/>
          </w:tcPr>
          <w:p w14:paraId="6B3809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6EA4F6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1872" w:type="pct"/>
            <w:vAlign w:val="center"/>
          </w:tcPr>
          <w:p w14:paraId="3217D2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电源模块完全符合KNX标准协议、输出电流≥960mA。</w:t>
            </w:r>
          </w:p>
        </w:tc>
        <w:tc>
          <w:tcPr>
            <w:tcW w:w="458" w:type="pct"/>
            <w:vAlign w:val="center"/>
          </w:tcPr>
          <w:p w14:paraId="425168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0069B6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37410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8F26F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1A10BE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E2A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1FEBC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7D39E0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4键控制面板</w:t>
            </w:r>
          </w:p>
        </w:tc>
        <w:tc>
          <w:tcPr>
            <w:tcW w:w="1872" w:type="pct"/>
            <w:vAlign w:val="center"/>
          </w:tcPr>
          <w:p w14:paraId="16C268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1、工作电压 12~30V DC、工作电流:12mA/30V DC；</w:t>
            </w:r>
          </w:p>
          <w:p w14:paraId="514CDD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2、通信协议 KNX、总线端子要求线径 0.6-0.8mm；</w:t>
            </w:r>
          </w:p>
          <w:p w14:paraId="503037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3、按键面板设有机械按键，支持多种按模式和按键控制类型，每组按键镭雕可定制。按键状态灯/背光灯颜色和亮度可通过ETS设置或手动设置在面板上。可实现对灯光、场景等的控制；</w:t>
            </w:r>
          </w:p>
          <w:p w14:paraId="66FF6F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4、塑料版本：阻燃PC、安装方式：暗盒安装、防护级别：IP20。</w:t>
            </w:r>
          </w:p>
        </w:tc>
        <w:tc>
          <w:tcPr>
            <w:tcW w:w="458" w:type="pct"/>
            <w:vAlign w:val="center"/>
          </w:tcPr>
          <w:p w14:paraId="77BCD2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445" w:type="pct"/>
            <w:vAlign w:val="center"/>
          </w:tcPr>
          <w:p w14:paraId="29B183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F53BB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C6CFD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F2074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7FB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AF0EE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6D7A4B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感应器</w:t>
            </w:r>
          </w:p>
        </w:tc>
        <w:tc>
          <w:tcPr>
            <w:tcW w:w="1872" w:type="pct"/>
            <w:vAlign w:val="center"/>
          </w:tcPr>
          <w:p w14:paraId="4DC73D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移动红外传感器是一款多功能红外传感器。它内设移动传感器，亮度传感器和外部输入。迷你移动红外传感器有≥5个逻辑功能模块，可以设置与、或逻辑关系，每个逻辑功能模块可控制≥10个输出目标。它可支持单一工作模式及主从工作模式；</w:t>
            </w:r>
          </w:p>
          <w:p w14:paraId="52846C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2、内设移动传感器，温度传感器，亮度传感器和外部输入；</w:t>
            </w:r>
          </w:p>
          <w:p w14:paraId="3D062F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3、具有≥2通道灯光控制功能，支持开关控制和调光。应用调光功能时，可设置≥4个亮度值，经过4次延时最终达到设置的亮度；</w:t>
            </w:r>
          </w:p>
          <w:p w14:paraId="037785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4、工作模式包括主从模式；</w:t>
            </w:r>
          </w:p>
          <w:p w14:paraId="5EC5C7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5、目标控制功能：开关控制，绝对值调光，窗帘控制，报警，百分比控制，序列控制，场景控制，字符串控制，临界值控制，温度采样，温度报告，温度控制，照度报告，移动状态报告，多功能逻辑组合；</w:t>
            </w:r>
          </w:p>
          <w:p w14:paraId="70A4F9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6、具有恒照度功能，当设置一个恒定值时，传感器会根据当前亮度进行补偿以达到恒定值输出。</w:t>
            </w:r>
          </w:p>
        </w:tc>
        <w:tc>
          <w:tcPr>
            <w:tcW w:w="458" w:type="pct"/>
            <w:vAlign w:val="center"/>
          </w:tcPr>
          <w:p w14:paraId="17900F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445" w:type="pct"/>
            <w:vAlign w:val="center"/>
          </w:tcPr>
          <w:p w14:paraId="71B986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1C287F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95D28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12D5F3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F03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E7C5A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577" w:type="pct"/>
            <w:vAlign w:val="center"/>
          </w:tcPr>
          <w:p w14:paraId="341FB8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12路继电器模块</w:t>
            </w:r>
          </w:p>
        </w:tc>
        <w:tc>
          <w:tcPr>
            <w:tcW w:w="1872" w:type="pct"/>
            <w:vAlign w:val="center"/>
          </w:tcPr>
          <w:p w14:paraId="29A6EA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1、采用50A磁保持继电器，每回路输出≥16A；</w:t>
            </w:r>
          </w:p>
          <w:p w14:paraId="0A42F6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2、继电器具有寿命长，耗电小，执行速度快等特点；</w:t>
            </w:r>
          </w:p>
          <w:p w14:paraId="193D7D0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4、控制功能：通道运行时间统计，通道状态响应，上电恢复，楼梯灯，闪烁，开启/关闭延迟，保护延 迟，场景控制，阈值控制等功能；</w:t>
            </w:r>
          </w:p>
          <w:p w14:paraId="00889E5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5、逻辑功能：与、或、异或门；</w:t>
            </w:r>
          </w:p>
          <w:p w14:paraId="71BBD7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6、电流检测功能：电流报告，电流监控，电流一致性检测，电流阈值比较检测。</w:t>
            </w:r>
          </w:p>
        </w:tc>
        <w:tc>
          <w:tcPr>
            <w:tcW w:w="458" w:type="pct"/>
            <w:vAlign w:val="center"/>
          </w:tcPr>
          <w:p w14:paraId="47C1A3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445" w:type="pct"/>
            <w:vAlign w:val="center"/>
          </w:tcPr>
          <w:p w14:paraId="346595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75A4D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02F83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ABE923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1A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1A2C7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577" w:type="pct"/>
            <w:vAlign w:val="center"/>
          </w:tcPr>
          <w:p w14:paraId="37B914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4路调光模块</w:t>
            </w:r>
          </w:p>
        </w:tc>
        <w:tc>
          <w:tcPr>
            <w:tcW w:w="1872" w:type="pct"/>
            <w:vAlign w:val="center"/>
          </w:tcPr>
          <w:p w14:paraId="75AFE68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1、具有后沿调光的调光模式，负载类型为容性负载；</w:t>
            </w:r>
          </w:p>
          <w:p w14:paraId="34595A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2、并联回路可形成大电流输出；</w:t>
            </w:r>
          </w:p>
          <w:p w14:paraId="2FBAF5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3、手动控制：可手动对每个回路进行开/关，调光；</w:t>
            </w:r>
          </w:p>
          <w:p w14:paraId="5042C1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应用功能包括：时间统计功能、状态响应、状态恢复、短路保护、过载保护、过热保护、楼梯灯、闪烁灯、场景控制、场景调光、温度读取、高温报警、调光上限限制、调光下限限制、序列控制、加热控制（PWM）。</w:t>
            </w:r>
          </w:p>
        </w:tc>
        <w:tc>
          <w:tcPr>
            <w:tcW w:w="458" w:type="pct"/>
            <w:vAlign w:val="center"/>
          </w:tcPr>
          <w:p w14:paraId="10EB66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64DBEF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AA726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CB38C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243A6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79D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8E9E1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577" w:type="pct"/>
            <w:vAlign w:val="center"/>
          </w:tcPr>
          <w:p w14:paraId="30E79D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空调网关</w:t>
            </w:r>
          </w:p>
        </w:tc>
        <w:tc>
          <w:tcPr>
            <w:tcW w:w="1872" w:type="pct"/>
            <w:vAlign w:val="center"/>
          </w:tcPr>
          <w:p w14:paraId="6FA8AC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与中央空调系统进行通讯的桥接模块；采用统一的RS485控制接口与控制主机进行连接；室内机组的全面控制 ，包括对室内机开/关、制冷/制热的模式选择，也包括了温度设定的控制和转速的控制。</w:t>
            </w:r>
          </w:p>
        </w:tc>
        <w:tc>
          <w:tcPr>
            <w:tcW w:w="458" w:type="pct"/>
            <w:vAlign w:val="center"/>
          </w:tcPr>
          <w:p w14:paraId="19F048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22AAA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DD2AAD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C3240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DA29A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38D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0B73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577" w:type="pct"/>
            <w:vAlign w:val="center"/>
          </w:tcPr>
          <w:p w14:paraId="291115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系统调试及辅材</w:t>
            </w:r>
          </w:p>
        </w:tc>
        <w:tc>
          <w:tcPr>
            <w:tcW w:w="1872" w:type="pct"/>
            <w:vAlign w:val="center"/>
          </w:tcPr>
          <w:p w14:paraId="1A37136E">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系统集成调试、箱体、线缆等。</w:t>
            </w:r>
          </w:p>
        </w:tc>
        <w:tc>
          <w:tcPr>
            <w:tcW w:w="458" w:type="pct"/>
            <w:vAlign w:val="center"/>
          </w:tcPr>
          <w:p w14:paraId="5059F1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32F96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56FF1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33363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B77C5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77C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B09E0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19CFFCB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展示中心</w:t>
            </w:r>
          </w:p>
        </w:tc>
      </w:tr>
      <w:tr w14:paraId="141D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7400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358986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DALI网关</w:t>
            </w:r>
          </w:p>
        </w:tc>
        <w:tc>
          <w:tcPr>
            <w:tcW w:w="1872" w:type="pct"/>
            <w:vAlign w:val="center"/>
          </w:tcPr>
          <w:p w14:paraId="1310B8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KNX-DALI网关内置DALI电源，具有单条DALI总线，最多支持64个回路。可实时检测设备故障，包括镇流器故障、灯具故障等。全新DALI版本已支持DALI2驱动器，在兼容性、易用性、调光效果、跟搜索功能上进行优化；</w:t>
            </w:r>
          </w:p>
          <w:p w14:paraId="4A7CE0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其主要功能包括：</w:t>
            </w:r>
          </w:p>
          <w:p w14:paraId="3D21D2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1、实时检测设备故障，包括镇流器故障、灯具故障等；</w:t>
            </w:r>
          </w:p>
          <w:p w14:paraId="62AEEC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2、控制目标为：广播控制，回路控制，组控制，场景控制，楼梯灯控制，序列控制，应急灯控制；</w:t>
            </w:r>
          </w:p>
          <w:p w14:paraId="08F76A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3、每个回路和组支持开关控制，相对值调光，绝对值调光，状态响应；</w:t>
            </w:r>
          </w:p>
          <w:p w14:paraId="602FBE2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4、DALI网关配合软件可对DALI镇流器进行地址管理和分配；</w:t>
            </w:r>
          </w:p>
          <w:p w14:paraId="5101D4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5、支持组场景控制，通过软件可对组场景进行配置和管理；</w:t>
            </w:r>
          </w:p>
          <w:p w14:paraId="3579E2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6、具有色温控制功能，可用于支持 DT8 类型色温控制镇流器的广播、组、回路或场景控制。</w:t>
            </w:r>
          </w:p>
        </w:tc>
        <w:tc>
          <w:tcPr>
            <w:tcW w:w="458" w:type="pct"/>
            <w:vAlign w:val="center"/>
          </w:tcPr>
          <w:p w14:paraId="1B52A7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727487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EEF5D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7E7AD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245929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E95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793CB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01D822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1872" w:type="pct"/>
            <w:vAlign w:val="center"/>
          </w:tcPr>
          <w:p w14:paraId="69DA4B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电源模块完全符合KNX标准协议、输出电流≥960mA。</w:t>
            </w:r>
          </w:p>
        </w:tc>
        <w:tc>
          <w:tcPr>
            <w:tcW w:w="458" w:type="pct"/>
            <w:vAlign w:val="center"/>
          </w:tcPr>
          <w:p w14:paraId="1EDFB9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3F074A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AD634F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C454D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87D12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57E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EC3B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661A27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逻辑网关</w:t>
            </w:r>
          </w:p>
        </w:tc>
        <w:tc>
          <w:tcPr>
            <w:tcW w:w="1872" w:type="pct"/>
            <w:vAlign w:val="center"/>
          </w:tcPr>
          <w:p w14:paraId="675AA4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1、接口：KNX接口≥1，RS485接口≥1，232接口≥1，RJ45接口≥1；</w:t>
            </w:r>
          </w:p>
          <w:p w14:paraId="6079DC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2、逻辑控制，语音控制，远程控制，可视化APP，支持KNX IP Router模式</w:t>
            </w:r>
          </w:p>
          <w:p w14:paraId="17B1DA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3、可与会议/中控系统/BA/BMS进行集成</w:t>
            </w:r>
          </w:p>
          <w:p w14:paraId="2B9A71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4、可与中央空调、新风等系统进行集成</w:t>
            </w:r>
          </w:p>
          <w:p w14:paraId="1FDEE9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5、可与安防报警、门禁系统进行集成 支持远程调试及配置</w:t>
            </w:r>
          </w:p>
          <w:p w14:paraId="759329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6、对接协议支持标准Modbus RTU/TCP、BACnet/IP、自定义RS232/RS485、TCP/IP或UDP等</w:t>
            </w:r>
          </w:p>
          <w:p w14:paraId="7BDDFF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7、需9-30V辅助供电。</w:t>
            </w:r>
          </w:p>
        </w:tc>
        <w:tc>
          <w:tcPr>
            <w:tcW w:w="458" w:type="pct"/>
            <w:vAlign w:val="center"/>
          </w:tcPr>
          <w:p w14:paraId="2CCF4A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93BAB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B6056F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9BFFD0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0E909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46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AF8D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713D40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RS232/RS485转换器</w:t>
            </w:r>
          </w:p>
        </w:tc>
        <w:tc>
          <w:tcPr>
            <w:tcW w:w="1872" w:type="pct"/>
            <w:vAlign w:val="center"/>
          </w:tcPr>
          <w:p w14:paraId="3F2DFA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1、三种转换模式：字符串模式，十六进制模式，数据模式；</w:t>
            </w:r>
          </w:p>
          <w:p w14:paraId="6B9BF8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2、波特率：600，1200， 2400， 4800， 9600，19200，38400，57600，115200bps；</w:t>
            </w:r>
          </w:p>
          <w:p w14:paraId="280888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自行选择；</w:t>
            </w:r>
          </w:p>
          <w:p w14:paraId="4E0FE8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3、RS232与KNX/EIB，或者RS485与KNX/EIB之间的相互通讯，同时只能选择一种通讯方式；</w:t>
            </w:r>
          </w:p>
          <w:p w14:paraId="02C2B7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4、RS232与KNX/EIB 互转：RS232 (字符串模式或16进制模式，数据模式)&lt;-&gt;KNX/EIB；</w:t>
            </w:r>
          </w:p>
          <w:p w14:paraId="2A02A4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5、RS485与KNX/EIB 互转：RS485 (字符串模式或16进制模式，数据模式)&lt;-&gt; KNX/EIB；</w:t>
            </w:r>
          </w:p>
          <w:p w14:paraId="6A7965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6、最多100个转换目标、每个目标最长200个字符、支持24个序列。</w:t>
            </w:r>
          </w:p>
        </w:tc>
        <w:tc>
          <w:tcPr>
            <w:tcW w:w="458" w:type="pct"/>
            <w:vAlign w:val="center"/>
          </w:tcPr>
          <w:p w14:paraId="78CBD0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32B676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68C8B6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77E2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BBBEF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020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335B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176790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耦合器</w:t>
            </w:r>
          </w:p>
        </w:tc>
        <w:tc>
          <w:tcPr>
            <w:tcW w:w="1872" w:type="pct"/>
            <w:vAlign w:val="center"/>
          </w:tcPr>
          <w:p w14:paraId="48C604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1、实现线/区隔离，同时数据包可以被过滤，减少电报流量，保持通信顺畅；</w:t>
            </w:r>
          </w:p>
          <w:p w14:paraId="1FE217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2、工作电压：21-31DC，通讯方式：KNX/EIB。</w:t>
            </w:r>
          </w:p>
        </w:tc>
        <w:tc>
          <w:tcPr>
            <w:tcW w:w="458" w:type="pct"/>
            <w:vAlign w:val="center"/>
          </w:tcPr>
          <w:p w14:paraId="467DC9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280BF2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0C0B4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2E2FF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BDF38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365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1EF5C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2D23EE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12路继电器模块</w:t>
            </w:r>
          </w:p>
        </w:tc>
        <w:tc>
          <w:tcPr>
            <w:tcW w:w="1872" w:type="pct"/>
            <w:vAlign w:val="center"/>
          </w:tcPr>
          <w:p w14:paraId="0DE546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1、采用50A磁保持继电器，每回路输出≥16A；</w:t>
            </w:r>
          </w:p>
          <w:p w14:paraId="462CC8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2、继电器具有寿命长，耗电小，执行速度快等特点；</w:t>
            </w:r>
          </w:p>
          <w:p w14:paraId="41C301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3、控制功能：通道运行时间统计，通道状态响应，上电恢复，楼梯灯，闪烁，开启/关闭延迟，保护延 迟，场景控制，阈值控制等功能；</w:t>
            </w:r>
          </w:p>
          <w:p w14:paraId="353250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4、逻辑功能：与、或、异或门；</w:t>
            </w:r>
          </w:p>
          <w:p w14:paraId="32D226F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5、电流检测功能：电流报告，电流监控，电流一致性检测，电流阈值比较检测。</w:t>
            </w:r>
          </w:p>
        </w:tc>
        <w:tc>
          <w:tcPr>
            <w:tcW w:w="458" w:type="pct"/>
            <w:vAlign w:val="center"/>
          </w:tcPr>
          <w:p w14:paraId="33BFB4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7D64F4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A59878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753B4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5D03C6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ED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0548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28A889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24GHz毫米波雷达</w:t>
            </w:r>
          </w:p>
        </w:tc>
        <w:tc>
          <w:tcPr>
            <w:tcW w:w="1872" w:type="pct"/>
            <w:vAlign w:val="center"/>
          </w:tcPr>
          <w:p w14:paraId="19B5BC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1、安装高度：2~4米；</w:t>
            </w:r>
          </w:p>
          <w:p w14:paraId="75B48B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2、探测角度：≥360° 探测距离：1.5~4.5米；</w:t>
            </w:r>
          </w:p>
          <w:p w14:paraId="65EFE2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3、探测方向：0-60°可调；</w:t>
            </w:r>
          </w:p>
          <w:p w14:paraId="08C502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4、探测灵敏度：0~100% 照度传感器：0~32000Lux ；</w:t>
            </w:r>
          </w:p>
          <w:p w14:paraId="12D053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5、产品尺寸：65mm*60mm 开孔尺寸：55mm*60mm 电源输入：12~30VDC（功耗&lt;0.5W）。</w:t>
            </w:r>
          </w:p>
        </w:tc>
        <w:tc>
          <w:tcPr>
            <w:tcW w:w="458" w:type="pct"/>
            <w:vAlign w:val="center"/>
          </w:tcPr>
          <w:p w14:paraId="0F580C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27A580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4D6351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A8423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996AB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B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3AB0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124518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环境传感器</w:t>
            </w:r>
          </w:p>
        </w:tc>
        <w:tc>
          <w:tcPr>
            <w:tcW w:w="1872" w:type="pct"/>
            <w:vAlign w:val="center"/>
          </w:tcPr>
          <w:p w14:paraId="7101D4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1、交流供电：180-240V、直流供电：7-32V、工作电流： ≤250mA、数据接口：RS-485≥1；</w:t>
            </w:r>
          </w:p>
          <w:p w14:paraId="000056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2、TVOC传感器：测量量程：0.22-9.99mg/m³、分辨率 :0.01mg/m³；</w:t>
            </w:r>
          </w:p>
          <w:p w14:paraId="732993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3、PM2.5参数：测量原理 激光散射、测量量程 0~999μg/m³、测量精度 ±15%、响应时间: ≤5s；</w:t>
            </w:r>
          </w:p>
          <w:p w14:paraId="1D5004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4、CO2传感器：测量原理：红外、测量量程：0-9999ppm、测量精度：±50ppm±5%读数；</w:t>
            </w:r>
          </w:p>
          <w:p w14:paraId="66A024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5、温度传感器：测量范围 :- 40℃~125℃、测量精度: ±0.2℃；</w:t>
            </w:r>
          </w:p>
          <w:p w14:paraId="4A49ED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6、湿度传感器：测量范围: 0-100%RH、测量精度: ±5%RH。</w:t>
            </w:r>
          </w:p>
        </w:tc>
        <w:tc>
          <w:tcPr>
            <w:tcW w:w="458" w:type="pct"/>
            <w:vAlign w:val="center"/>
          </w:tcPr>
          <w:p w14:paraId="633BD3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56A663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2F030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69E00D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21143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D0F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DB929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5E8C90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中控屏</w:t>
            </w:r>
          </w:p>
        </w:tc>
        <w:tc>
          <w:tcPr>
            <w:tcW w:w="1872" w:type="pct"/>
            <w:vAlign w:val="center"/>
          </w:tcPr>
          <w:p w14:paraId="7823455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1、显示屏：≥10寸；</w:t>
            </w:r>
          </w:p>
          <w:p w14:paraId="3AE3BC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2、分辨率：≥1920×1080、支持多点电容触控屏</w:t>
            </w:r>
          </w:p>
          <w:p w14:paraId="49A8B3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3、支持KNX、SIP、WiFi、以太网等有线无线网络，同时支持扩展其他通信协议，全面满足智能中控屏功能开发需求。</w:t>
            </w:r>
          </w:p>
        </w:tc>
        <w:tc>
          <w:tcPr>
            <w:tcW w:w="458" w:type="pct"/>
            <w:vAlign w:val="center"/>
          </w:tcPr>
          <w:p w14:paraId="4249AA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F2058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67DD7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71827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8F2A7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B4A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EE148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549AD2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恒流驱动器</w:t>
            </w:r>
          </w:p>
        </w:tc>
        <w:tc>
          <w:tcPr>
            <w:tcW w:w="1872" w:type="pct"/>
            <w:vAlign w:val="center"/>
          </w:tcPr>
          <w:p w14:paraId="3B787EE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1、调光接口：DALI-2 DT6/DT8；</w:t>
            </w:r>
          </w:p>
          <w:p w14:paraId="5699DE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2、调光输出：T-PWM；</w:t>
            </w:r>
          </w:p>
          <w:p w14:paraId="4F5367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3、超深度调光技术；</w:t>
            </w:r>
          </w:p>
          <w:p w14:paraId="4FA36E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4、调光范围：0%-100%；</w:t>
            </w:r>
          </w:p>
          <w:p w14:paraId="1FC836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5、输入电压：100-240V；</w:t>
            </w:r>
          </w:p>
          <w:p w14:paraId="44C353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6、功率因素：</w:t>
            </w:r>
          </w:p>
          <w:p w14:paraId="398F88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&gt;0.95/115Vac、&gt;0.9C/230Vac；</w:t>
            </w:r>
          </w:p>
          <w:p w14:paraId="1D4269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7、效率：84%（满载）；</w:t>
            </w:r>
          </w:p>
          <w:p w14:paraId="53C2AF4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8、输出电压：9-42V、输出电流：100-700mA、输出功率：0.9-20W。</w:t>
            </w:r>
          </w:p>
        </w:tc>
        <w:tc>
          <w:tcPr>
            <w:tcW w:w="458" w:type="pct"/>
            <w:vAlign w:val="center"/>
          </w:tcPr>
          <w:p w14:paraId="3B0574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6DE980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F3AD8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02C60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BC97A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E70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D8B8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5A93BB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恒压驱动器</w:t>
            </w:r>
          </w:p>
        </w:tc>
        <w:tc>
          <w:tcPr>
            <w:tcW w:w="1872" w:type="pct"/>
            <w:vAlign w:val="center"/>
          </w:tcPr>
          <w:p w14:paraId="635C4C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1、调光输出：PWM、调光范围：0%-100%</w:t>
            </w:r>
          </w:p>
          <w:p w14:paraId="1E2907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2、输入电压：200-240V</w:t>
            </w:r>
          </w:p>
          <w:p w14:paraId="5DEA57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3、功率因素：&gt;0.98</w:t>
            </w:r>
          </w:p>
          <w:p w14:paraId="31CEB6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4、效率：93%</w:t>
            </w:r>
          </w:p>
          <w:p w14:paraId="15819E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5、输出电压：24V、输出电流：Max.6.25A、输出功率：0-150W</w:t>
            </w:r>
          </w:p>
        </w:tc>
        <w:tc>
          <w:tcPr>
            <w:tcW w:w="458" w:type="pct"/>
            <w:vAlign w:val="center"/>
          </w:tcPr>
          <w:p w14:paraId="6DE0D4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47D1EB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3CF7140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9071F0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BA24B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038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ABEE9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3355FB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系统调试及辅材</w:t>
            </w:r>
          </w:p>
        </w:tc>
        <w:tc>
          <w:tcPr>
            <w:tcW w:w="1872" w:type="pct"/>
            <w:vAlign w:val="center"/>
          </w:tcPr>
          <w:p w14:paraId="0F76ABA6">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系统集成调试、箱体、线缆等。</w:t>
            </w:r>
          </w:p>
        </w:tc>
        <w:tc>
          <w:tcPr>
            <w:tcW w:w="458" w:type="pct"/>
            <w:vAlign w:val="center"/>
          </w:tcPr>
          <w:p w14:paraId="454A96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93FBD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69B7E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3002F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80767C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D2C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ED13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w:t>
            </w:r>
          </w:p>
        </w:tc>
        <w:tc>
          <w:tcPr>
            <w:tcW w:w="4566" w:type="pct"/>
            <w:gridSpan w:val="7"/>
            <w:vAlign w:val="center"/>
          </w:tcPr>
          <w:p w14:paraId="62694DC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安防监控系统</w:t>
            </w:r>
          </w:p>
        </w:tc>
      </w:tr>
      <w:tr w14:paraId="29E4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39334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66F85B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600万半球摄像机</w:t>
            </w:r>
          </w:p>
        </w:tc>
        <w:tc>
          <w:tcPr>
            <w:tcW w:w="1872" w:type="pct"/>
            <w:vAlign w:val="center"/>
          </w:tcPr>
          <w:p w14:paraId="2E357FE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1.传感器类型：1/1.8" Progressive Scan CMOS ；</w:t>
            </w:r>
          </w:p>
          <w:p w14:paraId="5969D6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最低照度：彩色：0.0005 Lux @（F1.0，AGC ON），0 Lux with Light</w:t>
            </w:r>
          </w:p>
          <w:p w14:paraId="2ED3B7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2.宽动态：≥120 dB ；</w:t>
            </w:r>
          </w:p>
          <w:p w14:paraId="2E9887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3.补光灯类型：柔光灯，补光距离：≥30 m；</w:t>
            </w:r>
          </w:p>
          <w:p w14:paraId="034440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4.最大分辨率3200×1800，水平分辨率≥1800线；</w:t>
            </w:r>
          </w:p>
          <w:p w14:paraId="7DF694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5.主码流：H.265/H.264，子码流：H.265/H.264/MJPEG，第三码流：H.265/H.264 ；</w:t>
            </w:r>
          </w:p>
          <w:p w14:paraId="65C457A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6.网络：≥1个RJ45 10 M/100 M自适应以太网口；</w:t>
            </w:r>
          </w:p>
          <w:p w14:paraId="00108B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7.音频：1个内置麦克风 ；</w:t>
            </w:r>
          </w:p>
          <w:p w14:paraId="12D3F06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8.供电方式：DC：12 V ± 25%，支持防反接保护，PoE：802.3af，Class 3。</w:t>
            </w:r>
          </w:p>
          <w:p w14:paraId="5D5441EF">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26CBAEE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2E9A7F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445" w:type="pct"/>
            <w:vAlign w:val="center"/>
          </w:tcPr>
          <w:p w14:paraId="7D585F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21777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DEC2E5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1E4A2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143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3E6E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3AE770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600万筒形摄像机</w:t>
            </w:r>
          </w:p>
        </w:tc>
        <w:tc>
          <w:tcPr>
            <w:tcW w:w="1872" w:type="pct"/>
            <w:vAlign w:val="center"/>
          </w:tcPr>
          <w:p w14:paraId="6C8DFA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1.传感器类型：1/1.8" Progressive Scan CMOS ；</w:t>
            </w:r>
          </w:p>
          <w:p w14:paraId="1503BC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最低照度：彩色：0.0005 Lux @（F1.0，AGC ON），0 Lux with Light</w:t>
            </w:r>
          </w:p>
          <w:p w14:paraId="311D4B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2.宽动态：120 dB ；</w:t>
            </w:r>
          </w:p>
          <w:p w14:paraId="3025ED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3.补光灯类型：柔光灯，补光距离：≥30 m；</w:t>
            </w:r>
          </w:p>
          <w:p w14:paraId="5DD2CE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4.最大分辨率3200 × 1800，水平分辨率≥1800线；</w:t>
            </w:r>
          </w:p>
          <w:p w14:paraId="0D74B9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5.主码流：H.265/H.264，子码流：H.265/H.264/MJPEG，第三码流：H.265/H.264 ；</w:t>
            </w:r>
          </w:p>
          <w:p w14:paraId="64687A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6.配置≥1个RJ45 10 M/100 M自适应以太网口；</w:t>
            </w:r>
          </w:p>
          <w:p w14:paraId="4E965E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7.音频：1个内置麦克风；</w:t>
            </w:r>
          </w:p>
          <w:p w14:paraId="668BBEE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8.供电方式：DC：12 V ± 25%，支持防反接保护，PoE：802.3af，Class 3。</w:t>
            </w:r>
          </w:p>
          <w:p w14:paraId="2A0D343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9004B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57A642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445" w:type="pct"/>
            <w:vAlign w:val="center"/>
          </w:tcPr>
          <w:p w14:paraId="289A34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89C39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F0E12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8A149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03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73A1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6F381B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全彩网络摄像机</w:t>
            </w:r>
          </w:p>
        </w:tc>
        <w:tc>
          <w:tcPr>
            <w:tcW w:w="1872" w:type="pct"/>
            <w:vAlign w:val="center"/>
          </w:tcPr>
          <w:p w14:paraId="3112D7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1.内置双镜头，靶面尺寸均不小于1/2.5"靶面尺寸，镜头光圈大小支持F1.0±5%；</w:t>
            </w:r>
          </w:p>
          <w:p w14:paraId="763A07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2.内置1颗GPU、1个麦克风、1个扬声器；</w:t>
            </w:r>
          </w:p>
          <w:p w14:paraId="2E119B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3.设备自带双镜头、双图像传感器，所有码流均可实时输出由2路采集的图像水平拼接后的码流；</w:t>
            </w:r>
          </w:p>
          <w:p w14:paraId="3BC7B9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4.设备具备输出3040×1368@25fps的码流；</w:t>
            </w:r>
          </w:p>
          <w:p w14:paraId="299D5F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5.支持水平视场角不小于180°，垂直视场角不小于81°；</w:t>
            </w:r>
          </w:p>
          <w:p w14:paraId="604D19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6.最低照度彩色：0.0005 lx，黑白:0.0001 lx；</w:t>
            </w:r>
          </w:p>
          <w:p w14:paraId="752B6E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7.在彩色模式下，当环境照度低于预设值时，可自动开启补光灯，在白天、夜晚均可输出彩色视频图像；</w:t>
            </w:r>
          </w:p>
          <w:p w14:paraId="506586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8.摄像机能够在-40~70摄氏度，湿度小于93%环境下稳定工作；</w:t>
            </w:r>
          </w:p>
          <w:p w14:paraId="73CC8AF8">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不低于IP67防尘防水等级。</w:t>
            </w:r>
          </w:p>
          <w:p w14:paraId="542AB1B1">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5CA10F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3B468E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9D921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15947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22EAA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CB041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B9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C8BB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638B66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存储设备</w:t>
            </w:r>
          </w:p>
        </w:tc>
        <w:tc>
          <w:tcPr>
            <w:tcW w:w="1872" w:type="pct"/>
            <w:vAlign w:val="center"/>
          </w:tcPr>
          <w:p w14:paraId="68E6A4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1、4U标准机架式，1+1冗余电源，配置不少于36块20T高性能机械盘 ；</w:t>
            </w:r>
          </w:p>
          <w:p w14:paraId="4C694C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2、配置≥1个HDMI接口，≥4个；10/100/1000/2500Mbps自适应电口，≥2个USB2.0接口、≥2个USB3.0接口、1路标准RS-232接口 ；</w:t>
            </w:r>
          </w:p>
          <w:p w14:paraId="43E352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3、接入能力：具备200路H.264、H.265格式高清码流接入 ；</w:t>
            </w:r>
          </w:p>
          <w:p w14:paraId="70750B0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4、解码能力：最大支持12×1080P；</w:t>
            </w:r>
          </w:p>
          <w:p w14:paraId="721907D4">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显示能力：最大支持4K输出；</w:t>
            </w:r>
          </w:p>
          <w:p w14:paraId="6B25F54E">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RAID模式：RAID0、RAID1、RAID5、RAID6、RAID10，支持全局热备盘。</w:t>
            </w:r>
          </w:p>
          <w:p w14:paraId="1ED3DA14">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7A2A53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04F78A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4A6F9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27A9A1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2DA78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2324E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77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36D1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673C89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接入交换机</w:t>
            </w:r>
          </w:p>
        </w:tc>
        <w:tc>
          <w:tcPr>
            <w:tcW w:w="1872" w:type="pct"/>
            <w:vAlign w:val="center"/>
          </w:tcPr>
          <w:p w14:paraId="7565BAAF">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配置：可用千兆PoE电接口数量≥24，千兆光口数量≥2；交换容量≥52 Gpbs；转发性能≥38.69 Mpps。</w:t>
            </w:r>
          </w:p>
          <w:p w14:paraId="7B5E118D">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A759E5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738413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027440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0C01C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C5A997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027972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CF4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E90D6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4BC606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汇聚交换机</w:t>
            </w:r>
          </w:p>
        </w:tc>
        <w:tc>
          <w:tcPr>
            <w:tcW w:w="1872" w:type="pct"/>
            <w:vAlign w:val="center"/>
          </w:tcPr>
          <w:p w14:paraId="378B96D9">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千兆POE电接口数量≥24，可用千兆光接口数量≥4；具备独立的console管理串口；交换容量≥336Gbps；转发性能≥42Mpps；整机PoE输出功率≥375W，单端口最大输出功率≥30W。</w:t>
            </w:r>
          </w:p>
          <w:p w14:paraId="46695813">
            <w:pPr>
              <w:keepNext w:val="0"/>
              <w:keepLines w:val="0"/>
              <w:pageBreakBefore w:val="0"/>
              <w:kinsoku/>
              <w:wordWrap w:val="0"/>
              <w:overflowPunct/>
              <w:topLinePunct w:val="0"/>
              <w:autoSpaceDE/>
              <w:autoSpaceDN/>
              <w:bidi w:val="0"/>
              <w:adjustRightInd/>
              <w:snapToGrid/>
              <w:ind w:firstLine="0" w:firstLine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服</w:t>
            </w:r>
            <w:r>
              <w:rPr>
                <w:rFonts w:hint="eastAsia" w:ascii="宋体" w:hAnsi="宋体" w:eastAsia="宋体" w:cs="宋体"/>
                <w:i w:val="0"/>
                <w:iCs w:val="0"/>
                <w:color w:val="000000"/>
                <w:kern w:val="2"/>
                <w:sz w:val="24"/>
                <w:szCs w:val="24"/>
                <w:highlight w:val="none"/>
                <w:u w:val="none"/>
                <w:lang w:val="en-US" w:eastAsia="zh-CN" w:bidi="ar-SA"/>
              </w:rPr>
              <w:t>务要求：</w:t>
            </w:r>
          </w:p>
          <w:p w14:paraId="69AFEB8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按照原厂标准提供三年免费质保服务，提供保修期内硬件故障的维修、设备的更换及软件的免费升级。</w:t>
            </w:r>
          </w:p>
        </w:tc>
        <w:tc>
          <w:tcPr>
            <w:tcW w:w="458" w:type="pct"/>
            <w:vAlign w:val="center"/>
          </w:tcPr>
          <w:p w14:paraId="6FF533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9013E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C64A1E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20F41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F0285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35C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147C1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0B77C5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1872" w:type="pct"/>
            <w:vAlign w:val="center"/>
          </w:tcPr>
          <w:p w14:paraId="63036DA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含安装及配套电源线、网线、管材。</w:t>
            </w:r>
          </w:p>
        </w:tc>
        <w:tc>
          <w:tcPr>
            <w:tcW w:w="458" w:type="pct"/>
            <w:vAlign w:val="center"/>
          </w:tcPr>
          <w:p w14:paraId="563243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CD03E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BB928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FD2859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9B1F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440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E06A16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w:t>
            </w:r>
          </w:p>
        </w:tc>
        <w:tc>
          <w:tcPr>
            <w:tcW w:w="4566" w:type="pct"/>
            <w:gridSpan w:val="7"/>
            <w:vAlign w:val="center"/>
          </w:tcPr>
          <w:p w14:paraId="4789ADB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门禁系统</w:t>
            </w:r>
          </w:p>
        </w:tc>
      </w:tr>
      <w:tr w14:paraId="111C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FA273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7C33E4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人脸门禁一体机</w:t>
            </w:r>
          </w:p>
        </w:tc>
        <w:tc>
          <w:tcPr>
            <w:tcW w:w="1872" w:type="pct"/>
            <w:vAlign w:val="center"/>
          </w:tcPr>
          <w:p w14:paraId="29E603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1.配置≥8英寸IPS高清触摸显示屏，屏幕比例16∶9，屏幕分辨率1280*800；</w:t>
            </w:r>
          </w:p>
          <w:p w14:paraId="63CA59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配置宽动态200万双目摄像头；</w:t>
            </w:r>
          </w:p>
          <w:p w14:paraId="0BE705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具备人脸、刷卡（Mifare卡/IC卡、手机NFC卡、CPU卡序列号/内容、身份证卡序列号）、蓝牙、密码认证方式，可外接身份证、指纹、二维码功能模块；</w:t>
            </w:r>
          </w:p>
          <w:p w14:paraId="1DBE44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具备单人或多人识别（最多5人同时认证）功能，1:N人脸识别速度≤0.2s，人脸验证准确率≥99%；</w:t>
            </w:r>
          </w:p>
          <w:p w14:paraId="38EBA5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2.配置不低于10万人脸库、50万张卡，50万条事件记录；</w:t>
            </w:r>
          </w:p>
          <w:p w14:paraId="570F02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具备LAN*1、RS485*1、Wiegand * 1(支持双向)、typeC类型USB接口*1、电锁*1、门磁*1、报警输入*2、报警输出*1、开门按钮*1、SD卡槽*1、3.5mm音频输出接口*1；</w:t>
            </w:r>
          </w:p>
          <w:p w14:paraId="496ECAC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3.通信方式及网络协议：有线网络。</w:t>
            </w:r>
          </w:p>
        </w:tc>
        <w:tc>
          <w:tcPr>
            <w:tcW w:w="458" w:type="pct"/>
            <w:vAlign w:val="center"/>
          </w:tcPr>
          <w:p w14:paraId="7BC80F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311C3E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FBB2D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AAFF5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A81CF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21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9C9C5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2978A3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1872" w:type="pct"/>
            <w:vAlign w:val="center"/>
          </w:tcPr>
          <w:p w14:paraId="22279D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最大静态直线拉力：280kg ± 5%；</w:t>
            </w:r>
          </w:p>
          <w:p w14:paraId="54AFD7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断电开锁，满足消防要求；</w:t>
            </w:r>
          </w:p>
          <w:p w14:paraId="7F9D0E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具有电锁状态指示灯；</w:t>
            </w:r>
          </w:p>
          <w:p w14:paraId="7291D1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使用环境：室内；</w:t>
            </w:r>
          </w:p>
          <w:p w14:paraId="4965078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适用门型：木门、玻璃门、金属门、防火门。</w:t>
            </w:r>
          </w:p>
        </w:tc>
        <w:tc>
          <w:tcPr>
            <w:tcW w:w="458" w:type="pct"/>
            <w:vAlign w:val="center"/>
          </w:tcPr>
          <w:p w14:paraId="5C47CC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4B2A76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75C786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3CFA9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FD7182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DA8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9C853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349E34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双门磁力锁</w:t>
            </w:r>
          </w:p>
        </w:tc>
        <w:tc>
          <w:tcPr>
            <w:tcW w:w="1872" w:type="pct"/>
            <w:vAlign w:val="center"/>
          </w:tcPr>
          <w:p w14:paraId="73CC22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最大静态直线拉力：280kg ± 5%*2；</w:t>
            </w:r>
          </w:p>
          <w:p w14:paraId="33F52A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断电开锁，满足消防要求；</w:t>
            </w:r>
          </w:p>
          <w:p w14:paraId="2E1208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具有电锁状态指示灯；</w:t>
            </w:r>
          </w:p>
          <w:p w14:paraId="213B2F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使用环境：室内；</w:t>
            </w:r>
          </w:p>
          <w:p w14:paraId="4D95B3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适用门型：木门、玻璃门、金属门、防火门。</w:t>
            </w:r>
          </w:p>
        </w:tc>
        <w:tc>
          <w:tcPr>
            <w:tcW w:w="458" w:type="pct"/>
            <w:vAlign w:val="center"/>
          </w:tcPr>
          <w:p w14:paraId="5B968B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010B12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7DFB05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C19D6D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5CECA7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BA0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67A6A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460ECF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1872" w:type="pct"/>
            <w:vAlign w:val="center"/>
          </w:tcPr>
          <w:p w14:paraId="115F97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标准结构：304不锈钢面板，304不锈钢按钮；</w:t>
            </w:r>
          </w:p>
          <w:p w14:paraId="788226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接点输出：NO/NC/COM接点。</w:t>
            </w:r>
          </w:p>
        </w:tc>
        <w:tc>
          <w:tcPr>
            <w:tcW w:w="458" w:type="pct"/>
            <w:vAlign w:val="center"/>
          </w:tcPr>
          <w:p w14:paraId="36424B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45" w:type="pct"/>
            <w:vAlign w:val="center"/>
          </w:tcPr>
          <w:p w14:paraId="2378FC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19F86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248AE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16D43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FF2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E357F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6C9E1F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人员通道左边道</w:t>
            </w:r>
          </w:p>
        </w:tc>
        <w:tc>
          <w:tcPr>
            <w:tcW w:w="1872" w:type="pct"/>
            <w:vAlign w:val="center"/>
          </w:tcPr>
          <w:p w14:paraId="0BDFD6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闸机通道采用厚度不低于1.2mm的不锈钢板材，采用6对红外对射；</w:t>
            </w:r>
          </w:p>
          <w:p w14:paraId="1A53DF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设备集成门禁主控板，可扩展人脸识别组件、读卡器、二维码、指纹等多种认证方式，未经授权人员无法通行；</w:t>
            </w:r>
          </w:p>
          <w:p w14:paraId="4FEE81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具备进出方向通行状态（常开、常闭、受控、感应）的灵活配置功能；</w:t>
            </w:r>
          </w:p>
          <w:p w14:paraId="52973A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具有消防联动接口，当消防信号触发时，门翼自动打开，快速引导人员疏散；</w:t>
            </w:r>
          </w:p>
          <w:p w14:paraId="0E70CB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具备应急放行的功能，设备在断电或者发生故障后能处于无拦挡状态，支持断电自动开门功能</w:t>
            </w:r>
          </w:p>
          <w:p w14:paraId="6AA7AD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具备防夹、防冲撞功能，在门翼复位的过程中遇阻时电机自动停止工作,防止人员受伤。</w:t>
            </w:r>
          </w:p>
        </w:tc>
        <w:tc>
          <w:tcPr>
            <w:tcW w:w="458" w:type="pct"/>
            <w:vAlign w:val="center"/>
          </w:tcPr>
          <w:p w14:paraId="77FA97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348F7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40479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19EE6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DB8C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3D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E4898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1F407B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人员通道中间道</w:t>
            </w:r>
          </w:p>
        </w:tc>
        <w:tc>
          <w:tcPr>
            <w:tcW w:w="1872" w:type="pct"/>
            <w:vAlign w:val="center"/>
          </w:tcPr>
          <w:p w14:paraId="633DCCB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闸机通道采用厚度不低于1.2mm的不锈钢板材，采用6对红外对射；</w:t>
            </w:r>
          </w:p>
          <w:p w14:paraId="0309DA0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设备集成门禁主控板，可扩展人脸识别组件、读卡器、二维码、指纹等多种认证方式，未经授权人员无法通行；</w:t>
            </w:r>
          </w:p>
          <w:p w14:paraId="21F6447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具备进出方向通行状态（常开、常闭、受控、感应）的灵活配置功能；</w:t>
            </w:r>
          </w:p>
          <w:p w14:paraId="214AB1E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具有消防联动接口，当消防信号触发时，门翼自动打开，快速引导人员疏散；</w:t>
            </w:r>
          </w:p>
          <w:p w14:paraId="655B64A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具备应急放行的功能，设备在断电或者发生故障后能处于无拦挡状态，支持断电自动开门功能</w:t>
            </w:r>
          </w:p>
          <w:p w14:paraId="22A1121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具备防夹、防冲撞功能，在门翼复位的过程中遇阻时电机自动停止工作,防止人员受伤。</w:t>
            </w:r>
          </w:p>
        </w:tc>
        <w:tc>
          <w:tcPr>
            <w:tcW w:w="458" w:type="pct"/>
            <w:vAlign w:val="center"/>
          </w:tcPr>
          <w:p w14:paraId="1D1DEB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2F0910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0397C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318D1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7E403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0C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8C86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69D533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人员通道右边道</w:t>
            </w:r>
          </w:p>
        </w:tc>
        <w:tc>
          <w:tcPr>
            <w:tcW w:w="1872" w:type="pct"/>
            <w:vAlign w:val="center"/>
          </w:tcPr>
          <w:p w14:paraId="6DBFA13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闸机通道采用厚度不低于1.2mm的不锈钢板材，采用6对红外对射；</w:t>
            </w:r>
          </w:p>
          <w:p w14:paraId="7224514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设备集成门禁主控板，可扩展人脸识别组件、读卡器、二维码、指纹等多种认证方式，未经授权人员无法通行；</w:t>
            </w:r>
          </w:p>
          <w:p w14:paraId="4126E4E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具备进出方向通行状态（常开、常闭、受控、感应）的灵活配置功能；</w:t>
            </w:r>
          </w:p>
          <w:p w14:paraId="18770D0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具有消防联动接口，当消防信号触发时，门翼自动打开，快速引导人员疏散；</w:t>
            </w:r>
          </w:p>
          <w:p w14:paraId="481CC55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具备应急放行的功能，设备在断电或者发生故障后能处于无拦挡状态，支持断电自动开门功能</w:t>
            </w:r>
          </w:p>
          <w:p w14:paraId="4E783D1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具备防夹、防冲撞功能，在门翼复位的过程中遇阻时电机自动停止工作,防止人员受伤。</w:t>
            </w:r>
          </w:p>
        </w:tc>
        <w:tc>
          <w:tcPr>
            <w:tcW w:w="458" w:type="pct"/>
            <w:vAlign w:val="center"/>
          </w:tcPr>
          <w:p w14:paraId="4B5EBD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6012F1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EBAD6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5ABB19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2FF04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E7A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B8E2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268C77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人员通道人脸组件</w:t>
            </w:r>
          </w:p>
        </w:tc>
        <w:tc>
          <w:tcPr>
            <w:tcW w:w="1872" w:type="pct"/>
            <w:vAlign w:val="center"/>
          </w:tcPr>
          <w:p w14:paraId="21E25C4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配置不小于7英寸LCD触摸显示屏，屏幕比例16:9，屏幕分辨率1024*600；</w:t>
            </w:r>
          </w:p>
          <w:p w14:paraId="1C74417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配置宽动态200万双目摄像头；</w:t>
            </w:r>
          </w:p>
          <w:p w14:paraId="052AEC7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具备人脸、密码、二维码（通过摄像头识别）认证方式，可通过 485 接口外接读卡器，也通过 USB 接口外接身份证，实现人证比对功能；</w:t>
            </w:r>
          </w:p>
          <w:p w14:paraId="04B64EF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配置50000张人脸、50000张卡（外接读卡器），100000条事件记录；</w:t>
            </w:r>
          </w:p>
          <w:p w14:paraId="5C2C64B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具备LAN*1、RS485*1、韦根*1（双向 26/34）、USB*1、电锁*1、门磁*1、报警输入*2、报警输出*1、开门按钮*1；</w:t>
            </w:r>
          </w:p>
          <w:p w14:paraId="7E8A36D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通信方式：有线网络、WiFi；</w:t>
            </w:r>
          </w:p>
          <w:p w14:paraId="29BB8FB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使用环境：IP65，室内外环境。</w:t>
            </w:r>
          </w:p>
        </w:tc>
        <w:tc>
          <w:tcPr>
            <w:tcW w:w="458" w:type="pct"/>
            <w:vAlign w:val="center"/>
          </w:tcPr>
          <w:p w14:paraId="2917D8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7BFA41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1949E9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F60573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904FD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F2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92F5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665407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人员通道交换机</w:t>
            </w:r>
          </w:p>
        </w:tc>
        <w:tc>
          <w:tcPr>
            <w:tcW w:w="1872" w:type="pct"/>
            <w:vAlign w:val="center"/>
          </w:tcPr>
          <w:p w14:paraId="608492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具备5个千兆电口；</w:t>
            </w:r>
          </w:p>
          <w:p w14:paraId="31B67A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具备IEEE 802.3、 IEEE 802.3u、 IEEE 802.3x协议 ，具备6 KV防浪涌；</w:t>
            </w:r>
          </w:p>
          <w:p w14:paraId="3BC11E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具备坚固式高强度金属外壳，具备工业导轨安装方式；</w:t>
            </w:r>
          </w:p>
          <w:p w14:paraId="37EB32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具备室外宽温设计（-40℃~75℃）。</w:t>
            </w:r>
          </w:p>
        </w:tc>
        <w:tc>
          <w:tcPr>
            <w:tcW w:w="458" w:type="pct"/>
            <w:vAlign w:val="center"/>
          </w:tcPr>
          <w:p w14:paraId="7CA7A9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7D5832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5AED3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D2840A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9D0AF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E14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5519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7FF97B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身份信息采集器</w:t>
            </w:r>
          </w:p>
        </w:tc>
        <w:tc>
          <w:tcPr>
            <w:tcW w:w="1872" w:type="pct"/>
            <w:vAlign w:val="center"/>
          </w:tcPr>
          <w:p w14:paraId="4E72EE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配置不小于3.9英寸LCD触摸显示屏，屏幕配置多点触控操作，屏幕流明度350cd/㎡，分辨率≥480*800，防暴等级IK04；</w:t>
            </w:r>
          </w:p>
          <w:p w14:paraId="6F449C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配置200万双目摄像头，具备照片视频防假功能；</w:t>
            </w:r>
          </w:p>
          <w:p w14:paraId="3F513BA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具备用户卡号、指纹、人脸； 支持普通CPU卡、加密卡等发卡授权功能；</w:t>
            </w:r>
          </w:p>
          <w:p w14:paraId="37BDFB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配置有线网络、无线WiFi、USB口通信；</w:t>
            </w:r>
          </w:p>
          <w:p w14:paraId="1CBBA1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具备在线采集，通过网络协议或USB口对接到平台，平台进行在线采集，采集信息实时上传功能；</w:t>
            </w:r>
          </w:p>
          <w:p w14:paraId="69E8DE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工作电压≥DC12V/1.5A。</w:t>
            </w:r>
          </w:p>
        </w:tc>
        <w:tc>
          <w:tcPr>
            <w:tcW w:w="458" w:type="pct"/>
            <w:vAlign w:val="center"/>
          </w:tcPr>
          <w:p w14:paraId="144034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FB030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7E73A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A2B90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B608B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9AF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1659B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1F3A27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综合安防管理平台</w:t>
            </w:r>
          </w:p>
        </w:tc>
        <w:tc>
          <w:tcPr>
            <w:tcW w:w="1872" w:type="pct"/>
            <w:vAlign w:val="center"/>
          </w:tcPr>
          <w:p w14:paraId="677A11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提供业务应用依赖的基础资源信息及基础服务能力、系统业务应用依赖的基础资源，包括安保用户管理、安保基础数据管理、安保区域管理、安保系统配置、物联设备管理，统一管理了组织、区域、人员、卡片、车辆和物联设备等资源，并提供人车、人卡的关联关系配置能力等。</w:t>
            </w:r>
          </w:p>
        </w:tc>
        <w:tc>
          <w:tcPr>
            <w:tcW w:w="458" w:type="pct"/>
            <w:vAlign w:val="center"/>
          </w:tcPr>
          <w:p w14:paraId="249AC8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E8258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B3645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信息传输业</w:t>
            </w:r>
          </w:p>
        </w:tc>
        <w:tc>
          <w:tcPr>
            <w:tcW w:w="437" w:type="pct"/>
            <w:vAlign w:val="center"/>
          </w:tcPr>
          <w:p w14:paraId="3503FF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31871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DCD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40C8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3F581E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通用服务器</w:t>
            </w:r>
          </w:p>
        </w:tc>
        <w:tc>
          <w:tcPr>
            <w:tcW w:w="1872" w:type="pct"/>
            <w:vAlign w:val="center"/>
          </w:tcPr>
          <w:p w14:paraId="3C7234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配置不低于1颗2.4GHz主频，16核心，32GB DDR4内存，2块 480G SSD硬盘。</w:t>
            </w:r>
          </w:p>
        </w:tc>
        <w:tc>
          <w:tcPr>
            <w:tcW w:w="458" w:type="pct"/>
            <w:vAlign w:val="center"/>
          </w:tcPr>
          <w:p w14:paraId="2B5DC9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7EFBD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D4535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83907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8542C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8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0DC5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577" w:type="pct"/>
            <w:vAlign w:val="center"/>
          </w:tcPr>
          <w:p w14:paraId="33D59B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1872" w:type="pct"/>
            <w:vAlign w:val="center"/>
          </w:tcPr>
          <w:p w14:paraId="113373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含安装及配套电源线、网线、管材。</w:t>
            </w:r>
          </w:p>
        </w:tc>
        <w:tc>
          <w:tcPr>
            <w:tcW w:w="458" w:type="pct"/>
            <w:vAlign w:val="center"/>
          </w:tcPr>
          <w:p w14:paraId="694ABA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1983F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15DE4B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439BD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F183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14D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C760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w:t>
            </w:r>
          </w:p>
        </w:tc>
        <w:tc>
          <w:tcPr>
            <w:tcW w:w="4566" w:type="pct"/>
            <w:gridSpan w:val="7"/>
            <w:vAlign w:val="center"/>
          </w:tcPr>
          <w:p w14:paraId="1B68632D">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公共广播系统</w:t>
            </w:r>
          </w:p>
        </w:tc>
      </w:tr>
      <w:tr w14:paraId="1E7E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89D81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3A37FDFE">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机房设备</w:t>
            </w:r>
          </w:p>
        </w:tc>
      </w:tr>
      <w:tr w14:paraId="6CDF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C099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2CCCF1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网络广播控制中心</w:t>
            </w:r>
          </w:p>
        </w:tc>
        <w:tc>
          <w:tcPr>
            <w:tcW w:w="1872" w:type="pct"/>
            <w:vAlign w:val="center"/>
          </w:tcPr>
          <w:p w14:paraId="14CB923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1、IP网络数字广播服务器软件的运行载体，是广播的控制中心，对整个广播系统进行实时有效的管理；</w:t>
            </w:r>
          </w:p>
          <w:p w14:paraId="154AE9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2、采用工业级工控机机箱设计，机箱采用钢结构，有防磁、防尘、防冲击的能力；</w:t>
            </w:r>
          </w:p>
          <w:p w14:paraId="5DD69D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3、支持专用千兆网传输，可同时传输上百套节目源；</w:t>
            </w:r>
          </w:p>
          <w:p w14:paraId="374E12B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4、工业级专用主板设计，可以长时期不断电稳定工作；5、WEB服务器，支持多用户同时访问。</w:t>
            </w:r>
          </w:p>
        </w:tc>
        <w:tc>
          <w:tcPr>
            <w:tcW w:w="458" w:type="pct"/>
            <w:vAlign w:val="center"/>
          </w:tcPr>
          <w:p w14:paraId="1486AC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3687D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AAD3F0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3B07C7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16263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93E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8B23C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43861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网络广播控制中心软件</w:t>
            </w:r>
          </w:p>
        </w:tc>
        <w:tc>
          <w:tcPr>
            <w:tcW w:w="1872" w:type="pct"/>
            <w:vAlign w:val="center"/>
          </w:tcPr>
          <w:p w14:paraId="1FB550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1、支持网络电台、可视对讲</w:t>
            </w:r>
          </w:p>
          <w:p w14:paraId="3A4DC5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2、服务器软件支持文字转语音功能，在文本文档输入需要播放文字，播音时导入文本内容，系统自动生成mp3语音包， 播音语速，可调整文字间距实现。广播软件可实现对需要播放的文字信息进行定时或手动播放设置、对文字信息播放可选择播放次数或无限循环播放、对文字信息转语音播出的声音模式 可选中文（男、女声） 英文（男、女）、对文字信息转语音播放速率可任意调整、同时可设置音量大小及播放优先级</w:t>
            </w:r>
          </w:p>
          <w:p w14:paraId="2C954CB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内嵌数字IP网络广播系统软件，具有基本参数、设置时间、备份还原、终端管理、终端分区、文件管理、报警映射、报警分区、遥控任务、可视广播、视频报警、时间媒体、离线终端、音乐传输、任务传送、作息方案、文件广播、采播管理、终端功放、网络电台、文字语音、查看任务、节日管理、用户组管理、查看日志、执行记录、注册服务，</w:t>
            </w:r>
            <w:r>
              <w:rPr>
                <w:rFonts w:hint="eastAsia" w:ascii="宋体" w:hAnsi="宋体" w:eastAsia="宋体" w:cs="宋体"/>
                <w:i w:val="0"/>
                <w:iCs w:val="0"/>
                <w:color w:val="000000"/>
                <w:kern w:val="0"/>
                <w:sz w:val="24"/>
                <w:szCs w:val="24"/>
                <w:highlight w:val="none"/>
                <w:u w:val="none"/>
                <w:lang w:val="en-US" w:eastAsia="zh-CN" w:bidi="ar"/>
              </w:rPr>
              <w:t>投标文件中提供具有第三方软件评测中心出具的软件产品登记测试报告</w:t>
            </w:r>
            <w:r>
              <w:rPr>
                <w:rFonts w:hint="eastAsia" w:ascii="宋体" w:hAnsi="宋体" w:eastAsia="宋体" w:cs="宋体"/>
                <w:i w:val="0"/>
                <w:iCs w:val="0"/>
                <w:color w:val="000000"/>
                <w:kern w:val="0"/>
                <w:sz w:val="24"/>
                <w:szCs w:val="24"/>
                <w:highlight w:val="none"/>
                <w:u w:val="none"/>
                <w:lang w:val="en-US" w:eastAsia="zh-CN" w:bidi="ar"/>
              </w:rPr>
              <w:t>。</w:t>
            </w:r>
          </w:p>
          <w:p w14:paraId="1B71A9B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4、软件采用稳定的B/S架构、所有软件集中安装在服务器、管理者或分控人员可通过浏览器直接（访问端口可自定义、默认80）以特定的用户身份操作管理整个广播系统、不再安装任何软件。</w:t>
            </w:r>
          </w:p>
        </w:tc>
        <w:tc>
          <w:tcPr>
            <w:tcW w:w="458" w:type="pct"/>
            <w:vAlign w:val="center"/>
          </w:tcPr>
          <w:p w14:paraId="6F4E7B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50225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F7CF6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FCC58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588A4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CD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B855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7D019C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定时器</w:t>
            </w:r>
          </w:p>
        </w:tc>
        <w:tc>
          <w:tcPr>
            <w:tcW w:w="1872" w:type="pct"/>
            <w:vAlign w:val="center"/>
          </w:tcPr>
          <w:p w14:paraId="474D46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1、大屏幕液晶显示,全中文菜单.操作简单；</w:t>
            </w:r>
          </w:p>
          <w:p w14:paraId="042805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2、内置MP3播放器,可通过外接USB接口连接电脑更换歌曲；</w:t>
            </w:r>
          </w:p>
          <w:p w14:paraId="0CCD47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3、带遥控器,实现远程控制播放功能；</w:t>
            </w:r>
          </w:p>
          <w:p w14:paraId="6652B38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4、自带调谐器,设有录音功能,可支持文件下载。</w:t>
            </w:r>
          </w:p>
        </w:tc>
        <w:tc>
          <w:tcPr>
            <w:tcW w:w="458" w:type="pct"/>
            <w:vAlign w:val="center"/>
          </w:tcPr>
          <w:p w14:paraId="44586D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7CA7E6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7FA357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7F7D8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6ECBA7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548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F5B6F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A4E4E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数控DVD</w:t>
            </w:r>
          </w:p>
        </w:tc>
        <w:tc>
          <w:tcPr>
            <w:tcW w:w="1872" w:type="pct"/>
            <w:vAlign w:val="center"/>
          </w:tcPr>
          <w:p w14:paraId="5C4D46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1、具备纠错功能,解码播放；</w:t>
            </w:r>
          </w:p>
          <w:p w14:paraId="2F9CF0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2、具备遥控操作,菜单提示；</w:t>
            </w:r>
          </w:p>
          <w:p w14:paraId="2EAAF6F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3、具备CD、DVD、U盘、MP3自动播放功能。</w:t>
            </w:r>
          </w:p>
        </w:tc>
        <w:tc>
          <w:tcPr>
            <w:tcW w:w="458" w:type="pct"/>
            <w:vAlign w:val="center"/>
          </w:tcPr>
          <w:p w14:paraId="769AB7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0C0B65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5108E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81E35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9586F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85B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932A8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6BFE42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数控调谐器</w:t>
            </w:r>
          </w:p>
        </w:tc>
        <w:tc>
          <w:tcPr>
            <w:tcW w:w="1872" w:type="pct"/>
            <w:vAlign w:val="center"/>
          </w:tcPr>
          <w:p w14:paraId="39EF08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1、铝质1U黑色拉丝面板，机架式安装；</w:t>
            </w:r>
          </w:p>
          <w:p w14:paraId="0BFC6C9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2、具有≥1路立体声录音输入,，AV莲花座接口；</w:t>
            </w:r>
          </w:p>
          <w:p w14:paraId="3350A18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3、具有≥1路立体声非平衡输出，AV莲花座接口；</w:t>
            </w:r>
          </w:p>
          <w:p w14:paraId="4510BB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4、具有≥1路FM/USB/蓝牙/录音等4个功能模式切换；</w:t>
            </w:r>
          </w:p>
          <w:p w14:paraId="0D6410F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5、USB支持无损APE、FLAC、WMA、WAV、MP3等音频文件格式文件播放；</w:t>
            </w:r>
          </w:p>
          <w:p w14:paraId="7C2891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6、采用≥7位数码LED显示屏，显示工作状态。</w:t>
            </w:r>
          </w:p>
        </w:tc>
        <w:tc>
          <w:tcPr>
            <w:tcW w:w="458" w:type="pct"/>
            <w:vAlign w:val="center"/>
          </w:tcPr>
          <w:p w14:paraId="378E60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59547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A545A7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4E72C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219B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9CE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FB0E6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64413E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网络呼叫站</w:t>
            </w:r>
          </w:p>
        </w:tc>
        <w:tc>
          <w:tcPr>
            <w:tcW w:w="1872" w:type="pct"/>
            <w:vAlign w:val="center"/>
          </w:tcPr>
          <w:p w14:paraId="1612E1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1、网络寻呼话筒，操作简单；</w:t>
            </w:r>
          </w:p>
          <w:p w14:paraId="34DFEE5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2、可进行单向广播（对点、分区或全区）、双向对讲和监听。</w:t>
            </w:r>
          </w:p>
          <w:p w14:paraId="012DE1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3、▲≥7英寸电容触摸屏，支持寻呼对讲，操作简单，图文式菜单操作，人性化人机操作界面（提供实物图片，非效果图）；</w:t>
            </w:r>
          </w:p>
          <w:p w14:paraId="6334F6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4、≥三种语言模式切换（简体中文、繁体中文、英文等）；</w:t>
            </w:r>
          </w:p>
          <w:p w14:paraId="5949B9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5、支持点播、给终端或本地输出、≥1路音频输入，≥1路音频输出（带音量调节旋钮），≥1路耳机输出（带音量调节旋钮）</w:t>
            </w:r>
          </w:p>
          <w:p w14:paraId="1A0F35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6、支持终端设置、密码设置、背光设置、注销时间设置、音量设置、音效设置、铃声设置、软件升级、恢复和备份设置、系统日志、重启终端。</w:t>
            </w:r>
          </w:p>
          <w:p w14:paraId="18E7F4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7、内嵌低噪音拾音系统软件</w:t>
            </w:r>
          </w:p>
        </w:tc>
        <w:tc>
          <w:tcPr>
            <w:tcW w:w="458" w:type="pct"/>
            <w:vAlign w:val="center"/>
          </w:tcPr>
          <w:p w14:paraId="56F03F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6AD61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F0D18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69F6B2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70871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DCF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1FA49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1B06B0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网络报警矩阵</w:t>
            </w:r>
          </w:p>
        </w:tc>
        <w:tc>
          <w:tcPr>
            <w:tcW w:w="1872" w:type="pct"/>
            <w:vAlign w:val="center"/>
          </w:tcPr>
          <w:p w14:paraId="26C604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16路消防报警采集接口，可扩展至1024路；</w:t>
            </w:r>
          </w:p>
          <w:p w14:paraId="3731E0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2、由地址码可配置两种报警采集触发方式，常闭触发方式跟常开触发方式；</w:t>
            </w:r>
          </w:p>
          <w:p w14:paraId="219917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3、准确的报警分区LED灯显示；</w:t>
            </w:r>
          </w:p>
          <w:p w14:paraId="419C20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4、联动启动服务器存储报警音乐模式。</w:t>
            </w:r>
          </w:p>
        </w:tc>
        <w:tc>
          <w:tcPr>
            <w:tcW w:w="458" w:type="pct"/>
            <w:vAlign w:val="center"/>
          </w:tcPr>
          <w:p w14:paraId="4162F0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72B47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D0AD3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44F58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10E0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EA4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53B2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02E745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终端采集器</w:t>
            </w:r>
          </w:p>
        </w:tc>
        <w:tc>
          <w:tcPr>
            <w:tcW w:w="1872" w:type="pct"/>
            <w:vAlign w:val="center"/>
          </w:tcPr>
          <w:p w14:paraId="62D3E4A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1、▲支持GPS校时或北斗校时功能</w:t>
            </w:r>
            <w:r>
              <w:rPr>
                <w:rFonts w:hint="eastAsia" w:ascii="宋体" w:hAnsi="宋体" w:eastAsia="宋体" w:cs="宋体"/>
                <w:sz w:val="24"/>
                <w:szCs w:val="24"/>
                <w:highlight w:val="none"/>
                <w:lang w:val="en-US" w:eastAsia="zh-CN"/>
              </w:rPr>
              <w:t>，可为服务器提供时间校准（投标文件中提供该功能的界面截图）；</w:t>
            </w:r>
          </w:p>
          <w:p w14:paraId="14FE88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3 路线路输入，</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2 路麦克风输入（1 路带默音功能，1 路话筒混音功能）2 路模拟输出；</w:t>
            </w:r>
          </w:p>
          <w:p w14:paraId="2D5BB9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3、MP3 播放功能，可插 U 盘、SD 卡，具有 FM 收音功能，电源管理（3 路外控电源，1 路 MP3 模块），高、低音独立调节，线路输入、话筒、MP3 音量独立调节；</w:t>
            </w:r>
          </w:p>
          <w:p w14:paraId="3F083B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10 组快捷分区设置（通过软件可对 10 个手动按键进行分区设置，实现一键开启分区功能）（提供设备清晰图片佐证）；</w:t>
            </w:r>
          </w:p>
          <w:p w14:paraId="7CCE35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1 路远程触发设置（通过软件设置对应分区与远程无线话筒联动，实现无线话筒控制采集器工作）；</w:t>
            </w:r>
          </w:p>
          <w:p w14:paraId="653CC39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内嵌智慧型语音识别系统软件，投标文件中提供正版软件证明材料。</w:t>
            </w:r>
          </w:p>
        </w:tc>
        <w:tc>
          <w:tcPr>
            <w:tcW w:w="458" w:type="pct"/>
            <w:vAlign w:val="center"/>
          </w:tcPr>
          <w:p w14:paraId="24809E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5B8C4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D136A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D7F35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8BECE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478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DDF85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5C566A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网络监听音箱</w:t>
            </w:r>
          </w:p>
        </w:tc>
        <w:tc>
          <w:tcPr>
            <w:tcW w:w="1872" w:type="pct"/>
            <w:vAlign w:val="center"/>
          </w:tcPr>
          <w:p w14:paraId="110297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1、定时播放：可接收服务器的文件广播任务、采集任务、定时任务、网络电台任务等资源；</w:t>
            </w:r>
          </w:p>
          <w:p w14:paraId="4F0323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2、地址设置：通过电脑WEB设置IP地址，无需安装任何软件，也可以通过手机WEB进行设置；</w:t>
            </w:r>
          </w:p>
          <w:p w14:paraId="59817E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3、U盘播放：直接读取U盘内音乐进行播放；</w:t>
            </w:r>
          </w:p>
          <w:p w14:paraId="213EC68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4、网络优先：终端可设置网络音频优先和混音输出功放开关：当有本地音源信号输入的时候终端自动打开功放进行扩音播放，当然音源信号停止时自动关闭功放；</w:t>
            </w:r>
          </w:p>
          <w:p w14:paraId="670A1B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color w:val="auto"/>
                <w:sz w:val="24"/>
                <w:szCs w:val="24"/>
                <w:highlight w:val="none"/>
                <w:lang w:val="en-US" w:eastAsia="zh-CN"/>
              </w:rPr>
              <w:t>、时钟显示：</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11.7英寸数码显示24时制时分秒，音箱集成数码显示时钟，可精确到时、分、秒；</w:t>
            </w:r>
          </w:p>
          <w:p w14:paraId="46305C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6、▲内嵌IP网络离线广播软件具备运行状态显示、终端设置、HDCP设置、时间设置、远程WEB管理、串口设置、恢复和备份设置、软件升级、重启终端、修改登录口令、系统日志，</w:t>
            </w:r>
            <w:r>
              <w:rPr>
                <w:rFonts w:hint="eastAsia" w:ascii="宋体" w:hAnsi="宋体" w:eastAsia="宋体" w:cs="宋体"/>
                <w:i w:val="0"/>
                <w:iCs w:val="0"/>
                <w:color w:val="000000"/>
                <w:kern w:val="0"/>
                <w:sz w:val="24"/>
                <w:szCs w:val="24"/>
                <w:highlight w:val="none"/>
                <w:u w:val="none"/>
                <w:lang w:val="en-US" w:eastAsia="zh-CN" w:bidi="ar"/>
              </w:rPr>
              <w:t>投标文件中提供具有第三方软件评测中心出具的软件产品登记测试报告</w:t>
            </w:r>
            <w:r>
              <w:rPr>
                <w:rFonts w:hint="eastAsia" w:ascii="宋体" w:hAnsi="宋体" w:eastAsia="宋体" w:cs="宋体"/>
                <w:i w:val="0"/>
                <w:iCs w:val="0"/>
                <w:color w:val="000000"/>
                <w:kern w:val="0"/>
                <w:sz w:val="24"/>
                <w:szCs w:val="24"/>
                <w:highlight w:val="none"/>
                <w:u w:val="none"/>
                <w:lang w:val="en-US" w:eastAsia="zh-CN" w:bidi="ar"/>
              </w:rPr>
              <w:t>。</w:t>
            </w:r>
          </w:p>
        </w:tc>
        <w:tc>
          <w:tcPr>
            <w:tcW w:w="458" w:type="pct"/>
            <w:vAlign w:val="center"/>
          </w:tcPr>
          <w:p w14:paraId="4C1075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E656F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5607A0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EAA4C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2A09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52F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AF5FB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2A8500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电源时序器</w:t>
            </w:r>
          </w:p>
        </w:tc>
        <w:tc>
          <w:tcPr>
            <w:tcW w:w="1872" w:type="pct"/>
            <w:vAlign w:val="center"/>
          </w:tcPr>
          <w:p w14:paraId="0B0DA2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1、公共广播电源管理之首选</w:t>
            </w:r>
          </w:p>
          <w:p w14:paraId="68FEE1C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16路通道设备电源管理,每路端口电流容量可达2KVA</w:t>
            </w:r>
          </w:p>
          <w:p w14:paraId="7A42E1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3、按顺序上电(时序上电)反序断电， 上/断电时序间隔2-3秒，有效的隔离大功率设备开关机时电流过大对电网的冲击，</w:t>
            </w:r>
          </w:p>
        </w:tc>
        <w:tc>
          <w:tcPr>
            <w:tcW w:w="458" w:type="pct"/>
            <w:vAlign w:val="center"/>
          </w:tcPr>
          <w:p w14:paraId="5FE39B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9C630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148A8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8A9D03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426EC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B9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F5B50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7AA589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交换机</w:t>
            </w:r>
          </w:p>
        </w:tc>
        <w:tc>
          <w:tcPr>
            <w:tcW w:w="1872" w:type="pct"/>
            <w:vAlign w:val="center"/>
          </w:tcPr>
          <w:p w14:paraId="3533EA72">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1、交换容量：≥96Gbps，包转发率：≥71.4Mpps</w:t>
            </w:r>
          </w:p>
          <w:p w14:paraId="698E8E9E">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2、端口数量：≥24个千兆电口；</w:t>
            </w:r>
          </w:p>
          <w:p w14:paraId="3C36C3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3、速度：10/100/1000Mbps。</w:t>
            </w:r>
          </w:p>
        </w:tc>
        <w:tc>
          <w:tcPr>
            <w:tcW w:w="458" w:type="pct"/>
            <w:vAlign w:val="center"/>
          </w:tcPr>
          <w:p w14:paraId="49F775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3D298B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2781E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CFDA7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2D72D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ECC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73022C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42A92B59">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1-3层公共区域</w:t>
            </w:r>
          </w:p>
        </w:tc>
      </w:tr>
      <w:tr w14:paraId="2EEF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0E1E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A319D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网络功放</w:t>
            </w:r>
          </w:p>
        </w:tc>
        <w:tc>
          <w:tcPr>
            <w:tcW w:w="1872" w:type="pct"/>
            <w:vAlign w:val="center"/>
          </w:tcPr>
          <w:p w14:paraId="57ACF6C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1、机柜式单通道网络音频解码设备，内置数字功率放大器；</w:t>
            </w:r>
          </w:p>
          <w:p w14:paraId="41238C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2、标准机柜式设计≤（2U）,银白色氧化铝拉丝面板，人性化的抽手；</w:t>
            </w:r>
          </w:p>
          <w:p w14:paraId="6A28F1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3、设备采用嵌入式ARM9处理器；高速工业级芯片，运行稳定可靠；</w:t>
            </w:r>
          </w:p>
          <w:p w14:paraId="0E5F77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4、支持TCP/IP、UDP、IGMP(组播)协议，实现网络化传输</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16位立体声CD音质的音乐信号；</w:t>
            </w:r>
          </w:p>
          <w:p w14:paraId="4AB60D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5、输出模式：</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定压100V，输出功率：</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250W；</w:t>
            </w:r>
          </w:p>
          <w:p w14:paraId="2B6664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1路线路（AUX）和</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3路话筒（MIC）输入，实现本地外接音源输入和紧急广播输入，具有独立的音量调节。</w:t>
            </w:r>
          </w:p>
        </w:tc>
        <w:tc>
          <w:tcPr>
            <w:tcW w:w="458" w:type="pct"/>
            <w:vAlign w:val="center"/>
          </w:tcPr>
          <w:p w14:paraId="7FF673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4E8487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00CF1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89C5A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85CF0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7F1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7DEA0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6E921A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5寸吸顶喇叭</w:t>
            </w:r>
          </w:p>
        </w:tc>
        <w:tc>
          <w:tcPr>
            <w:tcW w:w="1872" w:type="pct"/>
            <w:vAlign w:val="center"/>
          </w:tcPr>
          <w:p w14:paraId="5EB971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sz w:val="24"/>
                <w:szCs w:val="24"/>
                <w:highlight w:val="none"/>
                <w:lang w:val="en-US" w:eastAsia="zh-CN"/>
              </w:rPr>
              <w:t>、额定功率：</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3W/6W</w:t>
            </w:r>
          </w:p>
          <w:p w14:paraId="14EED8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2、最大功率：</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6W</w:t>
            </w:r>
          </w:p>
          <w:p w14:paraId="4F5158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3、输入电压：</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70V/100V</w:t>
            </w:r>
          </w:p>
          <w:p w14:paraId="1D035F5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4、灵敏度：</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91dB</w:t>
            </w:r>
          </w:p>
          <w:p w14:paraId="7DCC55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5、频率响应：100-15,000Hz</w:t>
            </w:r>
          </w:p>
        </w:tc>
        <w:tc>
          <w:tcPr>
            <w:tcW w:w="458" w:type="pct"/>
            <w:vAlign w:val="center"/>
          </w:tcPr>
          <w:p w14:paraId="74C5D7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445" w:type="pct"/>
            <w:vAlign w:val="center"/>
          </w:tcPr>
          <w:p w14:paraId="5FD7C3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2667F39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47E9A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87A7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FE5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7DE57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300BCFAB">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r>
      <w:tr w14:paraId="6394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3487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B3307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72" w:type="pct"/>
            <w:vAlign w:val="center"/>
          </w:tcPr>
          <w:p w14:paraId="74A327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网线、电源线、视频线、音频线、其他插接头等线材辅材</w:t>
            </w:r>
          </w:p>
        </w:tc>
        <w:tc>
          <w:tcPr>
            <w:tcW w:w="458" w:type="pct"/>
            <w:vAlign w:val="center"/>
          </w:tcPr>
          <w:p w14:paraId="010A1E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E3BEB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51955B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C762B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4E7000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9F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27BA7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425BD0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安装调试</w:t>
            </w:r>
          </w:p>
        </w:tc>
        <w:tc>
          <w:tcPr>
            <w:tcW w:w="1872" w:type="pct"/>
            <w:vAlign w:val="center"/>
          </w:tcPr>
          <w:p w14:paraId="5C40339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设备安装调试</w:t>
            </w:r>
          </w:p>
        </w:tc>
        <w:tc>
          <w:tcPr>
            <w:tcW w:w="458" w:type="pct"/>
            <w:vAlign w:val="center"/>
          </w:tcPr>
          <w:p w14:paraId="4F5942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90DAE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2C5140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1C215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AA141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8B5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637C9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十三</w:t>
            </w:r>
          </w:p>
        </w:tc>
        <w:tc>
          <w:tcPr>
            <w:tcW w:w="4566" w:type="pct"/>
            <w:gridSpan w:val="7"/>
            <w:vAlign w:val="center"/>
          </w:tcPr>
          <w:p w14:paraId="763ED4C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机房工程</w:t>
            </w:r>
          </w:p>
        </w:tc>
      </w:tr>
      <w:tr w14:paraId="6858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F9EDBD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3BFA2E0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UPS机房</w:t>
            </w:r>
          </w:p>
        </w:tc>
      </w:tr>
      <w:tr w14:paraId="0D1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977B3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A-1</w:t>
            </w:r>
          </w:p>
        </w:tc>
        <w:tc>
          <w:tcPr>
            <w:tcW w:w="4566" w:type="pct"/>
            <w:gridSpan w:val="7"/>
            <w:vAlign w:val="center"/>
          </w:tcPr>
          <w:p w14:paraId="13FDA5D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装饰装修</w:t>
            </w:r>
          </w:p>
        </w:tc>
      </w:tr>
      <w:tr w14:paraId="4656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AF61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92AC6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地面找平处理</w:t>
            </w:r>
          </w:p>
        </w:tc>
        <w:tc>
          <w:tcPr>
            <w:tcW w:w="1872" w:type="pct"/>
            <w:vAlign w:val="center"/>
          </w:tcPr>
          <w:p w14:paraId="284B2D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水泥、黄沙找平层，厚度30mm。</w:t>
            </w:r>
          </w:p>
        </w:tc>
        <w:tc>
          <w:tcPr>
            <w:tcW w:w="458" w:type="pct"/>
            <w:vAlign w:val="center"/>
          </w:tcPr>
          <w:p w14:paraId="7D2FE4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32E015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restart"/>
            <w:vAlign w:val="center"/>
          </w:tcPr>
          <w:p w14:paraId="2645D02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Merge w:val="restart"/>
            <w:vAlign w:val="center"/>
          </w:tcPr>
          <w:p w14:paraId="069468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7E08A1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95D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B14C5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D05E0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地面防尘处理</w:t>
            </w:r>
          </w:p>
        </w:tc>
        <w:tc>
          <w:tcPr>
            <w:tcW w:w="1872" w:type="pct"/>
            <w:vAlign w:val="center"/>
          </w:tcPr>
          <w:p w14:paraId="747B21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灰色防尘漆两道</w:t>
            </w:r>
          </w:p>
        </w:tc>
        <w:tc>
          <w:tcPr>
            <w:tcW w:w="458" w:type="pct"/>
            <w:vAlign w:val="center"/>
          </w:tcPr>
          <w:p w14:paraId="21E556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771DCE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EEE4B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37D2ED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C556C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88D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DBA9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F84C2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地面保温处理</w:t>
            </w:r>
          </w:p>
        </w:tc>
        <w:tc>
          <w:tcPr>
            <w:tcW w:w="1872" w:type="pct"/>
            <w:vAlign w:val="center"/>
          </w:tcPr>
          <w:p w14:paraId="7D3926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30mm厚，防火等级:B1级含铝箔</w:t>
            </w:r>
          </w:p>
        </w:tc>
        <w:tc>
          <w:tcPr>
            <w:tcW w:w="458" w:type="pct"/>
            <w:vAlign w:val="center"/>
          </w:tcPr>
          <w:p w14:paraId="6610DD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534F04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4AB13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831CF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556BD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0CC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0CE07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20CB50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全钢无边抗静电地板(含裁损)</w:t>
            </w:r>
          </w:p>
        </w:tc>
        <w:tc>
          <w:tcPr>
            <w:tcW w:w="1872" w:type="pct"/>
            <w:vAlign w:val="center"/>
          </w:tcPr>
          <w:p w14:paraId="44E4CF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1、产品名称：防静电活动地板规格：600mm*600mm*35mm 无边，高度：300mm。</w:t>
            </w:r>
          </w:p>
          <w:p w14:paraId="16975F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2、材质要求：装饰面层采用 1.2mm 高耐磨防静电贴面，表面电阻值为 106-9Ω，机械性能： 集中荷载≥2950N/m2,均布载荷≥12500N/m2；耐磨及防静电性能优良，支架厚度上托≥3mm，下托≥2mm，横梁壁厚≥1.0mm。上层板基采用优质SPCC1D 硬质合金冷轧钢板，板基表面采用静电喷塑， 钢板厚度为 0.7mm；下层板基采用 ST14 拉伸板，经拉伸后点焊成形，外表（下层板基）经磷化后进行静电喷塑处理，钢板厚度为 0.6mm；成型后钢板壳内腔填充优质发泡水泥。</w:t>
            </w:r>
          </w:p>
        </w:tc>
        <w:tc>
          <w:tcPr>
            <w:tcW w:w="458" w:type="pct"/>
            <w:vAlign w:val="center"/>
          </w:tcPr>
          <w:p w14:paraId="2088AF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6A32CD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6C63DE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C0284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C5DBE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B10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7FCB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10B66E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镀锌角钢支架</w:t>
            </w:r>
          </w:p>
        </w:tc>
        <w:tc>
          <w:tcPr>
            <w:tcW w:w="1872" w:type="pct"/>
            <w:vAlign w:val="center"/>
          </w:tcPr>
          <w:p w14:paraId="190BCF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∠40*40*4mm</w:t>
            </w:r>
          </w:p>
        </w:tc>
        <w:tc>
          <w:tcPr>
            <w:tcW w:w="458" w:type="pct"/>
            <w:vAlign w:val="center"/>
          </w:tcPr>
          <w:p w14:paraId="1B9F0F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445" w:type="pct"/>
            <w:vAlign w:val="center"/>
          </w:tcPr>
          <w:p w14:paraId="4D8E91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7A37A0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64DAA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04186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0ED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F43E4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4CBF6F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不锈钢踢脚线</w:t>
            </w:r>
          </w:p>
        </w:tc>
        <w:tc>
          <w:tcPr>
            <w:tcW w:w="1872" w:type="pct"/>
            <w:vAlign w:val="center"/>
          </w:tcPr>
          <w:p w14:paraId="6493E2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1mm厚拉丝不锈钢定制,100mm高</w:t>
            </w:r>
          </w:p>
        </w:tc>
        <w:tc>
          <w:tcPr>
            <w:tcW w:w="458" w:type="pct"/>
            <w:vAlign w:val="center"/>
          </w:tcPr>
          <w:p w14:paraId="7AD1F5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445" w:type="pct"/>
            <w:vAlign w:val="center"/>
          </w:tcPr>
          <w:p w14:paraId="492133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3DC74A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3E40CD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D4394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58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F36F3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149D9D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顶面防尘处理</w:t>
            </w:r>
          </w:p>
        </w:tc>
        <w:tc>
          <w:tcPr>
            <w:tcW w:w="1872" w:type="pct"/>
            <w:vAlign w:val="center"/>
          </w:tcPr>
          <w:p w14:paraId="5C9666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灰色防尘漆两道</w:t>
            </w:r>
          </w:p>
        </w:tc>
        <w:tc>
          <w:tcPr>
            <w:tcW w:w="458" w:type="pct"/>
            <w:vAlign w:val="center"/>
          </w:tcPr>
          <w:p w14:paraId="309962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45" w:type="pct"/>
            <w:vAlign w:val="center"/>
          </w:tcPr>
          <w:p w14:paraId="71C67E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5D399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1F8852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F87D2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F7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B36B4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565421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顶面保温处理</w:t>
            </w:r>
          </w:p>
        </w:tc>
        <w:tc>
          <w:tcPr>
            <w:tcW w:w="1872" w:type="pct"/>
            <w:vAlign w:val="center"/>
          </w:tcPr>
          <w:p w14:paraId="35B302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20mm厚,防火等级:B1级</w:t>
            </w:r>
          </w:p>
        </w:tc>
        <w:tc>
          <w:tcPr>
            <w:tcW w:w="458" w:type="pct"/>
            <w:vAlign w:val="center"/>
          </w:tcPr>
          <w:p w14:paraId="5D3053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45" w:type="pct"/>
            <w:vAlign w:val="center"/>
          </w:tcPr>
          <w:p w14:paraId="23EB96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64B836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E7505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8DA06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2E8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DBE0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0BBD5D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二次顶面天棚龙骨</w:t>
            </w:r>
          </w:p>
        </w:tc>
        <w:tc>
          <w:tcPr>
            <w:tcW w:w="1872" w:type="pct"/>
            <w:vAlign w:val="center"/>
          </w:tcPr>
          <w:p w14:paraId="3B1EE29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U50主龙</w:t>
            </w:r>
          </w:p>
        </w:tc>
        <w:tc>
          <w:tcPr>
            <w:tcW w:w="458" w:type="pct"/>
            <w:vAlign w:val="center"/>
          </w:tcPr>
          <w:p w14:paraId="464A99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158FA4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51654AD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0EDE6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064A2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82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E6A7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423392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一次天棚吊筋</w:t>
            </w:r>
          </w:p>
        </w:tc>
        <w:tc>
          <w:tcPr>
            <w:tcW w:w="1872" w:type="pct"/>
            <w:vAlign w:val="center"/>
          </w:tcPr>
          <w:p w14:paraId="278C1A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Ф8</w:t>
            </w:r>
          </w:p>
        </w:tc>
        <w:tc>
          <w:tcPr>
            <w:tcW w:w="458" w:type="pct"/>
            <w:vAlign w:val="center"/>
          </w:tcPr>
          <w:p w14:paraId="511CF4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190813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3627A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153ADF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311D36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4D8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845F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0FE5CD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反支撑固定</w:t>
            </w:r>
          </w:p>
        </w:tc>
        <w:tc>
          <w:tcPr>
            <w:tcW w:w="1872" w:type="pct"/>
            <w:vAlign w:val="center"/>
          </w:tcPr>
          <w:p w14:paraId="1CC80C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L50角钢</w:t>
            </w:r>
          </w:p>
        </w:tc>
        <w:tc>
          <w:tcPr>
            <w:tcW w:w="458" w:type="pct"/>
            <w:vAlign w:val="center"/>
          </w:tcPr>
          <w:p w14:paraId="790AFA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766CA1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7F3A241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17D470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82A09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2C3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C9F2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6E8CEE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二次石膏板吊顶</w:t>
            </w:r>
          </w:p>
        </w:tc>
        <w:tc>
          <w:tcPr>
            <w:tcW w:w="1872" w:type="pct"/>
            <w:vAlign w:val="center"/>
          </w:tcPr>
          <w:p w14:paraId="0C0CDF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12mm单面石膏板,H=4000mm</w:t>
            </w:r>
          </w:p>
        </w:tc>
        <w:tc>
          <w:tcPr>
            <w:tcW w:w="458" w:type="pct"/>
            <w:vAlign w:val="center"/>
          </w:tcPr>
          <w:p w14:paraId="73D2C5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0B067D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061CF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6DCFD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0D50D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D46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1C8D5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577" w:type="pct"/>
            <w:vAlign w:val="center"/>
          </w:tcPr>
          <w:p w14:paraId="1B6BEE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吊顶乳胶漆</w:t>
            </w:r>
          </w:p>
        </w:tc>
        <w:tc>
          <w:tcPr>
            <w:tcW w:w="1872" w:type="pct"/>
            <w:vAlign w:val="center"/>
          </w:tcPr>
          <w:p w14:paraId="339494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满批腻子三遍，外饰乳胶漆</w:t>
            </w:r>
          </w:p>
        </w:tc>
        <w:tc>
          <w:tcPr>
            <w:tcW w:w="458" w:type="pct"/>
            <w:vAlign w:val="center"/>
          </w:tcPr>
          <w:p w14:paraId="6E49D0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5CCBC4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0A0D60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1BC59F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3C9B4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6A5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CC627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577" w:type="pct"/>
            <w:vAlign w:val="center"/>
          </w:tcPr>
          <w:p w14:paraId="792FB6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一次顶面天棚龙骨</w:t>
            </w:r>
          </w:p>
        </w:tc>
        <w:tc>
          <w:tcPr>
            <w:tcW w:w="1872" w:type="pct"/>
            <w:vAlign w:val="center"/>
          </w:tcPr>
          <w:p w14:paraId="52DF7B9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U50主龙</w:t>
            </w:r>
          </w:p>
        </w:tc>
        <w:tc>
          <w:tcPr>
            <w:tcW w:w="458" w:type="pct"/>
            <w:vAlign w:val="center"/>
          </w:tcPr>
          <w:p w14:paraId="0B0647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2F03E6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547C2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C904D2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4415E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5A1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FC74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577" w:type="pct"/>
            <w:vAlign w:val="center"/>
          </w:tcPr>
          <w:p w14:paraId="72E478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一次天棚吊筋</w:t>
            </w:r>
          </w:p>
        </w:tc>
        <w:tc>
          <w:tcPr>
            <w:tcW w:w="1872" w:type="pct"/>
            <w:vAlign w:val="center"/>
          </w:tcPr>
          <w:p w14:paraId="5ED420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Ф8</w:t>
            </w:r>
          </w:p>
        </w:tc>
        <w:tc>
          <w:tcPr>
            <w:tcW w:w="458" w:type="pct"/>
            <w:vAlign w:val="center"/>
          </w:tcPr>
          <w:p w14:paraId="1F3B66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445" w:type="pct"/>
            <w:vAlign w:val="center"/>
          </w:tcPr>
          <w:p w14:paraId="113FC5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2FF21E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0C1A1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2905A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8FE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84BE7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577" w:type="pct"/>
            <w:vAlign w:val="center"/>
          </w:tcPr>
          <w:p w14:paraId="5F6782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一次天棚烤漆边龙骨</w:t>
            </w:r>
          </w:p>
        </w:tc>
        <w:tc>
          <w:tcPr>
            <w:tcW w:w="1872" w:type="pct"/>
            <w:vAlign w:val="center"/>
          </w:tcPr>
          <w:p w14:paraId="591822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L型边龙</w:t>
            </w:r>
          </w:p>
        </w:tc>
        <w:tc>
          <w:tcPr>
            <w:tcW w:w="458" w:type="pct"/>
            <w:vAlign w:val="center"/>
          </w:tcPr>
          <w:p w14:paraId="3D90C4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445" w:type="pct"/>
            <w:vAlign w:val="center"/>
          </w:tcPr>
          <w:p w14:paraId="3D0D03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600D15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213133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0143D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1E8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15DA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577" w:type="pct"/>
            <w:vAlign w:val="center"/>
          </w:tcPr>
          <w:p w14:paraId="70C194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一次金属微孔吸音铝方形板</w:t>
            </w:r>
          </w:p>
        </w:tc>
        <w:tc>
          <w:tcPr>
            <w:tcW w:w="1872" w:type="pct"/>
            <w:vAlign w:val="center"/>
          </w:tcPr>
          <w:p w14:paraId="4C6694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1、产品名称：微孔金属天花，规格：600mm*600mm*0.8mm；</w:t>
            </w:r>
          </w:p>
          <w:p w14:paraId="16B9B1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2、板面涂层性能采用优质静电粉末喷涂，由全自动高速涂装线涂装，板面平整，无色差，涂层附着力强，能耐酸、碱、盐雾的侵蚀，长时间不变色，涂料不脱落；</w:t>
            </w:r>
          </w:p>
          <w:p w14:paraId="3928A6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3、针孔天花，孔径φ1.8mm或φ 2.2mm，孔中心距5×5mm，穿孔率为16%，背面贴高级吸音无纺布；</w:t>
            </w:r>
          </w:p>
          <w:p w14:paraId="14ECA6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4、适温性强，铝合板一般可在较大的温度变化下使用，其优良性能不受影响；</w:t>
            </w:r>
          </w:p>
          <w:p w14:paraId="0F75AE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5、安全无毒、防火，其材质是非可燃的铝板，故燃烧特性符合建筑法规的耐火要求。</w:t>
            </w:r>
          </w:p>
        </w:tc>
        <w:tc>
          <w:tcPr>
            <w:tcW w:w="458" w:type="pct"/>
            <w:vAlign w:val="center"/>
          </w:tcPr>
          <w:p w14:paraId="0C3F9D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46.3</w:t>
            </w:r>
          </w:p>
        </w:tc>
        <w:tc>
          <w:tcPr>
            <w:tcW w:w="445" w:type="pct"/>
            <w:vAlign w:val="center"/>
          </w:tcPr>
          <w:p w14:paraId="1E4D7A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2CC8749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5B2DC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48C46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E55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219B5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577" w:type="pct"/>
            <w:vAlign w:val="center"/>
          </w:tcPr>
          <w:p w14:paraId="4A3DFC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内墙柱面轻钢龙骨及其附件</w:t>
            </w:r>
          </w:p>
        </w:tc>
        <w:tc>
          <w:tcPr>
            <w:tcW w:w="1872" w:type="pct"/>
            <w:vAlign w:val="center"/>
          </w:tcPr>
          <w:p w14:paraId="4CF9D7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C75轻钢龙骨</w:t>
            </w:r>
          </w:p>
        </w:tc>
        <w:tc>
          <w:tcPr>
            <w:tcW w:w="458" w:type="pct"/>
            <w:vAlign w:val="center"/>
          </w:tcPr>
          <w:p w14:paraId="24E99B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162.4</w:t>
            </w:r>
          </w:p>
        </w:tc>
        <w:tc>
          <w:tcPr>
            <w:tcW w:w="445" w:type="pct"/>
            <w:vAlign w:val="center"/>
          </w:tcPr>
          <w:p w14:paraId="776438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50FAE1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49997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AB0576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64B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DE192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577" w:type="pct"/>
            <w:vAlign w:val="center"/>
          </w:tcPr>
          <w:p w14:paraId="6C384F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墙面保温棉</w:t>
            </w:r>
          </w:p>
        </w:tc>
        <w:tc>
          <w:tcPr>
            <w:tcW w:w="1872" w:type="pct"/>
            <w:vAlign w:val="center"/>
          </w:tcPr>
          <w:p w14:paraId="6C5B1F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20mm厚,防火等级:B1级</w:t>
            </w:r>
          </w:p>
        </w:tc>
        <w:tc>
          <w:tcPr>
            <w:tcW w:w="458" w:type="pct"/>
            <w:vAlign w:val="center"/>
          </w:tcPr>
          <w:p w14:paraId="71FCE0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162.4</w:t>
            </w:r>
          </w:p>
        </w:tc>
        <w:tc>
          <w:tcPr>
            <w:tcW w:w="445" w:type="pct"/>
            <w:vAlign w:val="center"/>
          </w:tcPr>
          <w:p w14:paraId="4A5B8C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7A3392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791E3E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265ED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24C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A73D8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577" w:type="pct"/>
            <w:vAlign w:val="center"/>
          </w:tcPr>
          <w:p w14:paraId="646607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彩钢板饰面</w:t>
            </w:r>
          </w:p>
        </w:tc>
        <w:tc>
          <w:tcPr>
            <w:tcW w:w="1872" w:type="pct"/>
            <w:vAlign w:val="center"/>
          </w:tcPr>
          <w:p w14:paraId="0D63C4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1、产品名称：金属墙板</w:t>
            </w:r>
          </w:p>
          <w:p w14:paraId="7C44EE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2、表面材料：抗氧化性的热溶镀锌钢板0.6MM；涂装工艺采用全自动高压静电超高速旋转雾状喷涂技术，涂装前进行脱脂、磷化处理；涂层均匀、附着力强；漆膜性能具备良好的抗氧化性能和焊接性能；</w:t>
            </w:r>
          </w:p>
          <w:p w14:paraId="4D96A9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3、钢板与背面12MM高密度石膏板采用组合胶粘接，可保永不分离。满足室内对防火、隔音、保温及防尘等需求；</w:t>
            </w:r>
          </w:p>
        </w:tc>
        <w:tc>
          <w:tcPr>
            <w:tcW w:w="458" w:type="pct"/>
            <w:vAlign w:val="center"/>
          </w:tcPr>
          <w:p w14:paraId="2881BA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121.8</w:t>
            </w:r>
          </w:p>
        </w:tc>
        <w:tc>
          <w:tcPr>
            <w:tcW w:w="445" w:type="pct"/>
            <w:vAlign w:val="center"/>
          </w:tcPr>
          <w:p w14:paraId="2F17E3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B8019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9586D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3AF118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4D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9519E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577" w:type="pct"/>
            <w:vAlign w:val="center"/>
          </w:tcPr>
          <w:p w14:paraId="14A05D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彩钢板辅材</w:t>
            </w:r>
          </w:p>
        </w:tc>
        <w:tc>
          <w:tcPr>
            <w:tcW w:w="1872" w:type="pct"/>
            <w:vAlign w:val="center"/>
          </w:tcPr>
          <w:p w14:paraId="007C12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阴阳角条</w:t>
            </w:r>
          </w:p>
        </w:tc>
        <w:tc>
          <w:tcPr>
            <w:tcW w:w="458" w:type="pct"/>
            <w:vAlign w:val="center"/>
          </w:tcPr>
          <w:p w14:paraId="56F321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121.8</w:t>
            </w:r>
          </w:p>
        </w:tc>
        <w:tc>
          <w:tcPr>
            <w:tcW w:w="445" w:type="pct"/>
            <w:vAlign w:val="center"/>
          </w:tcPr>
          <w:p w14:paraId="5C173F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3DB5B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D398C6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29199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C4D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C7E3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w:t>
            </w:r>
          </w:p>
        </w:tc>
        <w:tc>
          <w:tcPr>
            <w:tcW w:w="577" w:type="pct"/>
            <w:vAlign w:val="center"/>
          </w:tcPr>
          <w:p w14:paraId="3472DF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钢制防火门</w:t>
            </w:r>
          </w:p>
        </w:tc>
        <w:tc>
          <w:tcPr>
            <w:tcW w:w="1872" w:type="pct"/>
            <w:vAlign w:val="center"/>
          </w:tcPr>
          <w:p w14:paraId="676E8B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甲级，单开钢制防火门，1000*2200;配套五金、闭门器。</w:t>
            </w:r>
          </w:p>
        </w:tc>
        <w:tc>
          <w:tcPr>
            <w:tcW w:w="458" w:type="pct"/>
            <w:vAlign w:val="center"/>
          </w:tcPr>
          <w:p w14:paraId="55387D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445" w:type="pct"/>
            <w:vAlign w:val="center"/>
          </w:tcPr>
          <w:p w14:paraId="4BA48F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9BAFF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10E9F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70A6D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21D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F78B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577" w:type="pct"/>
            <w:vAlign w:val="center"/>
          </w:tcPr>
          <w:p w14:paraId="1D1154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封窗处理</w:t>
            </w:r>
          </w:p>
        </w:tc>
        <w:tc>
          <w:tcPr>
            <w:tcW w:w="1872" w:type="pct"/>
            <w:vAlign w:val="center"/>
          </w:tcPr>
          <w:p w14:paraId="31A32F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轻钢龙骨封堵，封闭前内侧用不透明膜贴面并做好防水处理。</w:t>
            </w:r>
          </w:p>
        </w:tc>
        <w:tc>
          <w:tcPr>
            <w:tcW w:w="458" w:type="pct"/>
            <w:vAlign w:val="center"/>
          </w:tcPr>
          <w:p w14:paraId="5562B4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28.8</w:t>
            </w:r>
          </w:p>
        </w:tc>
        <w:tc>
          <w:tcPr>
            <w:tcW w:w="445" w:type="pct"/>
            <w:vAlign w:val="center"/>
          </w:tcPr>
          <w:p w14:paraId="2E5FE7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0D67C4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4512B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DE0E4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A28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62A57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577" w:type="pct"/>
            <w:vAlign w:val="center"/>
          </w:tcPr>
          <w:p w14:paraId="3E4FC7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不透明保护膜</w:t>
            </w:r>
          </w:p>
        </w:tc>
        <w:tc>
          <w:tcPr>
            <w:tcW w:w="1872" w:type="pct"/>
            <w:vAlign w:val="center"/>
          </w:tcPr>
          <w:p w14:paraId="186977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不透明保护膜</w:t>
            </w:r>
          </w:p>
        </w:tc>
        <w:tc>
          <w:tcPr>
            <w:tcW w:w="458" w:type="pct"/>
            <w:vAlign w:val="center"/>
          </w:tcPr>
          <w:p w14:paraId="7116A6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28.8</w:t>
            </w:r>
          </w:p>
        </w:tc>
        <w:tc>
          <w:tcPr>
            <w:tcW w:w="445" w:type="pct"/>
            <w:vAlign w:val="center"/>
          </w:tcPr>
          <w:p w14:paraId="616D2A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2B050B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8CB23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35D845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657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5E17E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577" w:type="pct"/>
            <w:vAlign w:val="center"/>
          </w:tcPr>
          <w:p w14:paraId="5B0167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窗户防水处理</w:t>
            </w:r>
          </w:p>
        </w:tc>
        <w:tc>
          <w:tcPr>
            <w:tcW w:w="1872" w:type="pct"/>
            <w:vAlign w:val="center"/>
          </w:tcPr>
          <w:p w14:paraId="6AA951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防水胶处理</w:t>
            </w:r>
          </w:p>
        </w:tc>
        <w:tc>
          <w:tcPr>
            <w:tcW w:w="458" w:type="pct"/>
            <w:vAlign w:val="center"/>
          </w:tcPr>
          <w:p w14:paraId="4477CF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55308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Merge w:val="continue"/>
            <w:vAlign w:val="center"/>
          </w:tcPr>
          <w:p w14:paraId="36DE71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B5291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3008B3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611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6E712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577" w:type="pct"/>
            <w:vAlign w:val="center"/>
          </w:tcPr>
          <w:p w14:paraId="2F5744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驱鼠器（含电源）</w:t>
            </w:r>
          </w:p>
        </w:tc>
        <w:tc>
          <w:tcPr>
            <w:tcW w:w="1872" w:type="pct"/>
            <w:vAlign w:val="center"/>
          </w:tcPr>
          <w:p w14:paraId="433680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有效面积:100㎡</w:t>
            </w:r>
          </w:p>
        </w:tc>
        <w:tc>
          <w:tcPr>
            <w:tcW w:w="458" w:type="pct"/>
            <w:vAlign w:val="center"/>
          </w:tcPr>
          <w:p w14:paraId="6D6336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8B948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139AD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8A41A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AF482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D2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A80C7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577" w:type="pct"/>
            <w:vAlign w:val="center"/>
          </w:tcPr>
          <w:p w14:paraId="36378C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防鼠挡板</w:t>
            </w:r>
          </w:p>
        </w:tc>
        <w:tc>
          <w:tcPr>
            <w:tcW w:w="1872" w:type="pct"/>
            <w:vAlign w:val="center"/>
          </w:tcPr>
          <w:p w14:paraId="36E04A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29603C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04179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Merge w:val="continue"/>
            <w:vAlign w:val="center"/>
          </w:tcPr>
          <w:p w14:paraId="563E71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0EB4F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F66FA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3A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CBE3C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577" w:type="pct"/>
            <w:vAlign w:val="center"/>
          </w:tcPr>
          <w:p w14:paraId="0284EF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防水围堰</w:t>
            </w:r>
          </w:p>
        </w:tc>
        <w:tc>
          <w:tcPr>
            <w:tcW w:w="1872" w:type="pct"/>
            <w:vAlign w:val="center"/>
          </w:tcPr>
          <w:p w14:paraId="5E72F6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水泥、黄沙定制50mm高</w:t>
            </w:r>
          </w:p>
        </w:tc>
        <w:tc>
          <w:tcPr>
            <w:tcW w:w="458" w:type="pct"/>
            <w:vAlign w:val="center"/>
          </w:tcPr>
          <w:p w14:paraId="0BC3AE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69E1AA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0149A6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254EF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28549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BF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3AF4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577" w:type="pct"/>
            <w:vAlign w:val="center"/>
          </w:tcPr>
          <w:p w14:paraId="5C1E87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综合配电柜承重支架</w:t>
            </w:r>
          </w:p>
        </w:tc>
        <w:tc>
          <w:tcPr>
            <w:tcW w:w="1872" w:type="pct"/>
            <w:vAlign w:val="center"/>
          </w:tcPr>
          <w:p w14:paraId="33ECC5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 角钢</w:t>
            </w:r>
          </w:p>
        </w:tc>
        <w:tc>
          <w:tcPr>
            <w:tcW w:w="458" w:type="pct"/>
            <w:vAlign w:val="center"/>
          </w:tcPr>
          <w:p w14:paraId="1C7B0A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1FB07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3145C1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54526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56805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65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C4A4D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577" w:type="pct"/>
            <w:vAlign w:val="center"/>
          </w:tcPr>
          <w:p w14:paraId="5268C6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UPS输出柜承重支架</w:t>
            </w:r>
          </w:p>
        </w:tc>
        <w:tc>
          <w:tcPr>
            <w:tcW w:w="1872" w:type="pct"/>
            <w:vAlign w:val="center"/>
          </w:tcPr>
          <w:p w14:paraId="0A2CED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 角钢</w:t>
            </w:r>
          </w:p>
        </w:tc>
        <w:tc>
          <w:tcPr>
            <w:tcW w:w="458" w:type="pct"/>
            <w:vAlign w:val="center"/>
          </w:tcPr>
          <w:p w14:paraId="170AFE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1C622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137E7D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261325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3FB60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D46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349E1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577" w:type="pct"/>
            <w:vAlign w:val="center"/>
          </w:tcPr>
          <w:p w14:paraId="3D44FB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UPS主机承重支架</w:t>
            </w:r>
          </w:p>
        </w:tc>
        <w:tc>
          <w:tcPr>
            <w:tcW w:w="1872" w:type="pct"/>
            <w:vAlign w:val="center"/>
          </w:tcPr>
          <w:p w14:paraId="7C2F73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 角钢</w:t>
            </w:r>
          </w:p>
        </w:tc>
        <w:tc>
          <w:tcPr>
            <w:tcW w:w="458" w:type="pct"/>
            <w:vAlign w:val="center"/>
          </w:tcPr>
          <w:p w14:paraId="25FDDE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08E0C3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61E49DD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275BA7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EB78F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58A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F06C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577" w:type="pct"/>
            <w:vAlign w:val="center"/>
          </w:tcPr>
          <w:p w14:paraId="7A7518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消防柜承重支架</w:t>
            </w:r>
          </w:p>
        </w:tc>
        <w:tc>
          <w:tcPr>
            <w:tcW w:w="1872" w:type="pct"/>
            <w:vAlign w:val="center"/>
          </w:tcPr>
          <w:p w14:paraId="4D0D3D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 角钢</w:t>
            </w:r>
          </w:p>
        </w:tc>
        <w:tc>
          <w:tcPr>
            <w:tcW w:w="458" w:type="pct"/>
            <w:vAlign w:val="center"/>
          </w:tcPr>
          <w:p w14:paraId="5B8A9A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E5981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066701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5A2DD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9590C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880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003A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577" w:type="pct"/>
            <w:vAlign w:val="center"/>
          </w:tcPr>
          <w:p w14:paraId="44B0F5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精密空调室内机承重支架</w:t>
            </w:r>
          </w:p>
        </w:tc>
        <w:tc>
          <w:tcPr>
            <w:tcW w:w="1872" w:type="pct"/>
            <w:vAlign w:val="center"/>
          </w:tcPr>
          <w:p w14:paraId="2D7385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∠50*50*5mm角钢</w:t>
            </w:r>
          </w:p>
        </w:tc>
        <w:tc>
          <w:tcPr>
            <w:tcW w:w="458" w:type="pct"/>
            <w:vAlign w:val="center"/>
          </w:tcPr>
          <w:p w14:paraId="06DA0E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67411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728525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C3EE4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496F67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C28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F82E3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577" w:type="pct"/>
            <w:vAlign w:val="center"/>
          </w:tcPr>
          <w:p w14:paraId="1624FB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精密空调室外机承重</w:t>
            </w:r>
          </w:p>
        </w:tc>
        <w:tc>
          <w:tcPr>
            <w:tcW w:w="1872" w:type="pct"/>
            <w:vAlign w:val="center"/>
          </w:tcPr>
          <w:p w14:paraId="7CF2AD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水泥墩砌筑</w:t>
            </w:r>
          </w:p>
        </w:tc>
        <w:tc>
          <w:tcPr>
            <w:tcW w:w="458" w:type="pct"/>
            <w:vAlign w:val="center"/>
          </w:tcPr>
          <w:p w14:paraId="6DFBD0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14712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66FCF8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EAB70C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ADC32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D64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E7DA0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577" w:type="pct"/>
            <w:vAlign w:val="center"/>
          </w:tcPr>
          <w:p w14:paraId="3B73F9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电池架承重支架</w:t>
            </w:r>
          </w:p>
        </w:tc>
        <w:tc>
          <w:tcPr>
            <w:tcW w:w="1872" w:type="pct"/>
            <w:vAlign w:val="center"/>
          </w:tcPr>
          <w:p w14:paraId="5E6B23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∠50*50*5mm角钢</w:t>
            </w:r>
          </w:p>
        </w:tc>
        <w:tc>
          <w:tcPr>
            <w:tcW w:w="458" w:type="pct"/>
            <w:vAlign w:val="center"/>
          </w:tcPr>
          <w:p w14:paraId="145415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1AFA4D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62877B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63D67B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74A541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450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083F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36</w:t>
            </w:r>
          </w:p>
        </w:tc>
        <w:tc>
          <w:tcPr>
            <w:tcW w:w="577" w:type="pct"/>
            <w:vAlign w:val="center"/>
          </w:tcPr>
          <w:p w14:paraId="3D876B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防火泥封堵</w:t>
            </w:r>
          </w:p>
        </w:tc>
        <w:tc>
          <w:tcPr>
            <w:tcW w:w="1872" w:type="pct"/>
            <w:vAlign w:val="center"/>
          </w:tcPr>
          <w:p w14:paraId="305252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外界连接的管线、槽口，用专用防火泥封堵；</w:t>
            </w:r>
          </w:p>
        </w:tc>
        <w:tc>
          <w:tcPr>
            <w:tcW w:w="458" w:type="pct"/>
            <w:vAlign w:val="center"/>
          </w:tcPr>
          <w:p w14:paraId="5E6322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CEE1E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Merge w:val="continue"/>
            <w:vAlign w:val="center"/>
          </w:tcPr>
          <w:p w14:paraId="7048986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F36D4E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F2017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A83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3EE56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w:t>
            </w:r>
          </w:p>
        </w:tc>
        <w:tc>
          <w:tcPr>
            <w:tcW w:w="4566" w:type="pct"/>
            <w:gridSpan w:val="7"/>
            <w:vAlign w:val="center"/>
          </w:tcPr>
          <w:p w14:paraId="37C3F359">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供配电</w:t>
            </w:r>
          </w:p>
        </w:tc>
      </w:tr>
      <w:tr w14:paraId="7C59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F3DC02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2AED61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综合配电柜</w:t>
            </w:r>
          </w:p>
        </w:tc>
        <w:tc>
          <w:tcPr>
            <w:tcW w:w="1872" w:type="pct"/>
            <w:vAlign w:val="center"/>
          </w:tcPr>
          <w:p w14:paraId="534DB4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定制，600*800*2000mm</w:t>
            </w:r>
          </w:p>
        </w:tc>
        <w:tc>
          <w:tcPr>
            <w:tcW w:w="458" w:type="pct"/>
            <w:vAlign w:val="center"/>
          </w:tcPr>
          <w:p w14:paraId="4E1B9A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97F17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E7034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73CF99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09241D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B74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4345E9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524EEC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UPS输出配电柜</w:t>
            </w:r>
          </w:p>
        </w:tc>
        <w:tc>
          <w:tcPr>
            <w:tcW w:w="1872" w:type="pct"/>
            <w:vAlign w:val="center"/>
          </w:tcPr>
          <w:p w14:paraId="3226F1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定制，600*800*2000mm</w:t>
            </w:r>
          </w:p>
        </w:tc>
        <w:tc>
          <w:tcPr>
            <w:tcW w:w="458" w:type="pct"/>
            <w:vAlign w:val="center"/>
          </w:tcPr>
          <w:p w14:paraId="73659C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787F2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35274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0BAC0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B9EC88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FB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E5EFD4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5ADA5B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五孔墙面插座</w:t>
            </w:r>
          </w:p>
        </w:tc>
        <w:tc>
          <w:tcPr>
            <w:tcW w:w="1872" w:type="pct"/>
            <w:vAlign w:val="center"/>
          </w:tcPr>
          <w:p w14:paraId="0CA727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单相五孔10A</w:t>
            </w:r>
          </w:p>
        </w:tc>
        <w:tc>
          <w:tcPr>
            <w:tcW w:w="458" w:type="pct"/>
            <w:vAlign w:val="center"/>
          </w:tcPr>
          <w:p w14:paraId="1FF06F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220F2F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F41E4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30CBF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1919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69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AEA4C0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0B347C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嵌入式LED平板灯</w:t>
            </w:r>
          </w:p>
        </w:tc>
        <w:tc>
          <w:tcPr>
            <w:tcW w:w="1872" w:type="pct"/>
            <w:vAlign w:val="center"/>
          </w:tcPr>
          <w:p w14:paraId="1157AD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600*600mm</w:t>
            </w:r>
          </w:p>
        </w:tc>
        <w:tc>
          <w:tcPr>
            <w:tcW w:w="458" w:type="pct"/>
            <w:vAlign w:val="center"/>
          </w:tcPr>
          <w:p w14:paraId="70FA67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0959F2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FF8A76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BF32E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75FA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34A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8830F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1C2001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应急照明筒灯</w:t>
            </w:r>
          </w:p>
        </w:tc>
        <w:tc>
          <w:tcPr>
            <w:tcW w:w="1872" w:type="pct"/>
            <w:vAlign w:val="center"/>
          </w:tcPr>
          <w:p w14:paraId="020467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3.5寸</w:t>
            </w:r>
          </w:p>
        </w:tc>
        <w:tc>
          <w:tcPr>
            <w:tcW w:w="458" w:type="pct"/>
            <w:vAlign w:val="center"/>
          </w:tcPr>
          <w:p w14:paraId="1BF02B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0A57D3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93334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5CE7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30F1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FBE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C7B4A7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565DA1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双联翘板开关</w:t>
            </w:r>
          </w:p>
        </w:tc>
        <w:tc>
          <w:tcPr>
            <w:tcW w:w="1872" w:type="pct"/>
            <w:vAlign w:val="center"/>
          </w:tcPr>
          <w:p w14:paraId="0EB4A3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10A双联开关</w:t>
            </w:r>
          </w:p>
        </w:tc>
        <w:tc>
          <w:tcPr>
            <w:tcW w:w="458" w:type="pct"/>
            <w:vAlign w:val="center"/>
          </w:tcPr>
          <w:p w14:paraId="20D5EA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DFA1F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E46DC2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FC904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5BEAE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56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BFC806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576DEA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照明、 插座等阻燃铜芯线</w:t>
            </w:r>
          </w:p>
        </w:tc>
        <w:tc>
          <w:tcPr>
            <w:tcW w:w="1872" w:type="pct"/>
            <w:vAlign w:val="center"/>
          </w:tcPr>
          <w:p w14:paraId="659AC5A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ZC-BV2.5mm²</w:t>
            </w:r>
          </w:p>
        </w:tc>
        <w:tc>
          <w:tcPr>
            <w:tcW w:w="458" w:type="pct"/>
            <w:vAlign w:val="center"/>
          </w:tcPr>
          <w:p w14:paraId="5E934E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445" w:type="pct"/>
            <w:vAlign w:val="center"/>
          </w:tcPr>
          <w:p w14:paraId="135D80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7369C3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AD7B59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C031B0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D3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9C58BD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39CF42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UPS输入阻燃铜芯软电缆</w:t>
            </w:r>
          </w:p>
        </w:tc>
        <w:tc>
          <w:tcPr>
            <w:tcW w:w="1872" w:type="pct"/>
            <w:vAlign w:val="center"/>
          </w:tcPr>
          <w:p w14:paraId="5739E3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ZCYJVR4*150+1*70mm²</w:t>
            </w:r>
          </w:p>
        </w:tc>
        <w:tc>
          <w:tcPr>
            <w:tcW w:w="458" w:type="pct"/>
            <w:vAlign w:val="center"/>
          </w:tcPr>
          <w:p w14:paraId="1CC7D4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445" w:type="pct"/>
            <w:vAlign w:val="center"/>
          </w:tcPr>
          <w:p w14:paraId="31D594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4EA19AC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CE99E7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85F72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FB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1234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77" w:type="pct"/>
            <w:vAlign w:val="center"/>
          </w:tcPr>
          <w:p w14:paraId="628642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UPS输出阻燃铜芯电缆（座席区）</w:t>
            </w:r>
          </w:p>
        </w:tc>
        <w:tc>
          <w:tcPr>
            <w:tcW w:w="1872" w:type="pct"/>
            <w:vAlign w:val="center"/>
          </w:tcPr>
          <w:p w14:paraId="4E4DCD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ZC-YJVR5*4mm²</w:t>
            </w:r>
          </w:p>
        </w:tc>
        <w:tc>
          <w:tcPr>
            <w:tcW w:w="458" w:type="pct"/>
            <w:vAlign w:val="center"/>
          </w:tcPr>
          <w:p w14:paraId="1B6011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65F269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670E62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A12D7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8FCCF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837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9A7C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77" w:type="pct"/>
            <w:vAlign w:val="center"/>
          </w:tcPr>
          <w:p w14:paraId="03EE02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UPS输出阻燃铜芯电缆（会议区）</w:t>
            </w:r>
          </w:p>
        </w:tc>
        <w:tc>
          <w:tcPr>
            <w:tcW w:w="1872" w:type="pct"/>
            <w:vAlign w:val="center"/>
          </w:tcPr>
          <w:p w14:paraId="3E3F93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ZC-YJVR5*4mm²</w:t>
            </w:r>
          </w:p>
        </w:tc>
        <w:tc>
          <w:tcPr>
            <w:tcW w:w="458" w:type="pct"/>
            <w:vAlign w:val="center"/>
          </w:tcPr>
          <w:p w14:paraId="75CE35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445" w:type="pct"/>
            <w:vAlign w:val="center"/>
          </w:tcPr>
          <w:p w14:paraId="14779E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76F013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349CF5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89F0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10D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CD89F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77" w:type="pct"/>
            <w:vAlign w:val="center"/>
          </w:tcPr>
          <w:p w14:paraId="2F4D7C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UPS输出阻燃铜芯软电缆（城运中心屏幕）</w:t>
            </w:r>
          </w:p>
        </w:tc>
        <w:tc>
          <w:tcPr>
            <w:tcW w:w="1872" w:type="pct"/>
            <w:vAlign w:val="center"/>
          </w:tcPr>
          <w:p w14:paraId="02FEED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ZC-YJVR4*120+1*70mm²</w:t>
            </w:r>
          </w:p>
        </w:tc>
        <w:tc>
          <w:tcPr>
            <w:tcW w:w="458" w:type="pct"/>
            <w:vAlign w:val="center"/>
          </w:tcPr>
          <w:p w14:paraId="0AD718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45" w:type="pct"/>
            <w:vAlign w:val="center"/>
          </w:tcPr>
          <w:p w14:paraId="5F6CA9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3B2FC1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2CA41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A7AD9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B7C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7378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77" w:type="pct"/>
            <w:vAlign w:val="center"/>
          </w:tcPr>
          <w:p w14:paraId="2950D2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UPS输出阻燃铜芯电缆（展示中心）</w:t>
            </w:r>
          </w:p>
        </w:tc>
        <w:tc>
          <w:tcPr>
            <w:tcW w:w="1872" w:type="pct"/>
            <w:vAlign w:val="center"/>
          </w:tcPr>
          <w:p w14:paraId="3E439C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ZC-YJVR4*25+1*16mm²</w:t>
            </w:r>
          </w:p>
        </w:tc>
        <w:tc>
          <w:tcPr>
            <w:tcW w:w="458" w:type="pct"/>
            <w:vAlign w:val="center"/>
          </w:tcPr>
          <w:p w14:paraId="00C733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45" w:type="pct"/>
            <w:vAlign w:val="center"/>
          </w:tcPr>
          <w:p w14:paraId="5AD535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13114C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D7B90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58312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11F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F5EF34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77" w:type="pct"/>
            <w:vAlign w:val="center"/>
          </w:tcPr>
          <w:p w14:paraId="651DF4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UPS输出阻燃铜芯电缆（网络机房）</w:t>
            </w:r>
          </w:p>
        </w:tc>
        <w:tc>
          <w:tcPr>
            <w:tcW w:w="1872" w:type="pct"/>
            <w:vAlign w:val="center"/>
          </w:tcPr>
          <w:p w14:paraId="4630F2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ZC-YJVR5*16mm²</w:t>
            </w:r>
          </w:p>
        </w:tc>
        <w:tc>
          <w:tcPr>
            <w:tcW w:w="458" w:type="pct"/>
            <w:vAlign w:val="center"/>
          </w:tcPr>
          <w:p w14:paraId="751EB9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183555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0DFE89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EB968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8EE0F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299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2FFAD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77" w:type="pct"/>
            <w:vAlign w:val="center"/>
          </w:tcPr>
          <w:p w14:paraId="42C540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35KW精密空调阻燃铜芯软电缆</w:t>
            </w:r>
          </w:p>
        </w:tc>
        <w:tc>
          <w:tcPr>
            <w:tcW w:w="1872" w:type="pct"/>
            <w:vAlign w:val="center"/>
          </w:tcPr>
          <w:p w14:paraId="1890C7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ZC-YJVR5*16mm²</w:t>
            </w:r>
          </w:p>
        </w:tc>
        <w:tc>
          <w:tcPr>
            <w:tcW w:w="458" w:type="pct"/>
            <w:vAlign w:val="center"/>
          </w:tcPr>
          <w:p w14:paraId="307782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068774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15C1A2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D6AA4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4113E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A82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D4A20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77" w:type="pct"/>
            <w:vAlign w:val="center"/>
          </w:tcPr>
          <w:p w14:paraId="1C7A53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配电室市电输入电缆</w:t>
            </w:r>
          </w:p>
        </w:tc>
        <w:tc>
          <w:tcPr>
            <w:tcW w:w="1872" w:type="pct"/>
            <w:vAlign w:val="center"/>
          </w:tcPr>
          <w:p w14:paraId="56883C8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ZCYJVR4*185+1*95mm²</w:t>
            </w:r>
          </w:p>
        </w:tc>
        <w:tc>
          <w:tcPr>
            <w:tcW w:w="458" w:type="pct"/>
            <w:vAlign w:val="center"/>
          </w:tcPr>
          <w:p w14:paraId="2E4AB3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445" w:type="pct"/>
            <w:vAlign w:val="center"/>
          </w:tcPr>
          <w:p w14:paraId="700F2F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24562F5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CFBAC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FCA845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6B1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4334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577" w:type="pct"/>
            <w:vAlign w:val="center"/>
          </w:tcPr>
          <w:p w14:paraId="09D19C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展示中心市电输入阻燃铜芯软电缆</w:t>
            </w:r>
          </w:p>
        </w:tc>
        <w:tc>
          <w:tcPr>
            <w:tcW w:w="1872" w:type="pct"/>
            <w:vAlign w:val="center"/>
          </w:tcPr>
          <w:p w14:paraId="1C4E8D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ZC-YJVR5*6mm²</w:t>
            </w:r>
          </w:p>
        </w:tc>
        <w:tc>
          <w:tcPr>
            <w:tcW w:w="458" w:type="pct"/>
            <w:vAlign w:val="center"/>
          </w:tcPr>
          <w:p w14:paraId="44D76C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445" w:type="pct"/>
            <w:vAlign w:val="center"/>
          </w:tcPr>
          <w:p w14:paraId="2F6944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0E33A4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FD73A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0F070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6CD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F9BE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77" w:type="pct"/>
            <w:vAlign w:val="center"/>
          </w:tcPr>
          <w:p w14:paraId="53C439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办公室市电输入阻燃铜芯软电缆</w:t>
            </w:r>
          </w:p>
        </w:tc>
        <w:tc>
          <w:tcPr>
            <w:tcW w:w="1872" w:type="pct"/>
            <w:vAlign w:val="center"/>
          </w:tcPr>
          <w:p w14:paraId="789B3F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ZC-YJVR5*4mm²</w:t>
            </w:r>
          </w:p>
        </w:tc>
        <w:tc>
          <w:tcPr>
            <w:tcW w:w="458" w:type="pct"/>
            <w:vAlign w:val="center"/>
          </w:tcPr>
          <w:p w14:paraId="4F7788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47C05B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7A59DB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53354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E30E9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6CB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CA08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577" w:type="pct"/>
            <w:vAlign w:val="center"/>
          </w:tcPr>
          <w:p w14:paraId="26C5AE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镀锌电管</w:t>
            </w:r>
          </w:p>
        </w:tc>
        <w:tc>
          <w:tcPr>
            <w:tcW w:w="1872" w:type="pct"/>
            <w:vAlign w:val="center"/>
          </w:tcPr>
          <w:p w14:paraId="55E0DEE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JDGΦ20壁厚不低于1.2mm</w:t>
            </w:r>
          </w:p>
        </w:tc>
        <w:tc>
          <w:tcPr>
            <w:tcW w:w="458" w:type="pct"/>
            <w:vAlign w:val="center"/>
          </w:tcPr>
          <w:p w14:paraId="743DE1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5D2C4E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4F6A2D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0CFE8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8CCA3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5AB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18F67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577" w:type="pct"/>
            <w:vAlign w:val="center"/>
          </w:tcPr>
          <w:p w14:paraId="4FEB46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电管支架制作安装</w:t>
            </w:r>
          </w:p>
        </w:tc>
        <w:tc>
          <w:tcPr>
            <w:tcW w:w="1872" w:type="pct"/>
            <w:vAlign w:val="center"/>
          </w:tcPr>
          <w:p w14:paraId="63412A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6683F4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0E0DA7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44D524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FD0EB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68623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6ED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1A2D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577" w:type="pct"/>
            <w:vAlign w:val="center"/>
          </w:tcPr>
          <w:p w14:paraId="20D92D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金属线盒（含锁母）</w:t>
            </w:r>
          </w:p>
        </w:tc>
        <w:tc>
          <w:tcPr>
            <w:tcW w:w="1872" w:type="pct"/>
            <w:vAlign w:val="center"/>
          </w:tcPr>
          <w:p w14:paraId="50553A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86型</w:t>
            </w:r>
          </w:p>
        </w:tc>
        <w:tc>
          <w:tcPr>
            <w:tcW w:w="458" w:type="pct"/>
            <w:vAlign w:val="center"/>
          </w:tcPr>
          <w:p w14:paraId="059680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2A18E6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7B0F0E5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B160F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2FC1B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BE5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54E53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577" w:type="pct"/>
            <w:vAlign w:val="center"/>
          </w:tcPr>
          <w:p w14:paraId="68C1AD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金属软管</w:t>
            </w:r>
          </w:p>
        </w:tc>
        <w:tc>
          <w:tcPr>
            <w:tcW w:w="1872" w:type="pct"/>
            <w:vAlign w:val="center"/>
          </w:tcPr>
          <w:p w14:paraId="79CBC8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Ф20</w:t>
            </w:r>
          </w:p>
        </w:tc>
        <w:tc>
          <w:tcPr>
            <w:tcW w:w="458" w:type="pct"/>
            <w:vAlign w:val="center"/>
          </w:tcPr>
          <w:p w14:paraId="1BF198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658D6A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1DAE12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9BAD5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D10AF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AE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56196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577" w:type="pct"/>
            <w:vAlign w:val="center"/>
          </w:tcPr>
          <w:p w14:paraId="137CF0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强电桥架</w:t>
            </w:r>
          </w:p>
        </w:tc>
        <w:tc>
          <w:tcPr>
            <w:tcW w:w="1872" w:type="pct"/>
            <w:vAlign w:val="center"/>
          </w:tcPr>
          <w:p w14:paraId="517AB7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300*100*1.5mm</w:t>
            </w:r>
          </w:p>
        </w:tc>
        <w:tc>
          <w:tcPr>
            <w:tcW w:w="458" w:type="pct"/>
            <w:vAlign w:val="center"/>
          </w:tcPr>
          <w:p w14:paraId="45EB2A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445" w:type="pct"/>
            <w:vAlign w:val="center"/>
          </w:tcPr>
          <w:p w14:paraId="1EB53E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6A1AE3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B78EE8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F14F2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E5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2F827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577" w:type="pct"/>
            <w:vAlign w:val="center"/>
          </w:tcPr>
          <w:p w14:paraId="710EE9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桥架附件</w:t>
            </w:r>
          </w:p>
        </w:tc>
        <w:tc>
          <w:tcPr>
            <w:tcW w:w="1872" w:type="pct"/>
            <w:vAlign w:val="center"/>
          </w:tcPr>
          <w:p w14:paraId="6000BD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296C87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445" w:type="pct"/>
            <w:vAlign w:val="center"/>
          </w:tcPr>
          <w:p w14:paraId="19746E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3FF2DE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8BBDD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ADE09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9E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B61C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577" w:type="pct"/>
            <w:vAlign w:val="center"/>
          </w:tcPr>
          <w:p w14:paraId="7988EC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72" w:type="pct"/>
            <w:vAlign w:val="center"/>
          </w:tcPr>
          <w:p w14:paraId="23595F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扎带、绝缘胶布、热塑管等</w:t>
            </w:r>
          </w:p>
        </w:tc>
        <w:tc>
          <w:tcPr>
            <w:tcW w:w="458" w:type="pct"/>
            <w:vAlign w:val="center"/>
          </w:tcPr>
          <w:p w14:paraId="0391CA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38F2C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552817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CC39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B2104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93F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A14D6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A-3</w:t>
            </w:r>
          </w:p>
        </w:tc>
        <w:tc>
          <w:tcPr>
            <w:tcW w:w="4566" w:type="pct"/>
            <w:gridSpan w:val="7"/>
            <w:vAlign w:val="center"/>
          </w:tcPr>
          <w:p w14:paraId="6C591314">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防雷接地</w:t>
            </w:r>
          </w:p>
        </w:tc>
      </w:tr>
      <w:tr w14:paraId="702A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85BC97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219C05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一级防雷器</w:t>
            </w:r>
          </w:p>
        </w:tc>
        <w:tc>
          <w:tcPr>
            <w:tcW w:w="1872" w:type="pct"/>
            <w:vAlign w:val="center"/>
          </w:tcPr>
          <w:p w14:paraId="7E79E3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额定电压（最大持续操作电压）275V~500V；通流80KA，响应时间≤25ns</w:t>
            </w:r>
          </w:p>
        </w:tc>
        <w:tc>
          <w:tcPr>
            <w:tcW w:w="458" w:type="pct"/>
            <w:vAlign w:val="center"/>
          </w:tcPr>
          <w:p w14:paraId="7E5866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6054E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46044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29D0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9D584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E0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5C172B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70BC21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二级防雷器</w:t>
            </w:r>
          </w:p>
        </w:tc>
        <w:tc>
          <w:tcPr>
            <w:tcW w:w="1872" w:type="pct"/>
            <w:vAlign w:val="center"/>
          </w:tcPr>
          <w:p w14:paraId="66C7634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额定电压（最大持续操作电压）275V~500V；通流40KA，响应时间≤25ns</w:t>
            </w:r>
          </w:p>
        </w:tc>
        <w:tc>
          <w:tcPr>
            <w:tcW w:w="458" w:type="pct"/>
            <w:vAlign w:val="center"/>
          </w:tcPr>
          <w:p w14:paraId="37562D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60843D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16AA6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1D479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FDB50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A8F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A56075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24DF1B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三级防雷器</w:t>
            </w:r>
          </w:p>
        </w:tc>
        <w:tc>
          <w:tcPr>
            <w:tcW w:w="1872" w:type="pct"/>
            <w:vAlign w:val="center"/>
          </w:tcPr>
          <w:p w14:paraId="5CE37F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额定电压（最大持续操作电压）275V~500V；通流20KA，响应时间≤25ns</w:t>
            </w:r>
          </w:p>
        </w:tc>
        <w:tc>
          <w:tcPr>
            <w:tcW w:w="458" w:type="pct"/>
            <w:vAlign w:val="center"/>
          </w:tcPr>
          <w:p w14:paraId="69C0B7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E9BEB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9C7A0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2B019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387E20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4BB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9079A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72D34E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安装配件（空开、铜线鼻、连接线等）</w:t>
            </w:r>
          </w:p>
        </w:tc>
        <w:tc>
          <w:tcPr>
            <w:tcW w:w="1872" w:type="pct"/>
            <w:vAlign w:val="center"/>
          </w:tcPr>
          <w:p w14:paraId="00E43A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0672BA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72AC96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1F3D6B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8308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75C000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E18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172CC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533D30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等电位连接（各金属体之间）</w:t>
            </w:r>
          </w:p>
        </w:tc>
        <w:tc>
          <w:tcPr>
            <w:tcW w:w="1872" w:type="pct"/>
            <w:vAlign w:val="center"/>
          </w:tcPr>
          <w:p w14:paraId="5413F4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ZRBVR-6mm²，含配套OT-50A 镀锡开口线鼻</w:t>
            </w:r>
          </w:p>
        </w:tc>
        <w:tc>
          <w:tcPr>
            <w:tcW w:w="458" w:type="pct"/>
            <w:vAlign w:val="center"/>
          </w:tcPr>
          <w:p w14:paraId="20DD8D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2DA31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031ADA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7B4CF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319F4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0E6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E9CBB8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4767A8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接地汇流排</w:t>
            </w:r>
          </w:p>
        </w:tc>
        <w:tc>
          <w:tcPr>
            <w:tcW w:w="1872" w:type="pct"/>
            <w:vAlign w:val="center"/>
          </w:tcPr>
          <w:p w14:paraId="0E3CAD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4*40*300mm，紫铜</w:t>
            </w:r>
          </w:p>
        </w:tc>
        <w:tc>
          <w:tcPr>
            <w:tcW w:w="458" w:type="pct"/>
            <w:vAlign w:val="center"/>
          </w:tcPr>
          <w:p w14:paraId="0C5844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5F998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4C3A4A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4F419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47FB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41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5DE58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634433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接地线引线</w:t>
            </w:r>
          </w:p>
        </w:tc>
        <w:tc>
          <w:tcPr>
            <w:tcW w:w="1872" w:type="pct"/>
            <w:vAlign w:val="center"/>
          </w:tcPr>
          <w:p w14:paraId="16F254A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ZCBVR50mm²铜芯线</w:t>
            </w:r>
          </w:p>
        </w:tc>
        <w:tc>
          <w:tcPr>
            <w:tcW w:w="458" w:type="pct"/>
            <w:vAlign w:val="center"/>
          </w:tcPr>
          <w:p w14:paraId="79B89D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6349B2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6BC595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A7CCE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6224B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2E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F28776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25D553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接地断接箱</w:t>
            </w:r>
          </w:p>
        </w:tc>
        <w:tc>
          <w:tcPr>
            <w:tcW w:w="1872" w:type="pct"/>
            <w:vAlign w:val="center"/>
          </w:tcPr>
          <w:p w14:paraId="5BF98D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100*200*300mm，嵌入式</w:t>
            </w:r>
          </w:p>
        </w:tc>
        <w:tc>
          <w:tcPr>
            <w:tcW w:w="458" w:type="pct"/>
            <w:vAlign w:val="center"/>
          </w:tcPr>
          <w:p w14:paraId="3C75B7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4AD57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3B0F5B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FFB73E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F2408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3FC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0BE9DF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232E7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72" w:type="pct"/>
            <w:vAlign w:val="center"/>
          </w:tcPr>
          <w:p w14:paraId="298D5E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011F51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70260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455EEB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99EC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398F1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AEF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6C8F0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w:t>
            </w:r>
          </w:p>
        </w:tc>
        <w:tc>
          <w:tcPr>
            <w:tcW w:w="4566" w:type="pct"/>
            <w:gridSpan w:val="7"/>
            <w:vAlign w:val="center"/>
          </w:tcPr>
          <w:p w14:paraId="17F5FEC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消防报警及气体灭火</w:t>
            </w:r>
          </w:p>
        </w:tc>
      </w:tr>
      <w:tr w14:paraId="302E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3E731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625405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点型光电感烟火灾探测器</w:t>
            </w:r>
          </w:p>
        </w:tc>
        <w:tc>
          <w:tcPr>
            <w:tcW w:w="1872" w:type="pct"/>
            <w:vAlign w:val="center"/>
          </w:tcPr>
          <w:p w14:paraId="12A276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分布智能型，电子编码,内置CPU,指示灯360度可见。</w:t>
            </w:r>
          </w:p>
        </w:tc>
        <w:tc>
          <w:tcPr>
            <w:tcW w:w="458" w:type="pct"/>
            <w:vAlign w:val="center"/>
          </w:tcPr>
          <w:p w14:paraId="1BB26E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400DD1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29EF8E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3AD15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AC974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F18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96ABF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2BC2C4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点型感温火灾探测器</w:t>
            </w:r>
          </w:p>
        </w:tc>
        <w:tc>
          <w:tcPr>
            <w:tcW w:w="1872" w:type="pct"/>
            <w:vAlign w:val="center"/>
          </w:tcPr>
          <w:p w14:paraId="1D3C98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分布智能型，电子编码,内置CPU,指示灯360度可见。</w:t>
            </w:r>
          </w:p>
        </w:tc>
        <w:tc>
          <w:tcPr>
            <w:tcW w:w="458" w:type="pct"/>
            <w:vAlign w:val="center"/>
          </w:tcPr>
          <w:p w14:paraId="4A8753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4A546C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4EDEF9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19C92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E3CB6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29F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DE83F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398843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探测器底座</w:t>
            </w:r>
          </w:p>
        </w:tc>
        <w:tc>
          <w:tcPr>
            <w:tcW w:w="1872" w:type="pct"/>
            <w:vAlign w:val="center"/>
          </w:tcPr>
          <w:p w14:paraId="14415A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1F6D03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34BF85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16C2AE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D1739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D74175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527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C8F38F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07E29B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消防警铃</w:t>
            </w:r>
          </w:p>
        </w:tc>
        <w:tc>
          <w:tcPr>
            <w:tcW w:w="1872" w:type="pct"/>
            <w:vAlign w:val="center"/>
          </w:tcPr>
          <w:p w14:paraId="3BE9C7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非编码型，工作电流≤25mA。</w:t>
            </w:r>
          </w:p>
        </w:tc>
        <w:tc>
          <w:tcPr>
            <w:tcW w:w="458" w:type="pct"/>
            <w:vAlign w:val="center"/>
          </w:tcPr>
          <w:p w14:paraId="1043DF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D074A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087A1B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02E20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DC6F5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96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3F61D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5A8402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火灾声光警报器</w:t>
            </w:r>
          </w:p>
        </w:tc>
        <w:tc>
          <w:tcPr>
            <w:tcW w:w="1872" w:type="pct"/>
            <w:vAlign w:val="center"/>
          </w:tcPr>
          <w:p w14:paraId="51C3CB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编码型。</w:t>
            </w:r>
          </w:p>
        </w:tc>
        <w:tc>
          <w:tcPr>
            <w:tcW w:w="458" w:type="pct"/>
            <w:vAlign w:val="center"/>
          </w:tcPr>
          <w:p w14:paraId="75CC0C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2338B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39A7459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7F94A3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21B05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47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B6216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45E851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紧急启停按钮</w:t>
            </w:r>
          </w:p>
        </w:tc>
        <w:tc>
          <w:tcPr>
            <w:tcW w:w="1872" w:type="pct"/>
            <w:vAlign w:val="center"/>
          </w:tcPr>
          <w:p w14:paraId="33AC7F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编址型，用于气体灭火系统紧急启动、停止控制，同时具备手自动转换功能，外形尺寸∶95mm长 ×115mm 高×47.5mm厚。配接JBF5013、IB-QB-JBF5014、IBF5015、JBF5016、JBF5017。</w:t>
            </w:r>
          </w:p>
        </w:tc>
        <w:tc>
          <w:tcPr>
            <w:tcW w:w="458" w:type="pct"/>
            <w:vAlign w:val="center"/>
          </w:tcPr>
          <w:p w14:paraId="165588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8760B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0E753C1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ECDAC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CB186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47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9A1296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7C1E79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气体释放警报器</w:t>
            </w:r>
          </w:p>
        </w:tc>
        <w:tc>
          <w:tcPr>
            <w:tcW w:w="1872" w:type="pct"/>
            <w:vAlign w:val="center"/>
          </w:tcPr>
          <w:p w14:paraId="3D8CE4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外形尺寸，300mm长 ×120mm高×26mm厚。</w:t>
            </w:r>
          </w:p>
        </w:tc>
        <w:tc>
          <w:tcPr>
            <w:tcW w:w="458" w:type="pct"/>
            <w:vAlign w:val="center"/>
          </w:tcPr>
          <w:p w14:paraId="2820A9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74A02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5BB0D96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5E60E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F867E7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D2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6F2067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1151D7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输入输出模块</w:t>
            </w:r>
          </w:p>
        </w:tc>
        <w:tc>
          <w:tcPr>
            <w:tcW w:w="1872" w:type="pct"/>
            <w:vAlign w:val="center"/>
          </w:tcPr>
          <w:p w14:paraId="6C8BD9A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电子编码，内置CPU,单输入单输出。</w:t>
            </w:r>
          </w:p>
        </w:tc>
        <w:tc>
          <w:tcPr>
            <w:tcW w:w="458" w:type="pct"/>
            <w:vAlign w:val="center"/>
          </w:tcPr>
          <w:p w14:paraId="5EFF8D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50978D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6CC4F6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A5638C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DC722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6A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A84A9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5BB23E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模块底座</w:t>
            </w:r>
          </w:p>
        </w:tc>
        <w:tc>
          <w:tcPr>
            <w:tcW w:w="1872" w:type="pct"/>
            <w:vAlign w:val="center"/>
          </w:tcPr>
          <w:p w14:paraId="7064255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71ADB7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58F7F1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62A257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6B909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E50B9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DE2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510A30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7" w:type="pct"/>
            <w:vAlign w:val="center"/>
          </w:tcPr>
          <w:p w14:paraId="740963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双头应急灯</w:t>
            </w:r>
          </w:p>
        </w:tc>
        <w:tc>
          <w:tcPr>
            <w:tcW w:w="1872" w:type="pct"/>
            <w:vAlign w:val="center"/>
          </w:tcPr>
          <w:p w14:paraId="7EC721C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国标</w:t>
            </w:r>
          </w:p>
        </w:tc>
        <w:tc>
          <w:tcPr>
            <w:tcW w:w="458" w:type="pct"/>
            <w:vAlign w:val="center"/>
          </w:tcPr>
          <w:p w14:paraId="2F826B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4E17A6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9608A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D538B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9373E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06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E10DD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577" w:type="pct"/>
            <w:vAlign w:val="center"/>
          </w:tcPr>
          <w:p w14:paraId="30B8EA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安全出口灯</w:t>
            </w:r>
          </w:p>
        </w:tc>
        <w:tc>
          <w:tcPr>
            <w:tcW w:w="1872" w:type="pct"/>
            <w:vAlign w:val="center"/>
          </w:tcPr>
          <w:p w14:paraId="4C05467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专用单面</w:t>
            </w:r>
          </w:p>
        </w:tc>
        <w:tc>
          <w:tcPr>
            <w:tcW w:w="458" w:type="pct"/>
            <w:vAlign w:val="center"/>
          </w:tcPr>
          <w:p w14:paraId="5E98B8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E68CD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C0496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C536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BBFC8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B33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B2219E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577" w:type="pct"/>
            <w:vAlign w:val="center"/>
          </w:tcPr>
          <w:p w14:paraId="7F27C3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管内穿线</w:t>
            </w:r>
          </w:p>
        </w:tc>
        <w:tc>
          <w:tcPr>
            <w:tcW w:w="1872" w:type="pct"/>
            <w:vAlign w:val="center"/>
          </w:tcPr>
          <w:p w14:paraId="1C577B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ZC-RVS2*1.5mm²</w:t>
            </w:r>
          </w:p>
        </w:tc>
        <w:tc>
          <w:tcPr>
            <w:tcW w:w="458" w:type="pct"/>
            <w:vAlign w:val="center"/>
          </w:tcPr>
          <w:p w14:paraId="690260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445" w:type="pct"/>
            <w:vAlign w:val="center"/>
          </w:tcPr>
          <w:p w14:paraId="0EA624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0BE67F1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861D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580B8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0F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5F367C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577" w:type="pct"/>
            <w:vAlign w:val="center"/>
          </w:tcPr>
          <w:p w14:paraId="718F83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管内穿线</w:t>
            </w:r>
          </w:p>
        </w:tc>
        <w:tc>
          <w:tcPr>
            <w:tcW w:w="1872" w:type="pct"/>
            <w:vAlign w:val="center"/>
          </w:tcPr>
          <w:p w14:paraId="6B53945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ZC-RVS4*1.5mm²</w:t>
            </w:r>
          </w:p>
        </w:tc>
        <w:tc>
          <w:tcPr>
            <w:tcW w:w="458" w:type="pct"/>
            <w:vAlign w:val="center"/>
          </w:tcPr>
          <w:p w14:paraId="515C36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445" w:type="pct"/>
            <w:vAlign w:val="center"/>
          </w:tcPr>
          <w:p w14:paraId="464B3C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6D3FC3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6F69D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1C7CB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848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18FFBD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577" w:type="pct"/>
            <w:vAlign w:val="center"/>
          </w:tcPr>
          <w:p w14:paraId="1D4B32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管内穿线</w:t>
            </w:r>
          </w:p>
        </w:tc>
        <w:tc>
          <w:tcPr>
            <w:tcW w:w="1872" w:type="pct"/>
            <w:vAlign w:val="center"/>
          </w:tcPr>
          <w:p w14:paraId="535388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ZC-BV2.5mm²</w:t>
            </w:r>
          </w:p>
        </w:tc>
        <w:tc>
          <w:tcPr>
            <w:tcW w:w="458" w:type="pct"/>
            <w:vAlign w:val="center"/>
          </w:tcPr>
          <w:p w14:paraId="5E17B5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797040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1AC20DA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BC6A9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B0037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94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FD2D0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577" w:type="pct"/>
            <w:vAlign w:val="center"/>
          </w:tcPr>
          <w:p w14:paraId="55E209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JDG电管</w:t>
            </w:r>
          </w:p>
        </w:tc>
        <w:tc>
          <w:tcPr>
            <w:tcW w:w="1872" w:type="pct"/>
            <w:vAlign w:val="center"/>
          </w:tcPr>
          <w:p w14:paraId="6DC495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JDGΦ20</w:t>
            </w:r>
          </w:p>
          <w:p w14:paraId="077721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壁厚：1.2mm 管径：2.0mm</w:t>
            </w:r>
          </w:p>
        </w:tc>
        <w:tc>
          <w:tcPr>
            <w:tcW w:w="458" w:type="pct"/>
            <w:vAlign w:val="center"/>
          </w:tcPr>
          <w:p w14:paraId="27D7FC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445" w:type="pct"/>
            <w:vAlign w:val="center"/>
          </w:tcPr>
          <w:p w14:paraId="5BE23C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049FBD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9D5EC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ED127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7DE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F8AAD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577" w:type="pct"/>
            <w:vAlign w:val="center"/>
          </w:tcPr>
          <w:p w14:paraId="58DC56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电管支架制安</w:t>
            </w:r>
          </w:p>
        </w:tc>
        <w:tc>
          <w:tcPr>
            <w:tcW w:w="1872" w:type="pct"/>
            <w:vAlign w:val="center"/>
          </w:tcPr>
          <w:p w14:paraId="6B498B3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3A757E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1A7C15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33022C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F4941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1FDD3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993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075E22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w:t>
            </w:r>
          </w:p>
        </w:tc>
        <w:tc>
          <w:tcPr>
            <w:tcW w:w="577" w:type="pct"/>
            <w:vAlign w:val="center"/>
          </w:tcPr>
          <w:p w14:paraId="5E0169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辅料一批</w:t>
            </w:r>
          </w:p>
        </w:tc>
        <w:tc>
          <w:tcPr>
            <w:tcW w:w="1872" w:type="pct"/>
            <w:vAlign w:val="center"/>
          </w:tcPr>
          <w:p w14:paraId="102D3D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5FE266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65A4C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48A744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E42BB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9A0F57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D7D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65DDC7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w:t>
            </w:r>
          </w:p>
        </w:tc>
        <w:tc>
          <w:tcPr>
            <w:tcW w:w="577" w:type="pct"/>
            <w:vAlign w:val="center"/>
          </w:tcPr>
          <w:p w14:paraId="30D338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150L七氟丙烷灭火剂单瓶组</w:t>
            </w:r>
          </w:p>
        </w:tc>
        <w:tc>
          <w:tcPr>
            <w:tcW w:w="1872" w:type="pct"/>
            <w:vAlign w:val="center"/>
          </w:tcPr>
          <w:p w14:paraId="6F36DA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1.150L单瓶组柜体；</w:t>
            </w:r>
          </w:p>
          <w:p w14:paraId="0905B9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2.工作压力 2.5 MPa（20℃）；</w:t>
            </w:r>
          </w:p>
          <w:p w14:paraId="682D99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3.启动延时 0～30s；</w:t>
            </w:r>
          </w:p>
          <w:p w14:paraId="1B390A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4.环境温度 0℃～50℃；</w:t>
            </w:r>
          </w:p>
          <w:p w14:paraId="3696FE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5.灭火系统喷射时间≤10s；</w:t>
            </w:r>
          </w:p>
        </w:tc>
        <w:tc>
          <w:tcPr>
            <w:tcW w:w="458" w:type="pct"/>
            <w:vAlign w:val="center"/>
          </w:tcPr>
          <w:p w14:paraId="4A88D3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E8DBC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1A645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526937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0163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AC5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4DEEB1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w:t>
            </w:r>
          </w:p>
        </w:tc>
        <w:tc>
          <w:tcPr>
            <w:tcW w:w="577" w:type="pct"/>
            <w:vAlign w:val="center"/>
          </w:tcPr>
          <w:p w14:paraId="16D476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七氟丙烷灭火剂</w:t>
            </w:r>
          </w:p>
        </w:tc>
        <w:tc>
          <w:tcPr>
            <w:tcW w:w="1872" w:type="pct"/>
            <w:vAlign w:val="center"/>
          </w:tcPr>
          <w:p w14:paraId="30C9D2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HFC-227ea</w:t>
            </w:r>
          </w:p>
        </w:tc>
        <w:tc>
          <w:tcPr>
            <w:tcW w:w="458" w:type="pct"/>
            <w:vAlign w:val="center"/>
          </w:tcPr>
          <w:p w14:paraId="3624D0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147.5</w:t>
            </w:r>
          </w:p>
        </w:tc>
        <w:tc>
          <w:tcPr>
            <w:tcW w:w="445" w:type="pct"/>
            <w:vAlign w:val="center"/>
          </w:tcPr>
          <w:p w14:paraId="4EA51B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443" w:type="pct"/>
            <w:vAlign w:val="center"/>
          </w:tcPr>
          <w:p w14:paraId="34D78A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F86E09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8E637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56C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F5272F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577" w:type="pct"/>
            <w:vAlign w:val="center"/>
          </w:tcPr>
          <w:p w14:paraId="12C426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泄压口装置</w:t>
            </w:r>
          </w:p>
        </w:tc>
        <w:tc>
          <w:tcPr>
            <w:tcW w:w="1872" w:type="pct"/>
            <w:vAlign w:val="center"/>
          </w:tcPr>
          <w:p w14:paraId="025A43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68613E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74EA5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494AD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4C3BE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0426B6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B51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6A8ED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21</w:t>
            </w:r>
          </w:p>
        </w:tc>
        <w:tc>
          <w:tcPr>
            <w:tcW w:w="577" w:type="pct"/>
            <w:vAlign w:val="center"/>
          </w:tcPr>
          <w:p w14:paraId="14E83B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消防专用排烟机</w:t>
            </w:r>
          </w:p>
        </w:tc>
        <w:tc>
          <w:tcPr>
            <w:tcW w:w="1872" w:type="pct"/>
            <w:vAlign w:val="center"/>
          </w:tcPr>
          <w:p w14:paraId="0235E0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专用</w:t>
            </w:r>
          </w:p>
        </w:tc>
        <w:tc>
          <w:tcPr>
            <w:tcW w:w="458" w:type="pct"/>
            <w:vAlign w:val="center"/>
          </w:tcPr>
          <w:p w14:paraId="2B64BA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786DA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1989F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7A5954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171D4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233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BEEACE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w:t>
            </w:r>
          </w:p>
        </w:tc>
        <w:tc>
          <w:tcPr>
            <w:tcW w:w="577" w:type="pct"/>
            <w:vAlign w:val="center"/>
          </w:tcPr>
          <w:p w14:paraId="0CD846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排烟机罩</w:t>
            </w:r>
          </w:p>
        </w:tc>
        <w:tc>
          <w:tcPr>
            <w:tcW w:w="1872" w:type="pct"/>
            <w:vAlign w:val="center"/>
          </w:tcPr>
          <w:p w14:paraId="4FBAEA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现场制作</w:t>
            </w:r>
          </w:p>
        </w:tc>
        <w:tc>
          <w:tcPr>
            <w:tcW w:w="458" w:type="pct"/>
            <w:vAlign w:val="center"/>
          </w:tcPr>
          <w:p w14:paraId="2B8BF0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82B51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C5D95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E29EA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FAD87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EDA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083F6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w:t>
            </w:r>
          </w:p>
        </w:tc>
        <w:tc>
          <w:tcPr>
            <w:tcW w:w="577" w:type="pct"/>
            <w:vAlign w:val="center"/>
          </w:tcPr>
          <w:p w14:paraId="2FD2C9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排烟口</w:t>
            </w:r>
          </w:p>
        </w:tc>
        <w:tc>
          <w:tcPr>
            <w:tcW w:w="1872" w:type="pct"/>
            <w:vAlign w:val="center"/>
          </w:tcPr>
          <w:p w14:paraId="74026D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百叶风口</w:t>
            </w:r>
          </w:p>
        </w:tc>
        <w:tc>
          <w:tcPr>
            <w:tcW w:w="458" w:type="pct"/>
            <w:vAlign w:val="center"/>
          </w:tcPr>
          <w:p w14:paraId="4BAAFD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9AB3F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5076E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76CBC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2A6F2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67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FFB239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w:t>
            </w:r>
          </w:p>
        </w:tc>
        <w:tc>
          <w:tcPr>
            <w:tcW w:w="577" w:type="pct"/>
            <w:vAlign w:val="center"/>
          </w:tcPr>
          <w:p w14:paraId="47DF67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排烟机电源箱</w:t>
            </w:r>
          </w:p>
        </w:tc>
        <w:tc>
          <w:tcPr>
            <w:tcW w:w="1872" w:type="pct"/>
            <w:vAlign w:val="center"/>
          </w:tcPr>
          <w:p w14:paraId="4AB438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排烟机配套</w:t>
            </w:r>
          </w:p>
        </w:tc>
        <w:tc>
          <w:tcPr>
            <w:tcW w:w="458" w:type="pct"/>
            <w:vAlign w:val="center"/>
          </w:tcPr>
          <w:p w14:paraId="0DACC7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61DB1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A190F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8A4A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7702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ED0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791B8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w:t>
            </w:r>
          </w:p>
        </w:tc>
        <w:tc>
          <w:tcPr>
            <w:tcW w:w="577" w:type="pct"/>
            <w:vAlign w:val="center"/>
          </w:tcPr>
          <w:p w14:paraId="2B3E3C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防火阀</w:t>
            </w:r>
          </w:p>
        </w:tc>
        <w:tc>
          <w:tcPr>
            <w:tcW w:w="1872" w:type="pct"/>
            <w:vAlign w:val="center"/>
          </w:tcPr>
          <w:p w14:paraId="74C770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0A52FF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BF886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2F79AA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74F52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6C2BB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2B6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228AEE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w:t>
            </w:r>
          </w:p>
        </w:tc>
        <w:tc>
          <w:tcPr>
            <w:tcW w:w="577" w:type="pct"/>
            <w:vAlign w:val="center"/>
          </w:tcPr>
          <w:p w14:paraId="51B04F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空气呼吸面罩</w:t>
            </w:r>
          </w:p>
        </w:tc>
        <w:tc>
          <w:tcPr>
            <w:tcW w:w="1872" w:type="pct"/>
            <w:vAlign w:val="center"/>
          </w:tcPr>
          <w:p w14:paraId="414089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2AF483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EFFBE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A88B13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35FE72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7293B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2F3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5EE0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A-5</w:t>
            </w:r>
          </w:p>
        </w:tc>
        <w:tc>
          <w:tcPr>
            <w:tcW w:w="4566" w:type="pct"/>
            <w:gridSpan w:val="7"/>
            <w:vAlign w:val="center"/>
          </w:tcPr>
          <w:p w14:paraId="11F54BE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UPS、蓄电池系统</w:t>
            </w:r>
          </w:p>
        </w:tc>
      </w:tr>
      <w:tr w14:paraId="5178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BFD3BE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18CB59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主机柜</w:t>
            </w:r>
          </w:p>
        </w:tc>
        <w:tc>
          <w:tcPr>
            <w:tcW w:w="1872" w:type="pct"/>
            <w:vAlign w:val="center"/>
          </w:tcPr>
          <w:p w14:paraId="54F5F3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采用三进三出200KVA模块化UPS电源，配置50KVA功率模块，额定输入电压：380/400/415Vac；输入线电压范围：304~456Vac，输入频率范围40~70Hz，输入功率因素≥0.99（100%线性负载），输入电流谐波（THDi）：≤1.9%（100%负载），整机效率：≥95%（100%负载）。</w:t>
            </w:r>
          </w:p>
        </w:tc>
        <w:tc>
          <w:tcPr>
            <w:tcW w:w="458" w:type="pct"/>
            <w:vAlign w:val="center"/>
          </w:tcPr>
          <w:p w14:paraId="735108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8231E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0F050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62447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F7A10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281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F6E33A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4EB8FC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并机组件</w:t>
            </w:r>
          </w:p>
        </w:tc>
        <w:tc>
          <w:tcPr>
            <w:tcW w:w="1872" w:type="pct"/>
            <w:vAlign w:val="center"/>
          </w:tcPr>
          <w:p w14:paraId="3088E9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UPS并机套件</w:t>
            </w:r>
          </w:p>
        </w:tc>
        <w:tc>
          <w:tcPr>
            <w:tcW w:w="458" w:type="pct"/>
            <w:vAlign w:val="center"/>
          </w:tcPr>
          <w:p w14:paraId="1CB142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C7A82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FE266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87DA0A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01969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7FA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3D1B0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1401FF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功率模块</w:t>
            </w:r>
          </w:p>
        </w:tc>
        <w:tc>
          <w:tcPr>
            <w:tcW w:w="1872" w:type="pct"/>
            <w:vAlign w:val="center"/>
          </w:tcPr>
          <w:p w14:paraId="0B9403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50KVA功率模块，具备在线热插拔功能。</w:t>
            </w:r>
          </w:p>
        </w:tc>
        <w:tc>
          <w:tcPr>
            <w:tcW w:w="458" w:type="pct"/>
            <w:vAlign w:val="center"/>
          </w:tcPr>
          <w:p w14:paraId="2257E8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45" w:type="pct"/>
            <w:vAlign w:val="center"/>
          </w:tcPr>
          <w:p w14:paraId="56EA3C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28B94F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1882AA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7E1B9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8DF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9D624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168FB7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蓄电池</w:t>
            </w:r>
          </w:p>
        </w:tc>
        <w:tc>
          <w:tcPr>
            <w:tcW w:w="1872" w:type="pct"/>
            <w:vAlign w:val="center"/>
          </w:tcPr>
          <w:p w14:paraId="3CEDB7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规格12V200AH，满载后备时间不低于4小时，蓄电池密封反应效率：≥97%；同组蓄电池10h容量试验时，最大实际容量与最小容量差值：≤2.1%；</w:t>
            </w:r>
          </w:p>
        </w:tc>
        <w:tc>
          <w:tcPr>
            <w:tcW w:w="458" w:type="pct"/>
            <w:vAlign w:val="center"/>
          </w:tcPr>
          <w:p w14:paraId="7B5A01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445" w:type="pct"/>
            <w:vAlign w:val="center"/>
          </w:tcPr>
          <w:p w14:paraId="669BC9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节</w:t>
            </w:r>
          </w:p>
        </w:tc>
        <w:tc>
          <w:tcPr>
            <w:tcW w:w="443" w:type="pct"/>
            <w:vAlign w:val="center"/>
          </w:tcPr>
          <w:p w14:paraId="70C29D1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CA7A5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18E83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B24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D46F7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464593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电池架</w:t>
            </w:r>
          </w:p>
        </w:tc>
        <w:tc>
          <w:tcPr>
            <w:tcW w:w="1872" w:type="pct"/>
            <w:vAlign w:val="center"/>
          </w:tcPr>
          <w:p w14:paraId="105077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开放式电池架，需安装配套20节200AH蓄电池，连接铜排带护套；</w:t>
            </w:r>
          </w:p>
        </w:tc>
        <w:tc>
          <w:tcPr>
            <w:tcW w:w="458" w:type="pct"/>
            <w:vAlign w:val="center"/>
          </w:tcPr>
          <w:p w14:paraId="691392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629E57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6FC4F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D76D7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49732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A8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272C0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1A6D22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电池连接线</w:t>
            </w:r>
          </w:p>
        </w:tc>
        <w:tc>
          <w:tcPr>
            <w:tcW w:w="1872" w:type="pct"/>
            <w:vAlign w:val="center"/>
          </w:tcPr>
          <w:p w14:paraId="214D71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UPS主机至电池开关箱之间的连接线,BVR185mm²</w:t>
            </w:r>
          </w:p>
        </w:tc>
        <w:tc>
          <w:tcPr>
            <w:tcW w:w="458" w:type="pct"/>
            <w:vAlign w:val="center"/>
          </w:tcPr>
          <w:p w14:paraId="26A6B7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381679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1F4B31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1977D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BE6A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C63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631DE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197FA9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电池直流空开</w:t>
            </w:r>
          </w:p>
        </w:tc>
        <w:tc>
          <w:tcPr>
            <w:tcW w:w="1872" w:type="pct"/>
            <w:vAlign w:val="center"/>
          </w:tcPr>
          <w:p w14:paraId="7B0E93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主流直流总空开*2个，含铜排汇流，定制空开箱。</w:t>
            </w:r>
          </w:p>
        </w:tc>
        <w:tc>
          <w:tcPr>
            <w:tcW w:w="458" w:type="pct"/>
            <w:vAlign w:val="center"/>
          </w:tcPr>
          <w:p w14:paraId="34FC09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DE07C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A1F82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65ABB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1DB47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3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1A47A2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580C40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应急电源ATS切换柜</w:t>
            </w:r>
          </w:p>
        </w:tc>
        <w:tc>
          <w:tcPr>
            <w:tcW w:w="1872" w:type="pct"/>
            <w:vAlign w:val="center"/>
          </w:tcPr>
          <w:p w14:paraId="166D7B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1、1*630A/4P ATS切换开关（PC级、支持发电机启停信号输出），1*630A/4P电源总输出，总输出电量仪监测及电源指示灯，B级防雷。</w:t>
            </w:r>
          </w:p>
          <w:p w14:paraId="4A612F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2、柜体尺寸800宽*2000高*600深；需提供配套接入配电箱，方便应急电的接入。</w:t>
            </w:r>
          </w:p>
          <w:p w14:paraId="724675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3、电缆：2根15米ZRYJV3*185+2*95</w:t>
            </w:r>
          </w:p>
        </w:tc>
        <w:tc>
          <w:tcPr>
            <w:tcW w:w="458" w:type="pct"/>
            <w:vAlign w:val="center"/>
          </w:tcPr>
          <w:p w14:paraId="6D43BA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FDAAA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DA4B9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72094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65753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CC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0673B8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5E88D4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安装费</w:t>
            </w:r>
          </w:p>
        </w:tc>
        <w:tc>
          <w:tcPr>
            <w:tcW w:w="1872" w:type="pct"/>
            <w:vAlign w:val="center"/>
          </w:tcPr>
          <w:p w14:paraId="20D52B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含安装调试培训</w:t>
            </w:r>
          </w:p>
        </w:tc>
        <w:tc>
          <w:tcPr>
            <w:tcW w:w="458" w:type="pct"/>
            <w:vAlign w:val="center"/>
          </w:tcPr>
          <w:p w14:paraId="09A066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D6F16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5A7A70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271F81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FF612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738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D5D4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A-6</w:t>
            </w:r>
          </w:p>
        </w:tc>
        <w:tc>
          <w:tcPr>
            <w:tcW w:w="4566" w:type="pct"/>
            <w:gridSpan w:val="7"/>
            <w:vAlign w:val="center"/>
          </w:tcPr>
          <w:p w14:paraId="596C5374">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空调、新风系统</w:t>
            </w:r>
          </w:p>
        </w:tc>
      </w:tr>
      <w:tr w14:paraId="04EF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E39E9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6299FC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精密空调</w:t>
            </w:r>
          </w:p>
        </w:tc>
        <w:tc>
          <w:tcPr>
            <w:tcW w:w="1872" w:type="pct"/>
            <w:vAlign w:val="center"/>
          </w:tcPr>
          <w:p w14:paraId="54100C41">
            <w:pPr>
              <w:keepNext w:val="0"/>
              <w:keepLines w:val="0"/>
              <w:pageBreakBefore w:val="0"/>
              <w:widowControl/>
              <w:numPr>
                <w:ilvl w:val="0"/>
                <w:numId w:val="1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上送风，制冷量≥35KW，送风量≥9200m3/h，电加热≥6KW，加湿量≥5kg/h；</w:t>
            </w:r>
          </w:p>
          <w:p w14:paraId="36DB4066">
            <w:pPr>
              <w:keepNext w:val="0"/>
              <w:keepLines w:val="0"/>
              <w:pageBreakBefore w:val="0"/>
              <w:widowControl/>
              <w:numPr>
                <w:ilvl w:val="0"/>
                <w:numId w:val="1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tc>
        <w:tc>
          <w:tcPr>
            <w:tcW w:w="458" w:type="pct"/>
            <w:vAlign w:val="center"/>
          </w:tcPr>
          <w:p w14:paraId="6BC089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5771E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55AF1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A1EDD2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C5BAC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7E1C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E75D37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19F7B3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进出水</w:t>
            </w:r>
          </w:p>
        </w:tc>
        <w:tc>
          <w:tcPr>
            <w:tcW w:w="1872" w:type="pct"/>
            <w:vAlign w:val="center"/>
          </w:tcPr>
          <w:p w14:paraId="4EFD74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PPRФ25，PPRФ40</w:t>
            </w:r>
          </w:p>
        </w:tc>
        <w:tc>
          <w:tcPr>
            <w:tcW w:w="458" w:type="pct"/>
            <w:vAlign w:val="center"/>
          </w:tcPr>
          <w:p w14:paraId="1BB17D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33332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3C7B94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11E5B2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C07BD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09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5D355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2A84BD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铜管(回液管含保温管/)</w:t>
            </w:r>
          </w:p>
        </w:tc>
        <w:tc>
          <w:tcPr>
            <w:tcW w:w="1872" w:type="pct"/>
            <w:vAlign w:val="center"/>
          </w:tcPr>
          <w:p w14:paraId="67213D9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Ф22</w:t>
            </w:r>
          </w:p>
        </w:tc>
        <w:tc>
          <w:tcPr>
            <w:tcW w:w="458" w:type="pct"/>
            <w:vAlign w:val="center"/>
          </w:tcPr>
          <w:p w14:paraId="1AC9F4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45" w:type="pct"/>
            <w:vAlign w:val="center"/>
          </w:tcPr>
          <w:p w14:paraId="19139C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5598CB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D1AE3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58E21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6A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33" w:type="pct"/>
            <w:vAlign w:val="center"/>
          </w:tcPr>
          <w:p w14:paraId="3E1B56E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21861D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铜管(热气管含保温管/)</w:t>
            </w:r>
          </w:p>
        </w:tc>
        <w:tc>
          <w:tcPr>
            <w:tcW w:w="1872" w:type="pct"/>
            <w:vAlign w:val="center"/>
          </w:tcPr>
          <w:p w14:paraId="63FDAE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Ф28</w:t>
            </w:r>
          </w:p>
        </w:tc>
        <w:tc>
          <w:tcPr>
            <w:tcW w:w="458" w:type="pct"/>
            <w:vAlign w:val="center"/>
          </w:tcPr>
          <w:p w14:paraId="25A45D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45" w:type="pct"/>
            <w:vAlign w:val="center"/>
          </w:tcPr>
          <w:p w14:paraId="686B19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7CCBA1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1FD40F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6BB83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87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67ED7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2FA08E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制冷剂</w:t>
            </w:r>
          </w:p>
        </w:tc>
        <w:tc>
          <w:tcPr>
            <w:tcW w:w="1872" w:type="pct"/>
            <w:vAlign w:val="center"/>
          </w:tcPr>
          <w:p w14:paraId="4BBF2D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R410A</w:t>
            </w:r>
          </w:p>
        </w:tc>
        <w:tc>
          <w:tcPr>
            <w:tcW w:w="458" w:type="pct"/>
            <w:vAlign w:val="center"/>
          </w:tcPr>
          <w:p w14:paraId="3D5473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C5D05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443" w:type="pct"/>
            <w:vAlign w:val="center"/>
          </w:tcPr>
          <w:p w14:paraId="2C6F00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FFCF1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E127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988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0C93E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55C03A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室外机电源线</w:t>
            </w:r>
          </w:p>
        </w:tc>
        <w:tc>
          <w:tcPr>
            <w:tcW w:w="1872" w:type="pct"/>
            <w:vAlign w:val="center"/>
          </w:tcPr>
          <w:p w14:paraId="37CEBD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ZCVVR-5*2.5</w:t>
            </w:r>
          </w:p>
        </w:tc>
        <w:tc>
          <w:tcPr>
            <w:tcW w:w="458" w:type="pct"/>
            <w:vAlign w:val="center"/>
          </w:tcPr>
          <w:p w14:paraId="1D39C9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45" w:type="pct"/>
            <w:vAlign w:val="center"/>
          </w:tcPr>
          <w:p w14:paraId="71BB04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5A23CE2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8F071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A9C80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727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AA6BF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64E4DB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控制线</w:t>
            </w:r>
          </w:p>
        </w:tc>
        <w:tc>
          <w:tcPr>
            <w:tcW w:w="1872" w:type="pct"/>
            <w:vAlign w:val="center"/>
          </w:tcPr>
          <w:p w14:paraId="5FA227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ZCVVR-2*1.5</w:t>
            </w:r>
          </w:p>
        </w:tc>
        <w:tc>
          <w:tcPr>
            <w:tcW w:w="458" w:type="pct"/>
            <w:vAlign w:val="center"/>
          </w:tcPr>
          <w:p w14:paraId="4B67BA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45" w:type="pct"/>
            <w:vAlign w:val="center"/>
          </w:tcPr>
          <w:p w14:paraId="5AB326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7BF9E0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41E6F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69CC8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9D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DAA9E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2F1319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1872" w:type="pct"/>
            <w:vAlign w:val="center"/>
          </w:tcPr>
          <w:p w14:paraId="498F9F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定制、现场安装用材</w:t>
            </w:r>
          </w:p>
        </w:tc>
        <w:tc>
          <w:tcPr>
            <w:tcW w:w="458" w:type="pct"/>
            <w:vAlign w:val="center"/>
          </w:tcPr>
          <w:p w14:paraId="376EC5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E4F0A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091AC9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8FB7E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47360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95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1656DA8">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577" w:type="pct"/>
            <w:vAlign w:val="center"/>
          </w:tcPr>
          <w:p w14:paraId="666C79FF">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新风机</w:t>
            </w:r>
          </w:p>
        </w:tc>
        <w:tc>
          <w:tcPr>
            <w:tcW w:w="1872" w:type="pct"/>
            <w:vAlign w:val="center"/>
          </w:tcPr>
          <w:p w14:paraId="0D9A2718">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1.全新风引入，净化室内空气，有效维持室内正压；</w:t>
            </w:r>
          </w:p>
          <w:p w14:paraId="0F4E140C">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2.柜式机型，单向流风量输入，风量≥600m³/h；</w:t>
            </w:r>
          </w:p>
          <w:p w14:paraId="670501CD">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3.▲高、中、低三档风速可调，可根据机房不同需求任意调节送风量(投标时须提供第三方检测报告证明)。</w:t>
            </w:r>
          </w:p>
          <w:p w14:paraId="1790209D">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4.标配初效、中效、高效三级过滤器，满足标准机房洁净度的要求；</w:t>
            </w:r>
          </w:p>
          <w:p w14:paraId="0086A0D2">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5.新风机具有室内空气环境检测功能，并配置数据软件；</w:t>
            </w:r>
          </w:p>
          <w:p w14:paraId="379F34F5">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6.▲配置LCD液晶显示屏，可显示室内温湿度、PM2.5浓度和甲醛浓度数据(投标时须提供第三方检测报告证明)。</w:t>
            </w:r>
          </w:p>
          <w:p w14:paraId="12871F89">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7.具有远程智能控制功能平台；</w:t>
            </w:r>
          </w:p>
          <w:p w14:paraId="57E33426">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8.新风机对外连接采用软管结构；</w:t>
            </w:r>
          </w:p>
          <w:p w14:paraId="568626D3">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9.▲配置消毒紫外灯，配置RS-485标准通信接口(投标文件中须提供第三方检测报告证明)；</w:t>
            </w:r>
          </w:p>
          <w:p w14:paraId="18E76766">
            <w:pPr>
              <w:keepNext w:val="0"/>
              <w:keepLines w:val="0"/>
              <w:pageBreakBefore w:val="0"/>
              <w:widowControl/>
              <w:suppressLineNumbers w:val="0"/>
              <w:tabs>
                <w:tab w:val="left" w:pos="791"/>
              </w:tabs>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tc>
        <w:tc>
          <w:tcPr>
            <w:tcW w:w="458" w:type="pct"/>
            <w:vAlign w:val="center"/>
          </w:tcPr>
          <w:p w14:paraId="1BD0D5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53AAD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6AC25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2CABC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428EF5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339B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6A80A0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77" w:type="pct"/>
            <w:vAlign w:val="center"/>
          </w:tcPr>
          <w:p w14:paraId="7F57AA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防火阀</w:t>
            </w:r>
          </w:p>
        </w:tc>
        <w:tc>
          <w:tcPr>
            <w:tcW w:w="1872" w:type="pct"/>
            <w:vAlign w:val="center"/>
          </w:tcPr>
          <w:p w14:paraId="7978BC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与消防系统联动</w:t>
            </w:r>
          </w:p>
        </w:tc>
        <w:tc>
          <w:tcPr>
            <w:tcW w:w="458" w:type="pct"/>
            <w:vAlign w:val="center"/>
          </w:tcPr>
          <w:p w14:paraId="7EB2D0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85FE3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E97A1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2106A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8EDDD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A24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DAFF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77" w:type="pct"/>
            <w:vAlign w:val="center"/>
          </w:tcPr>
          <w:p w14:paraId="33A6BE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防雨百叶风口</w:t>
            </w:r>
          </w:p>
        </w:tc>
        <w:tc>
          <w:tcPr>
            <w:tcW w:w="1872" w:type="pct"/>
            <w:vAlign w:val="center"/>
          </w:tcPr>
          <w:p w14:paraId="39F72A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白色，带防虫网</w:t>
            </w:r>
          </w:p>
        </w:tc>
        <w:tc>
          <w:tcPr>
            <w:tcW w:w="458" w:type="pct"/>
            <w:vAlign w:val="center"/>
          </w:tcPr>
          <w:p w14:paraId="2EF5B3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D1114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353C5D2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A3C90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366C2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55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E76A6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77" w:type="pct"/>
            <w:vAlign w:val="center"/>
          </w:tcPr>
          <w:p w14:paraId="7622FA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辅材（线、管等）</w:t>
            </w:r>
          </w:p>
        </w:tc>
        <w:tc>
          <w:tcPr>
            <w:tcW w:w="1872" w:type="pct"/>
            <w:vAlign w:val="center"/>
          </w:tcPr>
          <w:p w14:paraId="3C1D41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电源线、软管等</w:t>
            </w:r>
          </w:p>
        </w:tc>
        <w:tc>
          <w:tcPr>
            <w:tcW w:w="458" w:type="pct"/>
            <w:vAlign w:val="center"/>
          </w:tcPr>
          <w:p w14:paraId="3A8E1E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0FE12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40C7857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42BD3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D9D3F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3F9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A980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5CD4668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网络机房</w:t>
            </w:r>
          </w:p>
        </w:tc>
      </w:tr>
      <w:tr w14:paraId="610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E9B6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B-1</w:t>
            </w:r>
          </w:p>
        </w:tc>
        <w:tc>
          <w:tcPr>
            <w:tcW w:w="4566" w:type="pct"/>
            <w:gridSpan w:val="7"/>
            <w:vAlign w:val="center"/>
          </w:tcPr>
          <w:p w14:paraId="7EE878D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装饰装修</w:t>
            </w:r>
          </w:p>
        </w:tc>
      </w:tr>
      <w:tr w14:paraId="380A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B2484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1B98B9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地面找平处理</w:t>
            </w:r>
          </w:p>
        </w:tc>
        <w:tc>
          <w:tcPr>
            <w:tcW w:w="1872" w:type="pct"/>
            <w:vAlign w:val="center"/>
          </w:tcPr>
          <w:p w14:paraId="30E775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水泥、黄沙找平层，厚度30mm。</w:t>
            </w:r>
          </w:p>
        </w:tc>
        <w:tc>
          <w:tcPr>
            <w:tcW w:w="458" w:type="pct"/>
            <w:vAlign w:val="center"/>
          </w:tcPr>
          <w:p w14:paraId="052D36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337F7E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restart"/>
            <w:vAlign w:val="center"/>
          </w:tcPr>
          <w:p w14:paraId="76A4CCC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Merge w:val="restart"/>
            <w:vAlign w:val="center"/>
          </w:tcPr>
          <w:p w14:paraId="0B1F041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1C067C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E9A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1AF82D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3DDC68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地面防尘处理</w:t>
            </w:r>
          </w:p>
        </w:tc>
        <w:tc>
          <w:tcPr>
            <w:tcW w:w="1872" w:type="pct"/>
            <w:vAlign w:val="center"/>
          </w:tcPr>
          <w:p w14:paraId="1A58AF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灰色防尘漆两道</w:t>
            </w:r>
          </w:p>
        </w:tc>
        <w:tc>
          <w:tcPr>
            <w:tcW w:w="458" w:type="pct"/>
            <w:vAlign w:val="center"/>
          </w:tcPr>
          <w:p w14:paraId="744608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4D3A40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076EA7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6598475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B7AF5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390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9BC887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067D02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地面保温处理</w:t>
            </w:r>
          </w:p>
        </w:tc>
        <w:tc>
          <w:tcPr>
            <w:tcW w:w="1872" w:type="pct"/>
            <w:vAlign w:val="center"/>
          </w:tcPr>
          <w:p w14:paraId="57917F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30mm厚，防火等级:B1级含铝箔</w:t>
            </w:r>
          </w:p>
        </w:tc>
        <w:tc>
          <w:tcPr>
            <w:tcW w:w="458" w:type="pct"/>
            <w:vAlign w:val="center"/>
          </w:tcPr>
          <w:p w14:paraId="5C8A12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626294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E3B552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695687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44A5D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824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3D2198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7AE224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全钢无边抗静电地板(含裁损)</w:t>
            </w:r>
          </w:p>
        </w:tc>
        <w:tc>
          <w:tcPr>
            <w:tcW w:w="1872" w:type="pct"/>
            <w:vAlign w:val="center"/>
          </w:tcPr>
          <w:p w14:paraId="73506F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1、产品名称：防静电活动地板规格：600mm*600mm*35mm 无边，高度：400mm。</w:t>
            </w:r>
          </w:p>
          <w:p w14:paraId="15AAA8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2、材质要求：装饰面层采用 1.2mm 高耐磨防静电贴面，表面电阻值为 106-9Ω，机械性能： 集中荷载≥2950N/m2,均布载荷≥12500N/m2；耐磨及防静电性能优良，支架厚度上托≥3mm，下托≥2mm，横梁壁厚≥1.0mm。上层板基采用优质SPCC1D 硬质合金冷轧钢板，板基表面采用静电喷塑， 钢板厚度为 0.7mm；下层板基采用 ST14 拉伸板，经拉伸后点焊成形，外表（下层板基）经磷化后进行静电喷塑处理，钢板厚度为 0.6mm；成型后钢板壳内腔填充优质发泡水泥。</w:t>
            </w:r>
          </w:p>
        </w:tc>
        <w:tc>
          <w:tcPr>
            <w:tcW w:w="458" w:type="pct"/>
            <w:vAlign w:val="center"/>
          </w:tcPr>
          <w:p w14:paraId="042017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2F1B49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2DADA3B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4178D4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7E238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20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D8210C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58A7FD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通风地板</w:t>
            </w:r>
          </w:p>
        </w:tc>
        <w:tc>
          <w:tcPr>
            <w:tcW w:w="1872" w:type="pct"/>
            <w:vAlign w:val="center"/>
          </w:tcPr>
          <w:p w14:paraId="04FFEE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600*600mm</w:t>
            </w:r>
          </w:p>
        </w:tc>
        <w:tc>
          <w:tcPr>
            <w:tcW w:w="458" w:type="pct"/>
            <w:vAlign w:val="center"/>
          </w:tcPr>
          <w:p w14:paraId="402ECC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3E5EC8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3" w:type="pct"/>
            <w:vMerge w:val="continue"/>
            <w:vAlign w:val="center"/>
          </w:tcPr>
          <w:p w14:paraId="44F2106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66E5DF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E3556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4C5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F0303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54821C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入口台阶</w:t>
            </w:r>
          </w:p>
        </w:tc>
        <w:tc>
          <w:tcPr>
            <w:tcW w:w="1872" w:type="pct"/>
            <w:vAlign w:val="center"/>
          </w:tcPr>
          <w:p w14:paraId="2E1C0B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L40角钢+静电地板</w:t>
            </w:r>
          </w:p>
        </w:tc>
        <w:tc>
          <w:tcPr>
            <w:tcW w:w="458" w:type="pct"/>
            <w:vAlign w:val="center"/>
          </w:tcPr>
          <w:p w14:paraId="25AA77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4FDD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Merge w:val="continue"/>
            <w:vAlign w:val="center"/>
          </w:tcPr>
          <w:p w14:paraId="661DCDE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2BAAE81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7E1EC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8E0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588645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713BA9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镀锌角钢支架</w:t>
            </w:r>
          </w:p>
        </w:tc>
        <w:tc>
          <w:tcPr>
            <w:tcW w:w="1872" w:type="pct"/>
            <w:vAlign w:val="center"/>
          </w:tcPr>
          <w:p w14:paraId="6DAA29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∠40*40*4mm</w:t>
            </w:r>
          </w:p>
        </w:tc>
        <w:tc>
          <w:tcPr>
            <w:tcW w:w="458" w:type="pct"/>
            <w:vAlign w:val="center"/>
          </w:tcPr>
          <w:p w14:paraId="529BCC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445" w:type="pct"/>
            <w:vAlign w:val="center"/>
          </w:tcPr>
          <w:p w14:paraId="2FD302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2473BC0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116F1E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38A5F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561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C8C696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6EFF3F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不锈钢收口条</w:t>
            </w:r>
          </w:p>
        </w:tc>
        <w:tc>
          <w:tcPr>
            <w:tcW w:w="1872" w:type="pct"/>
            <w:vAlign w:val="center"/>
          </w:tcPr>
          <w:p w14:paraId="0603C3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33B607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2BE757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2C47445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7C3B9BC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770F4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90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1E0685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77BD2F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不锈钢踢脚线</w:t>
            </w:r>
          </w:p>
        </w:tc>
        <w:tc>
          <w:tcPr>
            <w:tcW w:w="1872" w:type="pct"/>
            <w:vAlign w:val="center"/>
          </w:tcPr>
          <w:p w14:paraId="1B95EE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1mm厚拉丝不锈钢定制,100mm高</w:t>
            </w:r>
          </w:p>
        </w:tc>
        <w:tc>
          <w:tcPr>
            <w:tcW w:w="458" w:type="pct"/>
            <w:vAlign w:val="center"/>
          </w:tcPr>
          <w:p w14:paraId="2C07D7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2B3F47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00E03DA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6941BD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71BC9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1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69FCDB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7" w:type="pct"/>
            <w:vAlign w:val="center"/>
          </w:tcPr>
          <w:p w14:paraId="28870F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顶面防尘处理</w:t>
            </w:r>
          </w:p>
        </w:tc>
        <w:tc>
          <w:tcPr>
            <w:tcW w:w="1872" w:type="pct"/>
            <w:vAlign w:val="center"/>
          </w:tcPr>
          <w:p w14:paraId="534498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灰色防尘漆两道</w:t>
            </w:r>
          </w:p>
        </w:tc>
        <w:tc>
          <w:tcPr>
            <w:tcW w:w="458" w:type="pct"/>
            <w:vAlign w:val="center"/>
          </w:tcPr>
          <w:p w14:paraId="33B7BA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67.14</w:t>
            </w:r>
          </w:p>
        </w:tc>
        <w:tc>
          <w:tcPr>
            <w:tcW w:w="445" w:type="pct"/>
            <w:vAlign w:val="center"/>
          </w:tcPr>
          <w:p w14:paraId="1A95E0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6CBAE70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2E6D329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D5463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7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D61E2B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577" w:type="pct"/>
            <w:vAlign w:val="center"/>
          </w:tcPr>
          <w:p w14:paraId="7EA201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顶面保温处理</w:t>
            </w:r>
          </w:p>
        </w:tc>
        <w:tc>
          <w:tcPr>
            <w:tcW w:w="1872" w:type="pct"/>
            <w:vAlign w:val="center"/>
          </w:tcPr>
          <w:p w14:paraId="457634D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20mm厚,防火等级:B1级</w:t>
            </w:r>
          </w:p>
        </w:tc>
        <w:tc>
          <w:tcPr>
            <w:tcW w:w="458" w:type="pct"/>
            <w:vAlign w:val="center"/>
          </w:tcPr>
          <w:p w14:paraId="1197DB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67.14</w:t>
            </w:r>
          </w:p>
        </w:tc>
        <w:tc>
          <w:tcPr>
            <w:tcW w:w="445" w:type="pct"/>
            <w:vAlign w:val="center"/>
          </w:tcPr>
          <w:p w14:paraId="086B5A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0FFF05F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0824D9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6B942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F4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348CA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577" w:type="pct"/>
            <w:vAlign w:val="center"/>
          </w:tcPr>
          <w:p w14:paraId="53252A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二次顶面天棚龙骨</w:t>
            </w:r>
          </w:p>
        </w:tc>
        <w:tc>
          <w:tcPr>
            <w:tcW w:w="1872" w:type="pct"/>
            <w:vAlign w:val="center"/>
          </w:tcPr>
          <w:p w14:paraId="03355B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U50主龙</w:t>
            </w:r>
          </w:p>
        </w:tc>
        <w:tc>
          <w:tcPr>
            <w:tcW w:w="458" w:type="pct"/>
            <w:vAlign w:val="center"/>
          </w:tcPr>
          <w:p w14:paraId="3D66F4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5A7FF4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8E6EB9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1A7F8B3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457192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4A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0D1E91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577" w:type="pct"/>
            <w:vAlign w:val="center"/>
          </w:tcPr>
          <w:p w14:paraId="1A2490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一次天棚吊筋</w:t>
            </w:r>
          </w:p>
        </w:tc>
        <w:tc>
          <w:tcPr>
            <w:tcW w:w="1872" w:type="pct"/>
            <w:vAlign w:val="center"/>
          </w:tcPr>
          <w:p w14:paraId="43A812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Ф8</w:t>
            </w:r>
          </w:p>
        </w:tc>
        <w:tc>
          <w:tcPr>
            <w:tcW w:w="458" w:type="pct"/>
            <w:vAlign w:val="center"/>
          </w:tcPr>
          <w:p w14:paraId="4874A0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77625E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DB8D3F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053B4C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4B4D2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4B4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A69F98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577" w:type="pct"/>
            <w:vAlign w:val="center"/>
          </w:tcPr>
          <w:p w14:paraId="48C49A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反支撑固定</w:t>
            </w:r>
          </w:p>
        </w:tc>
        <w:tc>
          <w:tcPr>
            <w:tcW w:w="1872" w:type="pct"/>
            <w:vAlign w:val="center"/>
          </w:tcPr>
          <w:p w14:paraId="63F3EE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L50角钢</w:t>
            </w:r>
          </w:p>
        </w:tc>
        <w:tc>
          <w:tcPr>
            <w:tcW w:w="458" w:type="pct"/>
            <w:vAlign w:val="center"/>
          </w:tcPr>
          <w:p w14:paraId="4F91A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3434D9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380FA2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652A24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6D8A3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924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726A73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577" w:type="pct"/>
            <w:vAlign w:val="center"/>
          </w:tcPr>
          <w:p w14:paraId="1292A7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二次石膏板吊顶</w:t>
            </w:r>
          </w:p>
        </w:tc>
        <w:tc>
          <w:tcPr>
            <w:tcW w:w="1872" w:type="pct"/>
            <w:vAlign w:val="center"/>
          </w:tcPr>
          <w:p w14:paraId="49622A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12mm单面石膏板,H=4000mm</w:t>
            </w:r>
          </w:p>
        </w:tc>
        <w:tc>
          <w:tcPr>
            <w:tcW w:w="458" w:type="pct"/>
            <w:vAlign w:val="center"/>
          </w:tcPr>
          <w:p w14:paraId="47397A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277712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6B71C7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241995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6EBBF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C1C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D83BB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577" w:type="pct"/>
            <w:vAlign w:val="center"/>
          </w:tcPr>
          <w:p w14:paraId="2286DD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吊顶乳胶漆</w:t>
            </w:r>
          </w:p>
        </w:tc>
        <w:tc>
          <w:tcPr>
            <w:tcW w:w="1872" w:type="pct"/>
            <w:vAlign w:val="center"/>
          </w:tcPr>
          <w:p w14:paraId="161F3B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满批腻子三遍，外饰乳胶漆</w:t>
            </w:r>
          </w:p>
        </w:tc>
        <w:tc>
          <w:tcPr>
            <w:tcW w:w="458" w:type="pct"/>
            <w:vAlign w:val="center"/>
          </w:tcPr>
          <w:p w14:paraId="4F71C6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50EF4A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4AA711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28F2F7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1FCA9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311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040B7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w:t>
            </w:r>
          </w:p>
        </w:tc>
        <w:tc>
          <w:tcPr>
            <w:tcW w:w="577" w:type="pct"/>
            <w:vAlign w:val="center"/>
          </w:tcPr>
          <w:p w14:paraId="456C95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一次顶面天棚龙骨</w:t>
            </w:r>
          </w:p>
        </w:tc>
        <w:tc>
          <w:tcPr>
            <w:tcW w:w="1872" w:type="pct"/>
            <w:vAlign w:val="center"/>
          </w:tcPr>
          <w:p w14:paraId="199981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U50主龙</w:t>
            </w:r>
          </w:p>
        </w:tc>
        <w:tc>
          <w:tcPr>
            <w:tcW w:w="458" w:type="pct"/>
            <w:vAlign w:val="center"/>
          </w:tcPr>
          <w:p w14:paraId="7DC505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334C89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5447AB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rPr>
            </w:pPr>
          </w:p>
        </w:tc>
        <w:tc>
          <w:tcPr>
            <w:tcW w:w="437" w:type="pct"/>
            <w:vMerge w:val="continue"/>
            <w:vAlign w:val="center"/>
          </w:tcPr>
          <w:p w14:paraId="12C0083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F5F813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7D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3EF9A1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w:t>
            </w:r>
          </w:p>
        </w:tc>
        <w:tc>
          <w:tcPr>
            <w:tcW w:w="577" w:type="pct"/>
            <w:vAlign w:val="center"/>
          </w:tcPr>
          <w:p w14:paraId="48A32D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一次天棚吊筋</w:t>
            </w:r>
          </w:p>
        </w:tc>
        <w:tc>
          <w:tcPr>
            <w:tcW w:w="1872" w:type="pct"/>
            <w:vAlign w:val="center"/>
          </w:tcPr>
          <w:p w14:paraId="5422CB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Ф8</w:t>
            </w:r>
          </w:p>
        </w:tc>
        <w:tc>
          <w:tcPr>
            <w:tcW w:w="458" w:type="pct"/>
            <w:vAlign w:val="center"/>
          </w:tcPr>
          <w:p w14:paraId="44E5D9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55.95</w:t>
            </w:r>
          </w:p>
        </w:tc>
        <w:tc>
          <w:tcPr>
            <w:tcW w:w="445" w:type="pct"/>
            <w:vAlign w:val="center"/>
          </w:tcPr>
          <w:p w14:paraId="093083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57105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9334B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50105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2CC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9DF6E4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w:t>
            </w:r>
          </w:p>
        </w:tc>
        <w:tc>
          <w:tcPr>
            <w:tcW w:w="577" w:type="pct"/>
            <w:vAlign w:val="center"/>
          </w:tcPr>
          <w:p w14:paraId="252CED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一次天棚烤漆边龙骨</w:t>
            </w:r>
          </w:p>
        </w:tc>
        <w:tc>
          <w:tcPr>
            <w:tcW w:w="1872" w:type="pct"/>
            <w:vAlign w:val="center"/>
          </w:tcPr>
          <w:p w14:paraId="0BEC1D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L型边龙</w:t>
            </w:r>
          </w:p>
        </w:tc>
        <w:tc>
          <w:tcPr>
            <w:tcW w:w="458" w:type="pct"/>
            <w:vAlign w:val="center"/>
          </w:tcPr>
          <w:p w14:paraId="0F1B5A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3A8299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53AB41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C0ED0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BEF73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111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C7DC37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577" w:type="pct"/>
            <w:vAlign w:val="center"/>
          </w:tcPr>
          <w:p w14:paraId="562C25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一次金属微孔吸音铝方形板</w:t>
            </w:r>
          </w:p>
        </w:tc>
        <w:tc>
          <w:tcPr>
            <w:tcW w:w="1872" w:type="pct"/>
            <w:vAlign w:val="center"/>
          </w:tcPr>
          <w:p w14:paraId="4162722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1、产品名称：微孔金属天花，规格：600mm*600mm*0.8mm；</w:t>
            </w:r>
          </w:p>
          <w:p w14:paraId="284D8D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2、板面涂层性能采用优质静电粉末喷涂，由全自动高速涂装线涂装，板面平整，无色差，涂层附着力强，能耐酸、碱、盐雾的侵蚀，长时间不变色，涂料不脱落；</w:t>
            </w:r>
          </w:p>
          <w:p w14:paraId="5AA6E6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3、针孔天花，孔径φ1.8mm或φ 2.2mm，孔中心距5×5mm，穿孔率为16%，背面贴高级吸音无纺布；</w:t>
            </w:r>
          </w:p>
          <w:p w14:paraId="1DEADA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4、适温性强，铝合板一般可在较大的温度变化下使用，其优良性能不受影响；</w:t>
            </w:r>
          </w:p>
          <w:p w14:paraId="5A8362E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5、安全无毒、防火，其材质是非可燃的铝板，故燃烧特性符合建筑法规的耐火要求。</w:t>
            </w:r>
          </w:p>
        </w:tc>
        <w:tc>
          <w:tcPr>
            <w:tcW w:w="458" w:type="pct"/>
            <w:vAlign w:val="center"/>
          </w:tcPr>
          <w:p w14:paraId="36F0A5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50.2</w:t>
            </w:r>
          </w:p>
        </w:tc>
        <w:tc>
          <w:tcPr>
            <w:tcW w:w="445" w:type="pct"/>
            <w:vAlign w:val="center"/>
          </w:tcPr>
          <w:p w14:paraId="3E85A5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637F78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28730E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E1E9C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511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6973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577" w:type="pct"/>
            <w:vAlign w:val="center"/>
          </w:tcPr>
          <w:p w14:paraId="1062BC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内墙柱面轻钢龙骨及其附件</w:t>
            </w:r>
          </w:p>
        </w:tc>
        <w:tc>
          <w:tcPr>
            <w:tcW w:w="1872" w:type="pct"/>
            <w:vAlign w:val="center"/>
          </w:tcPr>
          <w:p w14:paraId="7DBD4C5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C75轻钢龙骨</w:t>
            </w:r>
          </w:p>
        </w:tc>
        <w:tc>
          <w:tcPr>
            <w:tcW w:w="458" w:type="pct"/>
            <w:vAlign w:val="center"/>
          </w:tcPr>
          <w:p w14:paraId="73C2C1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119.84</w:t>
            </w:r>
          </w:p>
        </w:tc>
        <w:tc>
          <w:tcPr>
            <w:tcW w:w="445" w:type="pct"/>
            <w:vAlign w:val="center"/>
          </w:tcPr>
          <w:p w14:paraId="08ED77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74292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B14B5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2D041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EFF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78AE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577" w:type="pct"/>
            <w:vAlign w:val="center"/>
          </w:tcPr>
          <w:p w14:paraId="75918D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墙面保温棉</w:t>
            </w:r>
          </w:p>
        </w:tc>
        <w:tc>
          <w:tcPr>
            <w:tcW w:w="1872" w:type="pct"/>
            <w:vAlign w:val="center"/>
          </w:tcPr>
          <w:p w14:paraId="07D3CB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20mm厚,防火等级:B1级</w:t>
            </w:r>
          </w:p>
        </w:tc>
        <w:tc>
          <w:tcPr>
            <w:tcW w:w="458" w:type="pct"/>
            <w:vAlign w:val="center"/>
          </w:tcPr>
          <w:p w14:paraId="6EB490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119.84</w:t>
            </w:r>
          </w:p>
        </w:tc>
        <w:tc>
          <w:tcPr>
            <w:tcW w:w="445" w:type="pct"/>
            <w:vAlign w:val="center"/>
          </w:tcPr>
          <w:p w14:paraId="4C40C0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ADAA8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6F4072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3C4A6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84D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DCD9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w:t>
            </w:r>
          </w:p>
        </w:tc>
        <w:tc>
          <w:tcPr>
            <w:tcW w:w="577" w:type="pct"/>
            <w:vAlign w:val="center"/>
          </w:tcPr>
          <w:p w14:paraId="519127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彩钢板饰面</w:t>
            </w:r>
          </w:p>
        </w:tc>
        <w:tc>
          <w:tcPr>
            <w:tcW w:w="1872" w:type="pct"/>
            <w:vAlign w:val="center"/>
          </w:tcPr>
          <w:p w14:paraId="2CC3E5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1、产品名称：金属墙板</w:t>
            </w:r>
          </w:p>
          <w:p w14:paraId="1DF4EE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2、表面材料：抗氧化性的热熔镀锌钢板0.6MM；涂装工艺采用全自动高压静电超高速旋转雾状喷涂技术，涂装前进行脱脂、磷化处理；涂层均匀、附着力强；漆膜性能具备良好的抗氧化性能和焊接性能；</w:t>
            </w:r>
          </w:p>
          <w:p w14:paraId="39C706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3、钢板与背面12MM高密度石膏板采用组合胶粘接，可保永不分离。满足室内对防火、隔音、保温及防尘等需求；</w:t>
            </w:r>
          </w:p>
        </w:tc>
        <w:tc>
          <w:tcPr>
            <w:tcW w:w="458" w:type="pct"/>
            <w:vAlign w:val="center"/>
          </w:tcPr>
          <w:p w14:paraId="03CE3E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89.88</w:t>
            </w:r>
          </w:p>
        </w:tc>
        <w:tc>
          <w:tcPr>
            <w:tcW w:w="445" w:type="pct"/>
            <w:vAlign w:val="center"/>
          </w:tcPr>
          <w:p w14:paraId="150C50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567D1F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0740C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6DC61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AE1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FD38F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w:t>
            </w:r>
          </w:p>
        </w:tc>
        <w:tc>
          <w:tcPr>
            <w:tcW w:w="577" w:type="pct"/>
            <w:vAlign w:val="center"/>
          </w:tcPr>
          <w:p w14:paraId="3B8D8156">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彩钢板辅材</w:t>
            </w:r>
          </w:p>
        </w:tc>
        <w:tc>
          <w:tcPr>
            <w:tcW w:w="1872" w:type="pct"/>
            <w:vAlign w:val="center"/>
          </w:tcPr>
          <w:p w14:paraId="031C6DAC">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阴阳角条</w:t>
            </w:r>
          </w:p>
        </w:tc>
        <w:tc>
          <w:tcPr>
            <w:tcW w:w="458" w:type="pct"/>
            <w:vAlign w:val="center"/>
          </w:tcPr>
          <w:p w14:paraId="507FCF9E">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89.88</w:t>
            </w:r>
          </w:p>
        </w:tc>
        <w:tc>
          <w:tcPr>
            <w:tcW w:w="445" w:type="pct"/>
            <w:vAlign w:val="center"/>
          </w:tcPr>
          <w:p w14:paraId="72707A4E">
            <w:pPr>
              <w:keepNext w:val="0"/>
              <w:keepLines w:val="0"/>
              <w:widowControl/>
              <w:suppressLineNumbers w:val="0"/>
              <w:ind w:firstLine="480" w:firstLineChars="20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7255C79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88169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20564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94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791FAC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w:t>
            </w:r>
          </w:p>
        </w:tc>
        <w:tc>
          <w:tcPr>
            <w:tcW w:w="577" w:type="pct"/>
            <w:vAlign w:val="center"/>
          </w:tcPr>
          <w:p w14:paraId="474820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玻璃隔断方钢底座及框架制安</w:t>
            </w:r>
          </w:p>
        </w:tc>
        <w:tc>
          <w:tcPr>
            <w:tcW w:w="1872" w:type="pct"/>
            <w:vAlign w:val="center"/>
          </w:tcPr>
          <w:p w14:paraId="65F911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40*60mm方钢底座</w:t>
            </w:r>
          </w:p>
        </w:tc>
        <w:tc>
          <w:tcPr>
            <w:tcW w:w="458" w:type="pct"/>
            <w:vAlign w:val="center"/>
          </w:tcPr>
          <w:p w14:paraId="13345C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445" w:type="pct"/>
            <w:vAlign w:val="center"/>
          </w:tcPr>
          <w:p w14:paraId="71CDBF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0407A6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0D094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C5AD7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AE9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7198C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w:t>
            </w:r>
          </w:p>
        </w:tc>
        <w:tc>
          <w:tcPr>
            <w:tcW w:w="577" w:type="pct"/>
            <w:vAlign w:val="center"/>
          </w:tcPr>
          <w:p w14:paraId="26A2E5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12mm防火玻璃隔断</w:t>
            </w:r>
          </w:p>
        </w:tc>
        <w:tc>
          <w:tcPr>
            <w:tcW w:w="1872" w:type="pct"/>
            <w:vAlign w:val="center"/>
          </w:tcPr>
          <w:p w14:paraId="723CFE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12mm防火玻璃隔断</w:t>
            </w:r>
          </w:p>
        </w:tc>
        <w:tc>
          <w:tcPr>
            <w:tcW w:w="458" w:type="pct"/>
            <w:vAlign w:val="center"/>
          </w:tcPr>
          <w:p w14:paraId="1C4C05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445" w:type="pct"/>
            <w:vAlign w:val="center"/>
          </w:tcPr>
          <w:p w14:paraId="6F7C07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B92EF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3C4F02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F42A9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4E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8B942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27</w:t>
            </w:r>
          </w:p>
        </w:tc>
        <w:tc>
          <w:tcPr>
            <w:tcW w:w="577" w:type="pct"/>
            <w:vAlign w:val="center"/>
          </w:tcPr>
          <w:p w14:paraId="10B14A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发纹不锈钢包玻璃隔断边框</w:t>
            </w:r>
          </w:p>
        </w:tc>
        <w:tc>
          <w:tcPr>
            <w:tcW w:w="1872" w:type="pct"/>
            <w:vAlign w:val="center"/>
          </w:tcPr>
          <w:p w14:paraId="4546AF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1mm发纹不锈钢</w:t>
            </w:r>
          </w:p>
        </w:tc>
        <w:tc>
          <w:tcPr>
            <w:tcW w:w="458" w:type="pct"/>
            <w:vAlign w:val="center"/>
          </w:tcPr>
          <w:p w14:paraId="7DAC29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445" w:type="pct"/>
            <w:vAlign w:val="center"/>
          </w:tcPr>
          <w:p w14:paraId="7B8204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06F4F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2DE8678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1BB34F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132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5B8AD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28</w:t>
            </w:r>
          </w:p>
        </w:tc>
        <w:tc>
          <w:tcPr>
            <w:tcW w:w="577" w:type="pct"/>
            <w:vAlign w:val="center"/>
          </w:tcPr>
          <w:p w14:paraId="515C03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玻璃隔断上下封堵</w:t>
            </w:r>
          </w:p>
        </w:tc>
        <w:tc>
          <w:tcPr>
            <w:tcW w:w="1872" w:type="pct"/>
            <w:vAlign w:val="center"/>
          </w:tcPr>
          <w:p w14:paraId="7FF167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轻钢龙骨+不燃板</w:t>
            </w:r>
          </w:p>
        </w:tc>
        <w:tc>
          <w:tcPr>
            <w:tcW w:w="458" w:type="pct"/>
            <w:vAlign w:val="center"/>
          </w:tcPr>
          <w:p w14:paraId="2FD212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445" w:type="pct"/>
            <w:vAlign w:val="center"/>
          </w:tcPr>
          <w:p w14:paraId="7CE689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432173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269B704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C27B35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F0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F17307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29</w:t>
            </w:r>
          </w:p>
        </w:tc>
        <w:tc>
          <w:tcPr>
            <w:tcW w:w="577" w:type="pct"/>
            <w:vAlign w:val="center"/>
          </w:tcPr>
          <w:p w14:paraId="65B191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钢制防火门</w:t>
            </w:r>
          </w:p>
        </w:tc>
        <w:tc>
          <w:tcPr>
            <w:tcW w:w="1872" w:type="pct"/>
            <w:vAlign w:val="center"/>
          </w:tcPr>
          <w:p w14:paraId="5171BF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甲级双开钢制防火门，1500*2200；配套五金、闭门器。</w:t>
            </w:r>
          </w:p>
        </w:tc>
        <w:tc>
          <w:tcPr>
            <w:tcW w:w="458" w:type="pct"/>
            <w:vAlign w:val="center"/>
          </w:tcPr>
          <w:p w14:paraId="1A2160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445" w:type="pct"/>
            <w:vAlign w:val="center"/>
          </w:tcPr>
          <w:p w14:paraId="079904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895E9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1A08EE3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1490E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B5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6E749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30</w:t>
            </w:r>
          </w:p>
        </w:tc>
        <w:tc>
          <w:tcPr>
            <w:tcW w:w="577" w:type="pct"/>
            <w:vAlign w:val="center"/>
          </w:tcPr>
          <w:p w14:paraId="35BE57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防火玻璃门</w:t>
            </w:r>
          </w:p>
        </w:tc>
        <w:tc>
          <w:tcPr>
            <w:tcW w:w="1872" w:type="pct"/>
            <w:vAlign w:val="center"/>
          </w:tcPr>
          <w:p w14:paraId="641DB7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12mm防火玻璃；900*2200mm</w:t>
            </w:r>
          </w:p>
        </w:tc>
        <w:tc>
          <w:tcPr>
            <w:tcW w:w="458" w:type="pct"/>
            <w:vAlign w:val="center"/>
          </w:tcPr>
          <w:p w14:paraId="576C90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445" w:type="pct"/>
            <w:vAlign w:val="center"/>
          </w:tcPr>
          <w:p w14:paraId="174587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EC76C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3B47075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61D68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605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2023B9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31</w:t>
            </w:r>
          </w:p>
        </w:tc>
        <w:tc>
          <w:tcPr>
            <w:tcW w:w="577" w:type="pct"/>
            <w:vAlign w:val="center"/>
          </w:tcPr>
          <w:p w14:paraId="56A3F6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玻璃门方钢底座及框架制安</w:t>
            </w:r>
          </w:p>
        </w:tc>
        <w:tc>
          <w:tcPr>
            <w:tcW w:w="1872" w:type="pct"/>
            <w:vAlign w:val="center"/>
          </w:tcPr>
          <w:p w14:paraId="6923BF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40*60mm方钢底座</w:t>
            </w:r>
          </w:p>
        </w:tc>
        <w:tc>
          <w:tcPr>
            <w:tcW w:w="458" w:type="pct"/>
            <w:vAlign w:val="center"/>
          </w:tcPr>
          <w:p w14:paraId="14B6E8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445" w:type="pct"/>
            <w:vAlign w:val="center"/>
          </w:tcPr>
          <w:p w14:paraId="7B4549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3776F75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9167C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9C7E1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55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04BFCB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32</w:t>
            </w:r>
          </w:p>
        </w:tc>
        <w:tc>
          <w:tcPr>
            <w:tcW w:w="577" w:type="pct"/>
            <w:vAlign w:val="center"/>
          </w:tcPr>
          <w:p w14:paraId="0043B5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发纹不锈钢包玻璃隔断边框</w:t>
            </w:r>
          </w:p>
        </w:tc>
        <w:tc>
          <w:tcPr>
            <w:tcW w:w="1872" w:type="pct"/>
            <w:vAlign w:val="center"/>
          </w:tcPr>
          <w:p w14:paraId="6D4E24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1mm发纹不锈钢</w:t>
            </w:r>
          </w:p>
        </w:tc>
        <w:tc>
          <w:tcPr>
            <w:tcW w:w="458" w:type="pct"/>
            <w:vAlign w:val="center"/>
          </w:tcPr>
          <w:p w14:paraId="4AD3A0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445" w:type="pct"/>
            <w:vAlign w:val="center"/>
          </w:tcPr>
          <w:p w14:paraId="515B61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10C07C7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3992FE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432D0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05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1AE0D0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33</w:t>
            </w:r>
          </w:p>
        </w:tc>
        <w:tc>
          <w:tcPr>
            <w:tcW w:w="577" w:type="pct"/>
            <w:vAlign w:val="center"/>
          </w:tcPr>
          <w:p w14:paraId="15BBEC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地弹簧</w:t>
            </w:r>
          </w:p>
        </w:tc>
        <w:tc>
          <w:tcPr>
            <w:tcW w:w="1872" w:type="pct"/>
            <w:vAlign w:val="center"/>
          </w:tcPr>
          <w:p w14:paraId="6E0DE2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加重型</w:t>
            </w:r>
          </w:p>
        </w:tc>
        <w:tc>
          <w:tcPr>
            <w:tcW w:w="458" w:type="pct"/>
            <w:vAlign w:val="center"/>
          </w:tcPr>
          <w:p w14:paraId="210E47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1CD94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443" w:type="pct"/>
            <w:vMerge w:val="continue"/>
            <w:vAlign w:val="center"/>
          </w:tcPr>
          <w:p w14:paraId="593DC6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38FC48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8337D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349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38EFE7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34</w:t>
            </w:r>
          </w:p>
        </w:tc>
        <w:tc>
          <w:tcPr>
            <w:tcW w:w="577" w:type="pct"/>
            <w:vAlign w:val="center"/>
          </w:tcPr>
          <w:p w14:paraId="528228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不锈钢拉手</w:t>
            </w:r>
          </w:p>
        </w:tc>
        <w:tc>
          <w:tcPr>
            <w:tcW w:w="1872" w:type="pct"/>
            <w:vAlign w:val="center"/>
          </w:tcPr>
          <w:p w14:paraId="622F21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900mm长</w:t>
            </w:r>
          </w:p>
        </w:tc>
        <w:tc>
          <w:tcPr>
            <w:tcW w:w="458" w:type="pct"/>
            <w:vAlign w:val="center"/>
          </w:tcPr>
          <w:p w14:paraId="1D132B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5F289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443" w:type="pct"/>
            <w:vMerge w:val="continue"/>
            <w:vAlign w:val="center"/>
          </w:tcPr>
          <w:p w14:paraId="6AF5DFD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766DCE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E761B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CF7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E3732A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35</w:t>
            </w:r>
          </w:p>
        </w:tc>
        <w:tc>
          <w:tcPr>
            <w:tcW w:w="577" w:type="pct"/>
            <w:vAlign w:val="center"/>
          </w:tcPr>
          <w:p w14:paraId="5B8B60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暗门</w:t>
            </w:r>
          </w:p>
        </w:tc>
        <w:tc>
          <w:tcPr>
            <w:tcW w:w="1872" w:type="pct"/>
            <w:vAlign w:val="center"/>
          </w:tcPr>
          <w:p w14:paraId="7AAB6B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6ADA35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E84EB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樘</w:t>
            </w:r>
          </w:p>
        </w:tc>
        <w:tc>
          <w:tcPr>
            <w:tcW w:w="443" w:type="pct"/>
            <w:vMerge w:val="continue"/>
            <w:vAlign w:val="center"/>
          </w:tcPr>
          <w:p w14:paraId="2550FDF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71447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2DE0F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E5A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D52E85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36</w:t>
            </w:r>
          </w:p>
        </w:tc>
        <w:tc>
          <w:tcPr>
            <w:tcW w:w="577" w:type="pct"/>
            <w:vAlign w:val="center"/>
          </w:tcPr>
          <w:p w14:paraId="53D4B8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5CC702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600*1200*750mm,单人办公桌含椅子</w:t>
            </w:r>
          </w:p>
        </w:tc>
        <w:tc>
          <w:tcPr>
            <w:tcW w:w="458" w:type="pct"/>
            <w:vAlign w:val="center"/>
          </w:tcPr>
          <w:p w14:paraId="3E5FB1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D68C1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3BF81B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4C56DE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F6532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4F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450F5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37</w:t>
            </w:r>
          </w:p>
        </w:tc>
        <w:tc>
          <w:tcPr>
            <w:tcW w:w="577" w:type="pct"/>
            <w:vAlign w:val="center"/>
          </w:tcPr>
          <w:p w14:paraId="3B2BAD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窗户防水处理</w:t>
            </w:r>
          </w:p>
        </w:tc>
        <w:tc>
          <w:tcPr>
            <w:tcW w:w="1872" w:type="pct"/>
            <w:vAlign w:val="center"/>
          </w:tcPr>
          <w:p w14:paraId="0E6F98E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防水胶处理</w:t>
            </w:r>
          </w:p>
        </w:tc>
        <w:tc>
          <w:tcPr>
            <w:tcW w:w="458" w:type="pct"/>
            <w:vAlign w:val="center"/>
          </w:tcPr>
          <w:p w14:paraId="0F8C0E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5228C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Merge w:val="continue"/>
            <w:vAlign w:val="center"/>
          </w:tcPr>
          <w:p w14:paraId="79DC56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3982A5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A1C70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E7E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0E5D41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38</w:t>
            </w:r>
          </w:p>
        </w:tc>
        <w:tc>
          <w:tcPr>
            <w:tcW w:w="577" w:type="pct"/>
            <w:vAlign w:val="center"/>
          </w:tcPr>
          <w:p w14:paraId="3FFCF3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驱鼠器（含电源）</w:t>
            </w:r>
          </w:p>
        </w:tc>
        <w:tc>
          <w:tcPr>
            <w:tcW w:w="1872" w:type="pct"/>
            <w:vAlign w:val="center"/>
          </w:tcPr>
          <w:p w14:paraId="1938DB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有效面积:100㎡</w:t>
            </w:r>
          </w:p>
        </w:tc>
        <w:tc>
          <w:tcPr>
            <w:tcW w:w="458" w:type="pct"/>
            <w:vAlign w:val="center"/>
          </w:tcPr>
          <w:p w14:paraId="6EA5FD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8E989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43" w:type="pct"/>
            <w:vMerge w:val="continue"/>
            <w:vAlign w:val="center"/>
          </w:tcPr>
          <w:p w14:paraId="2955E5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628584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50263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F60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B42812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39</w:t>
            </w:r>
          </w:p>
        </w:tc>
        <w:tc>
          <w:tcPr>
            <w:tcW w:w="577" w:type="pct"/>
            <w:vAlign w:val="center"/>
          </w:tcPr>
          <w:p w14:paraId="2969D7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防鼠挡板</w:t>
            </w:r>
          </w:p>
        </w:tc>
        <w:tc>
          <w:tcPr>
            <w:tcW w:w="1872" w:type="pct"/>
            <w:vAlign w:val="center"/>
          </w:tcPr>
          <w:p w14:paraId="1FCE9A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7758E2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91021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Merge w:val="continue"/>
            <w:vAlign w:val="center"/>
          </w:tcPr>
          <w:p w14:paraId="0D578D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79A2D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566BC8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09A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F0313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40</w:t>
            </w:r>
          </w:p>
        </w:tc>
        <w:tc>
          <w:tcPr>
            <w:tcW w:w="577" w:type="pct"/>
            <w:vAlign w:val="center"/>
          </w:tcPr>
          <w:p w14:paraId="0BBDAA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防水围堰</w:t>
            </w:r>
          </w:p>
        </w:tc>
        <w:tc>
          <w:tcPr>
            <w:tcW w:w="1872" w:type="pct"/>
            <w:vAlign w:val="center"/>
          </w:tcPr>
          <w:p w14:paraId="398DB7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水泥、黄沙定制50mm高</w:t>
            </w:r>
          </w:p>
        </w:tc>
        <w:tc>
          <w:tcPr>
            <w:tcW w:w="458" w:type="pct"/>
            <w:vAlign w:val="center"/>
          </w:tcPr>
          <w:p w14:paraId="0EF7D3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5D4241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Merge w:val="continue"/>
            <w:vAlign w:val="center"/>
          </w:tcPr>
          <w:p w14:paraId="6663A9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25FB4A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1026B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44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B91EF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41</w:t>
            </w:r>
          </w:p>
        </w:tc>
        <w:tc>
          <w:tcPr>
            <w:tcW w:w="577" w:type="pct"/>
            <w:vAlign w:val="center"/>
          </w:tcPr>
          <w:p w14:paraId="3EED09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配电柜承重支架</w:t>
            </w:r>
          </w:p>
        </w:tc>
        <w:tc>
          <w:tcPr>
            <w:tcW w:w="1872" w:type="pct"/>
            <w:vAlign w:val="center"/>
          </w:tcPr>
          <w:p w14:paraId="7592FD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 角钢</w:t>
            </w:r>
          </w:p>
        </w:tc>
        <w:tc>
          <w:tcPr>
            <w:tcW w:w="458" w:type="pct"/>
            <w:vAlign w:val="center"/>
          </w:tcPr>
          <w:p w14:paraId="7954E9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3C7DA7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01863BC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140720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2DF4A3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5A5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A6C02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42</w:t>
            </w:r>
          </w:p>
        </w:tc>
        <w:tc>
          <w:tcPr>
            <w:tcW w:w="577" w:type="pct"/>
            <w:vAlign w:val="center"/>
          </w:tcPr>
          <w:p w14:paraId="709670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消防柜承重支架</w:t>
            </w:r>
          </w:p>
        </w:tc>
        <w:tc>
          <w:tcPr>
            <w:tcW w:w="1872" w:type="pct"/>
            <w:vAlign w:val="center"/>
          </w:tcPr>
          <w:p w14:paraId="473A9E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 角钢</w:t>
            </w:r>
          </w:p>
        </w:tc>
        <w:tc>
          <w:tcPr>
            <w:tcW w:w="458" w:type="pct"/>
            <w:vAlign w:val="center"/>
          </w:tcPr>
          <w:p w14:paraId="7F845D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015B23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590575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A0249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403F42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508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56C164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43</w:t>
            </w:r>
          </w:p>
        </w:tc>
        <w:tc>
          <w:tcPr>
            <w:tcW w:w="577" w:type="pct"/>
            <w:vAlign w:val="center"/>
          </w:tcPr>
          <w:p w14:paraId="6CD59C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精密空调室内机承重支架</w:t>
            </w:r>
          </w:p>
        </w:tc>
        <w:tc>
          <w:tcPr>
            <w:tcW w:w="1872" w:type="pct"/>
            <w:vAlign w:val="center"/>
          </w:tcPr>
          <w:p w14:paraId="2EC3D9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∠50*50*5mm角钢</w:t>
            </w:r>
          </w:p>
        </w:tc>
        <w:tc>
          <w:tcPr>
            <w:tcW w:w="458" w:type="pct"/>
            <w:vAlign w:val="center"/>
          </w:tcPr>
          <w:p w14:paraId="34712D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9835E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0803B3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657D94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3F0E3C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51F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6FC12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44</w:t>
            </w:r>
          </w:p>
        </w:tc>
        <w:tc>
          <w:tcPr>
            <w:tcW w:w="577" w:type="pct"/>
            <w:vAlign w:val="center"/>
          </w:tcPr>
          <w:p w14:paraId="62F104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精密空调室外机承重</w:t>
            </w:r>
          </w:p>
        </w:tc>
        <w:tc>
          <w:tcPr>
            <w:tcW w:w="1872" w:type="pct"/>
            <w:vAlign w:val="center"/>
          </w:tcPr>
          <w:p w14:paraId="3C5A89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水泥墩砌筑</w:t>
            </w:r>
          </w:p>
        </w:tc>
        <w:tc>
          <w:tcPr>
            <w:tcW w:w="458" w:type="pct"/>
            <w:vAlign w:val="center"/>
          </w:tcPr>
          <w:p w14:paraId="14EEDD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674EDA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Merge w:val="continue"/>
            <w:vAlign w:val="center"/>
          </w:tcPr>
          <w:p w14:paraId="3E6B9D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068134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39F585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A40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4A05F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45</w:t>
            </w:r>
          </w:p>
        </w:tc>
        <w:tc>
          <w:tcPr>
            <w:tcW w:w="577" w:type="pct"/>
            <w:vAlign w:val="center"/>
          </w:tcPr>
          <w:p w14:paraId="68B4C1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防火泥封堵</w:t>
            </w:r>
          </w:p>
        </w:tc>
        <w:tc>
          <w:tcPr>
            <w:tcW w:w="1872" w:type="pct"/>
            <w:vAlign w:val="center"/>
          </w:tcPr>
          <w:p w14:paraId="52D9B4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外界连接的管线、槽口，用专用防火泥封堵；</w:t>
            </w:r>
          </w:p>
        </w:tc>
        <w:tc>
          <w:tcPr>
            <w:tcW w:w="458" w:type="pct"/>
            <w:vAlign w:val="center"/>
          </w:tcPr>
          <w:p w14:paraId="4DAC18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5F854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Merge w:val="continue"/>
            <w:vAlign w:val="center"/>
          </w:tcPr>
          <w:p w14:paraId="389B53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C9ED08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0A88EB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19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44BEF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B-2</w:t>
            </w:r>
          </w:p>
        </w:tc>
        <w:tc>
          <w:tcPr>
            <w:tcW w:w="4566" w:type="pct"/>
            <w:gridSpan w:val="7"/>
            <w:vAlign w:val="center"/>
          </w:tcPr>
          <w:p w14:paraId="13F9E85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供配电系统</w:t>
            </w:r>
          </w:p>
        </w:tc>
      </w:tr>
      <w:tr w14:paraId="105A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6CB17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385293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综合配电柜</w:t>
            </w:r>
          </w:p>
        </w:tc>
        <w:tc>
          <w:tcPr>
            <w:tcW w:w="1872" w:type="pct"/>
            <w:vAlign w:val="center"/>
          </w:tcPr>
          <w:p w14:paraId="7F91D7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600*1100*2000mm</w:t>
            </w:r>
          </w:p>
        </w:tc>
        <w:tc>
          <w:tcPr>
            <w:tcW w:w="458" w:type="pct"/>
            <w:vAlign w:val="center"/>
          </w:tcPr>
          <w:p w14:paraId="31F4E7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1A005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D775D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F4631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0BC4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4B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1F748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0745DD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五孔墙面插座</w:t>
            </w:r>
          </w:p>
        </w:tc>
        <w:tc>
          <w:tcPr>
            <w:tcW w:w="1872" w:type="pct"/>
            <w:vAlign w:val="center"/>
          </w:tcPr>
          <w:p w14:paraId="214B4B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单相五孔10A</w:t>
            </w:r>
          </w:p>
        </w:tc>
        <w:tc>
          <w:tcPr>
            <w:tcW w:w="458" w:type="pct"/>
            <w:vAlign w:val="center"/>
          </w:tcPr>
          <w:p w14:paraId="74F008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181B5C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D0060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B2CEF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9C5AD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366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7FC6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081BDF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嵌入式LED平板灯</w:t>
            </w:r>
          </w:p>
        </w:tc>
        <w:tc>
          <w:tcPr>
            <w:tcW w:w="1872" w:type="pct"/>
            <w:vAlign w:val="center"/>
          </w:tcPr>
          <w:p w14:paraId="215162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600*600mm</w:t>
            </w:r>
          </w:p>
        </w:tc>
        <w:tc>
          <w:tcPr>
            <w:tcW w:w="458" w:type="pct"/>
            <w:vAlign w:val="center"/>
          </w:tcPr>
          <w:p w14:paraId="7F8CAA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45" w:type="pct"/>
            <w:vAlign w:val="center"/>
          </w:tcPr>
          <w:p w14:paraId="0EE745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BB70C3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7BE3E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B62B2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14D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1B2E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753C5C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应急照明筒灯</w:t>
            </w:r>
          </w:p>
        </w:tc>
        <w:tc>
          <w:tcPr>
            <w:tcW w:w="1872" w:type="pct"/>
            <w:vAlign w:val="center"/>
          </w:tcPr>
          <w:p w14:paraId="48DC7C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3.5寸</w:t>
            </w:r>
          </w:p>
        </w:tc>
        <w:tc>
          <w:tcPr>
            <w:tcW w:w="458" w:type="pct"/>
            <w:vAlign w:val="center"/>
          </w:tcPr>
          <w:p w14:paraId="285A94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45" w:type="pct"/>
            <w:vAlign w:val="center"/>
          </w:tcPr>
          <w:p w14:paraId="46ED93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93B79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93D9E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D6B0CF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6F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48E6E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74381B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双联翘板开关</w:t>
            </w:r>
          </w:p>
        </w:tc>
        <w:tc>
          <w:tcPr>
            <w:tcW w:w="1872" w:type="pct"/>
            <w:vAlign w:val="center"/>
          </w:tcPr>
          <w:p w14:paraId="7E0A50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10A双联开关</w:t>
            </w:r>
          </w:p>
        </w:tc>
        <w:tc>
          <w:tcPr>
            <w:tcW w:w="458" w:type="pct"/>
            <w:vAlign w:val="center"/>
          </w:tcPr>
          <w:p w14:paraId="7AE803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D6C64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D2195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3F89F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2AC14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085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34A2B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4B7919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单联翘板开关</w:t>
            </w:r>
          </w:p>
        </w:tc>
        <w:tc>
          <w:tcPr>
            <w:tcW w:w="1872" w:type="pct"/>
            <w:vAlign w:val="center"/>
          </w:tcPr>
          <w:p w14:paraId="29AD22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10A单联开关</w:t>
            </w:r>
          </w:p>
        </w:tc>
        <w:tc>
          <w:tcPr>
            <w:tcW w:w="458" w:type="pct"/>
            <w:vAlign w:val="center"/>
          </w:tcPr>
          <w:p w14:paraId="67792F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5AD74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E7ECD5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7BC23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755BD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24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2FA5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7BD729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PDU</w:t>
            </w:r>
          </w:p>
        </w:tc>
        <w:tc>
          <w:tcPr>
            <w:tcW w:w="1872" w:type="pct"/>
            <w:vAlign w:val="center"/>
          </w:tcPr>
          <w:p w14:paraId="5867D2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32A输入：20*10A和4*16A国标插座，带指示灯</w:t>
            </w:r>
          </w:p>
        </w:tc>
        <w:tc>
          <w:tcPr>
            <w:tcW w:w="458" w:type="pct"/>
            <w:vAlign w:val="center"/>
          </w:tcPr>
          <w:p w14:paraId="6FF443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445" w:type="pct"/>
            <w:vAlign w:val="center"/>
          </w:tcPr>
          <w:p w14:paraId="302BA1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D10A3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81FC7F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7CB17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F5A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E4A4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124740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工业连接器</w:t>
            </w:r>
          </w:p>
        </w:tc>
        <w:tc>
          <w:tcPr>
            <w:tcW w:w="1872" w:type="pct"/>
            <w:vAlign w:val="center"/>
          </w:tcPr>
          <w:p w14:paraId="55375A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32A/3孔</w:t>
            </w:r>
          </w:p>
        </w:tc>
        <w:tc>
          <w:tcPr>
            <w:tcW w:w="458" w:type="pct"/>
            <w:vAlign w:val="center"/>
          </w:tcPr>
          <w:p w14:paraId="308753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445" w:type="pct"/>
            <w:vAlign w:val="center"/>
          </w:tcPr>
          <w:p w14:paraId="57A5AD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CE8E3F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63E11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8D3AE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302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F542D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45C438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照明、插座等阻燃铜芯线</w:t>
            </w:r>
          </w:p>
        </w:tc>
        <w:tc>
          <w:tcPr>
            <w:tcW w:w="1872" w:type="pct"/>
            <w:vAlign w:val="center"/>
          </w:tcPr>
          <w:p w14:paraId="651E2E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ZC-BV2.5mm²</w:t>
            </w:r>
          </w:p>
        </w:tc>
        <w:tc>
          <w:tcPr>
            <w:tcW w:w="458" w:type="pct"/>
            <w:vAlign w:val="center"/>
          </w:tcPr>
          <w:p w14:paraId="34E29A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445" w:type="pct"/>
            <w:vAlign w:val="center"/>
          </w:tcPr>
          <w:p w14:paraId="44E4D6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3D3727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BB650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91A1F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8F5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AB4B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2786B1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机柜阻燃铜芯电缆</w:t>
            </w:r>
          </w:p>
        </w:tc>
        <w:tc>
          <w:tcPr>
            <w:tcW w:w="1872" w:type="pct"/>
            <w:vAlign w:val="center"/>
          </w:tcPr>
          <w:p w14:paraId="1E02BA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ZC-YJVR3*6mm²</w:t>
            </w:r>
          </w:p>
        </w:tc>
        <w:tc>
          <w:tcPr>
            <w:tcW w:w="458" w:type="pct"/>
            <w:vAlign w:val="center"/>
          </w:tcPr>
          <w:p w14:paraId="7B389C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445" w:type="pct"/>
            <w:vAlign w:val="center"/>
          </w:tcPr>
          <w:p w14:paraId="7B1743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7D920C2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27E1E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3F0B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49A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E9B9E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72B423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20KW精密空调阻燃铜芯电缆</w:t>
            </w:r>
          </w:p>
        </w:tc>
        <w:tc>
          <w:tcPr>
            <w:tcW w:w="1872" w:type="pct"/>
            <w:vAlign w:val="center"/>
          </w:tcPr>
          <w:p w14:paraId="3580CA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ZC-YJVR5*10mm²</w:t>
            </w:r>
          </w:p>
        </w:tc>
        <w:tc>
          <w:tcPr>
            <w:tcW w:w="458" w:type="pct"/>
            <w:vAlign w:val="center"/>
          </w:tcPr>
          <w:p w14:paraId="07D26C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724170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176EBF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3CB9AA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D23CE1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A02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FC1D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23ACE7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市电输入电缆</w:t>
            </w:r>
          </w:p>
        </w:tc>
        <w:tc>
          <w:tcPr>
            <w:tcW w:w="1872" w:type="pct"/>
            <w:vAlign w:val="center"/>
          </w:tcPr>
          <w:p w14:paraId="5E17B5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ZC-YJVR5*16mm²</w:t>
            </w:r>
          </w:p>
        </w:tc>
        <w:tc>
          <w:tcPr>
            <w:tcW w:w="458" w:type="pct"/>
            <w:vAlign w:val="center"/>
          </w:tcPr>
          <w:p w14:paraId="40F041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445" w:type="pct"/>
            <w:vAlign w:val="center"/>
          </w:tcPr>
          <w:p w14:paraId="6CE2FD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0AC27A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C77E7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4A678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E5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A6023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577" w:type="pct"/>
            <w:vAlign w:val="center"/>
          </w:tcPr>
          <w:p w14:paraId="60DCBF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镀锌电管</w:t>
            </w:r>
          </w:p>
        </w:tc>
        <w:tc>
          <w:tcPr>
            <w:tcW w:w="1872" w:type="pct"/>
            <w:vAlign w:val="center"/>
          </w:tcPr>
          <w:p w14:paraId="2614C3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JDGΦ20壁厚不低于1.2mm</w:t>
            </w:r>
          </w:p>
        </w:tc>
        <w:tc>
          <w:tcPr>
            <w:tcW w:w="458" w:type="pct"/>
            <w:vAlign w:val="center"/>
          </w:tcPr>
          <w:p w14:paraId="72CEDF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298EAE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56FC9B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016E2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EC03A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11A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7B87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577" w:type="pct"/>
            <w:vAlign w:val="center"/>
          </w:tcPr>
          <w:p w14:paraId="202FD2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电管支架制安</w:t>
            </w:r>
          </w:p>
        </w:tc>
        <w:tc>
          <w:tcPr>
            <w:tcW w:w="1872" w:type="pct"/>
            <w:vAlign w:val="center"/>
          </w:tcPr>
          <w:p w14:paraId="5F2AD25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293D1B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289F03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7C28E5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E95FC3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40FA8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7F0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EAE3E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577" w:type="pct"/>
            <w:vAlign w:val="center"/>
          </w:tcPr>
          <w:p w14:paraId="0FE456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金属线盒（含锁母）</w:t>
            </w:r>
          </w:p>
        </w:tc>
        <w:tc>
          <w:tcPr>
            <w:tcW w:w="1872" w:type="pct"/>
            <w:vAlign w:val="center"/>
          </w:tcPr>
          <w:p w14:paraId="6B9A1A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86型</w:t>
            </w:r>
          </w:p>
        </w:tc>
        <w:tc>
          <w:tcPr>
            <w:tcW w:w="458" w:type="pct"/>
            <w:vAlign w:val="center"/>
          </w:tcPr>
          <w:p w14:paraId="6660DB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45" w:type="pct"/>
            <w:vAlign w:val="center"/>
          </w:tcPr>
          <w:p w14:paraId="242267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7D9803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A4C48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9D692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A2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6B62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577" w:type="pct"/>
            <w:vAlign w:val="center"/>
          </w:tcPr>
          <w:p w14:paraId="0B4CB3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金属软管</w:t>
            </w:r>
          </w:p>
        </w:tc>
        <w:tc>
          <w:tcPr>
            <w:tcW w:w="1872" w:type="pct"/>
            <w:vAlign w:val="center"/>
          </w:tcPr>
          <w:p w14:paraId="58FDED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Ф20</w:t>
            </w:r>
          </w:p>
        </w:tc>
        <w:tc>
          <w:tcPr>
            <w:tcW w:w="458" w:type="pct"/>
            <w:vAlign w:val="center"/>
          </w:tcPr>
          <w:p w14:paraId="123F66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45" w:type="pct"/>
            <w:vAlign w:val="center"/>
          </w:tcPr>
          <w:p w14:paraId="171D09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483466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F7EF0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FDBE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7A9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5C12F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577" w:type="pct"/>
            <w:vAlign w:val="center"/>
          </w:tcPr>
          <w:p w14:paraId="0340F2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机柜上走线网格桥架及附件</w:t>
            </w:r>
          </w:p>
        </w:tc>
        <w:tc>
          <w:tcPr>
            <w:tcW w:w="1872" w:type="pct"/>
            <w:vAlign w:val="center"/>
          </w:tcPr>
          <w:p w14:paraId="1BEC82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200*100mm</w:t>
            </w:r>
          </w:p>
        </w:tc>
        <w:tc>
          <w:tcPr>
            <w:tcW w:w="458" w:type="pct"/>
            <w:vAlign w:val="center"/>
          </w:tcPr>
          <w:p w14:paraId="70DFF7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6F8A95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5875DD4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4FF05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79598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014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C43B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577" w:type="pct"/>
            <w:vAlign w:val="center"/>
          </w:tcPr>
          <w:p w14:paraId="11B6A2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强电下走线镀锌桥架</w:t>
            </w:r>
          </w:p>
        </w:tc>
        <w:tc>
          <w:tcPr>
            <w:tcW w:w="1872" w:type="pct"/>
            <w:vAlign w:val="center"/>
          </w:tcPr>
          <w:p w14:paraId="474ADBF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100*100*1.0mm</w:t>
            </w:r>
          </w:p>
        </w:tc>
        <w:tc>
          <w:tcPr>
            <w:tcW w:w="458" w:type="pct"/>
            <w:vAlign w:val="center"/>
          </w:tcPr>
          <w:p w14:paraId="4C5E44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3F27A3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24CE7F3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6428B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2080D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4A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22AD6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577" w:type="pct"/>
            <w:vAlign w:val="center"/>
          </w:tcPr>
          <w:p w14:paraId="3C1D68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桥架附件</w:t>
            </w:r>
          </w:p>
        </w:tc>
        <w:tc>
          <w:tcPr>
            <w:tcW w:w="1872" w:type="pct"/>
            <w:vAlign w:val="center"/>
          </w:tcPr>
          <w:p w14:paraId="5D72FD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0BA6E6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7F657E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4143F9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9DCE2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169C2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184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C4FCC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577" w:type="pct"/>
            <w:vAlign w:val="center"/>
          </w:tcPr>
          <w:p w14:paraId="05FFFA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72" w:type="pct"/>
            <w:vAlign w:val="center"/>
          </w:tcPr>
          <w:p w14:paraId="0C045A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扎带、绝缘胶布、热塑管等</w:t>
            </w:r>
          </w:p>
        </w:tc>
        <w:tc>
          <w:tcPr>
            <w:tcW w:w="458" w:type="pct"/>
            <w:vAlign w:val="center"/>
          </w:tcPr>
          <w:p w14:paraId="6E846B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C5C41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41FD66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4B1A5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5FB9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3E6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78028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B-3</w:t>
            </w:r>
          </w:p>
        </w:tc>
        <w:tc>
          <w:tcPr>
            <w:tcW w:w="4566" w:type="pct"/>
            <w:gridSpan w:val="7"/>
            <w:vAlign w:val="center"/>
          </w:tcPr>
          <w:p w14:paraId="6169D1A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防雷接地</w:t>
            </w:r>
          </w:p>
        </w:tc>
      </w:tr>
      <w:tr w14:paraId="2E1E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DA53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B461F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一级防雷器</w:t>
            </w:r>
          </w:p>
        </w:tc>
        <w:tc>
          <w:tcPr>
            <w:tcW w:w="1872" w:type="pct"/>
            <w:vAlign w:val="center"/>
          </w:tcPr>
          <w:p w14:paraId="36589A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额定电压（最大持续操作电压）275V~500V；通流80KA，响应时间≤25ns</w:t>
            </w:r>
          </w:p>
        </w:tc>
        <w:tc>
          <w:tcPr>
            <w:tcW w:w="458" w:type="pct"/>
            <w:vAlign w:val="center"/>
          </w:tcPr>
          <w:p w14:paraId="50B491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BF92D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7722B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D62D3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DE70A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1E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2A585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1B38A3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三级防雷器</w:t>
            </w:r>
          </w:p>
        </w:tc>
        <w:tc>
          <w:tcPr>
            <w:tcW w:w="1872" w:type="pct"/>
            <w:vAlign w:val="center"/>
          </w:tcPr>
          <w:p w14:paraId="6DF8FC4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额定电压（最大持续操作电压）275V~500V；通流20KA，响应时间≤25ns</w:t>
            </w:r>
          </w:p>
        </w:tc>
        <w:tc>
          <w:tcPr>
            <w:tcW w:w="458" w:type="pct"/>
            <w:vAlign w:val="center"/>
          </w:tcPr>
          <w:p w14:paraId="41353E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2B3AF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10B1C3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EF68F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8CD2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65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12B3D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E4656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安装配件（空开、铜线鼻、连接线等）</w:t>
            </w:r>
          </w:p>
        </w:tc>
        <w:tc>
          <w:tcPr>
            <w:tcW w:w="1872" w:type="pct"/>
            <w:vAlign w:val="center"/>
          </w:tcPr>
          <w:p w14:paraId="181F55E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49022F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E5F4E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688EBBE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59DDE0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939BF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555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D2FCF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3E867B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机房逻辑接地铜牌</w:t>
            </w:r>
          </w:p>
        </w:tc>
        <w:tc>
          <w:tcPr>
            <w:tcW w:w="1872" w:type="pct"/>
            <w:vAlign w:val="center"/>
          </w:tcPr>
          <w:p w14:paraId="1D9B227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30*3mm</w:t>
            </w:r>
          </w:p>
          <w:p w14:paraId="06A75F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材质：铜和电木，可载电流100A--200A</w:t>
            </w:r>
          </w:p>
        </w:tc>
        <w:tc>
          <w:tcPr>
            <w:tcW w:w="458" w:type="pct"/>
            <w:vAlign w:val="center"/>
          </w:tcPr>
          <w:p w14:paraId="78F5D3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445" w:type="pct"/>
            <w:vAlign w:val="center"/>
          </w:tcPr>
          <w:p w14:paraId="3B3A6D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4195F0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E68A73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7D7DA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EEC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B51C0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41E896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铜排绝缘支撑</w:t>
            </w:r>
          </w:p>
        </w:tc>
        <w:tc>
          <w:tcPr>
            <w:tcW w:w="1872" w:type="pct"/>
            <w:vAlign w:val="center"/>
          </w:tcPr>
          <w:p w14:paraId="6C9D86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约40*40mm*M8，黄色</w:t>
            </w:r>
          </w:p>
        </w:tc>
        <w:tc>
          <w:tcPr>
            <w:tcW w:w="458" w:type="pct"/>
            <w:vAlign w:val="center"/>
          </w:tcPr>
          <w:p w14:paraId="59C6CA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445" w:type="pct"/>
            <w:vAlign w:val="center"/>
          </w:tcPr>
          <w:p w14:paraId="068CF7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78028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123AC1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4701D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F7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AB455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1E4341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等电位连接（各金属体之间）</w:t>
            </w:r>
          </w:p>
        </w:tc>
        <w:tc>
          <w:tcPr>
            <w:tcW w:w="1872" w:type="pct"/>
            <w:vAlign w:val="center"/>
          </w:tcPr>
          <w:p w14:paraId="71069A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ZRBVR-6mm²，含配套OT-50A 镀锡开口线鼻</w:t>
            </w:r>
          </w:p>
        </w:tc>
        <w:tc>
          <w:tcPr>
            <w:tcW w:w="458" w:type="pct"/>
            <w:vAlign w:val="center"/>
          </w:tcPr>
          <w:p w14:paraId="762509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487B5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38C1EF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BF0E6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D9A95E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20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FE921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3AE4DB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接地汇流排</w:t>
            </w:r>
          </w:p>
        </w:tc>
        <w:tc>
          <w:tcPr>
            <w:tcW w:w="1872" w:type="pct"/>
            <w:vAlign w:val="center"/>
          </w:tcPr>
          <w:p w14:paraId="6211CAD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4*40*300mm，紫铜</w:t>
            </w:r>
          </w:p>
        </w:tc>
        <w:tc>
          <w:tcPr>
            <w:tcW w:w="458" w:type="pct"/>
            <w:vAlign w:val="center"/>
          </w:tcPr>
          <w:p w14:paraId="5F1280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593DB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42CE83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0158A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AD4F0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D7D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0BED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170F7D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接地线引线</w:t>
            </w:r>
          </w:p>
        </w:tc>
        <w:tc>
          <w:tcPr>
            <w:tcW w:w="1872" w:type="pct"/>
            <w:vAlign w:val="center"/>
          </w:tcPr>
          <w:p w14:paraId="3FE20F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ZCBVR50mm²铜芯线</w:t>
            </w:r>
          </w:p>
        </w:tc>
        <w:tc>
          <w:tcPr>
            <w:tcW w:w="458" w:type="pct"/>
            <w:vAlign w:val="center"/>
          </w:tcPr>
          <w:p w14:paraId="24091B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45" w:type="pct"/>
            <w:vAlign w:val="center"/>
          </w:tcPr>
          <w:p w14:paraId="1BC2EF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018C0F7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F9EF2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FBE2F2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F54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6BF5A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745DDE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接地断接箱</w:t>
            </w:r>
          </w:p>
        </w:tc>
        <w:tc>
          <w:tcPr>
            <w:tcW w:w="1872" w:type="pct"/>
            <w:vAlign w:val="center"/>
          </w:tcPr>
          <w:p w14:paraId="227117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100*200*300mm，嵌入式</w:t>
            </w:r>
          </w:p>
        </w:tc>
        <w:tc>
          <w:tcPr>
            <w:tcW w:w="458" w:type="pct"/>
            <w:vAlign w:val="center"/>
          </w:tcPr>
          <w:p w14:paraId="34077D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F8665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21AA6F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269DD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3C63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A53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E3A2A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0AF212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72" w:type="pct"/>
            <w:vAlign w:val="center"/>
          </w:tcPr>
          <w:p w14:paraId="73260E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3C7AE4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43B47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2565DB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7AAF6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22132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8F4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17420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7D1005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检测联合接地桩子</w:t>
            </w:r>
          </w:p>
        </w:tc>
        <w:tc>
          <w:tcPr>
            <w:tcW w:w="1872" w:type="pct"/>
            <w:vAlign w:val="center"/>
          </w:tcPr>
          <w:p w14:paraId="369439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现场检测，接地电阻R≤1Ω</w:t>
            </w:r>
          </w:p>
        </w:tc>
        <w:tc>
          <w:tcPr>
            <w:tcW w:w="458" w:type="pct"/>
            <w:vAlign w:val="center"/>
          </w:tcPr>
          <w:p w14:paraId="15E477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5A81A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732EE3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1680A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E8F43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08E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DE575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434900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防雷系统检测等服务</w:t>
            </w:r>
          </w:p>
        </w:tc>
        <w:tc>
          <w:tcPr>
            <w:tcW w:w="1872" w:type="pct"/>
            <w:vAlign w:val="center"/>
          </w:tcPr>
          <w:p w14:paraId="3FAB3C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验收前，须通过第三方检测机构检测，并出具检测报告。</w:t>
            </w:r>
          </w:p>
        </w:tc>
        <w:tc>
          <w:tcPr>
            <w:tcW w:w="458" w:type="pct"/>
            <w:vAlign w:val="center"/>
          </w:tcPr>
          <w:p w14:paraId="3F9590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0C1EE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13CFCBE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1D8E53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99323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295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4D484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B-4</w:t>
            </w:r>
          </w:p>
        </w:tc>
        <w:tc>
          <w:tcPr>
            <w:tcW w:w="4566" w:type="pct"/>
            <w:gridSpan w:val="7"/>
            <w:vAlign w:val="center"/>
          </w:tcPr>
          <w:p w14:paraId="73FEF5BF">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消防报警及气体灭火</w:t>
            </w:r>
          </w:p>
        </w:tc>
      </w:tr>
      <w:tr w14:paraId="53B5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C1A96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23CAD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火灾报警主机</w:t>
            </w:r>
          </w:p>
        </w:tc>
        <w:tc>
          <w:tcPr>
            <w:tcW w:w="1872" w:type="pct"/>
            <w:vAlign w:val="center"/>
          </w:tcPr>
          <w:p w14:paraId="167950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采用壁挂式结构；设有不掉电备份；最大容量可扩展为242个地址编码点；控制器与探测器间采用无极性信号二总线连接</w:t>
            </w:r>
          </w:p>
        </w:tc>
        <w:tc>
          <w:tcPr>
            <w:tcW w:w="458" w:type="pct"/>
            <w:vAlign w:val="center"/>
          </w:tcPr>
          <w:p w14:paraId="2F87DC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DB1CA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71D07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16D712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88131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B6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CFD00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5F861A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气体灭火控制器</w:t>
            </w:r>
          </w:p>
        </w:tc>
        <w:tc>
          <w:tcPr>
            <w:tcW w:w="1872" w:type="pct"/>
            <w:vAlign w:val="center"/>
          </w:tcPr>
          <w:p w14:paraId="1555A9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可带4个区的气体灭火设备，实现对4个防护区的保护。</w:t>
            </w:r>
          </w:p>
        </w:tc>
        <w:tc>
          <w:tcPr>
            <w:tcW w:w="458" w:type="pct"/>
            <w:vAlign w:val="center"/>
          </w:tcPr>
          <w:p w14:paraId="4AEA42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D6592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42D5A3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99DFC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6BE93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92E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BC1B0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949D4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气体灭火联网卡</w:t>
            </w:r>
          </w:p>
        </w:tc>
        <w:tc>
          <w:tcPr>
            <w:tcW w:w="1872" w:type="pct"/>
            <w:vAlign w:val="center"/>
          </w:tcPr>
          <w:p w14:paraId="6E2A1E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1路光电隔离的RS485接口；传输距离：每路星型分支的距离&lt;1200m</w:t>
            </w:r>
          </w:p>
        </w:tc>
        <w:tc>
          <w:tcPr>
            <w:tcW w:w="458" w:type="pct"/>
            <w:vAlign w:val="center"/>
          </w:tcPr>
          <w:p w14:paraId="4231BB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41B8A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6805E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0C4D1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3A948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F8C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80C0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2D3269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壁挂电源</w:t>
            </w:r>
          </w:p>
        </w:tc>
        <w:tc>
          <w:tcPr>
            <w:tcW w:w="1872" w:type="pct"/>
            <w:vAlign w:val="center"/>
          </w:tcPr>
          <w:p w14:paraId="3756EC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壁挂式，DC24V/4A输出，含备电</w:t>
            </w:r>
          </w:p>
        </w:tc>
        <w:tc>
          <w:tcPr>
            <w:tcW w:w="458" w:type="pct"/>
            <w:vAlign w:val="center"/>
          </w:tcPr>
          <w:p w14:paraId="64BE79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2E547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DE0A0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3DFA6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C040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727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1506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00FFD4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编码器</w:t>
            </w:r>
          </w:p>
        </w:tc>
        <w:tc>
          <w:tcPr>
            <w:tcW w:w="1872" w:type="pct"/>
            <w:vAlign w:val="center"/>
          </w:tcPr>
          <w:p w14:paraId="361129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液晶显示,可现场对总线部件编址、读址。</w:t>
            </w:r>
          </w:p>
        </w:tc>
        <w:tc>
          <w:tcPr>
            <w:tcW w:w="458" w:type="pct"/>
            <w:vAlign w:val="center"/>
          </w:tcPr>
          <w:p w14:paraId="1EE739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4262A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ADA47D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9B1CD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C8342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5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F8A60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78B398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点型光电感烟火灾探测器</w:t>
            </w:r>
          </w:p>
        </w:tc>
        <w:tc>
          <w:tcPr>
            <w:tcW w:w="1872" w:type="pct"/>
            <w:vAlign w:val="center"/>
          </w:tcPr>
          <w:p w14:paraId="7D9956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分布智能型，电子编码,内置CPU,指示灯360度可见。</w:t>
            </w:r>
          </w:p>
        </w:tc>
        <w:tc>
          <w:tcPr>
            <w:tcW w:w="458" w:type="pct"/>
            <w:vAlign w:val="center"/>
          </w:tcPr>
          <w:p w14:paraId="5EAECE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476764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31BB14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D80CD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D91DB2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990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E46B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053E3F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点型感温火灾探测器</w:t>
            </w:r>
          </w:p>
        </w:tc>
        <w:tc>
          <w:tcPr>
            <w:tcW w:w="1872" w:type="pct"/>
            <w:vAlign w:val="center"/>
          </w:tcPr>
          <w:p w14:paraId="4B96FD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分布智能型，电子编码,内置CPU,指示灯360度可见。</w:t>
            </w:r>
          </w:p>
        </w:tc>
        <w:tc>
          <w:tcPr>
            <w:tcW w:w="458" w:type="pct"/>
            <w:vAlign w:val="center"/>
          </w:tcPr>
          <w:p w14:paraId="2AE86A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3C3042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3D036F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E97AC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06993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41F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C5AA7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5166A2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探测器底座</w:t>
            </w:r>
          </w:p>
        </w:tc>
        <w:tc>
          <w:tcPr>
            <w:tcW w:w="1872" w:type="pct"/>
            <w:vAlign w:val="center"/>
          </w:tcPr>
          <w:p w14:paraId="05C14B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348DD2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56EEAD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7ABE8C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A5867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CB995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DB2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31DCC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56D9F0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消防警铃</w:t>
            </w:r>
          </w:p>
        </w:tc>
        <w:tc>
          <w:tcPr>
            <w:tcW w:w="1872" w:type="pct"/>
            <w:vAlign w:val="center"/>
          </w:tcPr>
          <w:p w14:paraId="61D3F0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非编码型，工作电流≤25mA。</w:t>
            </w:r>
          </w:p>
        </w:tc>
        <w:tc>
          <w:tcPr>
            <w:tcW w:w="458" w:type="pct"/>
            <w:vAlign w:val="center"/>
          </w:tcPr>
          <w:p w14:paraId="3D39CE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C883A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5264EA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D8F4B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B43A10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8D7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F299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2842A8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火灾声光警报器</w:t>
            </w:r>
          </w:p>
        </w:tc>
        <w:tc>
          <w:tcPr>
            <w:tcW w:w="1872" w:type="pct"/>
            <w:vAlign w:val="center"/>
          </w:tcPr>
          <w:p w14:paraId="0E755F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编码型。</w:t>
            </w:r>
          </w:p>
        </w:tc>
        <w:tc>
          <w:tcPr>
            <w:tcW w:w="458" w:type="pct"/>
            <w:vAlign w:val="center"/>
          </w:tcPr>
          <w:p w14:paraId="2B5CD3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0B279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4A35271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7EE5A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3FF94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1D6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6F7C6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360F03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紧急启停按钮</w:t>
            </w:r>
          </w:p>
        </w:tc>
        <w:tc>
          <w:tcPr>
            <w:tcW w:w="1872" w:type="pct"/>
            <w:vAlign w:val="center"/>
          </w:tcPr>
          <w:p w14:paraId="0A5EDE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编址型，用于气体灭火系统紧急启动、停止控制，同时具备手自动转换功能，外形尺寸∶95mm长 ×115mm 高×47.5mm厚。配接JBF5013、IB-QB-JBF5014、IBF5015、JBF5016、JBF5017。</w:t>
            </w:r>
          </w:p>
        </w:tc>
        <w:tc>
          <w:tcPr>
            <w:tcW w:w="458" w:type="pct"/>
            <w:vAlign w:val="center"/>
          </w:tcPr>
          <w:p w14:paraId="02FF1A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8A230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2D0B7A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92063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D9149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F58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1DC69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5F8D32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气体释放警报器</w:t>
            </w:r>
          </w:p>
        </w:tc>
        <w:tc>
          <w:tcPr>
            <w:tcW w:w="1872" w:type="pct"/>
            <w:vAlign w:val="center"/>
          </w:tcPr>
          <w:p w14:paraId="060CDC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外形尺寸，300mm长 ×120mm高×26mm厚。</w:t>
            </w:r>
          </w:p>
        </w:tc>
        <w:tc>
          <w:tcPr>
            <w:tcW w:w="458" w:type="pct"/>
            <w:vAlign w:val="center"/>
          </w:tcPr>
          <w:p w14:paraId="3CAB26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53C99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4DFF6C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F3297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FA314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84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ED1A5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577" w:type="pct"/>
            <w:vAlign w:val="center"/>
          </w:tcPr>
          <w:p w14:paraId="0666DC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输入输出模块</w:t>
            </w:r>
          </w:p>
        </w:tc>
        <w:tc>
          <w:tcPr>
            <w:tcW w:w="1872" w:type="pct"/>
            <w:vAlign w:val="center"/>
          </w:tcPr>
          <w:p w14:paraId="21F438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电子编码，内置CPU,单输入单输出。</w:t>
            </w:r>
          </w:p>
        </w:tc>
        <w:tc>
          <w:tcPr>
            <w:tcW w:w="458" w:type="pct"/>
            <w:vAlign w:val="center"/>
          </w:tcPr>
          <w:p w14:paraId="61E8FE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2CD19B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27237B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95BF4F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3948F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745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D559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577" w:type="pct"/>
            <w:vAlign w:val="center"/>
          </w:tcPr>
          <w:p w14:paraId="6FFAF9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模块底座</w:t>
            </w:r>
          </w:p>
        </w:tc>
        <w:tc>
          <w:tcPr>
            <w:tcW w:w="1872" w:type="pct"/>
            <w:vAlign w:val="center"/>
          </w:tcPr>
          <w:p w14:paraId="490ED2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0711D6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26916C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722E66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1DF84D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6633C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5DF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5FAF5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577" w:type="pct"/>
            <w:vAlign w:val="center"/>
          </w:tcPr>
          <w:p w14:paraId="21EBF2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双头应急灯</w:t>
            </w:r>
          </w:p>
        </w:tc>
        <w:tc>
          <w:tcPr>
            <w:tcW w:w="1872" w:type="pct"/>
            <w:vAlign w:val="center"/>
          </w:tcPr>
          <w:p w14:paraId="76B6BD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国标</w:t>
            </w:r>
          </w:p>
        </w:tc>
        <w:tc>
          <w:tcPr>
            <w:tcW w:w="458" w:type="pct"/>
            <w:vAlign w:val="center"/>
          </w:tcPr>
          <w:p w14:paraId="4993AF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253680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814CB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F6C0E3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D34DD5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F8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3A62B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577" w:type="pct"/>
            <w:vAlign w:val="center"/>
          </w:tcPr>
          <w:p w14:paraId="0D01FC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安全出口灯</w:t>
            </w:r>
          </w:p>
        </w:tc>
        <w:tc>
          <w:tcPr>
            <w:tcW w:w="1872" w:type="pct"/>
            <w:vAlign w:val="center"/>
          </w:tcPr>
          <w:p w14:paraId="6F8CC3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专用单面</w:t>
            </w:r>
          </w:p>
        </w:tc>
        <w:tc>
          <w:tcPr>
            <w:tcW w:w="458" w:type="pct"/>
            <w:vAlign w:val="center"/>
          </w:tcPr>
          <w:p w14:paraId="08647A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54DDEE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06D18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F65C2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BC499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371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37B09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577" w:type="pct"/>
            <w:vAlign w:val="center"/>
          </w:tcPr>
          <w:p w14:paraId="5E3DFD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管内穿线</w:t>
            </w:r>
          </w:p>
        </w:tc>
        <w:tc>
          <w:tcPr>
            <w:tcW w:w="1872" w:type="pct"/>
            <w:vAlign w:val="center"/>
          </w:tcPr>
          <w:p w14:paraId="6449DF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ZC-RVS2*1.5mm²</w:t>
            </w:r>
          </w:p>
        </w:tc>
        <w:tc>
          <w:tcPr>
            <w:tcW w:w="458" w:type="pct"/>
            <w:vAlign w:val="center"/>
          </w:tcPr>
          <w:p w14:paraId="2C6ACE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445" w:type="pct"/>
            <w:vAlign w:val="center"/>
          </w:tcPr>
          <w:p w14:paraId="3248EF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79C6D6A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087CF0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83551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EBB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D3D2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577" w:type="pct"/>
            <w:vAlign w:val="center"/>
          </w:tcPr>
          <w:p w14:paraId="2C4A10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管内穿线</w:t>
            </w:r>
          </w:p>
        </w:tc>
        <w:tc>
          <w:tcPr>
            <w:tcW w:w="1872" w:type="pct"/>
            <w:vAlign w:val="center"/>
          </w:tcPr>
          <w:p w14:paraId="12FEA6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ZC-RVS4*1.5mm²</w:t>
            </w:r>
          </w:p>
        </w:tc>
        <w:tc>
          <w:tcPr>
            <w:tcW w:w="458" w:type="pct"/>
            <w:vAlign w:val="center"/>
          </w:tcPr>
          <w:p w14:paraId="3D92AD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445" w:type="pct"/>
            <w:vAlign w:val="center"/>
          </w:tcPr>
          <w:p w14:paraId="3D4430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284A01F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DC006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754D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1FD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B06B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577" w:type="pct"/>
            <w:vAlign w:val="center"/>
          </w:tcPr>
          <w:p w14:paraId="4744A1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管内穿线</w:t>
            </w:r>
          </w:p>
        </w:tc>
        <w:tc>
          <w:tcPr>
            <w:tcW w:w="1872" w:type="pct"/>
            <w:vAlign w:val="center"/>
          </w:tcPr>
          <w:p w14:paraId="768F14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ZC-BV2.5mm²</w:t>
            </w:r>
          </w:p>
        </w:tc>
        <w:tc>
          <w:tcPr>
            <w:tcW w:w="458" w:type="pct"/>
            <w:vAlign w:val="center"/>
          </w:tcPr>
          <w:p w14:paraId="2C1962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445" w:type="pct"/>
            <w:vAlign w:val="center"/>
          </w:tcPr>
          <w:p w14:paraId="446B87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225FEC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30D001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5283D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E4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FB9A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577" w:type="pct"/>
            <w:vAlign w:val="center"/>
          </w:tcPr>
          <w:p w14:paraId="1B6246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JDG电管</w:t>
            </w:r>
          </w:p>
        </w:tc>
        <w:tc>
          <w:tcPr>
            <w:tcW w:w="1872" w:type="pct"/>
            <w:vAlign w:val="center"/>
          </w:tcPr>
          <w:p w14:paraId="743ABB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JDGΦ20</w:t>
            </w:r>
          </w:p>
          <w:p w14:paraId="35C442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壁厚：1.2mm 管径：2.0mm</w:t>
            </w:r>
          </w:p>
        </w:tc>
        <w:tc>
          <w:tcPr>
            <w:tcW w:w="458" w:type="pct"/>
            <w:vAlign w:val="center"/>
          </w:tcPr>
          <w:p w14:paraId="28262E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445" w:type="pct"/>
            <w:vAlign w:val="center"/>
          </w:tcPr>
          <w:p w14:paraId="37E5AF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610B10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BAEDA1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19FA0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0D5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90F9D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577" w:type="pct"/>
            <w:vAlign w:val="center"/>
          </w:tcPr>
          <w:p w14:paraId="00335D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电管支架制作安装</w:t>
            </w:r>
          </w:p>
        </w:tc>
        <w:tc>
          <w:tcPr>
            <w:tcW w:w="1872" w:type="pct"/>
            <w:vAlign w:val="center"/>
          </w:tcPr>
          <w:p w14:paraId="15255C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458" w:type="pct"/>
            <w:vAlign w:val="center"/>
          </w:tcPr>
          <w:p w14:paraId="48CCE4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45" w:type="pct"/>
            <w:vAlign w:val="center"/>
          </w:tcPr>
          <w:p w14:paraId="44FE76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6D8B05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C66F1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35048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E1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A7F50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w:t>
            </w:r>
          </w:p>
        </w:tc>
        <w:tc>
          <w:tcPr>
            <w:tcW w:w="577" w:type="pct"/>
            <w:vAlign w:val="center"/>
          </w:tcPr>
          <w:p w14:paraId="7CED58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辅料一批</w:t>
            </w:r>
          </w:p>
        </w:tc>
        <w:tc>
          <w:tcPr>
            <w:tcW w:w="1872" w:type="pct"/>
            <w:vAlign w:val="center"/>
          </w:tcPr>
          <w:p w14:paraId="2170D9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499F44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C0698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7CAEE08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6B21E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79C97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AA2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4B1F4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577" w:type="pct"/>
            <w:vAlign w:val="center"/>
          </w:tcPr>
          <w:p w14:paraId="559FC0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消防检测等服务</w:t>
            </w:r>
          </w:p>
        </w:tc>
        <w:tc>
          <w:tcPr>
            <w:tcW w:w="1872" w:type="pct"/>
            <w:vAlign w:val="center"/>
          </w:tcPr>
          <w:p w14:paraId="75CD49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58" w:type="pct"/>
            <w:vAlign w:val="center"/>
          </w:tcPr>
          <w:p w14:paraId="3581DD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5CC50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系统</w:t>
            </w:r>
          </w:p>
        </w:tc>
        <w:tc>
          <w:tcPr>
            <w:tcW w:w="443" w:type="pct"/>
            <w:vAlign w:val="center"/>
          </w:tcPr>
          <w:p w14:paraId="1C82C1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228641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F6B2EF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C4B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9832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577" w:type="pct"/>
            <w:vAlign w:val="center"/>
          </w:tcPr>
          <w:p w14:paraId="27C8A6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90L七氟丙烷灭火剂单瓶组</w:t>
            </w:r>
          </w:p>
        </w:tc>
        <w:tc>
          <w:tcPr>
            <w:tcW w:w="1872" w:type="pct"/>
            <w:vAlign w:val="center"/>
          </w:tcPr>
          <w:p w14:paraId="02B35F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1.90L单瓶组柜体；</w:t>
            </w:r>
          </w:p>
          <w:p w14:paraId="470435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2.工作压力 2.5 MPa（20℃）；</w:t>
            </w:r>
          </w:p>
          <w:p w14:paraId="5E7C0A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3.启动延时 0～30s；</w:t>
            </w:r>
          </w:p>
          <w:p w14:paraId="193961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4.环境温度 0℃～50℃；</w:t>
            </w:r>
          </w:p>
          <w:p w14:paraId="27EEAE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5.灭火系统喷射时间≤10s；</w:t>
            </w:r>
          </w:p>
        </w:tc>
        <w:tc>
          <w:tcPr>
            <w:tcW w:w="458" w:type="pct"/>
            <w:vAlign w:val="center"/>
          </w:tcPr>
          <w:p w14:paraId="7C3394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BE105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1674D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FAAF1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5D656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A61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C9B21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577" w:type="pct"/>
            <w:vAlign w:val="center"/>
          </w:tcPr>
          <w:p w14:paraId="1C318D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70L七氟丙烷灭火剂单瓶组</w:t>
            </w:r>
          </w:p>
        </w:tc>
        <w:tc>
          <w:tcPr>
            <w:tcW w:w="1872" w:type="pct"/>
            <w:vAlign w:val="center"/>
          </w:tcPr>
          <w:p w14:paraId="5A2A59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1.90L单瓶组柜体；</w:t>
            </w:r>
          </w:p>
          <w:p w14:paraId="7E9730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2.工作压力 2.5 MPa（20℃）；</w:t>
            </w:r>
          </w:p>
          <w:p w14:paraId="52190F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3.启动延时 0～30s；</w:t>
            </w:r>
          </w:p>
          <w:p w14:paraId="01D76B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4.环境温度 0℃～50℃；</w:t>
            </w:r>
          </w:p>
          <w:p w14:paraId="67FB6C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5.灭火系统喷射时间≤10s；</w:t>
            </w:r>
          </w:p>
        </w:tc>
        <w:tc>
          <w:tcPr>
            <w:tcW w:w="458" w:type="pct"/>
            <w:vAlign w:val="center"/>
          </w:tcPr>
          <w:p w14:paraId="62DA41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67F83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741B35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611EE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B13E8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384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CDA3D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577" w:type="pct"/>
            <w:vAlign w:val="center"/>
          </w:tcPr>
          <w:p w14:paraId="4EB03F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七氟丙烷灭火剂</w:t>
            </w:r>
          </w:p>
        </w:tc>
        <w:tc>
          <w:tcPr>
            <w:tcW w:w="1872" w:type="pct"/>
            <w:vAlign w:val="center"/>
          </w:tcPr>
          <w:p w14:paraId="285B32B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HFC-227ea</w:t>
            </w:r>
          </w:p>
        </w:tc>
        <w:tc>
          <w:tcPr>
            <w:tcW w:w="458" w:type="pct"/>
            <w:vAlign w:val="center"/>
          </w:tcPr>
          <w:p w14:paraId="7012E6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445" w:type="pct"/>
            <w:vAlign w:val="center"/>
          </w:tcPr>
          <w:p w14:paraId="613D06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443" w:type="pct"/>
            <w:vAlign w:val="center"/>
          </w:tcPr>
          <w:p w14:paraId="310139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969A0F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53082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CFD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9773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27</w:t>
            </w:r>
          </w:p>
        </w:tc>
        <w:tc>
          <w:tcPr>
            <w:tcW w:w="577" w:type="pct"/>
            <w:vAlign w:val="center"/>
          </w:tcPr>
          <w:p w14:paraId="5DF920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泄压口装置</w:t>
            </w:r>
          </w:p>
        </w:tc>
        <w:tc>
          <w:tcPr>
            <w:tcW w:w="1872" w:type="pct"/>
            <w:vAlign w:val="center"/>
          </w:tcPr>
          <w:p w14:paraId="575188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74E91D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821F9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7CD4D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D70BD4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B94C0E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380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829BE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577" w:type="pct"/>
            <w:vAlign w:val="center"/>
          </w:tcPr>
          <w:p w14:paraId="00B93A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消防专用排烟机</w:t>
            </w:r>
          </w:p>
        </w:tc>
        <w:tc>
          <w:tcPr>
            <w:tcW w:w="1872" w:type="pct"/>
            <w:vAlign w:val="center"/>
          </w:tcPr>
          <w:p w14:paraId="60E059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专用</w:t>
            </w:r>
          </w:p>
        </w:tc>
        <w:tc>
          <w:tcPr>
            <w:tcW w:w="458" w:type="pct"/>
            <w:vAlign w:val="center"/>
          </w:tcPr>
          <w:p w14:paraId="03CDC3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FF95A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60ACA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0A0AB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50CEF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D0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37864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577" w:type="pct"/>
            <w:vAlign w:val="center"/>
          </w:tcPr>
          <w:p w14:paraId="275092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排烟机罩</w:t>
            </w:r>
          </w:p>
        </w:tc>
        <w:tc>
          <w:tcPr>
            <w:tcW w:w="1872" w:type="pct"/>
            <w:vAlign w:val="center"/>
          </w:tcPr>
          <w:p w14:paraId="2F8748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现场制作</w:t>
            </w:r>
          </w:p>
        </w:tc>
        <w:tc>
          <w:tcPr>
            <w:tcW w:w="458" w:type="pct"/>
            <w:vAlign w:val="center"/>
          </w:tcPr>
          <w:p w14:paraId="1071BF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EAFD4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0CFD60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BDDF2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D4B9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2C6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8CCD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577" w:type="pct"/>
            <w:vAlign w:val="center"/>
          </w:tcPr>
          <w:p w14:paraId="37F9D3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排烟口</w:t>
            </w:r>
          </w:p>
        </w:tc>
        <w:tc>
          <w:tcPr>
            <w:tcW w:w="1872" w:type="pct"/>
            <w:vAlign w:val="center"/>
          </w:tcPr>
          <w:p w14:paraId="7CD042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百叶风口</w:t>
            </w:r>
          </w:p>
        </w:tc>
        <w:tc>
          <w:tcPr>
            <w:tcW w:w="458" w:type="pct"/>
            <w:vAlign w:val="center"/>
          </w:tcPr>
          <w:p w14:paraId="4C0C16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8ADA3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08B899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5AB1A1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48DD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8A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CBFA1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577" w:type="pct"/>
            <w:vAlign w:val="center"/>
          </w:tcPr>
          <w:p w14:paraId="2CD0D9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排烟机电源箱</w:t>
            </w:r>
          </w:p>
        </w:tc>
        <w:tc>
          <w:tcPr>
            <w:tcW w:w="1872" w:type="pct"/>
            <w:vAlign w:val="center"/>
          </w:tcPr>
          <w:p w14:paraId="06F65C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排烟机配套</w:t>
            </w:r>
          </w:p>
        </w:tc>
        <w:tc>
          <w:tcPr>
            <w:tcW w:w="458" w:type="pct"/>
            <w:vAlign w:val="center"/>
          </w:tcPr>
          <w:p w14:paraId="23B52D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661DA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B60CD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F86D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CA113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86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5B068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577" w:type="pct"/>
            <w:vAlign w:val="center"/>
          </w:tcPr>
          <w:p w14:paraId="24DB42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防火阀</w:t>
            </w:r>
          </w:p>
        </w:tc>
        <w:tc>
          <w:tcPr>
            <w:tcW w:w="1872" w:type="pct"/>
            <w:vAlign w:val="center"/>
          </w:tcPr>
          <w:p w14:paraId="179E06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3CD0FC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62F66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5C2194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44578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46689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11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9C29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36</w:t>
            </w:r>
          </w:p>
        </w:tc>
        <w:tc>
          <w:tcPr>
            <w:tcW w:w="577" w:type="pct"/>
            <w:vAlign w:val="center"/>
          </w:tcPr>
          <w:p w14:paraId="150CA7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空气呼吸面罩</w:t>
            </w:r>
          </w:p>
        </w:tc>
        <w:tc>
          <w:tcPr>
            <w:tcW w:w="1872" w:type="pct"/>
            <w:vAlign w:val="center"/>
          </w:tcPr>
          <w:p w14:paraId="07CD28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w:t>
            </w:r>
          </w:p>
        </w:tc>
        <w:tc>
          <w:tcPr>
            <w:tcW w:w="458" w:type="pct"/>
            <w:vAlign w:val="center"/>
          </w:tcPr>
          <w:p w14:paraId="75377B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CE28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71325E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59E02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AD1D4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B2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30B2F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B-5</w:t>
            </w:r>
          </w:p>
        </w:tc>
        <w:tc>
          <w:tcPr>
            <w:tcW w:w="4566" w:type="pct"/>
            <w:gridSpan w:val="7"/>
            <w:vAlign w:val="center"/>
          </w:tcPr>
          <w:p w14:paraId="21EB08E8">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综合布线</w:t>
            </w:r>
          </w:p>
        </w:tc>
      </w:tr>
      <w:tr w14:paraId="6D3B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06B9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4F380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LC-LC单模双芯光纤（5m)</w:t>
            </w:r>
          </w:p>
        </w:tc>
        <w:tc>
          <w:tcPr>
            <w:tcW w:w="1872" w:type="pct"/>
            <w:vAlign w:val="center"/>
          </w:tcPr>
          <w:p w14:paraId="55C9C8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规格:单模OS2 9/125um双芯光纤跳线，LC/PC-LC/PC接头类型；</w:t>
            </w:r>
          </w:p>
          <w:p w14:paraId="78F007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护套：外护套采用OFNR、OFNP或者低烟无卤（LSZH）阻燃等级的材料；</w:t>
            </w:r>
          </w:p>
          <w:p w14:paraId="261963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所有跳线在出厂前都是端接好的并经过检测。</w:t>
            </w:r>
          </w:p>
          <w:p w14:paraId="249C3C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 长度：5米。</w:t>
            </w:r>
          </w:p>
        </w:tc>
        <w:tc>
          <w:tcPr>
            <w:tcW w:w="458" w:type="pct"/>
            <w:vAlign w:val="center"/>
          </w:tcPr>
          <w:p w14:paraId="02BAE0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55A3BC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5E0390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2AC3E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468CE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91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5192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589338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LC-LC单模双芯光纤（10m)</w:t>
            </w:r>
          </w:p>
        </w:tc>
        <w:tc>
          <w:tcPr>
            <w:tcW w:w="1872" w:type="pct"/>
            <w:vAlign w:val="center"/>
          </w:tcPr>
          <w:p w14:paraId="604B14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规格:单模OS2 9/125um双芯光纤跳线，LC/PC-LC/PC接头类型；</w:t>
            </w:r>
          </w:p>
          <w:p w14:paraId="1C667E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护套：外护套采用OFNR、OFNP或者低烟无卤（LSZH）阻燃等级的材料；</w:t>
            </w:r>
          </w:p>
          <w:p w14:paraId="74C0FA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所有跳线在出厂前都是端接好的并经过检测。</w:t>
            </w:r>
          </w:p>
          <w:p w14:paraId="250FFA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 长度：10米。</w:t>
            </w:r>
          </w:p>
        </w:tc>
        <w:tc>
          <w:tcPr>
            <w:tcW w:w="458" w:type="pct"/>
            <w:vAlign w:val="center"/>
          </w:tcPr>
          <w:p w14:paraId="212097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410F1C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7F1272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26AC9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025F8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D83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CB64A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19C8D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网络地插</w:t>
            </w:r>
          </w:p>
        </w:tc>
        <w:tc>
          <w:tcPr>
            <w:tcW w:w="1872" w:type="pct"/>
            <w:vAlign w:val="center"/>
          </w:tcPr>
          <w:p w14:paraId="421BF1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双口网络地插，含模块</w:t>
            </w:r>
          </w:p>
        </w:tc>
        <w:tc>
          <w:tcPr>
            <w:tcW w:w="458" w:type="pct"/>
            <w:vAlign w:val="center"/>
          </w:tcPr>
          <w:p w14:paraId="3333BE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C9BE2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92E62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B2A704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523E9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E25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E12B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7C53A5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2m六类非屏蔽跳线</w:t>
            </w:r>
          </w:p>
        </w:tc>
        <w:tc>
          <w:tcPr>
            <w:tcW w:w="1872" w:type="pct"/>
            <w:vAlign w:val="center"/>
          </w:tcPr>
          <w:p w14:paraId="097DC4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规格：RJ45至RJ45六类非屏蔽数据跳线</w:t>
            </w:r>
          </w:p>
          <w:p w14:paraId="4CB2FB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线规：24线规（AWG)</w:t>
            </w:r>
          </w:p>
          <w:p w14:paraId="103C75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结构：内部多股无氧铜芯，柔韧性好。</w:t>
            </w:r>
          </w:p>
          <w:p w14:paraId="02FBD0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护套：外护套采用高阻燃PVC材料，符合CMR防火标准。</w:t>
            </w:r>
          </w:p>
          <w:p w14:paraId="00CF9C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检测：跳线出厂通过测试。</w:t>
            </w:r>
          </w:p>
          <w:p w14:paraId="4CD7C4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颜色：可定制</w:t>
            </w:r>
          </w:p>
          <w:p w14:paraId="3372BA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7. 长度：2米</w:t>
            </w:r>
          </w:p>
        </w:tc>
        <w:tc>
          <w:tcPr>
            <w:tcW w:w="458" w:type="pct"/>
            <w:vAlign w:val="center"/>
          </w:tcPr>
          <w:p w14:paraId="603F01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445" w:type="pct"/>
            <w:vAlign w:val="center"/>
          </w:tcPr>
          <w:p w14:paraId="461DE6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3B5B38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2CBBE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B4AF70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E84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2EABE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53E29D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机柜上走线网格桥架及附件</w:t>
            </w:r>
          </w:p>
        </w:tc>
        <w:tc>
          <w:tcPr>
            <w:tcW w:w="1872" w:type="pct"/>
            <w:vAlign w:val="center"/>
          </w:tcPr>
          <w:p w14:paraId="75E69D3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200*100mm</w:t>
            </w:r>
          </w:p>
        </w:tc>
        <w:tc>
          <w:tcPr>
            <w:tcW w:w="458" w:type="pct"/>
            <w:vAlign w:val="center"/>
          </w:tcPr>
          <w:p w14:paraId="0A96F3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394C43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3" w:type="pct"/>
            <w:vAlign w:val="center"/>
          </w:tcPr>
          <w:p w14:paraId="3CA5D7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9AF85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B300B8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3FC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A5857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1D8DF8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1872" w:type="pct"/>
            <w:vAlign w:val="center"/>
          </w:tcPr>
          <w:p w14:paraId="63BF96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机柜尺寸为600mm（W）*1200mm（D）*2000mm(H),内部有效承载空间42U，满足19"国际标准机柜，颜色为黑色、哑光，机柜灯光下无眩晕感；前后门均应采用外开门方式，前门为单开门，后门为双开门，前后门带锁。</w:t>
            </w:r>
          </w:p>
        </w:tc>
        <w:tc>
          <w:tcPr>
            <w:tcW w:w="458" w:type="pct"/>
            <w:vAlign w:val="center"/>
          </w:tcPr>
          <w:p w14:paraId="094E8E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45" w:type="pct"/>
            <w:vAlign w:val="center"/>
          </w:tcPr>
          <w:p w14:paraId="237583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C2D9F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A6B6F1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2133A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B77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8E99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5AA383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872" w:type="pct"/>
            <w:vAlign w:val="center"/>
          </w:tcPr>
          <w:p w14:paraId="418ED6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扎带、标签、网线等</w:t>
            </w:r>
          </w:p>
        </w:tc>
        <w:tc>
          <w:tcPr>
            <w:tcW w:w="458" w:type="pct"/>
            <w:vAlign w:val="center"/>
          </w:tcPr>
          <w:p w14:paraId="501E40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35FE7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66505AB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A668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D93A4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1D9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764E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B-6</w:t>
            </w:r>
          </w:p>
        </w:tc>
        <w:tc>
          <w:tcPr>
            <w:tcW w:w="4566" w:type="pct"/>
            <w:gridSpan w:val="7"/>
            <w:vAlign w:val="center"/>
          </w:tcPr>
          <w:p w14:paraId="311F8C5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空调、新风系统</w:t>
            </w:r>
          </w:p>
        </w:tc>
      </w:tr>
      <w:tr w14:paraId="50EA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0CA4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2B0F67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20KW精密空调</w:t>
            </w:r>
          </w:p>
        </w:tc>
        <w:tc>
          <w:tcPr>
            <w:tcW w:w="1872" w:type="pct"/>
            <w:vAlign w:val="center"/>
          </w:tcPr>
          <w:p w14:paraId="7E21955D">
            <w:pPr>
              <w:keepNext w:val="0"/>
              <w:keepLines w:val="0"/>
              <w:pageBreakBefore w:val="0"/>
              <w:widowControl/>
              <w:numPr>
                <w:ilvl w:val="0"/>
                <w:numId w:val="11"/>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下送风，制冷量20KW，风量≥6500m3/h；电加热≥6KW，加湿量≥5kg/h；</w:t>
            </w:r>
          </w:p>
          <w:p w14:paraId="1B6E6E88">
            <w:pPr>
              <w:keepNext w:val="0"/>
              <w:keepLines w:val="0"/>
              <w:pageBreakBefore w:val="0"/>
              <w:widowControl/>
              <w:numPr>
                <w:ilvl w:val="0"/>
                <w:numId w:val="11"/>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tc>
        <w:tc>
          <w:tcPr>
            <w:tcW w:w="458" w:type="pct"/>
            <w:vAlign w:val="center"/>
          </w:tcPr>
          <w:p w14:paraId="48EDD2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437B2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A6593E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99A30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7753E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579F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761E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5ADFB9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进出水</w:t>
            </w:r>
          </w:p>
        </w:tc>
        <w:tc>
          <w:tcPr>
            <w:tcW w:w="1872" w:type="pct"/>
            <w:vAlign w:val="center"/>
          </w:tcPr>
          <w:p w14:paraId="7E10D7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PPRФ25，PPRФ40</w:t>
            </w:r>
          </w:p>
        </w:tc>
        <w:tc>
          <w:tcPr>
            <w:tcW w:w="458" w:type="pct"/>
            <w:vAlign w:val="center"/>
          </w:tcPr>
          <w:p w14:paraId="002EF9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3082BC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7C0AD1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8E4B5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D7D41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FA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FD4E6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3C6F63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铜管(回液管含保温管/）</w:t>
            </w:r>
          </w:p>
        </w:tc>
        <w:tc>
          <w:tcPr>
            <w:tcW w:w="1872" w:type="pct"/>
            <w:vAlign w:val="center"/>
          </w:tcPr>
          <w:p w14:paraId="23DD3B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Ф19</w:t>
            </w:r>
          </w:p>
        </w:tc>
        <w:tc>
          <w:tcPr>
            <w:tcW w:w="458" w:type="pct"/>
            <w:vAlign w:val="center"/>
          </w:tcPr>
          <w:p w14:paraId="2677EF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445" w:type="pct"/>
            <w:vAlign w:val="center"/>
          </w:tcPr>
          <w:p w14:paraId="33B340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64D028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1934C1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FF157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01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9F54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379FE5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铜管(热气管含保温管/)</w:t>
            </w:r>
          </w:p>
        </w:tc>
        <w:tc>
          <w:tcPr>
            <w:tcW w:w="1872" w:type="pct"/>
            <w:vAlign w:val="center"/>
          </w:tcPr>
          <w:p w14:paraId="7C9C56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Ф22</w:t>
            </w:r>
          </w:p>
        </w:tc>
        <w:tc>
          <w:tcPr>
            <w:tcW w:w="458" w:type="pct"/>
            <w:vAlign w:val="center"/>
          </w:tcPr>
          <w:p w14:paraId="384F50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445" w:type="pct"/>
            <w:vAlign w:val="center"/>
          </w:tcPr>
          <w:p w14:paraId="532A04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42B251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CAEFE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12FF6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320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BB8C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30531D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制冷剂</w:t>
            </w:r>
          </w:p>
        </w:tc>
        <w:tc>
          <w:tcPr>
            <w:tcW w:w="1872" w:type="pct"/>
            <w:vAlign w:val="center"/>
          </w:tcPr>
          <w:p w14:paraId="73AFB3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R410A</w:t>
            </w:r>
          </w:p>
        </w:tc>
        <w:tc>
          <w:tcPr>
            <w:tcW w:w="458" w:type="pct"/>
            <w:vAlign w:val="center"/>
          </w:tcPr>
          <w:p w14:paraId="018015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9EADC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443" w:type="pct"/>
            <w:vAlign w:val="center"/>
          </w:tcPr>
          <w:p w14:paraId="6EE93A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1A548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7CB6E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3D5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FA15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708745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室外机电源线</w:t>
            </w:r>
          </w:p>
        </w:tc>
        <w:tc>
          <w:tcPr>
            <w:tcW w:w="1872" w:type="pct"/>
            <w:vAlign w:val="center"/>
          </w:tcPr>
          <w:p w14:paraId="47118F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ZCVVR-5*2.5</w:t>
            </w:r>
          </w:p>
        </w:tc>
        <w:tc>
          <w:tcPr>
            <w:tcW w:w="458" w:type="pct"/>
            <w:vAlign w:val="center"/>
          </w:tcPr>
          <w:p w14:paraId="372E3E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445" w:type="pct"/>
            <w:vAlign w:val="center"/>
          </w:tcPr>
          <w:p w14:paraId="3DAF7A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1BC4CE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49A9D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2F6A6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CC1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D752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359037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控制线</w:t>
            </w:r>
          </w:p>
        </w:tc>
        <w:tc>
          <w:tcPr>
            <w:tcW w:w="1872" w:type="pct"/>
            <w:vAlign w:val="center"/>
          </w:tcPr>
          <w:p w14:paraId="250836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ZCVVR-2*1.5</w:t>
            </w:r>
          </w:p>
        </w:tc>
        <w:tc>
          <w:tcPr>
            <w:tcW w:w="458" w:type="pct"/>
            <w:vAlign w:val="center"/>
          </w:tcPr>
          <w:p w14:paraId="42C1D5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445" w:type="pct"/>
            <w:vAlign w:val="center"/>
          </w:tcPr>
          <w:p w14:paraId="5B938A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60BC5D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06DBD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BA8B5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CF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AE573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061293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1872" w:type="pct"/>
            <w:vAlign w:val="center"/>
          </w:tcPr>
          <w:p w14:paraId="307F3E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定制、现场安装用材</w:t>
            </w:r>
          </w:p>
        </w:tc>
        <w:tc>
          <w:tcPr>
            <w:tcW w:w="458" w:type="pct"/>
            <w:vAlign w:val="center"/>
          </w:tcPr>
          <w:p w14:paraId="1BC888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34F9E8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465B6C9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F1192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D727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6D9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C7DC2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270B65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柜式新风机</w:t>
            </w:r>
          </w:p>
        </w:tc>
        <w:tc>
          <w:tcPr>
            <w:tcW w:w="1872" w:type="pct"/>
            <w:vAlign w:val="center"/>
          </w:tcPr>
          <w:p w14:paraId="008CF9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1、全新风引入，净化室内空气，有效维持室内正压；</w:t>
            </w:r>
          </w:p>
          <w:p w14:paraId="179AC5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2、输入电压220V,频率50Hz；</w:t>
            </w:r>
          </w:p>
          <w:p w14:paraId="6016A7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3、柜式新风机,风量≥800m3/h可选，安装维护方便简洁；</w:t>
            </w:r>
          </w:p>
          <w:p w14:paraId="5BF8EF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4、高、中、低三档风速可调，可根据机房不同需求任意调节送风量；</w:t>
            </w:r>
          </w:p>
          <w:p w14:paraId="3CA1CF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5、标配初效、中效、高效过滤器，满足标准机房洁净度的要求；</w:t>
            </w:r>
          </w:p>
          <w:p w14:paraId="7CA7AC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tc>
        <w:tc>
          <w:tcPr>
            <w:tcW w:w="458" w:type="pct"/>
            <w:vAlign w:val="center"/>
          </w:tcPr>
          <w:p w14:paraId="06059F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1C22B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8E908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0B8385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9F6F4C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753A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8C82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31E3FB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防火阀</w:t>
            </w:r>
          </w:p>
        </w:tc>
        <w:tc>
          <w:tcPr>
            <w:tcW w:w="1872" w:type="pct"/>
            <w:vAlign w:val="center"/>
          </w:tcPr>
          <w:p w14:paraId="67089A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与消防系统联动</w:t>
            </w:r>
          </w:p>
        </w:tc>
        <w:tc>
          <w:tcPr>
            <w:tcW w:w="458" w:type="pct"/>
            <w:vAlign w:val="center"/>
          </w:tcPr>
          <w:p w14:paraId="47323E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E4409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CDAB0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EA92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4975C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65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FC8BC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577" w:type="pct"/>
            <w:vAlign w:val="center"/>
          </w:tcPr>
          <w:p w14:paraId="391411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防雨百叶风口</w:t>
            </w:r>
          </w:p>
        </w:tc>
        <w:tc>
          <w:tcPr>
            <w:tcW w:w="1872" w:type="pct"/>
            <w:vAlign w:val="center"/>
          </w:tcPr>
          <w:p w14:paraId="42005E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白色，带防虫网</w:t>
            </w:r>
          </w:p>
        </w:tc>
        <w:tc>
          <w:tcPr>
            <w:tcW w:w="458" w:type="pct"/>
            <w:vAlign w:val="center"/>
          </w:tcPr>
          <w:p w14:paraId="4A74C7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36298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43" w:type="pct"/>
            <w:vAlign w:val="center"/>
          </w:tcPr>
          <w:p w14:paraId="1945FB0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09B92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D7D7F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38F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0A0C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577" w:type="pct"/>
            <w:vAlign w:val="center"/>
          </w:tcPr>
          <w:p w14:paraId="45BCD3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辅材（线、管等）</w:t>
            </w:r>
          </w:p>
        </w:tc>
        <w:tc>
          <w:tcPr>
            <w:tcW w:w="1872" w:type="pct"/>
            <w:vAlign w:val="center"/>
          </w:tcPr>
          <w:p w14:paraId="3D1F40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电源线、软管等</w:t>
            </w:r>
          </w:p>
        </w:tc>
        <w:tc>
          <w:tcPr>
            <w:tcW w:w="458" w:type="pct"/>
            <w:vAlign w:val="center"/>
          </w:tcPr>
          <w:p w14:paraId="5642BC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30A74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5ADEAB2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48BE1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C755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E98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E95593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447F2442">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动力环境监测系统</w:t>
            </w:r>
          </w:p>
        </w:tc>
      </w:tr>
      <w:tr w14:paraId="1D02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7E369C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66" w:type="pct"/>
            <w:gridSpan w:val="7"/>
            <w:vAlign w:val="center"/>
          </w:tcPr>
          <w:p w14:paraId="77002185">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网络交换中心</w:t>
            </w:r>
          </w:p>
        </w:tc>
      </w:tr>
      <w:tr w14:paraId="6D2B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0568F5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1</w:t>
            </w:r>
          </w:p>
        </w:tc>
        <w:tc>
          <w:tcPr>
            <w:tcW w:w="577" w:type="pct"/>
            <w:vAlign w:val="center"/>
          </w:tcPr>
          <w:p w14:paraId="459954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智能电量仪</w:t>
            </w:r>
          </w:p>
        </w:tc>
        <w:tc>
          <w:tcPr>
            <w:tcW w:w="1872" w:type="pct"/>
            <w:vAlign w:val="center"/>
          </w:tcPr>
          <w:p w14:paraId="7C730E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1、适用于220/380V低压系统；</w:t>
            </w:r>
          </w:p>
          <w:p w14:paraId="3718BE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2、有功电度0.5s级；</w:t>
            </w:r>
          </w:p>
          <w:p w14:paraId="1CB804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3、具备互感器接入；</w:t>
            </w:r>
          </w:p>
          <w:p w14:paraId="74E9AF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4、具备Modbus-RTU 或 DL/T645-2007通讯协议。</w:t>
            </w:r>
          </w:p>
        </w:tc>
        <w:tc>
          <w:tcPr>
            <w:tcW w:w="458" w:type="pct"/>
            <w:vAlign w:val="center"/>
          </w:tcPr>
          <w:p w14:paraId="6A2909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45" w:type="pct"/>
            <w:vAlign w:val="center"/>
          </w:tcPr>
          <w:p w14:paraId="08EB50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3BD946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5A985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E775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BED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10AC2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0050F2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电量仪软件接口</w:t>
            </w:r>
          </w:p>
        </w:tc>
        <w:tc>
          <w:tcPr>
            <w:tcW w:w="1872" w:type="pct"/>
            <w:vAlign w:val="center"/>
          </w:tcPr>
          <w:p w14:paraId="5ACECF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实时监测配电柜供电进线的相电压、线电压、相电流、频率、功率因数、有功功率、无功功率等参数。与主软件配套，统一软件界面，统一报警管理。</w:t>
            </w:r>
          </w:p>
        </w:tc>
        <w:tc>
          <w:tcPr>
            <w:tcW w:w="458" w:type="pct"/>
            <w:vAlign w:val="center"/>
          </w:tcPr>
          <w:p w14:paraId="195AF9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2D5DA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A7FAD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6F0EB5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2DDEF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A4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34DD93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379F60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8路隔离高压输入模块</w:t>
            </w:r>
          </w:p>
        </w:tc>
        <w:tc>
          <w:tcPr>
            <w:tcW w:w="1872" w:type="pct"/>
            <w:vAlign w:val="center"/>
          </w:tcPr>
          <w:p w14:paraId="2C84EB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具备8个输入通道</w:t>
            </w:r>
          </w:p>
          <w:p w14:paraId="657116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隔离电压：≥5000Vrms</w:t>
            </w:r>
          </w:p>
          <w:p w14:paraId="049EB6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输入信号：100V～450V</w:t>
            </w:r>
          </w:p>
          <w:p w14:paraId="056B06B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具备LED指示灯</w:t>
            </w:r>
          </w:p>
        </w:tc>
        <w:tc>
          <w:tcPr>
            <w:tcW w:w="458" w:type="pct"/>
            <w:vAlign w:val="center"/>
          </w:tcPr>
          <w:p w14:paraId="2AA2B9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2F370B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4103F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CF326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E7640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5D5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72734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19027F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开关监测软件接口</w:t>
            </w:r>
          </w:p>
        </w:tc>
        <w:tc>
          <w:tcPr>
            <w:tcW w:w="1872" w:type="pct"/>
            <w:vAlign w:val="center"/>
          </w:tcPr>
          <w:p w14:paraId="2E73A9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监测重要开关的分/合状态，与主软件配套，统一软件界面，统一报警管理。</w:t>
            </w:r>
          </w:p>
        </w:tc>
        <w:tc>
          <w:tcPr>
            <w:tcW w:w="458" w:type="pct"/>
            <w:vAlign w:val="center"/>
          </w:tcPr>
          <w:p w14:paraId="3EF982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AB011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88135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54582D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B17FE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819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79DB6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663B28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UPS监控软件接口</w:t>
            </w:r>
          </w:p>
        </w:tc>
        <w:tc>
          <w:tcPr>
            <w:tcW w:w="1872" w:type="pct"/>
            <w:vAlign w:val="center"/>
          </w:tcPr>
          <w:p w14:paraId="79D14B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实时监视UPS整流器、逆变器、旁路、负载等各部分的运行状态与参数，与主软件配套，统一软件界面，统一报警管理。</w:t>
            </w:r>
          </w:p>
        </w:tc>
        <w:tc>
          <w:tcPr>
            <w:tcW w:w="458" w:type="pct"/>
            <w:vAlign w:val="center"/>
          </w:tcPr>
          <w:p w14:paraId="1D6E40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1E45B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DDC71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288F4F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2BE4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A6E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F46C5E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0D5800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蓄电池内阻采集模块</w:t>
            </w:r>
          </w:p>
        </w:tc>
        <w:tc>
          <w:tcPr>
            <w:tcW w:w="1872" w:type="pct"/>
            <w:vAlign w:val="center"/>
          </w:tcPr>
          <w:p w14:paraId="19C44C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适用于12V/6V电池，极柱式测温 ，含电源线，每节电池一个</w:t>
            </w:r>
          </w:p>
        </w:tc>
        <w:tc>
          <w:tcPr>
            <w:tcW w:w="458" w:type="pct"/>
            <w:vAlign w:val="center"/>
          </w:tcPr>
          <w:p w14:paraId="5779EA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445" w:type="pct"/>
            <w:vAlign w:val="center"/>
          </w:tcPr>
          <w:p w14:paraId="076093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58A257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35BB5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77197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80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4CF6B7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39326B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电池组电流采集模块</w:t>
            </w:r>
          </w:p>
        </w:tc>
        <w:tc>
          <w:tcPr>
            <w:tcW w:w="1872" w:type="pct"/>
            <w:vAlign w:val="center"/>
          </w:tcPr>
          <w:p w14:paraId="5F75D7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含霍尔传感器1个 ；含2Pin电源连接线；检测一组电池的充放电电流，每组电池配置一个</w:t>
            </w:r>
          </w:p>
        </w:tc>
        <w:tc>
          <w:tcPr>
            <w:tcW w:w="458" w:type="pct"/>
            <w:vAlign w:val="center"/>
          </w:tcPr>
          <w:p w14:paraId="040B18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46B7CB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50407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DF7CAF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B7232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E79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CB4FB2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1BC620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蓄电池模块</w:t>
            </w:r>
          </w:p>
        </w:tc>
        <w:tc>
          <w:tcPr>
            <w:tcW w:w="1872" w:type="pct"/>
            <w:vAlign w:val="center"/>
          </w:tcPr>
          <w:p w14:paraId="784D20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具备IP或RS485传输，具备AC220V供电，可通过管理≥4组蓄电池数据收敛分析，机架式组件。</w:t>
            </w:r>
          </w:p>
        </w:tc>
        <w:tc>
          <w:tcPr>
            <w:tcW w:w="458" w:type="pct"/>
            <w:vAlign w:val="center"/>
          </w:tcPr>
          <w:p w14:paraId="099D91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FE0B5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EE712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7F0F31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E72E0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6E4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89F94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530DB7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蓄电池监控软件接口</w:t>
            </w:r>
          </w:p>
        </w:tc>
        <w:tc>
          <w:tcPr>
            <w:tcW w:w="1872" w:type="pct"/>
            <w:vAlign w:val="center"/>
          </w:tcPr>
          <w:p w14:paraId="3E8A7C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实时监测每节蓄电池的电压、温度、内阻以及报警等数据，监测电池组的电压、电流等参数</w:t>
            </w:r>
          </w:p>
        </w:tc>
        <w:tc>
          <w:tcPr>
            <w:tcW w:w="458" w:type="pct"/>
            <w:vAlign w:val="center"/>
          </w:tcPr>
          <w:p w14:paraId="0A8F55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D5A2B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2226A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40081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ACD2B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AC5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F3979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7" w:type="pct"/>
            <w:vAlign w:val="center"/>
          </w:tcPr>
          <w:p w14:paraId="2B750A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精密空调监控软件接口</w:t>
            </w:r>
          </w:p>
        </w:tc>
        <w:tc>
          <w:tcPr>
            <w:tcW w:w="1872" w:type="pct"/>
            <w:vAlign w:val="center"/>
          </w:tcPr>
          <w:p w14:paraId="21231C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实时监视精密空调压缩机、风机、加湿器、去湿器、滤网、回风温度和湿度等的运行状态与参数，并可对精密空调实现远程开关机的控制，与主软件配套，统一软件界面，统一报警管理。</w:t>
            </w:r>
          </w:p>
        </w:tc>
        <w:tc>
          <w:tcPr>
            <w:tcW w:w="458" w:type="pct"/>
            <w:vAlign w:val="center"/>
          </w:tcPr>
          <w:p w14:paraId="03C8A4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B0636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2698B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473B6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3CFCB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250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DA9BF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577" w:type="pct"/>
            <w:vAlign w:val="center"/>
          </w:tcPr>
          <w:p w14:paraId="1B67A7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智能温湿度传感器</w:t>
            </w:r>
          </w:p>
        </w:tc>
        <w:tc>
          <w:tcPr>
            <w:tcW w:w="1872" w:type="pct"/>
            <w:vAlign w:val="center"/>
          </w:tcPr>
          <w:p w14:paraId="230061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室内墙面或天花板吸顶安装，测量范围：0℃~60℃，0~100%rh； 精度：±0.5℃，±3%RH，具备露点温度监测功能，RS485输出，具备LCD显示。</w:t>
            </w:r>
          </w:p>
        </w:tc>
        <w:tc>
          <w:tcPr>
            <w:tcW w:w="458" w:type="pct"/>
            <w:vAlign w:val="center"/>
          </w:tcPr>
          <w:p w14:paraId="03DF0E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445" w:type="pct"/>
            <w:vAlign w:val="center"/>
          </w:tcPr>
          <w:p w14:paraId="53C8E8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454CE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EC04C9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B8C695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C78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CF350E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12</w:t>
            </w:r>
          </w:p>
        </w:tc>
        <w:tc>
          <w:tcPr>
            <w:tcW w:w="577" w:type="pct"/>
            <w:vAlign w:val="center"/>
          </w:tcPr>
          <w:p w14:paraId="4BE3C0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温湿度监控软件接口</w:t>
            </w:r>
          </w:p>
        </w:tc>
        <w:tc>
          <w:tcPr>
            <w:tcW w:w="1872" w:type="pct"/>
            <w:vAlign w:val="center"/>
          </w:tcPr>
          <w:p w14:paraId="5FA0469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实时监测机房区域内的温度和湿度值，与主软件配套，统一软件界面，统一报警管理。</w:t>
            </w:r>
          </w:p>
        </w:tc>
        <w:tc>
          <w:tcPr>
            <w:tcW w:w="458" w:type="pct"/>
            <w:vAlign w:val="center"/>
          </w:tcPr>
          <w:p w14:paraId="4162B3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55CCF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AC94A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2F05417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CB846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4AB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3F4894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577" w:type="pct"/>
            <w:vAlign w:val="center"/>
          </w:tcPr>
          <w:p w14:paraId="6DCC67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区域式漏水控制模块</w:t>
            </w:r>
          </w:p>
        </w:tc>
        <w:tc>
          <w:tcPr>
            <w:tcW w:w="1872" w:type="pct"/>
            <w:vAlign w:val="center"/>
          </w:tcPr>
          <w:p w14:paraId="5EE77A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灵敏度范围档位1：0—250K</w:t>
            </w:r>
            <w:r>
              <w:rPr>
                <w:rStyle w:val="8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，档位2:0—600K</w:t>
            </w:r>
            <w:r>
              <w:rPr>
                <w:rStyle w:val="8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，档位3：0—5M</w:t>
            </w:r>
            <w:r>
              <w:rPr>
                <w:rStyle w:val="8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，档位4:0—50M</w:t>
            </w:r>
            <w:r>
              <w:rPr>
                <w:rStyle w:val="8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；短路时阻抗≤50</w:t>
            </w:r>
            <w:r>
              <w:rPr>
                <w:rStyle w:val="8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 xml:space="preserve"> ；输出信号：RS485</w:t>
            </w:r>
          </w:p>
        </w:tc>
        <w:tc>
          <w:tcPr>
            <w:tcW w:w="458" w:type="pct"/>
            <w:vAlign w:val="center"/>
          </w:tcPr>
          <w:p w14:paraId="3B452A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45" w:type="pct"/>
            <w:vAlign w:val="center"/>
          </w:tcPr>
          <w:p w14:paraId="4FC16F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FF51A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885D5B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4F359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58E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4DB7A0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577" w:type="pct"/>
            <w:vAlign w:val="center"/>
          </w:tcPr>
          <w:p w14:paraId="61F855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漏水感应绳</w:t>
            </w:r>
          </w:p>
        </w:tc>
        <w:tc>
          <w:tcPr>
            <w:tcW w:w="1872" w:type="pct"/>
            <w:vAlign w:val="center"/>
          </w:tcPr>
          <w:p w14:paraId="096F89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5米漏水感应绳</w:t>
            </w:r>
          </w:p>
        </w:tc>
        <w:tc>
          <w:tcPr>
            <w:tcW w:w="458" w:type="pct"/>
            <w:vAlign w:val="center"/>
          </w:tcPr>
          <w:p w14:paraId="69E80D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45" w:type="pct"/>
            <w:vAlign w:val="center"/>
          </w:tcPr>
          <w:p w14:paraId="523B54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59D411A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2C50F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48C6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F1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DD02F6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577" w:type="pct"/>
            <w:vAlign w:val="center"/>
          </w:tcPr>
          <w:p w14:paraId="349A71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漏水监控软件接口</w:t>
            </w:r>
          </w:p>
        </w:tc>
        <w:tc>
          <w:tcPr>
            <w:tcW w:w="1872" w:type="pct"/>
            <w:vAlign w:val="center"/>
          </w:tcPr>
          <w:p w14:paraId="1B7324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实时监测机房的漏水情况，与主软件配套，统一软件界面，统一报警管理。</w:t>
            </w:r>
          </w:p>
        </w:tc>
        <w:tc>
          <w:tcPr>
            <w:tcW w:w="458" w:type="pct"/>
            <w:vAlign w:val="center"/>
          </w:tcPr>
          <w:p w14:paraId="4691A1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AA776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527DC8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9D914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D11FD6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6DF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56F74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577" w:type="pct"/>
            <w:vAlign w:val="center"/>
          </w:tcPr>
          <w:p w14:paraId="45D39B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双门总线型门禁控制器</w:t>
            </w:r>
          </w:p>
        </w:tc>
        <w:tc>
          <w:tcPr>
            <w:tcW w:w="1872" w:type="pct"/>
            <w:vAlign w:val="center"/>
          </w:tcPr>
          <w:p w14:paraId="4855F7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具备RJ45输出，由控制主板、显示灯、金属盒、门磁、联动输入等功能模块组成。</w:t>
            </w:r>
          </w:p>
        </w:tc>
        <w:tc>
          <w:tcPr>
            <w:tcW w:w="458" w:type="pct"/>
            <w:vAlign w:val="center"/>
          </w:tcPr>
          <w:p w14:paraId="50C1A6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47895C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853C8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A77FD0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038D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2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52068A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w:t>
            </w:r>
          </w:p>
        </w:tc>
        <w:tc>
          <w:tcPr>
            <w:tcW w:w="577" w:type="pct"/>
            <w:vAlign w:val="center"/>
          </w:tcPr>
          <w:p w14:paraId="6B6C51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开关电源</w:t>
            </w:r>
          </w:p>
        </w:tc>
        <w:tc>
          <w:tcPr>
            <w:tcW w:w="1872" w:type="pct"/>
            <w:vAlign w:val="center"/>
          </w:tcPr>
          <w:p w14:paraId="5FF1A1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DC12V/6.2A</w:t>
            </w:r>
          </w:p>
        </w:tc>
        <w:tc>
          <w:tcPr>
            <w:tcW w:w="458" w:type="pct"/>
            <w:vAlign w:val="center"/>
          </w:tcPr>
          <w:p w14:paraId="4B37C7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6B885D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1EFBB4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58F20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88A2F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13C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E50FE9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w:t>
            </w:r>
          </w:p>
        </w:tc>
        <w:tc>
          <w:tcPr>
            <w:tcW w:w="577" w:type="pct"/>
            <w:vAlign w:val="center"/>
          </w:tcPr>
          <w:p w14:paraId="554546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变压器电源</w:t>
            </w:r>
          </w:p>
        </w:tc>
        <w:tc>
          <w:tcPr>
            <w:tcW w:w="1872" w:type="pct"/>
            <w:vAlign w:val="center"/>
          </w:tcPr>
          <w:p w14:paraId="408530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直流12V/2.1A</w:t>
            </w:r>
          </w:p>
        </w:tc>
        <w:tc>
          <w:tcPr>
            <w:tcW w:w="458" w:type="pct"/>
            <w:vAlign w:val="center"/>
          </w:tcPr>
          <w:p w14:paraId="366979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520FA7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EBB4BD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E373C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D9DB1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06A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646DEB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w:t>
            </w:r>
          </w:p>
        </w:tc>
        <w:tc>
          <w:tcPr>
            <w:tcW w:w="577" w:type="pct"/>
            <w:vAlign w:val="center"/>
          </w:tcPr>
          <w:p w14:paraId="3BF635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指纹机</w:t>
            </w:r>
          </w:p>
        </w:tc>
        <w:tc>
          <w:tcPr>
            <w:tcW w:w="1872" w:type="pct"/>
            <w:vAlign w:val="center"/>
          </w:tcPr>
          <w:p w14:paraId="77BA92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具备ID卡，</w:t>
            </w:r>
          </w:p>
          <w:p w14:paraId="17FD72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输出格式：Wiegand 26bits</w:t>
            </w:r>
          </w:p>
          <w:p w14:paraId="6FCC67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具备2 x 6密码键盘输入</w:t>
            </w:r>
          </w:p>
          <w:p w14:paraId="27BDC0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感应距离：5～12cm</w:t>
            </w:r>
          </w:p>
          <w:p w14:paraId="48D80E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通讯距离：30m</w:t>
            </w:r>
          </w:p>
          <w:p w14:paraId="1C8753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工作电压：DC 12V</w:t>
            </w:r>
          </w:p>
          <w:p w14:paraId="56A1CA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工作电流：80mA</w:t>
            </w:r>
          </w:p>
        </w:tc>
        <w:tc>
          <w:tcPr>
            <w:tcW w:w="458" w:type="pct"/>
            <w:vAlign w:val="center"/>
          </w:tcPr>
          <w:p w14:paraId="685B5E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315863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BFF7A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0A8B4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B7CACE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65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114A5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577" w:type="pct"/>
            <w:vAlign w:val="center"/>
          </w:tcPr>
          <w:p w14:paraId="739904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ID卡</w:t>
            </w:r>
          </w:p>
        </w:tc>
        <w:tc>
          <w:tcPr>
            <w:tcW w:w="1872" w:type="pct"/>
            <w:vAlign w:val="center"/>
          </w:tcPr>
          <w:p w14:paraId="186D59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ID卡</w:t>
            </w:r>
          </w:p>
        </w:tc>
        <w:tc>
          <w:tcPr>
            <w:tcW w:w="458" w:type="pct"/>
            <w:vAlign w:val="center"/>
          </w:tcPr>
          <w:p w14:paraId="0138E7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45" w:type="pct"/>
            <w:vAlign w:val="center"/>
          </w:tcPr>
          <w:p w14:paraId="04D6DA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5773E98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95B18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48F26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213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338A2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21</w:t>
            </w:r>
          </w:p>
        </w:tc>
        <w:tc>
          <w:tcPr>
            <w:tcW w:w="577" w:type="pct"/>
            <w:vAlign w:val="center"/>
          </w:tcPr>
          <w:p w14:paraId="2590F0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1872" w:type="pct"/>
            <w:vAlign w:val="center"/>
          </w:tcPr>
          <w:p w14:paraId="774BE5D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 DC12v/24v</w:t>
            </w:r>
          </w:p>
          <w:p w14:paraId="0F1395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工作电流 DC12v/500mA  , 24v/250mA</w:t>
            </w:r>
          </w:p>
          <w:p w14:paraId="0F81319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具备断电开门功能</w:t>
            </w:r>
          </w:p>
          <w:p w14:paraId="5B1803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具备90度单向开门</w:t>
            </w:r>
          </w:p>
          <w:p w14:paraId="62626A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吸力：250kg</w:t>
            </w:r>
          </w:p>
        </w:tc>
        <w:tc>
          <w:tcPr>
            <w:tcW w:w="458" w:type="pct"/>
            <w:vAlign w:val="center"/>
          </w:tcPr>
          <w:p w14:paraId="146403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6ECB51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70FD3E9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2811D1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8B91E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F60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58E3E1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w:t>
            </w:r>
          </w:p>
        </w:tc>
        <w:tc>
          <w:tcPr>
            <w:tcW w:w="577" w:type="pct"/>
            <w:vAlign w:val="center"/>
          </w:tcPr>
          <w:p w14:paraId="0B7A0C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双门磁力锁</w:t>
            </w:r>
          </w:p>
        </w:tc>
        <w:tc>
          <w:tcPr>
            <w:tcW w:w="1872" w:type="pct"/>
            <w:vAlign w:val="center"/>
          </w:tcPr>
          <w:p w14:paraId="31E4D2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 DC12v/24v</w:t>
            </w:r>
          </w:p>
          <w:p w14:paraId="5839C4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工作电流 DC12v/480mA  , 24v/240mA</w:t>
            </w:r>
          </w:p>
          <w:p w14:paraId="493DA8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具备断电开门功能</w:t>
            </w:r>
          </w:p>
          <w:p w14:paraId="032055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具备90度单向开门</w:t>
            </w:r>
          </w:p>
          <w:p w14:paraId="1B4F15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吸力 250kg*2</w:t>
            </w:r>
          </w:p>
        </w:tc>
        <w:tc>
          <w:tcPr>
            <w:tcW w:w="458" w:type="pct"/>
            <w:vAlign w:val="center"/>
          </w:tcPr>
          <w:p w14:paraId="7539D3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D3504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46634D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C8C5A0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029D4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6CF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3BDE7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w:t>
            </w:r>
          </w:p>
        </w:tc>
        <w:tc>
          <w:tcPr>
            <w:tcW w:w="577" w:type="pct"/>
            <w:vAlign w:val="center"/>
          </w:tcPr>
          <w:p w14:paraId="57FD81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1872" w:type="pct"/>
            <w:vAlign w:val="center"/>
          </w:tcPr>
          <w:p w14:paraId="4F812B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86型</w:t>
            </w:r>
          </w:p>
        </w:tc>
        <w:tc>
          <w:tcPr>
            <w:tcW w:w="458" w:type="pct"/>
            <w:vAlign w:val="center"/>
          </w:tcPr>
          <w:p w14:paraId="6A7D1D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46A3AD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04089B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B44041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B933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A7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038688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w:t>
            </w:r>
          </w:p>
        </w:tc>
        <w:tc>
          <w:tcPr>
            <w:tcW w:w="577" w:type="pct"/>
            <w:vAlign w:val="center"/>
          </w:tcPr>
          <w:p w14:paraId="56B8E5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门禁监控软件接口</w:t>
            </w:r>
          </w:p>
        </w:tc>
        <w:tc>
          <w:tcPr>
            <w:tcW w:w="1872" w:type="pct"/>
            <w:vAlign w:val="center"/>
          </w:tcPr>
          <w:p w14:paraId="6F985A9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实时监控各道门人员进出的情况，并进行记录。可对人员的进出区域、有效日期、进出时段等进行授权；可对门控器进行远程设置操作。与主软件配套，统一软件界面，统一报警管理。</w:t>
            </w:r>
          </w:p>
        </w:tc>
        <w:tc>
          <w:tcPr>
            <w:tcW w:w="458" w:type="pct"/>
            <w:vAlign w:val="center"/>
          </w:tcPr>
          <w:p w14:paraId="192A04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62F20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D9A505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676E9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0C822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66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B9839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w:t>
            </w:r>
          </w:p>
        </w:tc>
        <w:tc>
          <w:tcPr>
            <w:tcW w:w="577" w:type="pct"/>
            <w:vAlign w:val="center"/>
          </w:tcPr>
          <w:p w14:paraId="67B1F4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视频监控软件接口</w:t>
            </w:r>
          </w:p>
        </w:tc>
        <w:tc>
          <w:tcPr>
            <w:tcW w:w="1872" w:type="pct"/>
            <w:vAlign w:val="center"/>
          </w:tcPr>
          <w:p w14:paraId="70A8BD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实时监视各路视频图像，具备历史视频检索回放功能，具备与其它子系统的联动功能。与主软件配套，统一软件界面，统一报警管理。</w:t>
            </w:r>
          </w:p>
        </w:tc>
        <w:tc>
          <w:tcPr>
            <w:tcW w:w="458" w:type="pct"/>
            <w:vAlign w:val="center"/>
          </w:tcPr>
          <w:p w14:paraId="42EE50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4516B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0F0C3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76262C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4E932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CBB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B61A28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w:t>
            </w:r>
          </w:p>
        </w:tc>
        <w:tc>
          <w:tcPr>
            <w:tcW w:w="577" w:type="pct"/>
            <w:vAlign w:val="center"/>
          </w:tcPr>
          <w:p w14:paraId="462536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8路隔离数字量输入模块</w:t>
            </w:r>
          </w:p>
        </w:tc>
        <w:tc>
          <w:tcPr>
            <w:tcW w:w="1872" w:type="pct"/>
            <w:vAlign w:val="center"/>
          </w:tcPr>
          <w:p w14:paraId="03B9D3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具备8路输入通道</w:t>
            </w:r>
          </w:p>
          <w:p w14:paraId="5E129F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具备隔离6路差分和2路单端隔离</w:t>
            </w:r>
          </w:p>
          <w:p w14:paraId="2DB54A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隔离电压：≥5000Vrms</w:t>
            </w:r>
          </w:p>
          <w:p w14:paraId="57CB4E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输入阻抗 ：3K ohms</w:t>
            </w:r>
          </w:p>
          <w:p w14:paraId="40DB54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功耗 ：≤0.6W</w:t>
            </w:r>
          </w:p>
          <w:p w14:paraId="3BD395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电源输入 ：10V～30V</w:t>
            </w:r>
          </w:p>
          <w:p w14:paraId="5BA3F1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具备LED显示功能</w:t>
            </w:r>
          </w:p>
        </w:tc>
        <w:tc>
          <w:tcPr>
            <w:tcW w:w="458" w:type="pct"/>
            <w:vAlign w:val="center"/>
          </w:tcPr>
          <w:p w14:paraId="6D2E5A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BC168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77CA6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0830F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FFE35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DE9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528963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27</w:t>
            </w:r>
          </w:p>
        </w:tc>
        <w:tc>
          <w:tcPr>
            <w:tcW w:w="577" w:type="pct"/>
            <w:vAlign w:val="center"/>
          </w:tcPr>
          <w:p w14:paraId="2CA9BE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继电器</w:t>
            </w:r>
          </w:p>
        </w:tc>
        <w:tc>
          <w:tcPr>
            <w:tcW w:w="1872" w:type="pct"/>
            <w:vAlign w:val="center"/>
          </w:tcPr>
          <w:p w14:paraId="66EE3D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24V驱动</w:t>
            </w:r>
          </w:p>
        </w:tc>
        <w:tc>
          <w:tcPr>
            <w:tcW w:w="458" w:type="pct"/>
            <w:vAlign w:val="center"/>
          </w:tcPr>
          <w:p w14:paraId="6A99BD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72A21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2CCA9B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E9FD0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D2AE71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1C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5E64F5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28</w:t>
            </w:r>
          </w:p>
        </w:tc>
        <w:tc>
          <w:tcPr>
            <w:tcW w:w="577" w:type="pct"/>
            <w:vAlign w:val="center"/>
          </w:tcPr>
          <w:p w14:paraId="77F5EE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消防报警软件接口</w:t>
            </w:r>
          </w:p>
        </w:tc>
        <w:tc>
          <w:tcPr>
            <w:tcW w:w="1872" w:type="pct"/>
            <w:vAlign w:val="center"/>
          </w:tcPr>
          <w:p w14:paraId="066173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实时监测机房内的消防火警信号，与主软件配套，统一软件界面，统一报警管理。</w:t>
            </w:r>
          </w:p>
        </w:tc>
        <w:tc>
          <w:tcPr>
            <w:tcW w:w="458" w:type="pct"/>
            <w:vAlign w:val="center"/>
          </w:tcPr>
          <w:p w14:paraId="213410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B89F8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0B6CE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7D5A13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A861C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C9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FBD47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29</w:t>
            </w:r>
          </w:p>
        </w:tc>
        <w:tc>
          <w:tcPr>
            <w:tcW w:w="577" w:type="pct"/>
            <w:vAlign w:val="center"/>
          </w:tcPr>
          <w:p w14:paraId="6E5DBE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现场采集单元</w:t>
            </w:r>
          </w:p>
        </w:tc>
        <w:tc>
          <w:tcPr>
            <w:tcW w:w="1872" w:type="pct"/>
            <w:vAlign w:val="center"/>
          </w:tcPr>
          <w:p w14:paraId="4910B916">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1U高度机架式安装，220VAC&amp;240VDC双电源供电，≥2G内存，具备4路RS485/RS232串口输入，4路RS485串口输入，具备不低于8路DI、4路DO接口，4路输出电源12V/0.6A，≥4个网口，16GB eMMC Flash（通过预留TF卡扩展存储）</w:t>
            </w:r>
          </w:p>
        </w:tc>
        <w:tc>
          <w:tcPr>
            <w:tcW w:w="458" w:type="pct"/>
            <w:vAlign w:val="center"/>
          </w:tcPr>
          <w:p w14:paraId="6EB4B3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0BE63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1E5958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64EE70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A9D21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AC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EA699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30</w:t>
            </w:r>
          </w:p>
        </w:tc>
        <w:tc>
          <w:tcPr>
            <w:tcW w:w="577" w:type="pct"/>
            <w:vAlign w:val="center"/>
          </w:tcPr>
          <w:p w14:paraId="5268C3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模块箱</w:t>
            </w:r>
          </w:p>
        </w:tc>
        <w:tc>
          <w:tcPr>
            <w:tcW w:w="1872" w:type="pct"/>
            <w:vAlign w:val="center"/>
          </w:tcPr>
          <w:p w14:paraId="40F0E394">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抽拉式、带导轨、安装电源、空开、继电器、漏水等。</w:t>
            </w:r>
          </w:p>
        </w:tc>
        <w:tc>
          <w:tcPr>
            <w:tcW w:w="458" w:type="pct"/>
            <w:vAlign w:val="center"/>
          </w:tcPr>
          <w:p w14:paraId="5CDBCE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4B59AC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72EB6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7E82C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AC9AD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4BB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15107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31</w:t>
            </w:r>
          </w:p>
        </w:tc>
        <w:tc>
          <w:tcPr>
            <w:tcW w:w="577" w:type="pct"/>
            <w:vAlign w:val="center"/>
          </w:tcPr>
          <w:p w14:paraId="208A97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工业电源</w:t>
            </w:r>
          </w:p>
        </w:tc>
        <w:tc>
          <w:tcPr>
            <w:tcW w:w="1872" w:type="pct"/>
            <w:vAlign w:val="center"/>
          </w:tcPr>
          <w:p w14:paraId="54715F95">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DC12V/12.5A</w:t>
            </w:r>
          </w:p>
        </w:tc>
        <w:tc>
          <w:tcPr>
            <w:tcW w:w="458" w:type="pct"/>
            <w:vAlign w:val="center"/>
          </w:tcPr>
          <w:p w14:paraId="3E65FF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6AA3A3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3" w:type="pct"/>
            <w:vAlign w:val="center"/>
          </w:tcPr>
          <w:p w14:paraId="232538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D72BB0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124C5B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540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28EA8B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32</w:t>
            </w:r>
          </w:p>
        </w:tc>
        <w:tc>
          <w:tcPr>
            <w:tcW w:w="577" w:type="pct"/>
            <w:vAlign w:val="center"/>
          </w:tcPr>
          <w:p w14:paraId="2AE9AC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管线及辅材</w:t>
            </w:r>
          </w:p>
        </w:tc>
        <w:tc>
          <w:tcPr>
            <w:tcW w:w="1872" w:type="pct"/>
            <w:vAlign w:val="center"/>
          </w:tcPr>
          <w:p w14:paraId="459DA86D">
            <w:pPr>
              <w:keepNext w:val="0"/>
              <w:keepLines w:val="0"/>
              <w:pageBreakBefore w:val="0"/>
              <w:kinsoku/>
              <w:wordWrap/>
              <w:overflowPunct/>
              <w:topLinePunct w:val="0"/>
              <w:autoSpaceDE/>
              <w:autoSpaceDN/>
              <w:bidi w:val="0"/>
              <w:adjustRightInd/>
              <w:snapToGrid/>
              <w:ind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配套</w:t>
            </w:r>
          </w:p>
        </w:tc>
        <w:tc>
          <w:tcPr>
            <w:tcW w:w="458" w:type="pct"/>
            <w:vAlign w:val="center"/>
          </w:tcPr>
          <w:p w14:paraId="5C8EF1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010AC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6A7827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F02A4B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09AB3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EBD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8273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66" w:type="pct"/>
            <w:gridSpan w:val="7"/>
            <w:vAlign w:val="center"/>
          </w:tcPr>
          <w:p w14:paraId="3B9AF96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数据大厦-UPS机房</w:t>
            </w:r>
          </w:p>
        </w:tc>
      </w:tr>
      <w:tr w14:paraId="7492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DECCA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2B2905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智能电量仪</w:t>
            </w:r>
          </w:p>
        </w:tc>
        <w:tc>
          <w:tcPr>
            <w:tcW w:w="1872" w:type="pct"/>
            <w:vAlign w:val="center"/>
          </w:tcPr>
          <w:p w14:paraId="172979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1、适用于220/380V低压系统；</w:t>
            </w:r>
          </w:p>
          <w:p w14:paraId="36609A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2、有功电度0.5s级；</w:t>
            </w:r>
          </w:p>
          <w:p w14:paraId="0E9797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3、具备互感器接入；</w:t>
            </w:r>
          </w:p>
          <w:p w14:paraId="610538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4、具备Modbus-RTU 或 DL/T645-2007通讯协议。</w:t>
            </w:r>
          </w:p>
        </w:tc>
        <w:tc>
          <w:tcPr>
            <w:tcW w:w="458" w:type="pct"/>
            <w:vAlign w:val="center"/>
          </w:tcPr>
          <w:p w14:paraId="700BAB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459ADA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67ED3C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DA69F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EFA43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D5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C566AD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325D09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电量仪软件接口</w:t>
            </w:r>
          </w:p>
        </w:tc>
        <w:tc>
          <w:tcPr>
            <w:tcW w:w="1872" w:type="pct"/>
            <w:vAlign w:val="center"/>
          </w:tcPr>
          <w:p w14:paraId="5FB22E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实时监测配电柜供电进线的相电压、线电压、相电流、频率、功率因数、有功功率、无功功率等参数。与主软件配套，统一软件界面，统一报警管理。</w:t>
            </w:r>
          </w:p>
        </w:tc>
        <w:tc>
          <w:tcPr>
            <w:tcW w:w="458" w:type="pct"/>
            <w:vAlign w:val="center"/>
          </w:tcPr>
          <w:p w14:paraId="13EA5E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E7D25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48E989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7C4942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473971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B95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CA81C3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0E0E53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UPS监控软件接口</w:t>
            </w:r>
          </w:p>
        </w:tc>
        <w:tc>
          <w:tcPr>
            <w:tcW w:w="1872" w:type="pct"/>
            <w:vAlign w:val="center"/>
          </w:tcPr>
          <w:p w14:paraId="2CEABE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实时监视UPS整流器、逆变器、旁路、负载等各部分的运行状态与参数，与主软件配套，统一软件界面，统一报警管理。</w:t>
            </w:r>
          </w:p>
        </w:tc>
        <w:tc>
          <w:tcPr>
            <w:tcW w:w="458" w:type="pct"/>
            <w:vAlign w:val="center"/>
          </w:tcPr>
          <w:p w14:paraId="6A1455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0FFDB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8E4FA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9681D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0F563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04E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F9DF1A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7A71B8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蓄电池内阻采集模块</w:t>
            </w:r>
          </w:p>
        </w:tc>
        <w:tc>
          <w:tcPr>
            <w:tcW w:w="1872" w:type="pct"/>
            <w:vAlign w:val="center"/>
          </w:tcPr>
          <w:p w14:paraId="246BC0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适用于12V/6V电池，极柱式测温 ，含电源线，每节电池一个</w:t>
            </w:r>
          </w:p>
        </w:tc>
        <w:tc>
          <w:tcPr>
            <w:tcW w:w="458" w:type="pct"/>
            <w:vAlign w:val="center"/>
          </w:tcPr>
          <w:p w14:paraId="3457E5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445" w:type="pct"/>
            <w:vAlign w:val="center"/>
          </w:tcPr>
          <w:p w14:paraId="46891B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5B605E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415E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0B63AD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457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C9AC0C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1BBF87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电池组电流采集模块</w:t>
            </w:r>
          </w:p>
        </w:tc>
        <w:tc>
          <w:tcPr>
            <w:tcW w:w="1872" w:type="pct"/>
            <w:vAlign w:val="center"/>
          </w:tcPr>
          <w:p w14:paraId="1BA823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含霍尔传感器1个 ；含2Pin电源连接线；检测一组电池的充放电电流，每组电池配置一个</w:t>
            </w:r>
          </w:p>
        </w:tc>
        <w:tc>
          <w:tcPr>
            <w:tcW w:w="458" w:type="pct"/>
            <w:vAlign w:val="center"/>
          </w:tcPr>
          <w:p w14:paraId="5E4CCB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6EFF00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5A6E0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068C26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22B15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800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DF0DC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74E7D3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蓄电池模块</w:t>
            </w:r>
          </w:p>
        </w:tc>
        <w:tc>
          <w:tcPr>
            <w:tcW w:w="1872" w:type="pct"/>
            <w:vAlign w:val="center"/>
          </w:tcPr>
          <w:p w14:paraId="6A4897B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具备IP或RS485传输，具备AC220V供电，可通过管理≥4组蓄电池数据收敛分析，机架式组件。</w:t>
            </w:r>
          </w:p>
        </w:tc>
        <w:tc>
          <w:tcPr>
            <w:tcW w:w="458" w:type="pct"/>
            <w:vAlign w:val="center"/>
          </w:tcPr>
          <w:p w14:paraId="3ED8E5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E2E27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D3355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57096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322F39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0DA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C98FCA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3DEC8A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蓄电池监控软件接口</w:t>
            </w:r>
          </w:p>
        </w:tc>
        <w:tc>
          <w:tcPr>
            <w:tcW w:w="1872" w:type="pct"/>
            <w:vAlign w:val="center"/>
          </w:tcPr>
          <w:p w14:paraId="163AAF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实时监测每节蓄电池的电压、温度、内阻以及报警等数据，监测电池组的电压、电流等参数</w:t>
            </w:r>
          </w:p>
        </w:tc>
        <w:tc>
          <w:tcPr>
            <w:tcW w:w="458" w:type="pct"/>
            <w:vAlign w:val="center"/>
          </w:tcPr>
          <w:p w14:paraId="0029B3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2A256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7E745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8E2EC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D7F4A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059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8271F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503794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精密空调监控软件接口</w:t>
            </w:r>
          </w:p>
        </w:tc>
        <w:tc>
          <w:tcPr>
            <w:tcW w:w="1872" w:type="pct"/>
            <w:vAlign w:val="center"/>
          </w:tcPr>
          <w:p w14:paraId="1F1020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实时监视精密空调压缩机、风机、加湿器、去湿器、滤网、回风温度和湿度等的运行状态与参数，并可对精密空调实现远程开关机的控制，与主软件配套，统一软件界面，统一报警管理。</w:t>
            </w:r>
          </w:p>
        </w:tc>
        <w:tc>
          <w:tcPr>
            <w:tcW w:w="458" w:type="pct"/>
            <w:vAlign w:val="center"/>
          </w:tcPr>
          <w:p w14:paraId="2245F2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89323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1C8526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2B7825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70D8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5B5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94500A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435A73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智能温湿度传感器</w:t>
            </w:r>
          </w:p>
        </w:tc>
        <w:tc>
          <w:tcPr>
            <w:tcW w:w="1872" w:type="pct"/>
            <w:vAlign w:val="center"/>
          </w:tcPr>
          <w:p w14:paraId="4D32BE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室内墙面或天花板吸顶安装，测量范围：0℃~60℃，0~100%rh； 精度：±0.5℃，±3%RH，具备露点温度监测功能，RS485输出，具备LCD显示。</w:t>
            </w:r>
          </w:p>
        </w:tc>
        <w:tc>
          <w:tcPr>
            <w:tcW w:w="458" w:type="pct"/>
            <w:vAlign w:val="center"/>
          </w:tcPr>
          <w:p w14:paraId="0D09AB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48EEBF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78AB2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15FFA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D04AC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F52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D7D91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7" w:type="pct"/>
            <w:vAlign w:val="center"/>
          </w:tcPr>
          <w:p w14:paraId="3C7914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温湿度监控软件接口</w:t>
            </w:r>
          </w:p>
        </w:tc>
        <w:tc>
          <w:tcPr>
            <w:tcW w:w="1872" w:type="pct"/>
            <w:vAlign w:val="center"/>
          </w:tcPr>
          <w:p w14:paraId="4A0CB0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实时监测机房区域内的温度和湿度值，与主软件配套，统一软件界面，统一报警管理。</w:t>
            </w:r>
          </w:p>
        </w:tc>
        <w:tc>
          <w:tcPr>
            <w:tcW w:w="458" w:type="pct"/>
            <w:vAlign w:val="center"/>
          </w:tcPr>
          <w:p w14:paraId="0C8E65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16E43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5A700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307A64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44EFE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080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34311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577" w:type="pct"/>
            <w:vAlign w:val="center"/>
          </w:tcPr>
          <w:p w14:paraId="08F46F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区域式漏水控制模块</w:t>
            </w:r>
          </w:p>
        </w:tc>
        <w:tc>
          <w:tcPr>
            <w:tcW w:w="1872" w:type="pct"/>
            <w:vAlign w:val="center"/>
          </w:tcPr>
          <w:p w14:paraId="65F0F5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灵敏度范围档位1：0—250KΩ，档位2:0—600KΩ，档位3：0—5MΩ，档位4:0—50MΩ；短路时阻抗≤50Ω ；输出信号：RS485</w:t>
            </w:r>
          </w:p>
        </w:tc>
        <w:tc>
          <w:tcPr>
            <w:tcW w:w="458" w:type="pct"/>
            <w:vAlign w:val="center"/>
          </w:tcPr>
          <w:p w14:paraId="5F5137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5B69E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3E61F68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6DDAC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2F7CDE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537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0456EC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12</w:t>
            </w:r>
          </w:p>
        </w:tc>
        <w:tc>
          <w:tcPr>
            <w:tcW w:w="577" w:type="pct"/>
            <w:vAlign w:val="center"/>
          </w:tcPr>
          <w:p w14:paraId="7366EE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漏水感应绳</w:t>
            </w:r>
          </w:p>
        </w:tc>
        <w:tc>
          <w:tcPr>
            <w:tcW w:w="1872" w:type="pct"/>
            <w:vAlign w:val="center"/>
          </w:tcPr>
          <w:p w14:paraId="6F6566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5米漏水感应绳</w:t>
            </w:r>
          </w:p>
        </w:tc>
        <w:tc>
          <w:tcPr>
            <w:tcW w:w="458" w:type="pct"/>
            <w:vAlign w:val="center"/>
          </w:tcPr>
          <w:p w14:paraId="2AFADC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6C660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43" w:type="pct"/>
            <w:vAlign w:val="center"/>
          </w:tcPr>
          <w:p w14:paraId="10B895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DA36F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F162D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66C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26D4D2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13</w:t>
            </w:r>
          </w:p>
        </w:tc>
        <w:tc>
          <w:tcPr>
            <w:tcW w:w="577" w:type="pct"/>
            <w:vAlign w:val="center"/>
          </w:tcPr>
          <w:p w14:paraId="1F3227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漏水监控软件接口</w:t>
            </w:r>
          </w:p>
        </w:tc>
        <w:tc>
          <w:tcPr>
            <w:tcW w:w="1872" w:type="pct"/>
            <w:vAlign w:val="center"/>
          </w:tcPr>
          <w:p w14:paraId="6693C5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实时监测机房的漏水情况，与主软件配套，统一软件界面，统一报警管理。</w:t>
            </w:r>
          </w:p>
        </w:tc>
        <w:tc>
          <w:tcPr>
            <w:tcW w:w="458" w:type="pct"/>
            <w:vAlign w:val="center"/>
          </w:tcPr>
          <w:p w14:paraId="6C920B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EC16A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0DD972F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0B7EBF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8A29B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AA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A35F08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14</w:t>
            </w:r>
          </w:p>
        </w:tc>
        <w:tc>
          <w:tcPr>
            <w:tcW w:w="577" w:type="pct"/>
            <w:vAlign w:val="center"/>
          </w:tcPr>
          <w:p w14:paraId="2A933F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双门总线型门禁控制器</w:t>
            </w:r>
          </w:p>
        </w:tc>
        <w:tc>
          <w:tcPr>
            <w:tcW w:w="1872" w:type="pct"/>
            <w:vAlign w:val="center"/>
          </w:tcPr>
          <w:p w14:paraId="65A818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具备RJ45输出，由控制主板、显示灯、金属盒、门磁、联动输入等功能模块组成。</w:t>
            </w:r>
          </w:p>
        </w:tc>
        <w:tc>
          <w:tcPr>
            <w:tcW w:w="458" w:type="pct"/>
            <w:vAlign w:val="center"/>
          </w:tcPr>
          <w:p w14:paraId="073176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96D96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55446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70E9F3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E46FF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E07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D372D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15</w:t>
            </w:r>
          </w:p>
        </w:tc>
        <w:tc>
          <w:tcPr>
            <w:tcW w:w="577" w:type="pct"/>
            <w:vAlign w:val="center"/>
          </w:tcPr>
          <w:p w14:paraId="24513D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开关电源</w:t>
            </w:r>
          </w:p>
        </w:tc>
        <w:tc>
          <w:tcPr>
            <w:tcW w:w="1872" w:type="pct"/>
            <w:vAlign w:val="center"/>
          </w:tcPr>
          <w:p w14:paraId="1E0768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DC12V/6.2A</w:t>
            </w:r>
          </w:p>
        </w:tc>
        <w:tc>
          <w:tcPr>
            <w:tcW w:w="458" w:type="pct"/>
            <w:vAlign w:val="center"/>
          </w:tcPr>
          <w:p w14:paraId="447635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C5C57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2A755F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67A90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F201E0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2C3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6BA0B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16</w:t>
            </w:r>
          </w:p>
        </w:tc>
        <w:tc>
          <w:tcPr>
            <w:tcW w:w="577" w:type="pct"/>
            <w:vAlign w:val="center"/>
          </w:tcPr>
          <w:p w14:paraId="534C47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变压器电源</w:t>
            </w:r>
          </w:p>
        </w:tc>
        <w:tc>
          <w:tcPr>
            <w:tcW w:w="1872" w:type="pct"/>
            <w:vAlign w:val="center"/>
          </w:tcPr>
          <w:p w14:paraId="444844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直流12V/2.1A</w:t>
            </w:r>
          </w:p>
        </w:tc>
        <w:tc>
          <w:tcPr>
            <w:tcW w:w="458" w:type="pct"/>
            <w:vAlign w:val="center"/>
          </w:tcPr>
          <w:p w14:paraId="31839A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124F9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5D2ADB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9C099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F71EA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D29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45416F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17</w:t>
            </w:r>
          </w:p>
        </w:tc>
        <w:tc>
          <w:tcPr>
            <w:tcW w:w="577" w:type="pct"/>
            <w:vAlign w:val="center"/>
          </w:tcPr>
          <w:p w14:paraId="30924A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指纹机</w:t>
            </w:r>
          </w:p>
        </w:tc>
        <w:tc>
          <w:tcPr>
            <w:tcW w:w="1872" w:type="pct"/>
            <w:vAlign w:val="center"/>
          </w:tcPr>
          <w:p w14:paraId="0B6754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具备ID卡功能</w:t>
            </w:r>
          </w:p>
          <w:p w14:paraId="2E8D47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输出格式：Wiegand 26bits</w:t>
            </w:r>
          </w:p>
          <w:p w14:paraId="6937F8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具备2 x 6密码键盘输入</w:t>
            </w:r>
          </w:p>
          <w:p w14:paraId="39FA90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感应距离：5～12cm</w:t>
            </w:r>
          </w:p>
          <w:p w14:paraId="40BC07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通讯距离：30m</w:t>
            </w:r>
          </w:p>
          <w:p w14:paraId="69EA8D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工作电压：DC 12V</w:t>
            </w:r>
          </w:p>
          <w:p w14:paraId="28149A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工作电流：80mA</w:t>
            </w:r>
          </w:p>
        </w:tc>
        <w:tc>
          <w:tcPr>
            <w:tcW w:w="458" w:type="pct"/>
            <w:vAlign w:val="center"/>
          </w:tcPr>
          <w:p w14:paraId="1F9FDA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30F5A4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0F3670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0A020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F404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F45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8ACD6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18</w:t>
            </w:r>
          </w:p>
        </w:tc>
        <w:tc>
          <w:tcPr>
            <w:tcW w:w="577" w:type="pct"/>
            <w:vAlign w:val="center"/>
          </w:tcPr>
          <w:p w14:paraId="193CB9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1872" w:type="pct"/>
            <w:vAlign w:val="center"/>
          </w:tcPr>
          <w:p w14:paraId="67DE9C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 DC12v/24v</w:t>
            </w:r>
          </w:p>
          <w:p w14:paraId="4B89395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工作电流 DC12v/500mA  , 24v/250mA</w:t>
            </w:r>
          </w:p>
          <w:p w14:paraId="132019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具备断电开门功能</w:t>
            </w:r>
          </w:p>
          <w:p w14:paraId="798C33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具备90度单向开门</w:t>
            </w:r>
          </w:p>
          <w:p w14:paraId="74ECFC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吸力：250kg</w:t>
            </w:r>
          </w:p>
        </w:tc>
        <w:tc>
          <w:tcPr>
            <w:tcW w:w="458" w:type="pct"/>
            <w:vAlign w:val="center"/>
          </w:tcPr>
          <w:p w14:paraId="769C2A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FF233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529170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B8261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A82C5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3B6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09235B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19</w:t>
            </w:r>
          </w:p>
        </w:tc>
        <w:tc>
          <w:tcPr>
            <w:tcW w:w="577" w:type="pct"/>
            <w:vAlign w:val="center"/>
          </w:tcPr>
          <w:p w14:paraId="40A88B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1872" w:type="pct"/>
            <w:vAlign w:val="center"/>
          </w:tcPr>
          <w:p w14:paraId="08A866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86型</w:t>
            </w:r>
          </w:p>
        </w:tc>
        <w:tc>
          <w:tcPr>
            <w:tcW w:w="458" w:type="pct"/>
            <w:vAlign w:val="center"/>
          </w:tcPr>
          <w:p w14:paraId="0F7862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F3A5B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2A3AFD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24684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94FA27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018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9445DE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20</w:t>
            </w:r>
          </w:p>
        </w:tc>
        <w:tc>
          <w:tcPr>
            <w:tcW w:w="577" w:type="pct"/>
            <w:vAlign w:val="center"/>
          </w:tcPr>
          <w:p w14:paraId="7AE197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视频监控软件接口</w:t>
            </w:r>
          </w:p>
        </w:tc>
        <w:tc>
          <w:tcPr>
            <w:tcW w:w="1872" w:type="pct"/>
            <w:vAlign w:val="center"/>
          </w:tcPr>
          <w:p w14:paraId="3F382B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实时监视各路视频图像，通过在电子地图上点击相应的图标即可查看该摄像机的当前画面。具备历史视频检索回放功能，具备与其它子系统的联动功能。与主软件配套，统一软件界面，统一报警管理。</w:t>
            </w:r>
          </w:p>
        </w:tc>
        <w:tc>
          <w:tcPr>
            <w:tcW w:w="458" w:type="pct"/>
            <w:vAlign w:val="center"/>
          </w:tcPr>
          <w:p w14:paraId="2868C4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A4BBB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A105C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7B620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857606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6E2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CFABB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21</w:t>
            </w:r>
          </w:p>
        </w:tc>
        <w:tc>
          <w:tcPr>
            <w:tcW w:w="577" w:type="pct"/>
            <w:vAlign w:val="center"/>
          </w:tcPr>
          <w:p w14:paraId="7FA8FB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8路隔离数字量输入模块</w:t>
            </w:r>
          </w:p>
        </w:tc>
        <w:tc>
          <w:tcPr>
            <w:tcW w:w="1872" w:type="pct"/>
            <w:vAlign w:val="center"/>
          </w:tcPr>
          <w:p w14:paraId="3577FD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具备8路输入通道</w:t>
            </w:r>
          </w:p>
          <w:p w14:paraId="55F770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具备隔离6路差分和2路单端隔离</w:t>
            </w:r>
          </w:p>
          <w:p w14:paraId="3D7951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隔离电压：≥5000Vrms</w:t>
            </w:r>
          </w:p>
          <w:p w14:paraId="3CDF3D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输入阻抗 ：3K ohms</w:t>
            </w:r>
          </w:p>
          <w:p w14:paraId="340BA3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功耗 ：≤0.6W</w:t>
            </w:r>
          </w:p>
          <w:p w14:paraId="5D38DD2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电源输入 ：10V～30V</w:t>
            </w:r>
          </w:p>
          <w:p w14:paraId="36E666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具备LED显示功能</w:t>
            </w:r>
          </w:p>
        </w:tc>
        <w:tc>
          <w:tcPr>
            <w:tcW w:w="458" w:type="pct"/>
            <w:vAlign w:val="center"/>
          </w:tcPr>
          <w:p w14:paraId="569BCA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DABC5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5DC5546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5FA35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9E144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43E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6FD6F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22</w:t>
            </w:r>
          </w:p>
        </w:tc>
        <w:tc>
          <w:tcPr>
            <w:tcW w:w="577" w:type="pct"/>
            <w:vAlign w:val="center"/>
          </w:tcPr>
          <w:p w14:paraId="47D946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模块箱</w:t>
            </w:r>
          </w:p>
        </w:tc>
        <w:tc>
          <w:tcPr>
            <w:tcW w:w="1872" w:type="pct"/>
            <w:vAlign w:val="center"/>
          </w:tcPr>
          <w:p w14:paraId="31E6AC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抽拉式、带导轨、安装电源、空开、继电器、漏水等。</w:t>
            </w:r>
          </w:p>
        </w:tc>
        <w:tc>
          <w:tcPr>
            <w:tcW w:w="458" w:type="pct"/>
            <w:vAlign w:val="center"/>
          </w:tcPr>
          <w:p w14:paraId="3CAE30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0C35E0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11CACE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CED05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6080A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73C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A61B92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23</w:t>
            </w:r>
          </w:p>
        </w:tc>
        <w:tc>
          <w:tcPr>
            <w:tcW w:w="577" w:type="pct"/>
            <w:vAlign w:val="center"/>
          </w:tcPr>
          <w:p w14:paraId="483180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工业电源</w:t>
            </w:r>
          </w:p>
        </w:tc>
        <w:tc>
          <w:tcPr>
            <w:tcW w:w="1872" w:type="pct"/>
            <w:vAlign w:val="center"/>
          </w:tcPr>
          <w:p w14:paraId="518662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DC12V/12.5A</w:t>
            </w:r>
          </w:p>
        </w:tc>
        <w:tc>
          <w:tcPr>
            <w:tcW w:w="458" w:type="pct"/>
            <w:vAlign w:val="center"/>
          </w:tcPr>
          <w:p w14:paraId="3EC30E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1CB80B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43" w:type="pct"/>
            <w:vAlign w:val="center"/>
          </w:tcPr>
          <w:p w14:paraId="10471F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3E9D2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5B97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10D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F1A7E7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24</w:t>
            </w:r>
          </w:p>
        </w:tc>
        <w:tc>
          <w:tcPr>
            <w:tcW w:w="577" w:type="pct"/>
            <w:vAlign w:val="center"/>
          </w:tcPr>
          <w:p w14:paraId="69D627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继电器</w:t>
            </w:r>
          </w:p>
        </w:tc>
        <w:tc>
          <w:tcPr>
            <w:tcW w:w="1872" w:type="pct"/>
            <w:vAlign w:val="center"/>
          </w:tcPr>
          <w:p w14:paraId="7B0117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24V驱动</w:t>
            </w:r>
          </w:p>
        </w:tc>
        <w:tc>
          <w:tcPr>
            <w:tcW w:w="458" w:type="pct"/>
            <w:vAlign w:val="center"/>
          </w:tcPr>
          <w:p w14:paraId="07EC6B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95FC2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4B0761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0CFFF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DBB92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1D4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45A6CD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25</w:t>
            </w:r>
          </w:p>
        </w:tc>
        <w:tc>
          <w:tcPr>
            <w:tcW w:w="577" w:type="pct"/>
            <w:vAlign w:val="center"/>
          </w:tcPr>
          <w:p w14:paraId="674801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现场采集单元</w:t>
            </w:r>
          </w:p>
        </w:tc>
        <w:tc>
          <w:tcPr>
            <w:tcW w:w="1872" w:type="pct"/>
            <w:vAlign w:val="center"/>
          </w:tcPr>
          <w:p w14:paraId="1A70D4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1U高度机架式安装，220VAC&amp;240VDC双电源供电，≥2G内存，具备4路RS485/RS232串口输入，4路RS485串口输入，具备不低于8路DI、4路DO接口，4路输出电源12V/0.6A，≥4个网口，16GB eMMC Flash（通过预留TF卡扩展存储）。</w:t>
            </w:r>
          </w:p>
        </w:tc>
        <w:tc>
          <w:tcPr>
            <w:tcW w:w="458" w:type="pct"/>
            <w:vAlign w:val="center"/>
          </w:tcPr>
          <w:p w14:paraId="5B8CF9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26AF6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DAE742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BE699C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FAC616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7AD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45E0F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26</w:t>
            </w:r>
          </w:p>
        </w:tc>
        <w:tc>
          <w:tcPr>
            <w:tcW w:w="577" w:type="pct"/>
            <w:vAlign w:val="center"/>
          </w:tcPr>
          <w:p w14:paraId="444421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管线及辅材</w:t>
            </w:r>
          </w:p>
        </w:tc>
        <w:tc>
          <w:tcPr>
            <w:tcW w:w="1872" w:type="pct"/>
            <w:vAlign w:val="center"/>
          </w:tcPr>
          <w:p w14:paraId="785F23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配套</w:t>
            </w:r>
          </w:p>
        </w:tc>
        <w:tc>
          <w:tcPr>
            <w:tcW w:w="458" w:type="pct"/>
            <w:vAlign w:val="center"/>
          </w:tcPr>
          <w:p w14:paraId="26251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7051F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14CBD47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0646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15ADC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F3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E69BB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566" w:type="pct"/>
            <w:gridSpan w:val="7"/>
            <w:vAlign w:val="center"/>
          </w:tcPr>
          <w:p w14:paraId="1875C592">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数据大厦-网络机房</w:t>
            </w:r>
          </w:p>
        </w:tc>
      </w:tr>
      <w:tr w14:paraId="38D3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8D5A1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034416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智能温湿度传感器</w:t>
            </w:r>
          </w:p>
        </w:tc>
        <w:tc>
          <w:tcPr>
            <w:tcW w:w="1872" w:type="pct"/>
            <w:vAlign w:val="center"/>
          </w:tcPr>
          <w:p w14:paraId="42BF82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室内墙面或天花板吸顶安装，测量范围：0℃~60℃，0~100%rh； 精度：±0.5℃，±3%RH，具备露点温度监测功能，RS485输出，具备LCD显示。</w:t>
            </w:r>
          </w:p>
        </w:tc>
        <w:tc>
          <w:tcPr>
            <w:tcW w:w="458" w:type="pct"/>
            <w:vAlign w:val="center"/>
          </w:tcPr>
          <w:p w14:paraId="28D8BD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463CF5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513483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88EB2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ACABA4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40F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B2BCBF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5A5514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温湿度监控软件接口</w:t>
            </w:r>
          </w:p>
        </w:tc>
        <w:tc>
          <w:tcPr>
            <w:tcW w:w="1872" w:type="pct"/>
            <w:vAlign w:val="center"/>
          </w:tcPr>
          <w:p w14:paraId="3B9120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实时监测机房区域内的温度和湿度值，与主软件配套，统一软件界面，统一报警管理。</w:t>
            </w:r>
          </w:p>
        </w:tc>
        <w:tc>
          <w:tcPr>
            <w:tcW w:w="458" w:type="pct"/>
            <w:vAlign w:val="center"/>
          </w:tcPr>
          <w:p w14:paraId="098CB8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D20A3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B00210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62676F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0024D6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B0A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DB4402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3</w:t>
            </w:r>
          </w:p>
        </w:tc>
        <w:tc>
          <w:tcPr>
            <w:tcW w:w="577" w:type="pct"/>
            <w:vAlign w:val="center"/>
          </w:tcPr>
          <w:p w14:paraId="2617D1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双门总线型门禁控制器</w:t>
            </w:r>
          </w:p>
        </w:tc>
        <w:tc>
          <w:tcPr>
            <w:tcW w:w="1872" w:type="pct"/>
            <w:vAlign w:val="center"/>
          </w:tcPr>
          <w:p w14:paraId="67E012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具备RJ45输出，由控制主板、显示灯、金属盒、门磁、联动输入等功能模块组成。</w:t>
            </w:r>
          </w:p>
        </w:tc>
        <w:tc>
          <w:tcPr>
            <w:tcW w:w="458" w:type="pct"/>
            <w:vAlign w:val="center"/>
          </w:tcPr>
          <w:p w14:paraId="17EA84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D4978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CFC3C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EAA99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0C2C6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2B2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AC2DCA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4D9F99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指纹机</w:t>
            </w:r>
          </w:p>
        </w:tc>
        <w:tc>
          <w:tcPr>
            <w:tcW w:w="1872" w:type="pct"/>
            <w:vAlign w:val="center"/>
          </w:tcPr>
          <w:p w14:paraId="0D538B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具备ID卡，</w:t>
            </w:r>
          </w:p>
          <w:p w14:paraId="0B7F04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输出格式：Wiegand 26bits</w:t>
            </w:r>
          </w:p>
          <w:p w14:paraId="5DB966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具备2 x 6密码键盘输入</w:t>
            </w:r>
          </w:p>
          <w:p w14:paraId="1F3184E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感应距离：5～12cm</w:t>
            </w:r>
          </w:p>
          <w:p w14:paraId="16A7AFA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通讯距离：30m</w:t>
            </w:r>
          </w:p>
          <w:p w14:paraId="69A765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工作电压：DC 12V</w:t>
            </w:r>
          </w:p>
          <w:p w14:paraId="38060E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工作电流：80mA</w:t>
            </w:r>
          </w:p>
        </w:tc>
        <w:tc>
          <w:tcPr>
            <w:tcW w:w="458" w:type="pct"/>
            <w:vAlign w:val="center"/>
          </w:tcPr>
          <w:p w14:paraId="28615E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C275C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3C6061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5921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F2A90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52C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195CEB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7844BB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1872" w:type="pct"/>
            <w:vAlign w:val="center"/>
          </w:tcPr>
          <w:p w14:paraId="16EAA8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 DC12v/24v</w:t>
            </w:r>
          </w:p>
          <w:p w14:paraId="7BA41C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工作电流 DC12v/500mA  , 24v/250mA</w:t>
            </w:r>
          </w:p>
          <w:p w14:paraId="77AC51B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具备断电开门功能</w:t>
            </w:r>
          </w:p>
          <w:p w14:paraId="252C3D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具备90度单向开门</w:t>
            </w:r>
          </w:p>
          <w:p w14:paraId="216740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吸力：250kg</w:t>
            </w:r>
          </w:p>
        </w:tc>
        <w:tc>
          <w:tcPr>
            <w:tcW w:w="458" w:type="pct"/>
            <w:vAlign w:val="center"/>
          </w:tcPr>
          <w:p w14:paraId="6AA312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67F42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3DA2AAF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41C02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717FA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B88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5BFC796">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4D5A7F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1872" w:type="pct"/>
            <w:vAlign w:val="center"/>
          </w:tcPr>
          <w:p w14:paraId="6935EC0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86型</w:t>
            </w:r>
          </w:p>
        </w:tc>
        <w:tc>
          <w:tcPr>
            <w:tcW w:w="458" w:type="pct"/>
            <w:vAlign w:val="center"/>
          </w:tcPr>
          <w:p w14:paraId="4EC09D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15F0C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5E5DBA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49F5B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EB0DA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81F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45F66D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32622E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视频监控软件接口</w:t>
            </w:r>
          </w:p>
        </w:tc>
        <w:tc>
          <w:tcPr>
            <w:tcW w:w="1872" w:type="pct"/>
            <w:vAlign w:val="center"/>
          </w:tcPr>
          <w:p w14:paraId="153C99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实时监视各路视频图像，通过在电子地图上点击相应的图标即可查看该摄像机的当前画面。具备历史视频检索回放功能，具备与其它子系统的联动功能。与主软件配套，统一软件界面，统一报警管理。</w:t>
            </w:r>
          </w:p>
        </w:tc>
        <w:tc>
          <w:tcPr>
            <w:tcW w:w="458" w:type="pct"/>
            <w:vAlign w:val="center"/>
          </w:tcPr>
          <w:p w14:paraId="646757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D5657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D5946F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3D177B0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7A67B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B0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0DA70E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054923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继电器</w:t>
            </w:r>
          </w:p>
        </w:tc>
        <w:tc>
          <w:tcPr>
            <w:tcW w:w="1872" w:type="pct"/>
            <w:vAlign w:val="center"/>
          </w:tcPr>
          <w:p w14:paraId="2577FD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24V驱动</w:t>
            </w:r>
          </w:p>
        </w:tc>
        <w:tc>
          <w:tcPr>
            <w:tcW w:w="458" w:type="pct"/>
            <w:vAlign w:val="center"/>
          </w:tcPr>
          <w:p w14:paraId="2D1CF0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E8019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1D2225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FE9B0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F304F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27F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DED3BD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11CFB2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现场采集单元</w:t>
            </w:r>
          </w:p>
        </w:tc>
        <w:tc>
          <w:tcPr>
            <w:tcW w:w="1872" w:type="pct"/>
            <w:vAlign w:val="center"/>
          </w:tcPr>
          <w:p w14:paraId="4883BE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1U高度机架式安装，220VAC&amp;240VDC双电源供电，≥2G内存，具备4路RS485/RS232串口输入，4路RS485串口输入，具备不低于8路DI、4路DO接口，4路输出电源12V/0.6A，≥4个网口，16GB eMMC Flash（通过预留TF卡扩展存储）</w:t>
            </w:r>
          </w:p>
        </w:tc>
        <w:tc>
          <w:tcPr>
            <w:tcW w:w="458" w:type="pct"/>
            <w:vAlign w:val="center"/>
          </w:tcPr>
          <w:p w14:paraId="5605AD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F9CE2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2DE33C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C94F7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3D0C3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38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1101C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7" w:type="pct"/>
            <w:vAlign w:val="center"/>
          </w:tcPr>
          <w:p w14:paraId="1151A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管线及辅材</w:t>
            </w:r>
          </w:p>
        </w:tc>
        <w:tc>
          <w:tcPr>
            <w:tcW w:w="1872" w:type="pct"/>
            <w:vAlign w:val="center"/>
          </w:tcPr>
          <w:p w14:paraId="4AE9F4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优质管线及辅材</w:t>
            </w:r>
          </w:p>
        </w:tc>
        <w:tc>
          <w:tcPr>
            <w:tcW w:w="458" w:type="pct"/>
            <w:vAlign w:val="center"/>
          </w:tcPr>
          <w:p w14:paraId="79387F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1936E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2FF4A2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D89C5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657B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C13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044CC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577" w:type="pct"/>
            <w:vAlign w:val="center"/>
          </w:tcPr>
          <w:p w14:paraId="769D42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集中监控管理软件</w:t>
            </w:r>
          </w:p>
        </w:tc>
        <w:tc>
          <w:tcPr>
            <w:tcW w:w="1872" w:type="pct"/>
            <w:vAlign w:val="center"/>
          </w:tcPr>
          <w:p w14:paraId="27F6E7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监控系统基础功能包，包括系统平台标配功能模块：</w:t>
            </w:r>
          </w:p>
          <w:p w14:paraId="02DB577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1、远程WEB浏览功能</w:t>
            </w:r>
          </w:p>
          <w:p w14:paraId="3B3FBF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2、权限管理功能</w:t>
            </w:r>
          </w:p>
          <w:p w14:paraId="1D12ED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3、日志管理功能</w:t>
            </w:r>
          </w:p>
          <w:p w14:paraId="172B95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4、配置管理功能</w:t>
            </w:r>
          </w:p>
          <w:p w14:paraId="070684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5、系统维护功能</w:t>
            </w:r>
          </w:p>
          <w:p w14:paraId="2B5857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6、告警过滤功能</w:t>
            </w:r>
          </w:p>
          <w:p w14:paraId="754983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7、告警屏蔽功能</w:t>
            </w:r>
          </w:p>
          <w:p w14:paraId="0722C8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8、日常报表功能</w:t>
            </w:r>
          </w:p>
        </w:tc>
        <w:tc>
          <w:tcPr>
            <w:tcW w:w="458" w:type="pct"/>
            <w:vAlign w:val="center"/>
          </w:tcPr>
          <w:p w14:paraId="27A98D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B7EED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7B6C1DF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1830452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016011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43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C299A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577" w:type="pct"/>
            <w:vAlign w:val="center"/>
          </w:tcPr>
          <w:p w14:paraId="6C6505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三维可视化管理软件系统</w:t>
            </w:r>
          </w:p>
        </w:tc>
        <w:tc>
          <w:tcPr>
            <w:tcW w:w="1872" w:type="pct"/>
            <w:vAlign w:val="center"/>
          </w:tcPr>
          <w:p w14:paraId="181470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通过三维可视化的方式呈现机房设备及机房布局，场地设施及机房装修均根据现场环境进行定制。</w:t>
            </w:r>
          </w:p>
        </w:tc>
        <w:tc>
          <w:tcPr>
            <w:tcW w:w="458" w:type="pct"/>
            <w:vAlign w:val="center"/>
          </w:tcPr>
          <w:p w14:paraId="7EBE61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C817B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6AB89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35DE50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9B1DD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F0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463D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十四</w:t>
            </w:r>
          </w:p>
        </w:tc>
        <w:tc>
          <w:tcPr>
            <w:tcW w:w="4566" w:type="pct"/>
            <w:gridSpan w:val="7"/>
            <w:vAlign w:val="center"/>
          </w:tcPr>
          <w:p w14:paraId="3D58846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城市运行管理中心配套设施</w:t>
            </w:r>
          </w:p>
        </w:tc>
      </w:tr>
      <w:tr w14:paraId="7213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D20B9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75B4B0C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城运中心操作台</w:t>
            </w:r>
          </w:p>
        </w:tc>
      </w:tr>
      <w:tr w14:paraId="2993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AFDF9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50460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定制15席位控制台1套</w:t>
            </w:r>
          </w:p>
        </w:tc>
        <w:tc>
          <w:tcPr>
            <w:tcW w:w="1872" w:type="pct"/>
            <w:vAlign w:val="center"/>
          </w:tcPr>
          <w:p w14:paraId="5D98B78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定制，单席位台面长度不低于1200mm：深度为1000mm，台面距离地高度750mm：厚度≥25mm，手枕边宽度≥38；背板墙高15cm（含键盘托，定制主机托，灯带系统）；总体15个席位台面总长度不低于18.7米；颜色：白色桌面，黑色底座；侧面附带电子指示牌。</w:t>
            </w:r>
          </w:p>
          <w:p w14:paraId="039F03C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主体框架结构中主承重结构采用冷轧钢板。主体框架结构为360框架，其中面板支撑结构应采用不小于3.0mm厚冷轧钢板加工，一般受力配件应采用不小于2.0mm厚优质冷轧钢板钣金加工，主体框架下部采用可调整水平的固定脚支撑，其支撑脚采用高强度铝合金开模制造加工；</w:t>
            </w:r>
          </w:p>
          <w:p w14:paraId="297EB68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工作台表面到地面距离为：740-755mm，底部调节脚可微调高度；主体框架结构采用模块化结构，具备灵活性，在不需要对其进行切割、钻孔及加工的情况下重新配置。所有钣金配件外表面使用静电吸塑工艺，表面附着黑色磨砂纹理，整体结构稳固防腐。</w:t>
            </w:r>
          </w:p>
          <w:p w14:paraId="046DC39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4.控制台背墙采用木护板和铝型材等材质结合的形式装配，背墙前端安装有截面壁厚为2mm的铝型材背板，其沟槽采用燕尾样式；</w:t>
            </w:r>
          </w:p>
          <w:p w14:paraId="28FC108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5.面板使用实木颗粒板双面贴防火板加工，整体厚度为27mm；面板连接采用箭头槽样式，通过M6螺杆连接一体，面板前侧采用39mm鸭嘴封边手枕，与桌面材质无缝粘接，保证整体外观协调统一；</w:t>
            </w:r>
          </w:p>
          <w:p w14:paraId="12BD31A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6.框架前后门板使用1.2mm厚的优质冷轧钢板制作，整体厚度为20mm，门板通过钣金冲压工艺开有散热孔，便于内部设备散热，门板表面采用静电喷塑工艺。</w:t>
            </w:r>
          </w:p>
          <w:p w14:paraId="6D2954D0">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控制台两端部配置两块侧板，为了保证整体美观和协调。侧板材质采用钣金、木制和亚克力相结合的方式；侧板所采用的钣金材质为优质碳钢，钣金部分厚度73mm,侧板整体厚度100mm，金属侧板前部和后部都有LED装饰灯效，金属侧板表面采用静电吸塑工艺，防止生锈；侧板LOGO定制区域嵌入电子屏显示铭牌信息，内容支持自定义编辑；</w:t>
            </w:r>
          </w:p>
          <w:p w14:paraId="1470BD4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8.▲控制台符合（GB/T 13668-2015、GB/T 3325-2017）标准，控制台对角线长度≥1000mm的误差＜1mm，控制台平整度≤0.06mm（投标文件中提供第三方机构的检测报告）。</w:t>
            </w:r>
          </w:p>
        </w:tc>
        <w:tc>
          <w:tcPr>
            <w:tcW w:w="458" w:type="pct"/>
            <w:vAlign w:val="center"/>
          </w:tcPr>
          <w:p w14:paraId="29A87F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445" w:type="pct"/>
            <w:vAlign w:val="center"/>
          </w:tcPr>
          <w:p w14:paraId="39A79C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5E0110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B7AA2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C2450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3DF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B1A3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C93EE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定制4席位控制台6套</w:t>
            </w:r>
          </w:p>
        </w:tc>
        <w:tc>
          <w:tcPr>
            <w:tcW w:w="1872" w:type="pct"/>
            <w:vAlign w:val="center"/>
          </w:tcPr>
          <w:p w14:paraId="5A8227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定制，单席位台面长度不低于1200mm：深度为1000mm，台面距离地高度750mm：厚度≥25mm，手枕边宽度≥38；背板墙高15cm（含键盘托，定制主机托，灯带系统）；总体24个席位台面总长度不低于30.2米；颜色：白色桌面，黑色底座；侧面附带电子指示牌。</w:t>
            </w:r>
          </w:p>
          <w:p w14:paraId="4FE260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主体框架结构中主承重结构采用冷轧钢板。主体框架结构为360框架，其中面板支撑结构应采用不小于3.0mm厚冷轧钢板加工，一般受力配件应采用不小于2.0mm厚优质冷轧钢板钣金加工，主体框架下部采用可调整水平的固定脚支撑，其支撑脚采用高强度铝合金开模制造加工；</w:t>
            </w:r>
          </w:p>
          <w:p w14:paraId="638E83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工作台表面到地面距离为：740-755mm，底部调节脚可微调高度；主体框架结构采用模块化结构，具备灵活性，在不需要对其进行切割、钻孔及加工的情况下重新配置。所有钣金配件外表面使用静电吸塑工艺，表面附着黑色磨砂纹理，整体结构稳固防腐。</w:t>
            </w:r>
          </w:p>
          <w:p w14:paraId="0AA018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4.控制台背墙采用木护板和铝型材等材质结合的形式装配，背墙前端安装有截面壁厚为2mm的铝型材背板，其沟槽采用燕尾样式；</w:t>
            </w:r>
          </w:p>
          <w:p w14:paraId="577192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5.面板使用实木颗粒板双面贴防火板加工，整体厚度为27mm；面板连接采用箭头槽样式，通过M6螺杆连接一体，面板前侧采用39mm鸭嘴封边手枕，与桌面材质无缝粘接，保证整体外观协调统一。</w:t>
            </w:r>
          </w:p>
          <w:p w14:paraId="0A7712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6.框架前后门板使用1.2mm厚的优质冷轧钢板制作，整体厚度为20mm，门板通过钣金冲压工艺开有散热孔，便于内部设备散热，门板表面采用静电喷塑工艺。</w:t>
            </w:r>
          </w:p>
          <w:p w14:paraId="7DAC0E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控制台两端部配置两块侧板，为了保证整体美观和协调。侧板材质采用钣金、木制和亚克力相结合的方式；侧板所采用的钣金材质为优质碳钢，钣金部分厚度73mm,侧板整体厚度100mm，金属侧板前部和后部都有LED装饰灯效，金属侧板表面采用静电吸塑工艺，防止生锈；侧板LOGO定制区域嵌入电子屏显示铭牌信息，内容支持自定义编辑。</w:t>
            </w:r>
          </w:p>
          <w:p w14:paraId="03CC311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控制台符合各项环保要求，能保证操作人员的人身健康和安全。控制台产品甲醛释放量≤0.05mg/m³；总挥发性有机化合物（TVOC）释放量≤0.1mg/m³；涂饰材料中重金属限量要求：可溶性铅≤90mg/kg，可溶性镉≤75mg/kg，可溶性铬≤60mg/kg，可溶性汞≤60mg/kg。（投标文件中提供第三方机构的检测报告）</w:t>
            </w:r>
          </w:p>
        </w:tc>
        <w:tc>
          <w:tcPr>
            <w:tcW w:w="458" w:type="pct"/>
            <w:vAlign w:val="center"/>
          </w:tcPr>
          <w:p w14:paraId="756D3D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30.2</w:t>
            </w:r>
          </w:p>
        </w:tc>
        <w:tc>
          <w:tcPr>
            <w:tcW w:w="445" w:type="pct"/>
            <w:vAlign w:val="center"/>
          </w:tcPr>
          <w:p w14:paraId="3D5C5E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793E30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6B6E8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F29BAB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07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FF132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FF2A7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定制5席位控制台3套</w:t>
            </w:r>
          </w:p>
        </w:tc>
        <w:tc>
          <w:tcPr>
            <w:tcW w:w="1872" w:type="pct"/>
            <w:vAlign w:val="center"/>
          </w:tcPr>
          <w:p w14:paraId="782CE3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定制，单席位台面长度不低于1200mm：深度为1000mm，台面距离地高度750mm：厚度≥25mm，手枕边宽度≥38；背板墙高15cm（含键盘托，定制主机托，灯带系统）；总体15个席位台面总长度不低于18.7米；颜色：白色桌面，黑色底座；侧面附带电子指示牌。</w:t>
            </w:r>
          </w:p>
          <w:p w14:paraId="4FAE21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主体框架结构中主承重结构采用冷轧钢板。主体框架结构为360框架，其中面板支撑结构应采用不小于3.0mm厚冷轧钢板加工，一般受力配件应采用不小于2.0mm厚优质冷轧钢板钣金加工，主体框架下部采用可调整水平的固定脚支撑，其支撑脚采用高强度铝合金开模制造加工；</w:t>
            </w:r>
          </w:p>
          <w:p w14:paraId="57D560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工作台表面到地面距离为：740-755mm，底部调节脚可微调高度；主体框架结构采用模块化结构，具备灵活性，在不需要对其进行切割、钻孔及加工的情况下重新配置。所有钣金配件外表面使用静电吸塑工艺，表面附着黑色磨砂纹理，整体结构稳固防腐。</w:t>
            </w:r>
          </w:p>
          <w:p w14:paraId="2919C8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4.控制台背墙采用木护板和铝型材等材质结合的形式装配，背墙前端安装有截面壁厚为2mm的铝型材背板，其沟槽采用燕尾样式；</w:t>
            </w:r>
          </w:p>
          <w:p w14:paraId="6D56A34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5.面板使用实木颗粒板双面贴防火板加工，整体厚度为27mm，；面板连接采用箭头槽样式，通过M6螺杆连接一体，面板前侧采用39mm鸭嘴封边手枕，与桌面材质无缝粘接，保证整体外观协调统一。</w:t>
            </w:r>
          </w:p>
          <w:p w14:paraId="62C710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6.框架前后门板使用1.2mm厚的优质冷轧钢板制作，整体厚度为20mm，门板通过钣金冲压工艺开有散热孔，便于内部设备散热，门板表面采用静电喷塑工艺。</w:t>
            </w:r>
          </w:p>
          <w:p w14:paraId="6D8D28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控制台两端部配置两块侧板，为了保证整体美观和协调。侧板材质采用钣金、木制和亚克力相结合的方式；侧板所采用的钣金材质为优质碳钢，钣金部分厚度73mm,侧板整体厚度100mm，金属侧板前部和后部都有LED装饰灯效，金属侧板表面采用静电吸塑工艺，防止生锈；侧板LOGO定制区域嵌入电子屏显示铭牌信息，内容支持自定义编辑。</w:t>
            </w:r>
          </w:p>
          <w:p w14:paraId="78397F5B">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8.▲控制台产品通过HJ2547-2016《环境标志产品技术要求》检测（投标文件中提供相应证明材料）。</w:t>
            </w:r>
          </w:p>
          <w:p w14:paraId="346E52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9.▲控制台台板边缘封边条需符合QB/T4463-2013家具用封边条技术标准，有害物质检测甲醛释放含量未检出（投标文件中提供第三方机构的检测报告）。</w:t>
            </w:r>
          </w:p>
        </w:tc>
        <w:tc>
          <w:tcPr>
            <w:tcW w:w="458" w:type="pct"/>
            <w:vAlign w:val="center"/>
          </w:tcPr>
          <w:p w14:paraId="20DBB8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445" w:type="pct"/>
            <w:vAlign w:val="center"/>
          </w:tcPr>
          <w:p w14:paraId="215647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43" w:type="pct"/>
            <w:vAlign w:val="center"/>
          </w:tcPr>
          <w:p w14:paraId="24D5A4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624E9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3BC50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40D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F9BDD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0FFCAF04">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操作台配件</w:t>
            </w:r>
          </w:p>
        </w:tc>
      </w:tr>
      <w:tr w14:paraId="1118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8D799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36B869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显示器支臂</w:t>
            </w:r>
          </w:p>
        </w:tc>
        <w:tc>
          <w:tcPr>
            <w:tcW w:w="1872" w:type="pct"/>
            <w:vAlign w:val="center"/>
          </w:tcPr>
          <w:p w14:paraId="381455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1、显示器支臂能承受不小于18公斤的负载，具备伸展能力；</w:t>
            </w:r>
          </w:p>
          <w:p w14:paraId="32A595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2、满足前后倾角在±40°范围；</w:t>
            </w:r>
          </w:p>
          <w:p w14:paraId="46459C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3、悬挂手臂底座可以在不使用工具的条件下，在任意位置定位和固定。</w:t>
            </w:r>
          </w:p>
        </w:tc>
        <w:tc>
          <w:tcPr>
            <w:tcW w:w="458" w:type="pct"/>
            <w:vAlign w:val="center"/>
          </w:tcPr>
          <w:p w14:paraId="6F7155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445" w:type="pct"/>
            <w:vAlign w:val="center"/>
          </w:tcPr>
          <w:p w14:paraId="436A30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3A8CADF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46E91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DFC4C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EF6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EE87E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3F49D1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电源PDU</w:t>
            </w:r>
          </w:p>
        </w:tc>
        <w:tc>
          <w:tcPr>
            <w:tcW w:w="1872" w:type="pct"/>
            <w:vAlign w:val="center"/>
          </w:tcPr>
          <w:p w14:paraId="160C1D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八位三孔电源，万用孔，安装在控制台内部，可以竖向安装，侧面安装框架及框架中间安装；外壳为铝合金，表面喷涂处理，坚固耐用、防火防锈；优质锡（磷）青铜插套，PDU输入电流16A,输出电流10A，最大承载功率3520W；3灯防雷防浪涌。</w:t>
            </w:r>
          </w:p>
        </w:tc>
        <w:tc>
          <w:tcPr>
            <w:tcW w:w="458" w:type="pct"/>
            <w:vAlign w:val="center"/>
          </w:tcPr>
          <w:p w14:paraId="44D366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445" w:type="pct"/>
            <w:vAlign w:val="center"/>
          </w:tcPr>
          <w:p w14:paraId="0EFD06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20B1A1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301D5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0BFB9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D93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A0C0E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787A27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座椅</w:t>
            </w:r>
          </w:p>
        </w:tc>
        <w:tc>
          <w:tcPr>
            <w:tcW w:w="1872" w:type="pct"/>
            <w:vAlign w:val="center"/>
          </w:tcPr>
          <w:p w14:paraId="602736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1.头枕可高低调节，椅背可五段高低调节；</w:t>
            </w:r>
          </w:p>
          <w:p w14:paraId="34E914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2.黑色塑胶框架，PU扶手垫；</w:t>
            </w:r>
          </w:p>
          <w:p w14:paraId="367007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3.塑胶头枕插条、头枕横把手；</w:t>
            </w:r>
          </w:p>
          <w:p w14:paraId="43C8F2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4.背支撑架、底盘支撑架均为铝合金精抛光；</w:t>
            </w:r>
          </w:p>
          <w:p w14:paraId="633E37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5.100MM气压棒,340MM铝合金精抛光椅脚,静音滑轮；</w:t>
            </w:r>
          </w:p>
          <w:p w14:paraId="26ACD1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6.椅长：665MM、椅宽：670MM、椅高：1150~1290MM、座垫最低：490MM、座垫最高：580M。</w:t>
            </w:r>
          </w:p>
        </w:tc>
        <w:tc>
          <w:tcPr>
            <w:tcW w:w="458" w:type="pct"/>
            <w:vAlign w:val="center"/>
          </w:tcPr>
          <w:p w14:paraId="14BE5D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445" w:type="pct"/>
            <w:vAlign w:val="center"/>
          </w:tcPr>
          <w:p w14:paraId="7FC126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60737C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A33C6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876BB2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317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82C1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36F1FAA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城运中心会议区</w:t>
            </w:r>
          </w:p>
        </w:tc>
      </w:tr>
      <w:tr w14:paraId="30F1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D30C8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49BE41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定制5席位指挥调度桌</w:t>
            </w:r>
          </w:p>
        </w:tc>
        <w:tc>
          <w:tcPr>
            <w:tcW w:w="1872" w:type="pct"/>
            <w:vAlign w:val="center"/>
          </w:tcPr>
          <w:p w14:paraId="3AC2C6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定制，参考规格：5000*600*760；颜色：白色</w:t>
            </w:r>
          </w:p>
          <w:p w14:paraId="7AE960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面板应使用实木颗粒板双面贴防火板加工，整体厚度不低于26mm;前后门板应使用实木颗粒板双贴防火板加工，整体厚度不低于20mm。前侧采用PVC封边条，应与桌面材质无缝拼接，后侧采用PVC封边，保证整体外观协调统一。</w:t>
            </w:r>
          </w:p>
          <w:p w14:paraId="58E454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2.配件：采用优质五金配件；安装严密、平整、牢固、结合处无崩茬和松动；配置优质尼龙脚垫。</w:t>
            </w:r>
          </w:p>
          <w:p w14:paraId="635E97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3.须嵌入升降电子席卡和升降话筒。</w:t>
            </w:r>
          </w:p>
        </w:tc>
        <w:tc>
          <w:tcPr>
            <w:tcW w:w="458" w:type="pct"/>
            <w:vAlign w:val="center"/>
          </w:tcPr>
          <w:p w14:paraId="023BC0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83BB8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362289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E9F4F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AF6E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30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FA066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2367AF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定制5席位列席桌</w:t>
            </w:r>
          </w:p>
        </w:tc>
        <w:tc>
          <w:tcPr>
            <w:tcW w:w="1872" w:type="pct"/>
            <w:vAlign w:val="center"/>
          </w:tcPr>
          <w:p w14:paraId="2830AEC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定制，参考规格：4000*600*760；颜色：白色</w:t>
            </w:r>
          </w:p>
          <w:p w14:paraId="63435CA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面板应使用实木颗粒板双面贴防火板加工，整体厚度不低于26mm;前后门板应使用实木颗粒板双贴防火板加工，整体厚度不低于20mm。前侧采用PVC封边条，应与桌面材质无缝拼接，后侧采用PVC封边，保证整体外观协调统一。</w:t>
            </w:r>
          </w:p>
          <w:p w14:paraId="6CA07A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2.会议桌整体按GB20286-2006附录C做燃烧测试等级达到阻燃1级。</w:t>
            </w:r>
          </w:p>
          <w:p w14:paraId="2B5164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3.配件：采用优质五金配件；安装严密、平整、牢固、结合处无崩茬和松动；配置优质尼龙脚垫。</w:t>
            </w:r>
          </w:p>
          <w:p w14:paraId="24BE03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4.须嵌入升降电子席卡和升降话筒。</w:t>
            </w:r>
          </w:p>
        </w:tc>
        <w:tc>
          <w:tcPr>
            <w:tcW w:w="458" w:type="pct"/>
            <w:vAlign w:val="center"/>
          </w:tcPr>
          <w:p w14:paraId="164678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0FF215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0DC831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D5486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DD07C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A87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2F324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60868D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定制讲解席</w:t>
            </w:r>
          </w:p>
        </w:tc>
        <w:tc>
          <w:tcPr>
            <w:tcW w:w="1872" w:type="pct"/>
            <w:vAlign w:val="center"/>
          </w:tcPr>
          <w:p w14:paraId="48A686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定制，规格：750*450*1150；颜色：白色</w:t>
            </w:r>
          </w:p>
          <w:p w14:paraId="0F052F7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1.板材：优于E1级环保型三聚氰胺浸渍纸饰面无醛添加刨花板,符合 GB18580-2017检验标准，各种物理、化学性能指标均达到国标相关标准；</w:t>
            </w:r>
          </w:p>
          <w:p w14:paraId="3B406B3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546E1C1E">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14FE633">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259EDA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36C19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025C17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1E43F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279DA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DDC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0800F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47EBF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会议区座椅</w:t>
            </w:r>
          </w:p>
        </w:tc>
        <w:tc>
          <w:tcPr>
            <w:tcW w:w="1872" w:type="pct"/>
            <w:vAlign w:val="center"/>
          </w:tcPr>
          <w:p w14:paraId="6EFA7C9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1.椅子内部填充55#高密度、高弹性海绵；</w:t>
            </w:r>
          </w:p>
          <w:p w14:paraId="3204DB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2.采用橡胶实木椅架，木材均经过防虫、防潮、防腐、二次烘干蒸发处理，表面喷涂环保油漆，硬度达到H级。</w:t>
            </w:r>
          </w:p>
        </w:tc>
        <w:tc>
          <w:tcPr>
            <w:tcW w:w="458" w:type="pct"/>
            <w:vAlign w:val="center"/>
          </w:tcPr>
          <w:p w14:paraId="21AB80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445" w:type="pct"/>
            <w:vAlign w:val="center"/>
          </w:tcPr>
          <w:p w14:paraId="095DD6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28AB35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2BE197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E59C4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575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E155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4566" w:type="pct"/>
            <w:gridSpan w:val="7"/>
            <w:vAlign w:val="center"/>
          </w:tcPr>
          <w:p w14:paraId="0EA85DC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指挥调度室</w:t>
            </w:r>
          </w:p>
        </w:tc>
      </w:tr>
      <w:tr w14:paraId="4AEC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63742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89852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16人会议桌</w:t>
            </w:r>
          </w:p>
        </w:tc>
        <w:tc>
          <w:tcPr>
            <w:tcW w:w="1872" w:type="pct"/>
            <w:vAlign w:val="center"/>
          </w:tcPr>
          <w:p w14:paraId="31B0F4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定制，规格：7800*2400*750；颜色：白色</w:t>
            </w:r>
          </w:p>
          <w:p w14:paraId="04E87A4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主框架采用可调整水平的固定脚支撑。结构部件应采用精密铸造的冷轧钢制造，确保钢度及方正性。表面经过耐磨电喷处理。主干架构使用铝型材为基材，通过开模连接件组装起来。坚固耐用，外表面使用静电吸塑工艺，表面附着黑色磨砂纹理，整体结构稳固防腐。框架结构由铝型材搭接成一个闭合结构，增强框架稳定性和牢固性。整体框架分为350框架，框架由钢制和铝型材混合构成。</w:t>
            </w:r>
          </w:p>
          <w:p w14:paraId="2823469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2.会议桌深度范围为可提供足够的腿部空间(450mm)。内部架构可以满足用户承载及放置不同设备的各种需求。</w:t>
            </w:r>
          </w:p>
          <w:p w14:paraId="616790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会议桌的台面：表面覆盖层应采用具有耐热、耐烟灼、耐撞击、耐潮湿、防水、耐腐蚀的高强度高压耐磨板（HPL），后部面板具有足够的支撑力以保证横向的稳定。面板与整体架构连为一体，面板拼接无缝隙。</w:t>
            </w:r>
          </w:p>
          <w:p w14:paraId="02D7BA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会议桌内部应有专业的走线槽，底柜内设置纵向、横向、竖向三个方向的扎线槽，使布线规范整齐、顺畅美观、合理安全，也便于后期的维护保养及设备管理，强、弱电分开。走线槽附近有足够的布线空间，可以合理有序的进行布线，同时保证了后期维护、更换的方便性和灵活性。</w:t>
            </w:r>
          </w:p>
          <w:p w14:paraId="406BA7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侧板立柱：为保证整体美观、协调，侧端增加LOGO效果和侧立柱，采用方倒圆造型元素；采用1.5mm厚的优质钣金加工而成，且为模块化设计样式，方便安装，同时配备有亚克力灯光系统，增强会议桌的科技感；侧板可以对LOGO定制化要求。</w:t>
            </w:r>
          </w:p>
          <w:p w14:paraId="114C97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需嵌入无纸化会议系统升降设备。</w:t>
            </w:r>
          </w:p>
        </w:tc>
        <w:tc>
          <w:tcPr>
            <w:tcW w:w="458" w:type="pct"/>
            <w:vAlign w:val="center"/>
          </w:tcPr>
          <w:p w14:paraId="3AF644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38A7D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0EB53F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04C30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9F804E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D32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018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698134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定制5席位列席桌</w:t>
            </w:r>
          </w:p>
        </w:tc>
        <w:tc>
          <w:tcPr>
            <w:tcW w:w="1872" w:type="pct"/>
            <w:vAlign w:val="center"/>
          </w:tcPr>
          <w:p w14:paraId="2A8103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定制，参考规格：4000*600*760；颜色：白色</w:t>
            </w:r>
          </w:p>
          <w:p w14:paraId="258585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面板应使用实木颗粒板双面贴防火板加工，整体厚度不低于26mm;前后门板应使用实木颗粒板双贴防火板加工，整体厚度不低于20mm。前侧采用PVC封边条，应与桌面材质无缝拼接，后侧采用PVC封边，保证整体外观协调统一。</w:t>
            </w:r>
          </w:p>
          <w:p w14:paraId="12D39A5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2.配件：采用优质五金配件；安装严密、平整、牢固、结合处无崩茬和松动；配置优质尼龙脚垫。</w:t>
            </w:r>
          </w:p>
        </w:tc>
        <w:tc>
          <w:tcPr>
            <w:tcW w:w="458" w:type="pct"/>
            <w:vAlign w:val="center"/>
          </w:tcPr>
          <w:p w14:paraId="681CB1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2D458D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6AB77BD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27FD8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87D0A1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E09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6F745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6EBC51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会议椅</w:t>
            </w:r>
          </w:p>
        </w:tc>
        <w:tc>
          <w:tcPr>
            <w:tcW w:w="1872" w:type="pct"/>
            <w:vAlign w:val="center"/>
          </w:tcPr>
          <w:p w14:paraId="6E9E91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1.椅子内部填充55#高密度、高弹性海绵；</w:t>
            </w:r>
          </w:p>
          <w:p w14:paraId="7A08FE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2.采用橡胶实木椅架，木材均经过防虫、防潮、防腐、二次烘干蒸发处理，表面喷涂环保油漆，硬度达到H级。</w:t>
            </w:r>
          </w:p>
        </w:tc>
        <w:tc>
          <w:tcPr>
            <w:tcW w:w="458" w:type="pct"/>
            <w:vAlign w:val="center"/>
          </w:tcPr>
          <w:p w14:paraId="2B048F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445" w:type="pct"/>
            <w:vAlign w:val="center"/>
          </w:tcPr>
          <w:p w14:paraId="1F3034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111DEF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F31F6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B05F55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31D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AC830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十五</w:t>
            </w:r>
          </w:p>
        </w:tc>
        <w:tc>
          <w:tcPr>
            <w:tcW w:w="4566" w:type="pct"/>
            <w:gridSpan w:val="7"/>
            <w:vAlign w:val="center"/>
          </w:tcPr>
          <w:p w14:paraId="5A567D9E">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附属用房配套设施</w:t>
            </w:r>
          </w:p>
        </w:tc>
      </w:tr>
      <w:tr w14:paraId="7211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2872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4566" w:type="pct"/>
            <w:gridSpan w:val="7"/>
            <w:vAlign w:val="center"/>
          </w:tcPr>
          <w:p w14:paraId="3E15FF7E">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1F配套设施</w:t>
            </w:r>
          </w:p>
        </w:tc>
      </w:tr>
      <w:tr w14:paraId="2089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B68C5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647FFB99">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更衣室</w:t>
            </w:r>
          </w:p>
        </w:tc>
      </w:tr>
      <w:tr w14:paraId="4549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5840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220D54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衣柜</w:t>
            </w:r>
          </w:p>
        </w:tc>
        <w:tc>
          <w:tcPr>
            <w:tcW w:w="1872" w:type="pct"/>
            <w:vAlign w:val="center"/>
          </w:tcPr>
          <w:p w14:paraId="14D486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规格：860mm*390mm*1800mm；颜色：白色</w:t>
            </w:r>
          </w:p>
          <w:p w14:paraId="056714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1、钢板：采用厚度≥0.7mm一级冷轧钢板，坚固耐用，经过防锈处理；硬度≥5H；</w:t>
            </w:r>
          </w:p>
          <w:p w14:paraId="353DAB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2、工艺要求：钢制零件采用模具生产，液压机成型；整体采用二氧化碳保护焊接，结合螺丝螺母紧固；</w:t>
            </w:r>
          </w:p>
          <w:p w14:paraId="34C6EF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3、钢制件表面要求：除油除污、焊点打磨，环氧树脂喷塑，高温固化；</w:t>
            </w:r>
          </w:p>
          <w:p w14:paraId="25F2E78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4、五金配件：优质五金件，门铰、锁具及把手、钢板表面经脱脂、除锈、酸洗磷化处理后，优质环保粉末高压静电喷涂。</w:t>
            </w:r>
          </w:p>
        </w:tc>
        <w:tc>
          <w:tcPr>
            <w:tcW w:w="458" w:type="pct"/>
            <w:vAlign w:val="center"/>
          </w:tcPr>
          <w:p w14:paraId="01EAE9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445" w:type="pct"/>
            <w:vAlign w:val="center"/>
          </w:tcPr>
          <w:p w14:paraId="459FA2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20B39F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CD9C9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B74F1E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D66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525C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514D31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长凳</w:t>
            </w:r>
          </w:p>
        </w:tc>
        <w:tc>
          <w:tcPr>
            <w:tcW w:w="1872" w:type="pct"/>
            <w:vAlign w:val="center"/>
          </w:tcPr>
          <w:p w14:paraId="15148FF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规格：1200mm*300mm*400mm；颜色：黑色</w:t>
            </w:r>
          </w:p>
          <w:p w14:paraId="0D8818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1、面料：优质西皮，透气性强。经液态浸色及防潮、防污等工艺处理,皮面更加柔软舒适,光泽持久；</w:t>
            </w:r>
          </w:p>
          <w:p w14:paraId="5AFD99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2、支架：优质电镀支架，壁厚不小于1.2mm,表面经喷涂防锈处理，安装严密、平整、端正、牢固，结合处无崩茬和松动。</w:t>
            </w:r>
          </w:p>
        </w:tc>
        <w:tc>
          <w:tcPr>
            <w:tcW w:w="458" w:type="pct"/>
            <w:vAlign w:val="center"/>
          </w:tcPr>
          <w:p w14:paraId="07C540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45" w:type="pct"/>
            <w:vAlign w:val="center"/>
          </w:tcPr>
          <w:p w14:paraId="4726D1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144652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E34C0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8B86E1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96C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5F9C5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4444A9B9">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值班室</w:t>
            </w:r>
          </w:p>
        </w:tc>
      </w:tr>
      <w:tr w14:paraId="3AC1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33" w:type="pct"/>
            <w:vAlign w:val="center"/>
          </w:tcPr>
          <w:p w14:paraId="63675F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AFB33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上下铺床</w:t>
            </w:r>
          </w:p>
        </w:tc>
        <w:tc>
          <w:tcPr>
            <w:tcW w:w="1872" w:type="pct"/>
            <w:vAlign w:val="center"/>
          </w:tcPr>
          <w:p w14:paraId="00078C43">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规格：1000mm*2000mm*1800mm；颜色：原木色；含水量≤12%。</w:t>
            </w:r>
          </w:p>
        </w:tc>
        <w:tc>
          <w:tcPr>
            <w:tcW w:w="458" w:type="pct"/>
            <w:vAlign w:val="center"/>
          </w:tcPr>
          <w:p w14:paraId="768DF2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45" w:type="pct"/>
            <w:vAlign w:val="center"/>
          </w:tcPr>
          <w:p w14:paraId="772F2F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3" w:type="pct"/>
            <w:vAlign w:val="center"/>
          </w:tcPr>
          <w:p w14:paraId="6B05FF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91C6BE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6F54D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320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4B0A7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15EBBE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配套棕垫</w:t>
            </w:r>
          </w:p>
        </w:tc>
        <w:tc>
          <w:tcPr>
            <w:tcW w:w="1872" w:type="pct"/>
            <w:vAlign w:val="center"/>
          </w:tcPr>
          <w:p w14:paraId="23E14259">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规格：1000mm*1980mm*50mm</w:t>
            </w:r>
          </w:p>
        </w:tc>
        <w:tc>
          <w:tcPr>
            <w:tcW w:w="458" w:type="pct"/>
            <w:vAlign w:val="center"/>
          </w:tcPr>
          <w:p w14:paraId="4D9450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445" w:type="pct"/>
            <w:vAlign w:val="center"/>
          </w:tcPr>
          <w:p w14:paraId="221DBF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591F93D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E3A97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7E89F2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88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D586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693201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床头柜</w:t>
            </w:r>
          </w:p>
        </w:tc>
        <w:tc>
          <w:tcPr>
            <w:tcW w:w="1872" w:type="pct"/>
            <w:vAlign w:val="center"/>
          </w:tcPr>
          <w:p w14:paraId="3C4C0FBB">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规格：500mm*450mm*500mm；采用E1级环保型三聚氰胺浸渍纸饰面无醛添加刨花板,符合 GB18580-2017检验标准，各种物理、化学性能指标均达到国标相关标准。</w:t>
            </w:r>
          </w:p>
        </w:tc>
        <w:tc>
          <w:tcPr>
            <w:tcW w:w="458" w:type="pct"/>
            <w:vAlign w:val="center"/>
          </w:tcPr>
          <w:p w14:paraId="1C966A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45" w:type="pct"/>
            <w:vAlign w:val="center"/>
          </w:tcPr>
          <w:p w14:paraId="437B5C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69BACE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47A1D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498E9E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36C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3579E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070F4C8F">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办公室</w:t>
            </w:r>
          </w:p>
        </w:tc>
      </w:tr>
      <w:tr w14:paraId="591B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4076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0BEA23D">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0384C4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规格：1400mm*700mm*750mm；颜色：白色</w:t>
            </w:r>
          </w:p>
          <w:p w14:paraId="2AA4C7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1、基材：优质E1级三聚氰胺浸渍纸饰面无醛添加刨花板，耐酸碱、防虫、防腐特殊处理,抗弯力强，不易变形；</w:t>
            </w:r>
          </w:p>
          <w:p w14:paraId="3C3266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封边：选用 PVC 封边，弹性好，耐撞击；</w:t>
            </w:r>
          </w:p>
          <w:p w14:paraId="4CBB09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2、粘胶：选用优质环保胶粘剂，符合GB18583-2008标准；</w:t>
            </w:r>
          </w:p>
          <w:p w14:paraId="3AA923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3、配件：采用优质五金配件，经久耐用；配置优质尼龙脚垫。</w:t>
            </w:r>
          </w:p>
          <w:p w14:paraId="1DBF60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4、支架：优质钢制支架，壁厚不小于1.2mm,表面经喷涂防锈处理。</w:t>
            </w:r>
          </w:p>
          <w:p w14:paraId="242C68C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备注：每位配置一个活动柜。</w:t>
            </w:r>
          </w:p>
        </w:tc>
        <w:tc>
          <w:tcPr>
            <w:tcW w:w="458" w:type="pct"/>
            <w:vAlign w:val="center"/>
          </w:tcPr>
          <w:p w14:paraId="1AD4B9AE">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445" w:type="pct"/>
            <w:vAlign w:val="center"/>
          </w:tcPr>
          <w:p w14:paraId="66DC030D">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4B1BB3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73D486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A8B98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BFD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64B7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2D15439E">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3A7EA9D3">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 采用优质尼龙五星脚架，承载能力强、耐磨性能好、移动杂音小。</w:t>
            </w:r>
          </w:p>
        </w:tc>
        <w:tc>
          <w:tcPr>
            <w:tcW w:w="458" w:type="pct"/>
            <w:vAlign w:val="center"/>
          </w:tcPr>
          <w:p w14:paraId="59763F25">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445" w:type="pct"/>
            <w:vAlign w:val="center"/>
          </w:tcPr>
          <w:p w14:paraId="6A54685B">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65394A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833B69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A412B0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EC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4D1BD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FE70DC1">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文件柜</w:t>
            </w:r>
          </w:p>
        </w:tc>
        <w:tc>
          <w:tcPr>
            <w:tcW w:w="1872" w:type="pct"/>
            <w:vAlign w:val="center"/>
          </w:tcPr>
          <w:p w14:paraId="49774A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规格：800mm*400mm*2000mm；</w:t>
            </w:r>
          </w:p>
          <w:p w14:paraId="0FA8A8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3409BC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w:t>
            </w:r>
          </w:p>
          <w:p w14:paraId="6D713F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0184C2B3">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3ECD3B19">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45" w:type="pct"/>
            <w:vAlign w:val="center"/>
          </w:tcPr>
          <w:p w14:paraId="052D4A76">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5209890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3435C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48D05D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B49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F3C48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3048D48F">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茶水柜</w:t>
            </w:r>
          </w:p>
        </w:tc>
        <w:tc>
          <w:tcPr>
            <w:tcW w:w="1872" w:type="pct"/>
            <w:vAlign w:val="center"/>
          </w:tcPr>
          <w:p w14:paraId="0E3C66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规格：1200mm*400mm*800mm；</w:t>
            </w:r>
          </w:p>
          <w:p w14:paraId="29A486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54764F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5D8C17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766CC4A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758D8089">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001DE9CD">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172F60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8F9D3A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C2D74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EB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9CB68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4566" w:type="pct"/>
            <w:gridSpan w:val="7"/>
            <w:vAlign w:val="center"/>
          </w:tcPr>
          <w:p w14:paraId="5C9264C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2F配套设施</w:t>
            </w:r>
          </w:p>
        </w:tc>
      </w:tr>
      <w:tr w14:paraId="6B26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E5EC2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4936830E">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接待室</w:t>
            </w:r>
          </w:p>
        </w:tc>
      </w:tr>
      <w:tr w14:paraId="4939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BB927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2707ACA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单人沙发</w:t>
            </w:r>
          </w:p>
        </w:tc>
        <w:tc>
          <w:tcPr>
            <w:tcW w:w="1872" w:type="pct"/>
            <w:vAlign w:val="center"/>
          </w:tcPr>
          <w:p w14:paraId="06F88B64">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面料：优质牛皮，皮质细腻，光泽度好，透气性强；</w:t>
            </w:r>
          </w:p>
          <w:p w14:paraId="5AE9C1F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海绵：软硬适中，压膜量达到国家现行阻燃标准；</w:t>
            </w:r>
          </w:p>
          <w:p w14:paraId="322A7EA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脚架：优质钢制脚架，壁厚≥1.2mm,表面经喷涂防锈处理。</w:t>
            </w:r>
          </w:p>
        </w:tc>
        <w:tc>
          <w:tcPr>
            <w:tcW w:w="458" w:type="pct"/>
            <w:vAlign w:val="center"/>
          </w:tcPr>
          <w:p w14:paraId="0D3CDE4C">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2C240329">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01D57F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65E452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61654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0C4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610D61">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31DAFD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三人沙发</w:t>
            </w:r>
          </w:p>
        </w:tc>
        <w:tc>
          <w:tcPr>
            <w:tcW w:w="1872" w:type="pct"/>
            <w:vAlign w:val="center"/>
          </w:tcPr>
          <w:p w14:paraId="1A36748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面料：优质牛皮，皮质细腻，光泽度好，透气性强；</w:t>
            </w:r>
          </w:p>
          <w:p w14:paraId="39E511C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海绵：软硬适中，压膜量达到国家现行阻燃标准；</w:t>
            </w:r>
          </w:p>
          <w:p w14:paraId="0499DE9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脚架：优质钢制脚架，壁厚≥1.2mm,表面经喷涂防锈处理。</w:t>
            </w:r>
          </w:p>
        </w:tc>
        <w:tc>
          <w:tcPr>
            <w:tcW w:w="458" w:type="pct"/>
            <w:vAlign w:val="center"/>
          </w:tcPr>
          <w:p w14:paraId="171DFB55">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BCD5976">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6D6C4D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3188E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9AF433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8BF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4E75C0D">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07B86C93">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大茶几</w:t>
            </w:r>
          </w:p>
        </w:tc>
        <w:tc>
          <w:tcPr>
            <w:tcW w:w="1872" w:type="pct"/>
            <w:vAlign w:val="center"/>
          </w:tcPr>
          <w:p w14:paraId="39DEBCB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规格：1200mm*600mm*450mm；颜色：黑色</w:t>
            </w:r>
          </w:p>
          <w:p w14:paraId="1CD305F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1、基材：采用优质E1级三聚氰胺浸渍纸饰面无醛添加刨花板，经耐酸碱、防虫、防腐特殊处理,抗弯力强，不易变形；</w:t>
            </w:r>
          </w:p>
          <w:p w14:paraId="777D84F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2、粘胶：选用优质高级环保胶粘剂，符合GB18583-2008标准；</w:t>
            </w:r>
          </w:p>
          <w:p w14:paraId="6DBCCBD6">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3、支架：电镀支架，壁厚不小于1.2mm,表面经喷涂防锈处理。</w:t>
            </w:r>
          </w:p>
        </w:tc>
        <w:tc>
          <w:tcPr>
            <w:tcW w:w="458" w:type="pct"/>
            <w:vAlign w:val="center"/>
          </w:tcPr>
          <w:p w14:paraId="6865B05F">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5BAC5D69">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1484552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35B8C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BB4EC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E32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615EE20">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2951F23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小茶几</w:t>
            </w:r>
          </w:p>
        </w:tc>
        <w:tc>
          <w:tcPr>
            <w:tcW w:w="1872" w:type="pct"/>
            <w:vAlign w:val="center"/>
          </w:tcPr>
          <w:p w14:paraId="196465B9">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规格：600mm*600mm*450mm；颜色：黑色</w:t>
            </w:r>
          </w:p>
          <w:p w14:paraId="2442AF3C">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1、基材：采用优质E1级三聚氰胺浸渍纸饰面无醛添加刨花板，经耐酸碱、防虫、防腐特殊处理,抗弯力强，不易变形；</w:t>
            </w:r>
          </w:p>
          <w:p w14:paraId="5BB5C6A1">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2、粘胶：选用优质高级环保胶粘剂，符合GB18583-2008标准；</w:t>
            </w:r>
          </w:p>
          <w:p w14:paraId="07015FD8">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3、支架：电镀支架，壁厚不小于1.2mm,表面经喷涂防锈处理。</w:t>
            </w:r>
          </w:p>
        </w:tc>
        <w:tc>
          <w:tcPr>
            <w:tcW w:w="458" w:type="pct"/>
            <w:vAlign w:val="center"/>
          </w:tcPr>
          <w:p w14:paraId="26769946">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45A81754">
            <w:pPr>
              <w:keepNext w:val="0"/>
              <w:keepLines w:val="0"/>
              <w:pageBreakBefore w:val="0"/>
              <w:widowControl/>
              <w:suppressLineNumbers w:val="0"/>
              <w:kinsoku/>
              <w:wordWrap w:val="0"/>
              <w:overflowPunct/>
              <w:topLinePunct w:val="0"/>
              <w:autoSpaceDE/>
              <w:autoSpaceDN/>
              <w:bidi w:val="0"/>
              <w:adjustRightInd/>
              <w:snapToGrid/>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1A229B4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DD02B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1126A0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2CE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26BAB0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20FCF8C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办公室一</w:t>
            </w:r>
          </w:p>
        </w:tc>
      </w:tr>
      <w:tr w14:paraId="508A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CAC56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478864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743B5A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规格：2000mm*1000mm*750mm；</w:t>
            </w:r>
          </w:p>
          <w:p w14:paraId="74AE60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094E15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73702A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57F75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53EEF3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4E2E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5B3257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962FB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D71CF5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79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52649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C8F2A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52ECFA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常规；脚架：采用优质铝合金脚架。</w:t>
            </w:r>
          </w:p>
        </w:tc>
        <w:tc>
          <w:tcPr>
            <w:tcW w:w="458" w:type="pct"/>
            <w:vAlign w:val="center"/>
          </w:tcPr>
          <w:p w14:paraId="6603E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7BE19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7FD4A9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F135A8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2FF4B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80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21D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32904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文件柜</w:t>
            </w:r>
          </w:p>
        </w:tc>
        <w:tc>
          <w:tcPr>
            <w:tcW w:w="1872" w:type="pct"/>
            <w:vAlign w:val="center"/>
          </w:tcPr>
          <w:p w14:paraId="199A1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规格：2400mm*400mm*2000mm；</w:t>
            </w:r>
          </w:p>
          <w:p w14:paraId="566985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71FF7E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08FF94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5776E0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7ADE77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12365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0F7969E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D031B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D70B8D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41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4DB4B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7ACFA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班前椅</w:t>
            </w:r>
          </w:p>
        </w:tc>
        <w:tc>
          <w:tcPr>
            <w:tcW w:w="1872" w:type="pct"/>
            <w:vAlign w:val="center"/>
          </w:tcPr>
          <w:p w14:paraId="0106F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常规；脚架：采用优质电镀弓形架，壁厚不小于1.5mm。</w:t>
            </w:r>
          </w:p>
        </w:tc>
        <w:tc>
          <w:tcPr>
            <w:tcW w:w="458" w:type="pct"/>
            <w:vAlign w:val="center"/>
          </w:tcPr>
          <w:p w14:paraId="03D05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F6F2A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78203E3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C5673F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39401E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BE8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6ECF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42453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双人沙发</w:t>
            </w:r>
          </w:p>
        </w:tc>
        <w:tc>
          <w:tcPr>
            <w:tcW w:w="1872" w:type="pct"/>
            <w:vAlign w:val="center"/>
          </w:tcPr>
          <w:p w14:paraId="63689E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面料：优质牛皮，皮质细腻，光泽度好，透气性强；</w:t>
            </w:r>
          </w:p>
          <w:p w14:paraId="00153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海绵：软硬适中，压膜量达到国家现行阻燃标准；</w:t>
            </w:r>
          </w:p>
          <w:p w14:paraId="295484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脚架：优质钢制脚架，壁厚≥1.2mm,表面经喷涂防锈处理。</w:t>
            </w:r>
          </w:p>
        </w:tc>
        <w:tc>
          <w:tcPr>
            <w:tcW w:w="458" w:type="pct"/>
            <w:vAlign w:val="center"/>
          </w:tcPr>
          <w:p w14:paraId="01C621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5A0C7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7F701C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ECE108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554A2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074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9BAF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39649708">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办公室二</w:t>
            </w:r>
          </w:p>
        </w:tc>
      </w:tr>
      <w:tr w14:paraId="4922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5276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0518C7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2F2589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规格：1600mm*800mm*750mm；</w:t>
            </w:r>
          </w:p>
          <w:p w14:paraId="638E2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0BB184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600E53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AB7A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6D70F6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3C81C8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540B4C1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DC92F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CFA66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32D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CC8C4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CA64B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4BBBE4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常规；脚架：采用优质铝合金脚架。</w:t>
            </w:r>
          </w:p>
        </w:tc>
        <w:tc>
          <w:tcPr>
            <w:tcW w:w="458" w:type="pct"/>
            <w:vAlign w:val="center"/>
          </w:tcPr>
          <w:p w14:paraId="6B44E0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5C8560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459A9B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6211FF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91ED5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B1F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FE7D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0C08B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文件柜</w:t>
            </w:r>
          </w:p>
        </w:tc>
        <w:tc>
          <w:tcPr>
            <w:tcW w:w="1872" w:type="pct"/>
            <w:vAlign w:val="center"/>
          </w:tcPr>
          <w:p w14:paraId="4C45A6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规格：800mm*400mm*2000mm；</w:t>
            </w:r>
          </w:p>
          <w:p w14:paraId="388876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624F8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w:t>
            </w:r>
          </w:p>
          <w:p w14:paraId="583918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31761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0C6DBB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39797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40033B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4972E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0AAA9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D4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E1A4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393ED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茶水柜</w:t>
            </w:r>
          </w:p>
        </w:tc>
        <w:tc>
          <w:tcPr>
            <w:tcW w:w="1872" w:type="pct"/>
            <w:vAlign w:val="center"/>
          </w:tcPr>
          <w:p w14:paraId="66ECDC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规格：1200mm*400mm*800mm；</w:t>
            </w:r>
          </w:p>
          <w:p w14:paraId="0A3A0F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31A721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525265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3E2A48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5F0272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ACEA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73018F9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D4BEE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8CAEF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07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D877D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4566" w:type="pct"/>
            <w:gridSpan w:val="7"/>
            <w:vAlign w:val="center"/>
          </w:tcPr>
          <w:p w14:paraId="7B581C1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办公室三</w:t>
            </w:r>
          </w:p>
        </w:tc>
      </w:tr>
      <w:tr w14:paraId="09BB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B312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6D848E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2DB88F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规格：1500mm*1200mm*1100mm；</w:t>
            </w:r>
          </w:p>
          <w:p w14:paraId="5F990F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1、基材：采用优质E1级三聚氰胺浸渍纸饰面无醛添加刨花板，经耐酸碱、防虫、防腐特殊处理,抗弯力强，不易变形；</w:t>
            </w:r>
          </w:p>
          <w:p w14:paraId="774BA0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2、封边：选用 PVC 封边，经全自动封边机高温封边，弹性好，耐撞击；</w:t>
            </w:r>
          </w:p>
          <w:p w14:paraId="61FF74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3、粘胶：选用优质高级环保胶粘剂，符合GB18583-2008标准；</w:t>
            </w:r>
          </w:p>
          <w:p w14:paraId="4BBFBC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4、配件：采用优质五金配件，经久耐用。安装严密、平整、牢固、结合处无崩茬和松动；配置优质尼龙脚垫。</w:t>
            </w:r>
          </w:p>
        </w:tc>
        <w:tc>
          <w:tcPr>
            <w:tcW w:w="458" w:type="pct"/>
            <w:vAlign w:val="center"/>
          </w:tcPr>
          <w:p w14:paraId="610C9F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445" w:type="pct"/>
            <w:vAlign w:val="center"/>
          </w:tcPr>
          <w:p w14:paraId="5BCB1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11B9DA4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57FB8E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9D296F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0EA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94FE8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2EC4F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4A5271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常规；脚架：采用优质电镀弓形架，壁厚不小于1.5mm。</w:t>
            </w:r>
          </w:p>
        </w:tc>
        <w:tc>
          <w:tcPr>
            <w:tcW w:w="458" w:type="pct"/>
            <w:vAlign w:val="center"/>
          </w:tcPr>
          <w:p w14:paraId="3C0B5D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445" w:type="pct"/>
            <w:vAlign w:val="center"/>
          </w:tcPr>
          <w:p w14:paraId="311EE9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6E98103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CE162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B55C5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44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4A00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7C4A15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文件柜</w:t>
            </w:r>
          </w:p>
        </w:tc>
        <w:tc>
          <w:tcPr>
            <w:tcW w:w="1872" w:type="pct"/>
            <w:vAlign w:val="center"/>
          </w:tcPr>
          <w:p w14:paraId="28D69B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规格：800mm*400mm*2000mm；</w:t>
            </w:r>
          </w:p>
          <w:p w14:paraId="7682A5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50E19E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w:t>
            </w:r>
          </w:p>
          <w:p w14:paraId="6ABD9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3、胶水：采用优质环保粉状脲醛树脂胶粘剂，符合GB/T 14074-2017 标准；</w:t>
            </w:r>
          </w:p>
          <w:p w14:paraId="36B831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01099E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45" w:type="pct"/>
            <w:vAlign w:val="center"/>
          </w:tcPr>
          <w:p w14:paraId="28EF70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29B21A0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78057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4EBAA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B1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13AA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67286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三人沙发</w:t>
            </w:r>
          </w:p>
        </w:tc>
        <w:tc>
          <w:tcPr>
            <w:tcW w:w="1872" w:type="pct"/>
            <w:vAlign w:val="center"/>
          </w:tcPr>
          <w:p w14:paraId="7CAD0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面料：优质牛皮，皮质细腻，光泽度好，透气性强；</w:t>
            </w:r>
          </w:p>
          <w:p w14:paraId="680559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海绵：软硬适中，压膜量达到国家现行阻燃标准；</w:t>
            </w:r>
          </w:p>
          <w:p w14:paraId="0677A2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脚架：优质钢制脚架，壁厚≥1.2mm,表面经喷涂防锈处理。</w:t>
            </w:r>
          </w:p>
        </w:tc>
        <w:tc>
          <w:tcPr>
            <w:tcW w:w="458" w:type="pct"/>
            <w:vAlign w:val="center"/>
          </w:tcPr>
          <w:p w14:paraId="6310C2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0F1D95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2EAC31B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21B15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76E2C5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9A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D5395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619D98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茶水柜</w:t>
            </w:r>
          </w:p>
        </w:tc>
        <w:tc>
          <w:tcPr>
            <w:tcW w:w="1872" w:type="pct"/>
            <w:vAlign w:val="center"/>
          </w:tcPr>
          <w:p w14:paraId="15DDAE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规格：800mm*400mm*800mm；</w:t>
            </w:r>
          </w:p>
          <w:p w14:paraId="6CEAEE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734C59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1210BE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9FA1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589D97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45" w:type="pct"/>
            <w:vAlign w:val="center"/>
          </w:tcPr>
          <w:p w14:paraId="653724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42CDDF6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0DDB3F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104C5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C32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E1E37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1A0BB3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1872" w:type="pct"/>
            <w:vAlign w:val="center"/>
          </w:tcPr>
          <w:p w14:paraId="15F82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1、打印准备时间≤11S；首页打印时间≤6S，打印速度≥24ppm，内存≥4GB，处理器主频：≥四核800MHz，最大打印分辨率(dpi)：1200*1200dpi；</w:t>
            </w:r>
          </w:p>
          <w:p w14:paraId="2A350E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2、标准进纸盒容量500页；标准出纸盒容量250页；</w:t>
            </w:r>
          </w:p>
          <w:p w14:paraId="13AFB9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3、设备接口：USB、RJ45，最高支持1000 Base-TX；</w:t>
            </w:r>
          </w:p>
          <w:p w14:paraId="1256E7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4、打印功能：支持自动双面打印、支持网络打印、支持PC端打印状态监控；</w:t>
            </w:r>
          </w:p>
          <w:p w14:paraId="44B7CA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5、复印功能：支持稿台（FB)、自动进稿器（ADF)、支持彩色复印、复印模式包含彩色、黑白；支持多页合一复印、自动双面复印、缩放复印、逐份复印；</w:t>
            </w:r>
          </w:p>
          <w:p w14:paraId="5433FD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6、扫描功能：支持彩色扫描、支持稿台（FB)、自动进稿（ADF)、支持双面扫描，自带扫描应用软件；</w:t>
            </w:r>
          </w:p>
          <w:p w14:paraId="01739E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tc>
        <w:tc>
          <w:tcPr>
            <w:tcW w:w="458" w:type="pct"/>
            <w:vAlign w:val="center"/>
          </w:tcPr>
          <w:p w14:paraId="18414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07F1B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0FC16C9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A1ED2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A743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3E66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D6042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4566" w:type="pct"/>
            <w:gridSpan w:val="7"/>
            <w:vAlign w:val="center"/>
          </w:tcPr>
          <w:p w14:paraId="66B0091B">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办公室四</w:t>
            </w:r>
          </w:p>
        </w:tc>
      </w:tr>
      <w:tr w14:paraId="7B33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B62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6611A5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3E7717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规格：1000mm*600mm*750mm；</w:t>
            </w:r>
          </w:p>
          <w:p w14:paraId="425E2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1、基材：优质E1级三聚氰胺浸渍纸饰面无醛添加刨花板，耐酸碱、防虫、防腐特殊处理,抗弯力强，不易变形；</w:t>
            </w:r>
          </w:p>
          <w:p w14:paraId="41E91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封边：选用 PVC 封边，弹性好，耐撞击；</w:t>
            </w:r>
          </w:p>
          <w:p w14:paraId="01BC4F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2、粘胶：选用优质环保胶粘剂，符合GB18583-2008标准；</w:t>
            </w:r>
          </w:p>
          <w:p w14:paraId="24054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3、配件：采用优质五金配件，经久耐用；配置优质尼龙脚垫。</w:t>
            </w:r>
          </w:p>
          <w:p w14:paraId="3DB25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4、支架：优质钢制支架，壁厚不小于1.2mm,表面经喷涂防锈处理。</w:t>
            </w:r>
          </w:p>
          <w:p w14:paraId="2E35E1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备注：每位配置一个活动柜。</w:t>
            </w:r>
          </w:p>
        </w:tc>
        <w:tc>
          <w:tcPr>
            <w:tcW w:w="458" w:type="pct"/>
            <w:vAlign w:val="center"/>
          </w:tcPr>
          <w:p w14:paraId="52938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445" w:type="pct"/>
            <w:vAlign w:val="center"/>
          </w:tcPr>
          <w:p w14:paraId="30EEBD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位</w:t>
            </w:r>
          </w:p>
        </w:tc>
        <w:tc>
          <w:tcPr>
            <w:tcW w:w="443" w:type="pct"/>
            <w:vAlign w:val="center"/>
          </w:tcPr>
          <w:p w14:paraId="181D711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C6C4C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F5B1A3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B7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599EE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49CA51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5AA9F8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常规；采用优质尼龙五星脚架，脚轮采用33%尼龙塑料加66%纤维制成，承载能力强、耐磨性能好、移动杂音小。</w:t>
            </w:r>
          </w:p>
        </w:tc>
        <w:tc>
          <w:tcPr>
            <w:tcW w:w="458" w:type="pct"/>
            <w:vAlign w:val="center"/>
          </w:tcPr>
          <w:p w14:paraId="3792F0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445" w:type="pct"/>
            <w:vAlign w:val="center"/>
          </w:tcPr>
          <w:p w14:paraId="2FFE60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5A2DAC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36D20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2ED498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BAC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96A1C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04ECD0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文件柜</w:t>
            </w:r>
          </w:p>
        </w:tc>
        <w:tc>
          <w:tcPr>
            <w:tcW w:w="1872" w:type="pct"/>
            <w:vAlign w:val="center"/>
          </w:tcPr>
          <w:p w14:paraId="39188D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规格：800mm*400mm*2000mm；</w:t>
            </w:r>
          </w:p>
          <w:p w14:paraId="6EACA7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3947F6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w:t>
            </w:r>
          </w:p>
          <w:p w14:paraId="550C72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4B1C9C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5591FF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45" w:type="pct"/>
            <w:vAlign w:val="center"/>
          </w:tcPr>
          <w:p w14:paraId="62EAC0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6393DB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0A99A0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C053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8C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90431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F</w:t>
            </w:r>
          </w:p>
        </w:tc>
        <w:tc>
          <w:tcPr>
            <w:tcW w:w="4566" w:type="pct"/>
            <w:gridSpan w:val="7"/>
            <w:vAlign w:val="center"/>
          </w:tcPr>
          <w:p w14:paraId="2085069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办公室五</w:t>
            </w:r>
          </w:p>
        </w:tc>
      </w:tr>
      <w:tr w14:paraId="6752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F7E7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3E9AC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379C7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规格：1400mm*700mm*750mm；颜色：白色</w:t>
            </w:r>
          </w:p>
          <w:p w14:paraId="3E4F2A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1、基材：优质E1级三聚氰胺浸渍纸饰面无醛添加刨花板，耐酸碱、防虫、防腐特殊处理,抗弯力强，不易变形；</w:t>
            </w:r>
          </w:p>
          <w:p w14:paraId="5BDFD1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封边：选用 PVC 封边，弹性好，耐撞击；</w:t>
            </w:r>
          </w:p>
          <w:p w14:paraId="2FF7F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2、粘胶：选用优质环保胶粘剂，符合GB18583-2008标准； </w:t>
            </w:r>
          </w:p>
          <w:p w14:paraId="0B422A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3、配件：采用优质五金配件，经久耐用；配置优质尼龙脚垫。</w:t>
            </w:r>
          </w:p>
          <w:p w14:paraId="5DA70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4、支架：优质钢制支架，壁厚不小于1.2mm,表面经喷涂防锈处理。</w:t>
            </w:r>
          </w:p>
          <w:p w14:paraId="1B0E2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备注：每位配置一个活动柜</w:t>
            </w:r>
          </w:p>
        </w:tc>
        <w:tc>
          <w:tcPr>
            <w:tcW w:w="458" w:type="pct"/>
            <w:vAlign w:val="center"/>
          </w:tcPr>
          <w:p w14:paraId="4CC298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733DE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194EBC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928FF0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F9EBC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C67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4BEE2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698541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69D699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常规；脚架： 采用优质尼龙五星脚架，承载能力强、耐磨性能好、移动杂音小。</w:t>
            </w:r>
          </w:p>
        </w:tc>
        <w:tc>
          <w:tcPr>
            <w:tcW w:w="458" w:type="pct"/>
            <w:vAlign w:val="center"/>
          </w:tcPr>
          <w:p w14:paraId="022A9D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6D5EF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28A652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94E8D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9DADC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47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DDCF9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D2EA2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1872" w:type="pct"/>
            <w:vAlign w:val="center"/>
          </w:tcPr>
          <w:p w14:paraId="02029A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类型：A4彩色激光单功能打印机；</w:t>
            </w:r>
          </w:p>
          <w:p w14:paraId="74FB91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1、打印准备时间≤8S，首页打印时间≤3S，打印速度≥38ppm；黑彩同速，内存≥1G；处理器主频≥双核1GHz，最大打印分辨率(dpi)1200*1200dpi，标准进纸盒容量250页，标准出纸盒容量125页</w:t>
            </w:r>
          </w:p>
          <w:p w14:paraId="123A46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2、设备接口：USB、RJ45，最高支持1000 Base-TX；</w:t>
            </w:r>
          </w:p>
          <w:p w14:paraId="66B8D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3、打印功能：具备自动双面打印；具备网络打印；具备PC端打印状态监控；</w:t>
            </w:r>
          </w:p>
          <w:p w14:paraId="2C3F92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4、操作系统：支持国际通用系统、麒麟、UOS等；</w:t>
            </w:r>
          </w:p>
          <w:p w14:paraId="7E0118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此项为政府强制采购节能产品，投标文件中提供所投产品须具有市场监管总局公布的《参与实施政府采购节能产品认证机构目录》中的认证机构出具的、处于有效期内的节能产品认证证书。</w:t>
            </w:r>
          </w:p>
        </w:tc>
        <w:tc>
          <w:tcPr>
            <w:tcW w:w="458" w:type="pct"/>
            <w:vAlign w:val="center"/>
          </w:tcPr>
          <w:p w14:paraId="35A933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A040C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台 </w:t>
            </w:r>
          </w:p>
        </w:tc>
        <w:tc>
          <w:tcPr>
            <w:tcW w:w="443" w:type="pct"/>
            <w:vAlign w:val="center"/>
          </w:tcPr>
          <w:p w14:paraId="613521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281D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否</w:t>
            </w:r>
          </w:p>
        </w:tc>
        <w:tc>
          <w:tcPr>
            <w:tcW w:w="332" w:type="pct"/>
            <w:vAlign w:val="center"/>
          </w:tcPr>
          <w:p w14:paraId="6D96BF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政府强制采购节能产品</w:t>
            </w:r>
          </w:p>
        </w:tc>
      </w:tr>
      <w:tr w14:paraId="5439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B7DC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w:t>
            </w:r>
          </w:p>
        </w:tc>
        <w:tc>
          <w:tcPr>
            <w:tcW w:w="4566" w:type="pct"/>
            <w:gridSpan w:val="7"/>
            <w:vAlign w:val="center"/>
          </w:tcPr>
          <w:p w14:paraId="3883B868">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档案室</w:t>
            </w:r>
          </w:p>
        </w:tc>
      </w:tr>
      <w:tr w14:paraId="576D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1D0E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3B1B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3045D7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规格：1400mm*700mm*750mm；颜色：白色</w:t>
            </w:r>
          </w:p>
          <w:p w14:paraId="46F867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1、基材：优质E1级三聚氰胺浸渍纸饰面无醛添加刨花板，耐酸碱、防虫、防腐特殊处理,抗弯力强，不易变形；</w:t>
            </w:r>
          </w:p>
          <w:p w14:paraId="7CD2E7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封边：选用 PVC 封边，弹性好，耐撞击；</w:t>
            </w:r>
          </w:p>
          <w:p w14:paraId="4A8BCE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2、粘胶：选用优质环保胶粘剂，符合GB18583-2008标准；</w:t>
            </w:r>
          </w:p>
          <w:p w14:paraId="6E8B2B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3、配件：采用优质五金配件，经久耐用；配置优质尼龙脚垫。</w:t>
            </w:r>
          </w:p>
          <w:p w14:paraId="1DF48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4、支架：优质钢制支架，壁厚不小于1.2mm,表面经喷涂防锈处理。</w:t>
            </w:r>
          </w:p>
          <w:p w14:paraId="1FF53C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备注：每位配置一个活动柜</w:t>
            </w:r>
          </w:p>
        </w:tc>
        <w:tc>
          <w:tcPr>
            <w:tcW w:w="458" w:type="pct"/>
            <w:vAlign w:val="center"/>
          </w:tcPr>
          <w:p w14:paraId="0BB020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E47B3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2BF4EF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7F73B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65FFAC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B3E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33" w:type="pct"/>
            <w:vAlign w:val="center"/>
          </w:tcPr>
          <w:p w14:paraId="6A5F4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5A4205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653E91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常规；脚架：采用优质尼龙五星脚架，承载能力强、耐磨性能好、移动杂音小。</w:t>
            </w:r>
          </w:p>
        </w:tc>
        <w:tc>
          <w:tcPr>
            <w:tcW w:w="458" w:type="pct"/>
            <w:vAlign w:val="center"/>
          </w:tcPr>
          <w:p w14:paraId="7D17C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2C10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7E2BACD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E8D2E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31BE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91E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A935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033AF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文件柜</w:t>
            </w:r>
          </w:p>
        </w:tc>
        <w:tc>
          <w:tcPr>
            <w:tcW w:w="1872" w:type="pct"/>
            <w:vAlign w:val="center"/>
          </w:tcPr>
          <w:p w14:paraId="7B16C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规格：800mm*400mm*2000mm；</w:t>
            </w:r>
          </w:p>
          <w:p w14:paraId="3A70A4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3B2290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w:t>
            </w:r>
          </w:p>
          <w:p w14:paraId="7BF419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5F4D71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59A384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45" w:type="pct"/>
            <w:vAlign w:val="center"/>
          </w:tcPr>
          <w:p w14:paraId="03CD39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63392E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FD3EDF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B44A0A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F4C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64F66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w:t>
            </w:r>
          </w:p>
        </w:tc>
        <w:tc>
          <w:tcPr>
            <w:tcW w:w="4566" w:type="pct"/>
            <w:gridSpan w:val="7"/>
            <w:vAlign w:val="center"/>
          </w:tcPr>
          <w:p w14:paraId="5C9C6A8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36人会议室</w:t>
            </w:r>
          </w:p>
        </w:tc>
      </w:tr>
      <w:tr w14:paraId="5B34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9A948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122C18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会议桌</w:t>
            </w:r>
          </w:p>
        </w:tc>
        <w:tc>
          <w:tcPr>
            <w:tcW w:w="1872" w:type="pct"/>
            <w:vAlign w:val="center"/>
          </w:tcPr>
          <w:p w14:paraId="0F67F0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规格：7000mm*2200mm*760mm；</w:t>
            </w:r>
          </w:p>
          <w:p w14:paraId="410334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7C86D3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44AAF9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3ADAE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4、五金：采用优质五金配件，经久耐用。安装严密、平整、端正、牢固，结合处无崩茬和松动。</w:t>
            </w:r>
          </w:p>
        </w:tc>
        <w:tc>
          <w:tcPr>
            <w:tcW w:w="458" w:type="pct"/>
            <w:vAlign w:val="center"/>
          </w:tcPr>
          <w:p w14:paraId="4E1D6D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4F299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2D08856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DDC53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449B88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9C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38C26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12A600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会议椅</w:t>
            </w:r>
          </w:p>
        </w:tc>
        <w:tc>
          <w:tcPr>
            <w:tcW w:w="1872" w:type="pct"/>
            <w:vAlign w:val="center"/>
          </w:tcPr>
          <w:p w14:paraId="741E6C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1.椅子内部填充高密度、高弹性海绵；</w:t>
            </w:r>
          </w:p>
          <w:p w14:paraId="3D5362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2.采用橡胶实木椅架，木材均经过防虫、防潮、防腐、二次烘干蒸发处理，表面喷涂环保油漆，硬度达到H级。</w:t>
            </w:r>
          </w:p>
        </w:tc>
        <w:tc>
          <w:tcPr>
            <w:tcW w:w="458" w:type="pct"/>
            <w:vAlign w:val="center"/>
          </w:tcPr>
          <w:p w14:paraId="301178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445" w:type="pct"/>
            <w:vAlign w:val="center"/>
          </w:tcPr>
          <w:p w14:paraId="37554E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17D25A7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B1B0C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5C84D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20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3F8A3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F2AD1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茶水柜</w:t>
            </w:r>
          </w:p>
        </w:tc>
        <w:tc>
          <w:tcPr>
            <w:tcW w:w="1872" w:type="pct"/>
            <w:vAlign w:val="center"/>
          </w:tcPr>
          <w:p w14:paraId="08CF9B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规格：800mm*400mm*800mm；</w:t>
            </w:r>
          </w:p>
          <w:p w14:paraId="3C0BB8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562338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526D3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E7D59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747405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AF57C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2E825F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79D87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134F3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4F1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10F57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I</w:t>
            </w:r>
          </w:p>
        </w:tc>
        <w:tc>
          <w:tcPr>
            <w:tcW w:w="4566" w:type="pct"/>
            <w:gridSpan w:val="7"/>
            <w:vAlign w:val="center"/>
          </w:tcPr>
          <w:p w14:paraId="5555947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党员活动室</w:t>
            </w:r>
          </w:p>
        </w:tc>
      </w:tr>
      <w:tr w14:paraId="06BE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971F2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2B32A2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会议桌</w:t>
            </w:r>
          </w:p>
        </w:tc>
        <w:tc>
          <w:tcPr>
            <w:tcW w:w="1872" w:type="pct"/>
            <w:vAlign w:val="center"/>
          </w:tcPr>
          <w:p w14:paraId="34FB69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规格：5400mm*1800mm*750mm；</w:t>
            </w:r>
          </w:p>
          <w:p w14:paraId="4502E5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7C2900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3A20BD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6B9289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4、五金：采用优质五金配件，经久耐用。安装严密、平整、端正、牢固，结合处无崩茬和松动。</w:t>
            </w:r>
          </w:p>
        </w:tc>
        <w:tc>
          <w:tcPr>
            <w:tcW w:w="458" w:type="pct"/>
            <w:vAlign w:val="center"/>
          </w:tcPr>
          <w:p w14:paraId="5A301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E00D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6119902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4B2FB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14B03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95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8159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39F525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会议椅</w:t>
            </w:r>
          </w:p>
        </w:tc>
        <w:tc>
          <w:tcPr>
            <w:tcW w:w="1872" w:type="pct"/>
            <w:vAlign w:val="center"/>
          </w:tcPr>
          <w:p w14:paraId="681F41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1.椅子内部填充高密度、高弹性海绵；</w:t>
            </w:r>
          </w:p>
          <w:p w14:paraId="28659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2.采用橡胶实木椅架，木材均经过防虫、防潮、防腐、二次烘干蒸发处理，表面喷涂环保油漆，硬度达到H级。</w:t>
            </w:r>
          </w:p>
        </w:tc>
        <w:tc>
          <w:tcPr>
            <w:tcW w:w="458" w:type="pct"/>
            <w:vAlign w:val="center"/>
          </w:tcPr>
          <w:p w14:paraId="272305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45" w:type="pct"/>
            <w:vAlign w:val="center"/>
          </w:tcPr>
          <w:p w14:paraId="3281CA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4E55FC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1D486A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69B7FA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8E4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344AB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3DB313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茶水柜</w:t>
            </w:r>
          </w:p>
        </w:tc>
        <w:tc>
          <w:tcPr>
            <w:tcW w:w="1872" w:type="pct"/>
            <w:vAlign w:val="center"/>
          </w:tcPr>
          <w:p w14:paraId="3F65E8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规格：800mm*400mm*800mm；</w:t>
            </w:r>
          </w:p>
          <w:p w14:paraId="3E3610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2B9B6A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131E77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600C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4、五金：采用优质锁具、铰链等五金配件，经久耐用；安装严密、平整、端正、牢固，结合处无崩茬和松动。</w:t>
            </w:r>
          </w:p>
        </w:tc>
        <w:tc>
          <w:tcPr>
            <w:tcW w:w="458" w:type="pct"/>
            <w:vAlign w:val="center"/>
          </w:tcPr>
          <w:p w14:paraId="20E504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88DA8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1D8AF85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432773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DA923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7C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1AB2A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J</w:t>
            </w:r>
          </w:p>
        </w:tc>
        <w:tc>
          <w:tcPr>
            <w:tcW w:w="4566" w:type="pct"/>
            <w:gridSpan w:val="7"/>
            <w:vAlign w:val="center"/>
          </w:tcPr>
          <w:p w14:paraId="328B89F3">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活动室</w:t>
            </w:r>
          </w:p>
        </w:tc>
      </w:tr>
      <w:tr w14:paraId="4CC3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AA0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D3332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衣柜</w:t>
            </w:r>
          </w:p>
        </w:tc>
        <w:tc>
          <w:tcPr>
            <w:tcW w:w="1872" w:type="pct"/>
            <w:vAlign w:val="center"/>
          </w:tcPr>
          <w:p w14:paraId="642B08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规格：860mm*390mm*1800mm；颜色：白色</w:t>
            </w:r>
          </w:p>
          <w:p w14:paraId="57D0AC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1、钢板：采用厚度≥0.7mm一级冷轧钢板，坚固耐用，经过防锈处理；硬度≥5H；</w:t>
            </w:r>
          </w:p>
          <w:p w14:paraId="31A99F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2、工艺要求：钢制零件采用模具生产，液压机成型；整体采用二氧化碳保护焊接，结合螺丝螺母紧固；</w:t>
            </w:r>
          </w:p>
          <w:p w14:paraId="770E38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3、钢制件表面要求：除油除污、焊点打磨，环氧树脂喷塑，高温固化；</w:t>
            </w:r>
          </w:p>
          <w:p w14:paraId="6AEEDD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4、五金配件：优质五金件，门铰、锁具及把手、钢板表面经脱脂、除锈、酸洗磷化处理后，优质环保粉末高压静电喷涂。</w:t>
            </w:r>
          </w:p>
        </w:tc>
        <w:tc>
          <w:tcPr>
            <w:tcW w:w="458" w:type="pct"/>
            <w:vAlign w:val="center"/>
          </w:tcPr>
          <w:p w14:paraId="0B76FB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48865E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7AB2710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7CABD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2C5A2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F61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52BB3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1FF317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长凳</w:t>
            </w:r>
          </w:p>
        </w:tc>
        <w:tc>
          <w:tcPr>
            <w:tcW w:w="1872" w:type="pct"/>
            <w:vAlign w:val="center"/>
          </w:tcPr>
          <w:p w14:paraId="499A74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规格：1200mm*300mm*400mm；颜色：黑色</w:t>
            </w:r>
          </w:p>
          <w:p w14:paraId="04C917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1、面料：优质西皮，透气性强。经液态浸色及防潮、防污等工艺处理,皮面更加柔软舒适,光泽持久；</w:t>
            </w:r>
          </w:p>
          <w:p w14:paraId="6C8CD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2、支架：优质电镀支架，壁厚不小于1.2mm,表面经喷涂防锈处理，安装严密、平整、端正、牢固，结合处无崩茬和松动。</w:t>
            </w:r>
          </w:p>
        </w:tc>
        <w:tc>
          <w:tcPr>
            <w:tcW w:w="458" w:type="pct"/>
            <w:vAlign w:val="center"/>
          </w:tcPr>
          <w:p w14:paraId="74843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87FB7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3E1FE2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F3180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A5121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306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352C7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40030E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乒乓球桌</w:t>
            </w:r>
          </w:p>
        </w:tc>
        <w:tc>
          <w:tcPr>
            <w:tcW w:w="1872" w:type="pct"/>
            <w:vAlign w:val="center"/>
          </w:tcPr>
          <w:p w14:paraId="06D306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规格：1525mm*2740mm*760mm；</w:t>
            </w:r>
          </w:p>
          <w:p w14:paraId="7A308A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2、材质：台面厚度25MM,台面材质：高密度板，台面弹性220-250MM</w:t>
            </w:r>
          </w:p>
          <w:p w14:paraId="63664A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3、含乒乓球拍及乒乓球。</w:t>
            </w:r>
          </w:p>
        </w:tc>
        <w:tc>
          <w:tcPr>
            <w:tcW w:w="458" w:type="pct"/>
            <w:vAlign w:val="center"/>
          </w:tcPr>
          <w:p w14:paraId="374DFE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6A83A5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6BA473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2BB169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43DD8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793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15D8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1B98D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健身器材</w:t>
            </w:r>
          </w:p>
        </w:tc>
        <w:tc>
          <w:tcPr>
            <w:tcW w:w="1872" w:type="pct"/>
            <w:vAlign w:val="center"/>
          </w:tcPr>
          <w:p w14:paraId="45F86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包含但不限于：</w:t>
            </w:r>
          </w:p>
          <w:p w14:paraId="6AD9AE9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跑步机：马达功率≥3.0HP，具备显示屏，载重≥130kg，具备自由坡度调节和速度调节；</w:t>
            </w:r>
          </w:p>
          <w:p w14:paraId="2C04EA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i w:val="0"/>
                <w:iCs w:val="0"/>
                <w:color w:val="000000"/>
                <w:kern w:val="0"/>
                <w:sz w:val="24"/>
                <w:szCs w:val="24"/>
                <w:highlight w:val="none"/>
                <w:u w:val="none"/>
                <w:lang w:val="en-US" w:eastAsia="zh-CN" w:bidi="ar"/>
              </w:rPr>
              <w:t>椭圆机：具备显示屏，载重≥130kg，具备电动磁控阻力系统，电动坡度调节；</w:t>
            </w:r>
          </w:p>
          <w:p w14:paraId="1B9B313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3、动感单车、坐姿推胸器、蝴蝶机、单双杠引体向上器、多功能仰卧板、哑铃等</w:t>
            </w:r>
          </w:p>
        </w:tc>
        <w:tc>
          <w:tcPr>
            <w:tcW w:w="458" w:type="pct"/>
            <w:vAlign w:val="center"/>
          </w:tcPr>
          <w:p w14:paraId="2D1519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60C7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43" w:type="pct"/>
            <w:vAlign w:val="center"/>
          </w:tcPr>
          <w:p w14:paraId="3B87119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F4D8B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DB1FD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F5F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1DC7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K</w:t>
            </w:r>
          </w:p>
        </w:tc>
        <w:tc>
          <w:tcPr>
            <w:tcW w:w="4566" w:type="pct"/>
            <w:gridSpan w:val="7"/>
            <w:vAlign w:val="center"/>
          </w:tcPr>
          <w:p w14:paraId="0F8F7478">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值班室</w:t>
            </w:r>
          </w:p>
        </w:tc>
      </w:tr>
      <w:tr w14:paraId="464F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4679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4D08D5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单人床</w:t>
            </w:r>
          </w:p>
        </w:tc>
        <w:tc>
          <w:tcPr>
            <w:tcW w:w="1872" w:type="pct"/>
            <w:vAlign w:val="center"/>
          </w:tcPr>
          <w:p w14:paraId="6E38B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规格：1500mm*2000mm；</w:t>
            </w:r>
          </w:p>
          <w:p w14:paraId="73098A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2C5A16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1C484E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10E48B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4、五金：采用优质五金配件，经久耐用。安装严密、平整、端正、牢固，结合处无崩茬和松动。</w:t>
            </w:r>
          </w:p>
        </w:tc>
        <w:tc>
          <w:tcPr>
            <w:tcW w:w="458" w:type="pct"/>
            <w:vAlign w:val="center"/>
          </w:tcPr>
          <w:p w14:paraId="658E96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23B3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7E0188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315BB7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D8FA4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1E7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07884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1D43EC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床头柜</w:t>
            </w:r>
          </w:p>
        </w:tc>
        <w:tc>
          <w:tcPr>
            <w:tcW w:w="1872" w:type="pct"/>
            <w:vAlign w:val="center"/>
          </w:tcPr>
          <w:p w14:paraId="60D744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规格：500mm*450mm*500mm；采用优等E1级环保型三聚氰胺浸渍纸饰面无醛添加刨花板,符合 GB18580-2017检验标准，各种物理、化学性能指标均达到国标相关标准。</w:t>
            </w:r>
          </w:p>
        </w:tc>
        <w:tc>
          <w:tcPr>
            <w:tcW w:w="458" w:type="pct"/>
            <w:vAlign w:val="center"/>
          </w:tcPr>
          <w:p w14:paraId="525755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6116D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43" w:type="pct"/>
            <w:vAlign w:val="center"/>
          </w:tcPr>
          <w:p w14:paraId="06A8A67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B3B34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991DDE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FE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BC519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6ECDD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衣柜</w:t>
            </w:r>
          </w:p>
        </w:tc>
        <w:tc>
          <w:tcPr>
            <w:tcW w:w="1872" w:type="pct"/>
            <w:vAlign w:val="center"/>
          </w:tcPr>
          <w:p w14:paraId="12034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规格：860mm*390mm*1800mm；颜色：白色</w:t>
            </w:r>
          </w:p>
          <w:p w14:paraId="0D3F9C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1、钢板：采用厚度≥0.7mm一级冷轧钢板，坚固耐用，经过防锈处理；硬度≥5H；</w:t>
            </w:r>
          </w:p>
          <w:p w14:paraId="736876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2、工艺要求：钢制零件采用模具生产，液压机成型；整体采用二氧化碳保护焊接，结合螺丝螺母紧固；</w:t>
            </w:r>
          </w:p>
          <w:p w14:paraId="1B8FE8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3、钢制件表面要求：除油除污、焊点打磨，环氧树脂喷塑，高温固化；</w:t>
            </w:r>
          </w:p>
          <w:p w14:paraId="279C8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4、五金配件：优质五金件，门铰、锁具及把手、钢板表面经脱脂、除锈、酸洗磷化处理后，优质环保粉末高压静电喷涂。</w:t>
            </w:r>
          </w:p>
        </w:tc>
        <w:tc>
          <w:tcPr>
            <w:tcW w:w="458" w:type="pct"/>
            <w:vAlign w:val="center"/>
          </w:tcPr>
          <w:p w14:paraId="1FE2A2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45" w:type="pct"/>
            <w:vAlign w:val="center"/>
          </w:tcPr>
          <w:p w14:paraId="6EC71D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316176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BA5F47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B50CE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8EC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EA877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53E8E5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双人沙发</w:t>
            </w:r>
          </w:p>
        </w:tc>
        <w:tc>
          <w:tcPr>
            <w:tcW w:w="1872" w:type="pct"/>
            <w:vAlign w:val="center"/>
          </w:tcPr>
          <w:p w14:paraId="39F50E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面料：优质牛皮，皮质细腻，光泽度好，透气性强；</w:t>
            </w:r>
          </w:p>
          <w:p w14:paraId="3AB751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海绵：软硬适中，压膜量达到国家现行阻燃标准；</w:t>
            </w:r>
          </w:p>
          <w:p w14:paraId="4379B0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脚架：优质钢制脚架，壁厚≥1.2mm,表面经喷涂防锈处理。</w:t>
            </w:r>
          </w:p>
        </w:tc>
        <w:tc>
          <w:tcPr>
            <w:tcW w:w="458" w:type="pct"/>
            <w:vAlign w:val="center"/>
          </w:tcPr>
          <w:p w14:paraId="208556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455675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238FEAC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BFBFE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A403A7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A1F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D63E6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2C5BAF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单人沙发</w:t>
            </w:r>
          </w:p>
        </w:tc>
        <w:tc>
          <w:tcPr>
            <w:tcW w:w="1872" w:type="pct"/>
            <w:vAlign w:val="center"/>
          </w:tcPr>
          <w:p w14:paraId="07584C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面料：优质牛皮，皮质细腻，光泽度好，透气性强；</w:t>
            </w:r>
          </w:p>
          <w:p w14:paraId="2D19F0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海绵：软硬适中，压膜量达到国家现行阻燃标准；</w:t>
            </w:r>
          </w:p>
          <w:p w14:paraId="750B68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脚架：优质钢制脚架，壁厚≥1.2mm,表面经喷涂防锈处理。</w:t>
            </w:r>
          </w:p>
        </w:tc>
        <w:tc>
          <w:tcPr>
            <w:tcW w:w="458" w:type="pct"/>
            <w:vAlign w:val="center"/>
          </w:tcPr>
          <w:p w14:paraId="23530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50221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4C6F85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233D58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D008B0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166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240C5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53AE26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1872" w:type="pct"/>
            <w:vAlign w:val="center"/>
          </w:tcPr>
          <w:p w14:paraId="0A5195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规格：1400mm*700mm*750mm；颜色：白色</w:t>
            </w:r>
          </w:p>
          <w:p w14:paraId="02933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1、基材：优质E1级三聚氰胺浸渍纸饰面无醛添加刨花板，耐酸碱、防虫、防腐特殊处理,抗弯力强，不易变形；</w:t>
            </w:r>
          </w:p>
          <w:p w14:paraId="0CB528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封边：选用 PVC 封边，弹性好，耐撞击；</w:t>
            </w:r>
          </w:p>
          <w:p w14:paraId="60934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2、粘胶：选用优质环保胶粘剂，符合GB18583-2008标准；</w:t>
            </w:r>
          </w:p>
          <w:p w14:paraId="1CEC48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3、配件：采用优质五金配件，经久耐用；配置优质尼龙脚垫。</w:t>
            </w:r>
          </w:p>
          <w:p w14:paraId="643D7E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4、支架：优质钢制支架，壁厚不小于1.2mm,表面经喷涂防锈处理。</w:t>
            </w:r>
          </w:p>
          <w:p w14:paraId="235A7B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备注：每位配置一个活动柜。</w:t>
            </w:r>
          </w:p>
        </w:tc>
        <w:tc>
          <w:tcPr>
            <w:tcW w:w="458" w:type="pct"/>
            <w:vAlign w:val="center"/>
          </w:tcPr>
          <w:p w14:paraId="02B877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CA79C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726095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65734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5093B7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FC5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5496E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3D15D2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1872" w:type="pct"/>
            <w:vAlign w:val="center"/>
          </w:tcPr>
          <w:p w14:paraId="6973D8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 采用优质尼龙五星脚架，承载能力强、耐磨性能好、移动杂音小。</w:t>
            </w:r>
          </w:p>
        </w:tc>
        <w:tc>
          <w:tcPr>
            <w:tcW w:w="458" w:type="pct"/>
            <w:vAlign w:val="center"/>
          </w:tcPr>
          <w:p w14:paraId="484F8C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42AE3D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005F7DB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8F0054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0B7153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D75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1B169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5C23A6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大茶几</w:t>
            </w:r>
          </w:p>
        </w:tc>
        <w:tc>
          <w:tcPr>
            <w:tcW w:w="1872" w:type="pct"/>
            <w:vAlign w:val="center"/>
          </w:tcPr>
          <w:p w14:paraId="484AAF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规格：1200mm*600mm*450mm；颜色：黑色</w:t>
            </w:r>
          </w:p>
          <w:p w14:paraId="714FC2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1、基材：采用优质E1级三聚氰胺浸渍纸饰面无醛添加刨花板，经耐酸碱、防虫、防腐特殊处理,抗弯力强，不易变形；</w:t>
            </w:r>
          </w:p>
          <w:p w14:paraId="16BA9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2、粘胶：选用环保胶粘剂，符合GB18583-2008标准；</w:t>
            </w:r>
          </w:p>
          <w:p w14:paraId="746087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3、支架：电镀支架，壁厚不小于1.2mm,表面经喷涂防锈处理。</w:t>
            </w:r>
          </w:p>
        </w:tc>
        <w:tc>
          <w:tcPr>
            <w:tcW w:w="458" w:type="pct"/>
            <w:vAlign w:val="center"/>
          </w:tcPr>
          <w:p w14:paraId="639375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B55A3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47E308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4069F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97D862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B00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91986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2098D1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小茶几</w:t>
            </w:r>
          </w:p>
        </w:tc>
        <w:tc>
          <w:tcPr>
            <w:tcW w:w="1872" w:type="pct"/>
            <w:vAlign w:val="center"/>
          </w:tcPr>
          <w:p w14:paraId="43BDC6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规格：600mm*600mm*450mm；颜色：黑色</w:t>
            </w:r>
          </w:p>
          <w:p w14:paraId="074F02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1、基材：采用优质E1级三聚氰胺浸渍纸饰面无醛添加刨花板，经耐酸碱、防虫、防腐特殊处理,抗弯力强，不易变形；</w:t>
            </w:r>
          </w:p>
          <w:p w14:paraId="262D72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2、粘胶：选用环保胶粘剂，符合GB18583-2008标准；</w:t>
            </w:r>
          </w:p>
          <w:p w14:paraId="4FCE85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3、支架：电镀支架，壁厚不小于1.2mm,表面经喷涂防锈处理。</w:t>
            </w:r>
          </w:p>
        </w:tc>
        <w:tc>
          <w:tcPr>
            <w:tcW w:w="458" w:type="pct"/>
            <w:vAlign w:val="center"/>
          </w:tcPr>
          <w:p w14:paraId="472C1D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35D7D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1F76C1E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63EBC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731EF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66C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CAA34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358B0B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即热式热水器</w:t>
            </w:r>
          </w:p>
        </w:tc>
        <w:tc>
          <w:tcPr>
            <w:tcW w:w="1872" w:type="pct"/>
            <w:vAlign w:val="center"/>
          </w:tcPr>
          <w:p w14:paraId="7B5F76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1.防水等级：≥IPX4；</w:t>
            </w:r>
          </w:p>
          <w:p w14:paraId="695EEC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2.设置温度：30℃-55℃；</w:t>
            </w:r>
          </w:p>
          <w:p w14:paraId="4D00BC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3.额定功率：≥8000W；</w:t>
            </w:r>
          </w:p>
          <w:p w14:paraId="5ADCEC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4.标配附件（含花洒，水温调节阀，安装螺丝等）。</w:t>
            </w:r>
          </w:p>
        </w:tc>
        <w:tc>
          <w:tcPr>
            <w:tcW w:w="458" w:type="pct"/>
            <w:vAlign w:val="center"/>
          </w:tcPr>
          <w:p w14:paraId="0256B1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45" w:type="pct"/>
            <w:vAlign w:val="center"/>
          </w:tcPr>
          <w:p w14:paraId="77CC1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46B94C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975D1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E1856A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B03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60864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L</w:t>
            </w:r>
          </w:p>
        </w:tc>
        <w:tc>
          <w:tcPr>
            <w:tcW w:w="4566" w:type="pct"/>
            <w:gridSpan w:val="7"/>
            <w:vAlign w:val="center"/>
          </w:tcPr>
          <w:p w14:paraId="788086F2">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休息过厅</w:t>
            </w:r>
          </w:p>
        </w:tc>
      </w:tr>
      <w:tr w14:paraId="12B2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E4D1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6D4CD7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小圆桌</w:t>
            </w:r>
          </w:p>
        </w:tc>
        <w:tc>
          <w:tcPr>
            <w:tcW w:w="1872" w:type="pct"/>
            <w:vAlign w:val="center"/>
          </w:tcPr>
          <w:p w14:paraId="3B142B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规格：ø800mm*750mm；中花白人造大理石面，黑色铁脚柱+钛金不锈钢。</w:t>
            </w:r>
          </w:p>
        </w:tc>
        <w:tc>
          <w:tcPr>
            <w:tcW w:w="458" w:type="pct"/>
            <w:vAlign w:val="center"/>
          </w:tcPr>
          <w:p w14:paraId="74700B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45" w:type="pct"/>
            <w:vAlign w:val="center"/>
          </w:tcPr>
          <w:p w14:paraId="634A6D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443" w:type="pct"/>
            <w:vAlign w:val="center"/>
          </w:tcPr>
          <w:p w14:paraId="7B3834F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F80A0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6F474E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AA3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2514B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67D337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座椅</w:t>
            </w:r>
          </w:p>
        </w:tc>
        <w:tc>
          <w:tcPr>
            <w:tcW w:w="1872" w:type="pct"/>
            <w:vAlign w:val="center"/>
          </w:tcPr>
          <w:p w14:paraId="1F053A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常规；脚架：采用优质钢制脚架，壁厚不小于1.5mm。</w:t>
            </w:r>
          </w:p>
        </w:tc>
        <w:tc>
          <w:tcPr>
            <w:tcW w:w="458" w:type="pct"/>
            <w:vAlign w:val="center"/>
          </w:tcPr>
          <w:p w14:paraId="03628E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445" w:type="pct"/>
            <w:vAlign w:val="center"/>
          </w:tcPr>
          <w:p w14:paraId="616FBD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443" w:type="pct"/>
            <w:vAlign w:val="center"/>
          </w:tcPr>
          <w:p w14:paraId="324F70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0D6DD6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12CBE4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6EF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1140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1AB493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隔断柜</w:t>
            </w:r>
          </w:p>
        </w:tc>
        <w:tc>
          <w:tcPr>
            <w:tcW w:w="1872" w:type="pct"/>
            <w:vAlign w:val="center"/>
          </w:tcPr>
          <w:p w14:paraId="3D8A34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规格：1800mm*500mm*1100mm；</w:t>
            </w:r>
          </w:p>
          <w:p w14:paraId="281A3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1、板材：采用E1级环保型三聚氰胺浸渍纸饰面无醛添加刨花板,符合 GB18580-2017检验标准，各种物理、化学性能指标均达到国标相关标准；</w:t>
            </w:r>
          </w:p>
          <w:p w14:paraId="3F4271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2、封边：优质PVC封边，厚度≥2mm，经全自动封边机高温封边，弹性好，耐撞击；</w:t>
            </w:r>
          </w:p>
          <w:p w14:paraId="7777FF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3、胶水：采用优质环保粉状脲醛树脂胶粘剂，符合 GB/T 14074-2017 标准；</w:t>
            </w:r>
          </w:p>
          <w:p w14:paraId="6D52EB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4、五金：采用优质五金配件，经久耐用。安装严密、平整、端正、牢固，结合处无崩茬和松动。</w:t>
            </w:r>
          </w:p>
        </w:tc>
        <w:tc>
          <w:tcPr>
            <w:tcW w:w="458" w:type="pct"/>
            <w:vAlign w:val="center"/>
          </w:tcPr>
          <w:p w14:paraId="7D2B3F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5" w:type="pct"/>
            <w:vAlign w:val="center"/>
          </w:tcPr>
          <w:p w14:paraId="6D4250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3" w:type="pct"/>
            <w:vAlign w:val="center"/>
          </w:tcPr>
          <w:p w14:paraId="656E89B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57FCAD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A7AF65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983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797760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L</w:t>
            </w:r>
          </w:p>
        </w:tc>
        <w:tc>
          <w:tcPr>
            <w:tcW w:w="4566" w:type="pct"/>
            <w:gridSpan w:val="7"/>
            <w:vAlign w:val="center"/>
          </w:tcPr>
          <w:p w14:paraId="70C09861">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配套服务</w:t>
            </w:r>
          </w:p>
        </w:tc>
      </w:tr>
      <w:tr w14:paraId="5ABB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4398D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577" w:type="pct"/>
            <w:vAlign w:val="center"/>
          </w:tcPr>
          <w:p w14:paraId="606CA6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绿植</w:t>
            </w:r>
          </w:p>
        </w:tc>
        <w:tc>
          <w:tcPr>
            <w:tcW w:w="1872" w:type="pct"/>
            <w:vAlign w:val="center"/>
          </w:tcPr>
          <w:p w14:paraId="422405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绿植服务</w:t>
            </w:r>
          </w:p>
        </w:tc>
        <w:tc>
          <w:tcPr>
            <w:tcW w:w="458" w:type="pct"/>
            <w:vAlign w:val="center"/>
          </w:tcPr>
          <w:p w14:paraId="5F943A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445" w:type="pct"/>
            <w:vAlign w:val="center"/>
          </w:tcPr>
          <w:p w14:paraId="08883E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组</w:t>
            </w:r>
          </w:p>
        </w:tc>
        <w:tc>
          <w:tcPr>
            <w:tcW w:w="443" w:type="pct"/>
            <w:vAlign w:val="center"/>
          </w:tcPr>
          <w:p w14:paraId="361743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146F1BD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09F70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A2B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1B0E7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577" w:type="pct"/>
            <w:vAlign w:val="center"/>
          </w:tcPr>
          <w:p w14:paraId="7182E9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办公设施搬迁</w:t>
            </w:r>
          </w:p>
        </w:tc>
        <w:tc>
          <w:tcPr>
            <w:tcW w:w="1872" w:type="pct"/>
            <w:vAlign w:val="center"/>
          </w:tcPr>
          <w:p w14:paraId="71A8B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现有办公桌椅、文件柜等搬迁至数据大厦</w:t>
            </w:r>
          </w:p>
        </w:tc>
        <w:tc>
          <w:tcPr>
            <w:tcW w:w="458" w:type="pct"/>
            <w:vAlign w:val="center"/>
          </w:tcPr>
          <w:p w14:paraId="37659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445" w:type="pct"/>
            <w:vAlign w:val="center"/>
          </w:tcPr>
          <w:p w14:paraId="39BF0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项</w:t>
            </w:r>
          </w:p>
        </w:tc>
        <w:tc>
          <w:tcPr>
            <w:tcW w:w="443" w:type="pct"/>
            <w:vAlign w:val="center"/>
          </w:tcPr>
          <w:p w14:paraId="5D2BE7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其他未列明行业</w:t>
            </w:r>
          </w:p>
        </w:tc>
        <w:tc>
          <w:tcPr>
            <w:tcW w:w="437" w:type="pct"/>
            <w:vAlign w:val="center"/>
          </w:tcPr>
          <w:p w14:paraId="19A9C1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FF31A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461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111D00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十七</w:t>
            </w:r>
          </w:p>
        </w:tc>
        <w:tc>
          <w:tcPr>
            <w:tcW w:w="4566" w:type="pct"/>
            <w:gridSpan w:val="7"/>
            <w:vAlign w:val="center"/>
          </w:tcPr>
          <w:p w14:paraId="5C1C3E1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维保服务</w:t>
            </w:r>
          </w:p>
        </w:tc>
      </w:tr>
      <w:tr w14:paraId="2E66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15DD86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6F4F47E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本项目涉及的核心交换机已过保，需采购原厂标准三年维保服务</w:t>
            </w:r>
          </w:p>
        </w:tc>
        <w:tc>
          <w:tcPr>
            <w:tcW w:w="1872" w:type="pct"/>
            <w:vAlign w:val="center"/>
          </w:tcPr>
          <w:p w14:paraId="3F668A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华为S7706</w:t>
            </w:r>
          </w:p>
        </w:tc>
        <w:tc>
          <w:tcPr>
            <w:tcW w:w="458" w:type="pct"/>
            <w:vAlign w:val="center"/>
          </w:tcPr>
          <w:p w14:paraId="4A5105E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2</w:t>
            </w:r>
          </w:p>
        </w:tc>
        <w:tc>
          <w:tcPr>
            <w:tcW w:w="445" w:type="pct"/>
            <w:vAlign w:val="center"/>
          </w:tcPr>
          <w:p w14:paraId="5B39E57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台</w:t>
            </w:r>
          </w:p>
        </w:tc>
        <w:tc>
          <w:tcPr>
            <w:tcW w:w="443" w:type="pct"/>
            <w:vAlign w:val="center"/>
          </w:tcPr>
          <w:p w14:paraId="1CA7B9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437" w:type="pct"/>
            <w:vAlign w:val="center"/>
          </w:tcPr>
          <w:p w14:paraId="46A29B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52A9A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354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15475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十八</w:t>
            </w:r>
          </w:p>
        </w:tc>
        <w:tc>
          <w:tcPr>
            <w:tcW w:w="4566" w:type="pct"/>
            <w:gridSpan w:val="7"/>
            <w:vAlign w:val="center"/>
          </w:tcPr>
          <w:p w14:paraId="6B280A16">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数据大厦1-3层装饰装修</w:t>
            </w:r>
          </w:p>
        </w:tc>
      </w:tr>
      <w:tr w14:paraId="7989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68111E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7C3DEC87">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一层装饰</w:t>
            </w:r>
          </w:p>
        </w:tc>
        <w:tc>
          <w:tcPr>
            <w:tcW w:w="1872" w:type="pct"/>
            <w:vAlign w:val="center"/>
          </w:tcPr>
          <w:p w14:paraId="27F436F3">
            <w:pPr>
              <w:keepNext w:val="0"/>
              <w:keepLines w:val="0"/>
              <w:pageBreakBefore w:val="0"/>
              <w:kinsoku/>
              <w:wordWrap/>
              <w:overflowPunct/>
              <w:topLinePunct w:val="0"/>
              <w:autoSpaceDE/>
              <w:autoSpaceDN/>
              <w:bidi w:val="0"/>
              <w:adjustRightInd/>
              <w:snapToGrid/>
              <w:spacing w:before="68" w:line="181"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图纸和分项工程量清单详见附件（附件内容仅供参考）</w:t>
            </w:r>
          </w:p>
        </w:tc>
        <w:tc>
          <w:tcPr>
            <w:tcW w:w="458" w:type="pct"/>
            <w:vAlign w:val="center"/>
          </w:tcPr>
          <w:p w14:paraId="0882252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445" w:type="pct"/>
            <w:vAlign w:val="center"/>
          </w:tcPr>
          <w:p w14:paraId="1988DF3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Merge w:val="restart"/>
            <w:vAlign w:val="center"/>
          </w:tcPr>
          <w:p w14:paraId="22D5E8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Merge w:val="restart"/>
            <w:vAlign w:val="center"/>
          </w:tcPr>
          <w:p w14:paraId="226E31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055D1EB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A54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6B7B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7" w:type="pct"/>
            <w:vAlign w:val="center"/>
          </w:tcPr>
          <w:p w14:paraId="0346406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二层装饰</w:t>
            </w:r>
          </w:p>
        </w:tc>
        <w:tc>
          <w:tcPr>
            <w:tcW w:w="1872" w:type="pct"/>
            <w:vAlign w:val="center"/>
          </w:tcPr>
          <w:p w14:paraId="0BD956C9">
            <w:pPr>
              <w:keepNext w:val="0"/>
              <w:keepLines w:val="0"/>
              <w:pageBreakBefore w:val="0"/>
              <w:kinsoku/>
              <w:wordWrap/>
              <w:overflowPunct/>
              <w:topLinePunct w:val="0"/>
              <w:autoSpaceDE/>
              <w:autoSpaceDN/>
              <w:bidi w:val="0"/>
              <w:adjustRightInd/>
              <w:snapToGrid/>
              <w:spacing w:before="68" w:line="181"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图纸和分项工程量清单详见附件（附件内容仅供参考）</w:t>
            </w:r>
          </w:p>
        </w:tc>
        <w:tc>
          <w:tcPr>
            <w:tcW w:w="458" w:type="pct"/>
            <w:vAlign w:val="center"/>
          </w:tcPr>
          <w:p w14:paraId="26E9F6E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445" w:type="pct"/>
            <w:vAlign w:val="center"/>
          </w:tcPr>
          <w:p w14:paraId="1C6D92FD">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Merge w:val="continue"/>
            <w:vAlign w:val="center"/>
          </w:tcPr>
          <w:p w14:paraId="005B50D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22B7CAA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141AC9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4EE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4099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7" w:type="pct"/>
            <w:vAlign w:val="center"/>
          </w:tcPr>
          <w:p w14:paraId="4580A954">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三层装饰</w:t>
            </w:r>
          </w:p>
        </w:tc>
        <w:tc>
          <w:tcPr>
            <w:tcW w:w="1872" w:type="pct"/>
            <w:vAlign w:val="center"/>
          </w:tcPr>
          <w:p w14:paraId="146F4E78">
            <w:pPr>
              <w:keepNext w:val="0"/>
              <w:keepLines w:val="0"/>
              <w:pageBreakBefore w:val="0"/>
              <w:kinsoku/>
              <w:wordWrap/>
              <w:overflowPunct/>
              <w:topLinePunct w:val="0"/>
              <w:autoSpaceDE/>
              <w:autoSpaceDN/>
              <w:bidi w:val="0"/>
              <w:adjustRightInd/>
              <w:snapToGrid/>
              <w:spacing w:before="68" w:line="181"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图纸和分项工程量清单详见附件（附件内容仅供参考）</w:t>
            </w:r>
          </w:p>
        </w:tc>
        <w:tc>
          <w:tcPr>
            <w:tcW w:w="458" w:type="pct"/>
            <w:vAlign w:val="center"/>
          </w:tcPr>
          <w:p w14:paraId="6440C48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445" w:type="pct"/>
            <w:vAlign w:val="center"/>
          </w:tcPr>
          <w:p w14:paraId="4F7FF8F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Merge w:val="continue"/>
            <w:vAlign w:val="center"/>
          </w:tcPr>
          <w:p w14:paraId="5E52AC3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59661B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6C762E1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B3E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AF5975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77" w:type="pct"/>
            <w:vAlign w:val="center"/>
          </w:tcPr>
          <w:p w14:paraId="1267B6D3">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水电安装工程</w:t>
            </w:r>
          </w:p>
        </w:tc>
        <w:tc>
          <w:tcPr>
            <w:tcW w:w="1872" w:type="pct"/>
            <w:vAlign w:val="center"/>
          </w:tcPr>
          <w:p w14:paraId="6513D7AD">
            <w:pPr>
              <w:keepNext w:val="0"/>
              <w:keepLines w:val="0"/>
              <w:pageBreakBefore w:val="0"/>
              <w:kinsoku/>
              <w:wordWrap/>
              <w:overflowPunct/>
              <w:topLinePunct w:val="0"/>
              <w:autoSpaceDE/>
              <w:autoSpaceDN/>
              <w:bidi w:val="0"/>
              <w:adjustRightInd/>
              <w:snapToGrid/>
              <w:spacing w:before="68" w:line="181"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图纸和分项工程量清单详见附件（附件内容仅供参考）</w:t>
            </w:r>
          </w:p>
        </w:tc>
        <w:tc>
          <w:tcPr>
            <w:tcW w:w="458" w:type="pct"/>
            <w:vAlign w:val="center"/>
          </w:tcPr>
          <w:p w14:paraId="24C5EE6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445" w:type="pct"/>
            <w:vAlign w:val="center"/>
          </w:tcPr>
          <w:p w14:paraId="19C2ABA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Merge w:val="continue"/>
            <w:vAlign w:val="center"/>
          </w:tcPr>
          <w:p w14:paraId="2A35B14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437" w:type="pct"/>
            <w:vMerge w:val="continue"/>
            <w:vAlign w:val="center"/>
          </w:tcPr>
          <w:p w14:paraId="6148B4A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c>
          <w:tcPr>
            <w:tcW w:w="332" w:type="pct"/>
            <w:vAlign w:val="center"/>
          </w:tcPr>
          <w:p w14:paraId="7C2A1C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1F4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DB931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十九</w:t>
            </w:r>
          </w:p>
        </w:tc>
        <w:tc>
          <w:tcPr>
            <w:tcW w:w="4566" w:type="pct"/>
            <w:gridSpan w:val="7"/>
            <w:vAlign w:val="center"/>
          </w:tcPr>
          <w:p w14:paraId="668D73AB">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智慧城市展示中心装饰装修及智能化系统</w:t>
            </w:r>
          </w:p>
        </w:tc>
      </w:tr>
      <w:tr w14:paraId="09D7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EA010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5FB86FB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展示中心装饰</w:t>
            </w:r>
          </w:p>
        </w:tc>
        <w:tc>
          <w:tcPr>
            <w:tcW w:w="1872" w:type="pct"/>
            <w:vAlign w:val="center"/>
          </w:tcPr>
          <w:p w14:paraId="6E841A28">
            <w:pPr>
              <w:keepNext w:val="0"/>
              <w:keepLines w:val="0"/>
              <w:pageBreakBefore w:val="0"/>
              <w:kinsoku/>
              <w:wordWrap/>
              <w:overflowPunct/>
              <w:topLinePunct w:val="0"/>
              <w:autoSpaceDE/>
              <w:autoSpaceDN/>
              <w:bidi w:val="0"/>
              <w:adjustRightInd/>
              <w:snapToGrid/>
              <w:spacing w:before="68" w:line="181"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图纸和分项工程量清单详见附件（附件内容仅供参考）</w:t>
            </w:r>
          </w:p>
        </w:tc>
        <w:tc>
          <w:tcPr>
            <w:tcW w:w="458" w:type="pct"/>
            <w:vAlign w:val="center"/>
          </w:tcPr>
          <w:p w14:paraId="6ED7FA5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45" w:type="pct"/>
            <w:vAlign w:val="center"/>
          </w:tcPr>
          <w:p w14:paraId="3B6596D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443" w:type="pct"/>
            <w:vAlign w:val="center"/>
          </w:tcPr>
          <w:p w14:paraId="7C59D0B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建筑业</w:t>
            </w:r>
          </w:p>
        </w:tc>
        <w:tc>
          <w:tcPr>
            <w:tcW w:w="437" w:type="pct"/>
            <w:vAlign w:val="center"/>
          </w:tcPr>
          <w:p w14:paraId="3B73B9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359647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9DB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B9AD8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7" w:type="pct"/>
            <w:vAlign w:val="center"/>
          </w:tcPr>
          <w:p w14:paraId="408B2FD4">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服务台DG-01</w:t>
            </w:r>
          </w:p>
        </w:tc>
        <w:tc>
          <w:tcPr>
            <w:tcW w:w="1872" w:type="pct"/>
            <w:vAlign w:val="center"/>
          </w:tcPr>
          <w:p w14:paraId="7EF436C4">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1、台柜规格：详见附件图纸</w:t>
            </w:r>
          </w:p>
        </w:tc>
        <w:tc>
          <w:tcPr>
            <w:tcW w:w="458" w:type="pct"/>
            <w:vAlign w:val="center"/>
          </w:tcPr>
          <w:p w14:paraId="7CB29461">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5" w:type="pct"/>
            <w:vAlign w:val="center"/>
          </w:tcPr>
          <w:p w14:paraId="34614F70">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443" w:type="pct"/>
            <w:vAlign w:val="center"/>
          </w:tcPr>
          <w:p w14:paraId="1830E8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25FC9F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9C855A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E33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DE748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7" w:type="pct"/>
            <w:vAlign w:val="center"/>
          </w:tcPr>
          <w:p w14:paraId="4801913E">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定制展台</w:t>
            </w:r>
          </w:p>
        </w:tc>
        <w:tc>
          <w:tcPr>
            <w:tcW w:w="1872" w:type="pct"/>
            <w:vAlign w:val="center"/>
          </w:tcPr>
          <w:p w14:paraId="729BF41E">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1、台柜规格：详见附件图纸</w:t>
            </w:r>
          </w:p>
        </w:tc>
        <w:tc>
          <w:tcPr>
            <w:tcW w:w="458" w:type="pct"/>
            <w:vAlign w:val="center"/>
          </w:tcPr>
          <w:p w14:paraId="0C489ABF">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445" w:type="pct"/>
            <w:vAlign w:val="center"/>
          </w:tcPr>
          <w:p w14:paraId="681B9359">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443" w:type="pct"/>
            <w:vAlign w:val="center"/>
          </w:tcPr>
          <w:p w14:paraId="0325E59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08B45A6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3A4994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BF0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A783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77" w:type="pct"/>
            <w:vAlign w:val="center"/>
          </w:tcPr>
          <w:p w14:paraId="748EC315">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金属装饰条</w:t>
            </w:r>
          </w:p>
        </w:tc>
        <w:tc>
          <w:tcPr>
            <w:tcW w:w="1872" w:type="pct"/>
            <w:vAlign w:val="center"/>
          </w:tcPr>
          <w:p w14:paraId="2BF8F803">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1、线条材料品种、规格、颜色：10mm古铜色不锈钢条</w:t>
            </w:r>
          </w:p>
        </w:tc>
        <w:tc>
          <w:tcPr>
            <w:tcW w:w="458" w:type="pct"/>
            <w:vAlign w:val="center"/>
          </w:tcPr>
          <w:p w14:paraId="1870FDBA">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5" w:type="pct"/>
            <w:vAlign w:val="center"/>
          </w:tcPr>
          <w:p w14:paraId="66FAEB69">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443" w:type="pct"/>
            <w:vAlign w:val="center"/>
          </w:tcPr>
          <w:p w14:paraId="694C3E7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28C799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172CE0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396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FDDDE0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7" w:type="pct"/>
            <w:vAlign w:val="center"/>
          </w:tcPr>
          <w:p w14:paraId="6EC10E15">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金属装饰条</w:t>
            </w:r>
          </w:p>
        </w:tc>
        <w:tc>
          <w:tcPr>
            <w:tcW w:w="1872" w:type="pct"/>
            <w:vAlign w:val="center"/>
          </w:tcPr>
          <w:p w14:paraId="2CB25E15">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1、线条材料品种、规格、颜色：10mm古铜色不锈钢条</w:t>
            </w:r>
          </w:p>
        </w:tc>
        <w:tc>
          <w:tcPr>
            <w:tcW w:w="458" w:type="pct"/>
            <w:vAlign w:val="center"/>
          </w:tcPr>
          <w:p w14:paraId="5AC8E6FD">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445" w:type="pct"/>
            <w:vAlign w:val="center"/>
          </w:tcPr>
          <w:p w14:paraId="1D87514C">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75.76</w:t>
            </w:r>
          </w:p>
        </w:tc>
        <w:tc>
          <w:tcPr>
            <w:tcW w:w="443" w:type="pct"/>
            <w:vAlign w:val="center"/>
          </w:tcPr>
          <w:p w14:paraId="6E7C0F7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7DEDC3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A6C2E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14F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60DB96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77" w:type="pct"/>
            <w:vAlign w:val="center"/>
          </w:tcPr>
          <w:p w14:paraId="2C18F2DA">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宣传画面及字</w:t>
            </w:r>
          </w:p>
        </w:tc>
        <w:tc>
          <w:tcPr>
            <w:tcW w:w="1872" w:type="pct"/>
            <w:vAlign w:val="center"/>
          </w:tcPr>
          <w:p w14:paraId="0050C41A">
            <w:pPr>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依据自行设计效果图</w:t>
            </w:r>
          </w:p>
        </w:tc>
        <w:tc>
          <w:tcPr>
            <w:tcW w:w="458" w:type="pct"/>
            <w:vAlign w:val="center"/>
          </w:tcPr>
          <w:p w14:paraId="4A1D1114">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445" w:type="pct"/>
            <w:vAlign w:val="center"/>
          </w:tcPr>
          <w:p w14:paraId="110637FF">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443" w:type="pct"/>
            <w:vAlign w:val="center"/>
          </w:tcPr>
          <w:p w14:paraId="5C96A3F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C9F5A2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F79D0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5A7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33" w:type="pct"/>
            <w:vAlign w:val="center"/>
          </w:tcPr>
          <w:p w14:paraId="1960BB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p>
        </w:tc>
        <w:tc>
          <w:tcPr>
            <w:tcW w:w="4566" w:type="pct"/>
            <w:gridSpan w:val="7"/>
            <w:vAlign w:val="center"/>
          </w:tcPr>
          <w:p w14:paraId="0E844F3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前厅</w:t>
            </w:r>
          </w:p>
        </w:tc>
      </w:tr>
      <w:tr w14:paraId="1F99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B99A2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15C4082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解说台LED显示屏</w:t>
            </w:r>
          </w:p>
        </w:tc>
        <w:tc>
          <w:tcPr>
            <w:tcW w:w="1872" w:type="pct"/>
            <w:vAlign w:val="center"/>
          </w:tcPr>
          <w:p w14:paraId="10C9AF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1、LED像素点间距≤1.57mm;COB封装1R1G1B， RGB 芯片全倒装，显示屏幕峰值亮度≥600nits,峰值功耗≤320W/㎡，平均功耗≤110W/㎡，共阴驱动；</w:t>
            </w:r>
          </w:p>
          <w:p w14:paraId="3FC607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2、压铸铝合金箱体，屈服强度符合要求；</w:t>
            </w:r>
          </w:p>
          <w:p w14:paraId="665403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3、色温：2000-10000 K可调，可视角：≥170°(H)/170°(V)，对比度：15000：1，刷新率≥3840 Hz，灰度等级：16 bit。</w:t>
            </w:r>
          </w:p>
          <w:p w14:paraId="0B7DFE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76C3EB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42B25DBF">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445" w:type="pct"/>
            <w:vAlign w:val="center"/>
          </w:tcPr>
          <w:p w14:paraId="7F8BC4B3">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m²</w:t>
            </w:r>
          </w:p>
        </w:tc>
        <w:tc>
          <w:tcPr>
            <w:tcW w:w="443" w:type="pct"/>
            <w:vAlign w:val="center"/>
          </w:tcPr>
          <w:p w14:paraId="28DAF73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49CEDA5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CFE69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A59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A262D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04D4EE36">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LED发送盒</w:t>
            </w:r>
          </w:p>
        </w:tc>
        <w:tc>
          <w:tcPr>
            <w:tcW w:w="1872" w:type="pct"/>
            <w:vAlign w:val="center"/>
          </w:tcPr>
          <w:p w14:paraId="324B98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1．带载能力：具备≥6路输出网口，最大带载面积≥230万像素点，最宽可达 3840 像素，最高可达 3840 像素；</w:t>
            </w:r>
          </w:p>
          <w:p w14:paraId="006A4B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2．支持最大输入分辨率 1920*1200@60Hz，并可实现 1920*1200 以内标准分辨率图 像缩放 ；</w:t>
            </w:r>
          </w:p>
          <w:p w14:paraId="2DAF9443">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3．设备有效端口：USB≥1，HDMI IN≥1， 音频输出口≥1，千兆以太网口≥1，RJ45≥6。</w:t>
            </w:r>
          </w:p>
        </w:tc>
        <w:tc>
          <w:tcPr>
            <w:tcW w:w="458" w:type="pct"/>
            <w:vAlign w:val="center"/>
          </w:tcPr>
          <w:p w14:paraId="5BE89547">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45" w:type="pct"/>
            <w:vAlign w:val="center"/>
          </w:tcPr>
          <w:p w14:paraId="7D5330D2">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443" w:type="pct"/>
            <w:vAlign w:val="center"/>
          </w:tcPr>
          <w:p w14:paraId="63EC8BC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6A61EA6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34C0B6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11B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81B440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1CC69030">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电柜</w:t>
            </w:r>
          </w:p>
        </w:tc>
        <w:tc>
          <w:tcPr>
            <w:tcW w:w="1872" w:type="pct"/>
            <w:vAlign w:val="center"/>
          </w:tcPr>
          <w:p w14:paraId="0C5782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不低于10KW LED显示屏PLC智能配电柜</w:t>
            </w:r>
          </w:p>
          <w:p w14:paraId="25C18235">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支持手动和远程开关模式,PLC远程控制,具有过压、过流、短路、断路等保护功能</w:t>
            </w:r>
          </w:p>
        </w:tc>
        <w:tc>
          <w:tcPr>
            <w:tcW w:w="458" w:type="pct"/>
            <w:vAlign w:val="center"/>
          </w:tcPr>
          <w:p w14:paraId="6BF93942">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0743E887">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7F209E8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39E66E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41918C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83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760957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4B2E6FF1">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配件包组件</w:t>
            </w:r>
          </w:p>
        </w:tc>
        <w:tc>
          <w:tcPr>
            <w:tcW w:w="1872" w:type="pct"/>
            <w:vAlign w:val="center"/>
          </w:tcPr>
          <w:p w14:paraId="0B2E948B">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屏体级联网线、电源线、安装磁铁等组件，含备用灯板2块，维护工具一套</w:t>
            </w:r>
          </w:p>
        </w:tc>
        <w:tc>
          <w:tcPr>
            <w:tcW w:w="458" w:type="pct"/>
            <w:vAlign w:val="center"/>
          </w:tcPr>
          <w:p w14:paraId="37A766BA">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ED98A78">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340EAA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1F15ABB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4BBC1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BCF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0E5A73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4F7DFB31">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大屏钢结构</w:t>
            </w:r>
          </w:p>
        </w:tc>
        <w:tc>
          <w:tcPr>
            <w:tcW w:w="1872" w:type="pct"/>
            <w:vAlign w:val="center"/>
          </w:tcPr>
          <w:p w14:paraId="4DCC83E1">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定制服务，包含人工、屏体结构制、方通、加固等辅材</w:t>
            </w:r>
          </w:p>
        </w:tc>
        <w:tc>
          <w:tcPr>
            <w:tcW w:w="458" w:type="pct"/>
            <w:vAlign w:val="center"/>
          </w:tcPr>
          <w:p w14:paraId="7C18B838">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445" w:type="pct"/>
            <w:vAlign w:val="center"/>
          </w:tcPr>
          <w:p w14:paraId="05EFCAD2">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w:t>
            </w:r>
          </w:p>
        </w:tc>
        <w:tc>
          <w:tcPr>
            <w:tcW w:w="443" w:type="pct"/>
            <w:vAlign w:val="center"/>
          </w:tcPr>
          <w:p w14:paraId="4BA768C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Align w:val="center"/>
          </w:tcPr>
          <w:p w14:paraId="55A94CA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557AA53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CF0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7599E5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4566" w:type="pct"/>
            <w:gridSpan w:val="7"/>
            <w:vAlign w:val="center"/>
          </w:tcPr>
          <w:p w14:paraId="544AC9DA">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序厅</w:t>
            </w:r>
          </w:p>
        </w:tc>
      </w:tr>
      <w:tr w14:paraId="405C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31AF65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7" w:type="pct"/>
            <w:vAlign w:val="center"/>
          </w:tcPr>
          <w:p w14:paraId="735BB679">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LED显示屏</w:t>
            </w:r>
          </w:p>
        </w:tc>
        <w:tc>
          <w:tcPr>
            <w:tcW w:w="1872" w:type="pct"/>
            <w:vAlign w:val="center"/>
          </w:tcPr>
          <w:p w14:paraId="00A5675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1、屏体尺寸：宽度≥12.6米，高度≥2.3625米；整屏分辨率宽≥10080点，高≥1890点；</w:t>
            </w:r>
          </w:p>
          <w:p w14:paraId="08CA68EF">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所投产品为LED全彩屏，非OEM产品，像素点间距≤1.25mm，像素密度≥640000dot/m²,亮度≥600cd/㎡；色温：2000-10000K调节；对比度：15000:1,可视角：水平视角≥170°垂直视角≥170°；峰值功耗≤300W/㎡，平均功耗≤105W/㎡，平整度≤0.05mm；刷新率：≥3840 Hz，共阴驱动；</w:t>
            </w:r>
          </w:p>
          <w:p w14:paraId="038B39C2">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3、标准16：9箱体，尺寸为600mm×337.5mm，分辨率480*270；</w:t>
            </w:r>
          </w:p>
          <w:p w14:paraId="19FD771D">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4、模组结构：灯驱合一；模组维护方式：前维护；</w:t>
            </w:r>
          </w:p>
          <w:p w14:paraId="57A6680A">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5、封装方式：COB全倒装封装，即RGB晶片全倒装技术，晶片直接焊在PCB上，无焊线，发光晶片单边尺寸需≤100μm，采用巨量转移固晶工艺。</w:t>
            </w:r>
          </w:p>
          <w:p w14:paraId="624F16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功能要求：</w:t>
            </w:r>
          </w:p>
          <w:p w14:paraId="67EE53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1、为保证整屏拼接和显示效果，具备屏体拼缝亮线、暗线校正；</w:t>
            </w:r>
          </w:p>
          <w:p w14:paraId="5F786489">
            <w:pPr>
              <w:keepNext w:val="0"/>
              <w:keepLines w:val="0"/>
              <w:pageBreakBefore w:val="0"/>
              <w:widowControl/>
              <w:suppressLineNumbers w:val="0"/>
              <w:kinsoku/>
              <w:wordWrap/>
              <w:overflowPunct/>
              <w:topLinePunct w:val="0"/>
              <w:autoSpaceDE/>
              <w:autoSpaceDN/>
              <w:bidi w:val="0"/>
              <w:adjustRightInd/>
              <w:snapToGrid/>
              <w:ind w:firstLine="0" w:firstLineChars="0"/>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2、箱体采用压铸铝合金材质，采用一次性整体压铸成型，全金属自然散热结构，无风扇、防尘、静音设计；</w:t>
            </w:r>
          </w:p>
          <w:p w14:paraId="0FA8F6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3、所投LED产品墨色一致性较好，无马赛克、偏色、色彩不均匀等现象；</w:t>
            </w:r>
          </w:p>
          <w:p w14:paraId="387208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4、所投LED产品的模组与主板采用硬连接、板对板设计，无排线，采用浮动式接插件，且接插件需采用镀金工艺，提升稳定性；</w:t>
            </w:r>
          </w:p>
          <w:p w14:paraId="5D0FAB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5、所投LED产品具备高集成三合一板卡设计，电源、接收卡、HUB板一体化，板内无线连接；</w:t>
            </w:r>
          </w:p>
          <w:p w14:paraId="2D0844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6、所投LED产品不接受以虚拟像素组成的显示方式；</w:t>
            </w:r>
          </w:p>
          <w:p w14:paraId="31E95A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7、含大屏幕控制管理软件，并提供终生产品软件升级及维护服务。</w:t>
            </w:r>
          </w:p>
          <w:p w14:paraId="23F93E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5C2B574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B5381D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45" w:type="pct"/>
            <w:vAlign w:val="center"/>
          </w:tcPr>
          <w:p w14:paraId="08EB2DF2">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443" w:type="pct"/>
            <w:vAlign w:val="center"/>
          </w:tcPr>
          <w:p w14:paraId="5D3492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574E5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25911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DA9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D7585B2">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577DF1B3">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LED发送盒</w:t>
            </w:r>
          </w:p>
        </w:tc>
        <w:tc>
          <w:tcPr>
            <w:tcW w:w="1872" w:type="pct"/>
            <w:vAlign w:val="center"/>
          </w:tcPr>
          <w:p w14:paraId="534B808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1.硬件配置 USB≥1，HDMI IN≥1,音频输出口*≥1，千兆以太网口≥1，RJ45≥6，RS232 接口≥1；</w:t>
            </w:r>
          </w:p>
          <w:p w14:paraId="6ED2F11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2.支持 H.265 4K高清视频硬解码播放，支持 1080P 的视频硬解码；</w:t>
            </w:r>
          </w:p>
          <w:p w14:paraId="6D63ED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4.连续工作时间：支持7*24H连续正常工作。</w:t>
            </w:r>
          </w:p>
          <w:p w14:paraId="71B245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0AC6FDFE">
            <w:pPr>
              <w:keepNext w:val="0"/>
              <w:keepLines w:val="0"/>
              <w:widowControl/>
              <w:suppressLineNumbers w:val="0"/>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7821C836">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445" w:type="pct"/>
            <w:vAlign w:val="center"/>
          </w:tcPr>
          <w:p w14:paraId="6A76CB6F">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43" w:type="pct"/>
            <w:vAlign w:val="center"/>
          </w:tcPr>
          <w:p w14:paraId="5765A7C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437" w:type="pct"/>
            <w:vAlign w:val="center"/>
          </w:tcPr>
          <w:p w14:paraId="216219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B98B85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829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0A625B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50125DC1">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1872" w:type="pct"/>
            <w:vAlign w:val="center"/>
          </w:tcPr>
          <w:p w14:paraId="566C252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设备应为全硬件架构，系统采用嵌入式处理方式，不受操作系统影响，信号与桌面分别独立处理；支持在输出通道打开一个或多个窗口，显示图像内容；</w:t>
            </w:r>
          </w:p>
          <w:p w14:paraId="470020D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设备输入HDMI接口不少于16路，输出HDMI接口不少于16路；</w:t>
            </w:r>
          </w:p>
          <w:p w14:paraId="622C04E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图像信号无压缩、无失真实时传输，保证图像质量无损耗。支持窗口在多个输出通道的任意位置移动显示（漫游）；支持在输入通道上叠加任意字符；</w:t>
            </w:r>
          </w:p>
          <w:p w14:paraId="16D2BDC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4.产品输入输出板卡可热插拔，输入板卡热插拔恢复时间＜2s，输出板卡热插拔恢复时间＜8s；图像开窗响应速度小于15ms；</w:t>
            </w:r>
          </w:p>
          <w:p w14:paraId="72F41E7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5.输出信号分辨支持1920*1200、1920*1080、1600*1200、1440*900、1366*768、1360*768、1280*800、1280*720、1024*768、800*600等；支持调取预先存好的窗口布局；场景调取响应速度＜20ms；</w:t>
            </w:r>
          </w:p>
          <w:p w14:paraId="6A82CAB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6.设备应具有支持VGA、CVBS、IP H.264、IP H.265、HDMI、DVI等信号的输入；</w:t>
            </w:r>
          </w:p>
          <w:p w14:paraId="4BFCC9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7.设备可实现任意一路画面的任意比例缩放、漫游、跨屏、叠加、开窗；</w:t>
            </w:r>
          </w:p>
          <w:p w14:paraId="198CBA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073D617C">
            <w:pPr>
              <w:keepNext w:val="0"/>
              <w:keepLines w:val="0"/>
              <w:widowControl/>
              <w:suppressLineNumbers w:val="0"/>
              <w:ind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7C67A82C">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A6E1B03">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5BE6611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4C6CD1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B4A5BC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498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359E155">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p>
        </w:tc>
        <w:tc>
          <w:tcPr>
            <w:tcW w:w="577" w:type="pct"/>
            <w:vAlign w:val="center"/>
          </w:tcPr>
          <w:p w14:paraId="6F609EC8">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电柜</w:t>
            </w:r>
          </w:p>
        </w:tc>
        <w:tc>
          <w:tcPr>
            <w:tcW w:w="1872" w:type="pct"/>
            <w:vAlign w:val="center"/>
          </w:tcPr>
          <w:p w14:paraId="245F2A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1.不小于15KW LED显示屏PLC智能配电柜</w:t>
            </w:r>
          </w:p>
          <w:p w14:paraId="2296B2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2.支持手动和远程开关模式,PLC远程控制,具有过压、过流、短路、断路等保护功能。</w:t>
            </w:r>
          </w:p>
          <w:p w14:paraId="0535A5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56A490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069D0831">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0D5105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14BD904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71E22A8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A72943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9F4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592B88">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w:t>
            </w:r>
          </w:p>
        </w:tc>
        <w:tc>
          <w:tcPr>
            <w:tcW w:w="577" w:type="pct"/>
            <w:vAlign w:val="center"/>
          </w:tcPr>
          <w:p w14:paraId="738C9CB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配件包组件</w:t>
            </w:r>
          </w:p>
        </w:tc>
        <w:tc>
          <w:tcPr>
            <w:tcW w:w="1872" w:type="pct"/>
            <w:vAlign w:val="center"/>
          </w:tcPr>
          <w:p w14:paraId="428FF60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屏体级联网线、电源线、安装磁铁等组件，含备用灯板20块，维护工具一套</w:t>
            </w:r>
          </w:p>
        </w:tc>
        <w:tc>
          <w:tcPr>
            <w:tcW w:w="458" w:type="pct"/>
            <w:vAlign w:val="center"/>
          </w:tcPr>
          <w:p w14:paraId="04594EB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C20BCD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755" w:type="dxa"/>
            <w:vAlign w:val="center"/>
          </w:tcPr>
          <w:p w14:paraId="43B3E57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7AC8D9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5D12A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73D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A991BF">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w:t>
            </w:r>
          </w:p>
        </w:tc>
        <w:tc>
          <w:tcPr>
            <w:tcW w:w="577" w:type="pct"/>
            <w:vAlign w:val="center"/>
          </w:tcPr>
          <w:p w14:paraId="5497648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大屏钢结构</w:t>
            </w:r>
          </w:p>
        </w:tc>
        <w:tc>
          <w:tcPr>
            <w:tcW w:w="1872" w:type="pct"/>
            <w:vAlign w:val="center"/>
          </w:tcPr>
          <w:p w14:paraId="44FB6F95">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定制服务，包含人工、屏体结构制、方通、加固等辅材</w:t>
            </w:r>
          </w:p>
        </w:tc>
        <w:tc>
          <w:tcPr>
            <w:tcW w:w="458" w:type="pct"/>
            <w:vAlign w:val="center"/>
          </w:tcPr>
          <w:p w14:paraId="68C48648">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445" w:type="pct"/>
            <w:vAlign w:val="center"/>
          </w:tcPr>
          <w:p w14:paraId="21AB5A59">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5E54B2D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Align w:val="center"/>
          </w:tcPr>
          <w:p w14:paraId="142DAA0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4406A3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015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C087550">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7</w:t>
            </w:r>
          </w:p>
        </w:tc>
        <w:tc>
          <w:tcPr>
            <w:tcW w:w="577" w:type="pct"/>
            <w:vAlign w:val="center"/>
          </w:tcPr>
          <w:p w14:paraId="0C80B54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顶面LED显示屏</w:t>
            </w:r>
          </w:p>
        </w:tc>
        <w:tc>
          <w:tcPr>
            <w:tcW w:w="1872" w:type="pct"/>
            <w:vAlign w:val="center"/>
          </w:tcPr>
          <w:p w14:paraId="507278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1、LED像素点间距≤1.57mm;SMD封装，显示屏幕峰值亮度≥600nits,峰值功耗≤320W/㎡，平均功耗≤110W/㎡；</w:t>
            </w:r>
          </w:p>
          <w:p w14:paraId="4D5FA7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2、整屏净显示尺寸：宽≥10.8米,高≥2.3625米，显示面积≥25.515㎡；</w:t>
            </w:r>
          </w:p>
          <w:p w14:paraId="219002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3、LED显示屏采用压铸铝箱体安装；</w:t>
            </w:r>
          </w:p>
          <w:p w14:paraId="40EAAE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4、色温：1000-18000 K可调，可视角：≥170°(H)/170°(V)，对比度：≥10000：1，刷新率：≥3840 Hz，灰度等级≥16bit</w:t>
            </w:r>
          </w:p>
          <w:p w14:paraId="288E379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6C41A9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4C8A062">
            <w:pPr>
              <w:keepNext w:val="0"/>
              <w:keepLines w:val="0"/>
              <w:widowControl/>
              <w:suppressLineNumbers w:val="0"/>
              <w:ind w:left="0" w:leftChars="0" w:firstLine="0" w:firstLineChars="0"/>
              <w:jc w:val="center"/>
              <w:textAlignment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445" w:type="pct"/>
            <w:vAlign w:val="center"/>
          </w:tcPr>
          <w:p w14:paraId="6B86E538">
            <w:pPr>
              <w:keepNext w:val="0"/>
              <w:keepLines w:val="0"/>
              <w:widowControl/>
              <w:suppressLineNumbers w:val="0"/>
              <w:ind w:left="0" w:leftChars="0" w:firstLine="0" w:firstLineChars="0"/>
              <w:jc w:val="center"/>
              <w:textAlignment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m²</w:t>
            </w:r>
          </w:p>
        </w:tc>
        <w:tc>
          <w:tcPr>
            <w:tcW w:w="755" w:type="dxa"/>
            <w:vAlign w:val="center"/>
          </w:tcPr>
          <w:p w14:paraId="2B95FA1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25E2DAA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8A1187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81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9B5486E">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w:t>
            </w:r>
          </w:p>
        </w:tc>
        <w:tc>
          <w:tcPr>
            <w:tcW w:w="577" w:type="pct"/>
            <w:vAlign w:val="center"/>
          </w:tcPr>
          <w:p w14:paraId="74F45874">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LED发送盒</w:t>
            </w:r>
          </w:p>
        </w:tc>
        <w:tc>
          <w:tcPr>
            <w:tcW w:w="1872" w:type="pct"/>
            <w:vAlign w:val="center"/>
          </w:tcPr>
          <w:p w14:paraId="5EBD965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1．带载能力：支持6路输出网口，最大带载面积230万像素点，最宽可达3840像素，最高可达3840 像素；</w:t>
            </w:r>
          </w:p>
          <w:p w14:paraId="0238EC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2．支持最大输入分辨率 1920*1200@60Hz，并可实现 1920*1200 以内标准分辨率图像缩放；</w:t>
            </w:r>
          </w:p>
          <w:p w14:paraId="3E5526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3．设备有效端口：USB≥1，HDMI IN≥1，音频输出口≥1，千兆以太网口≥1，RJ45≥6；</w:t>
            </w:r>
          </w:p>
          <w:p w14:paraId="338100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28FAA24F">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18B2D43">
            <w:pPr>
              <w:keepNext w:val="0"/>
              <w:keepLines w:val="0"/>
              <w:widowControl/>
              <w:suppressLineNumbers w:val="0"/>
              <w:ind w:left="0" w:leftChars="0" w:firstLine="0" w:firstLineChars="0"/>
              <w:jc w:val="center"/>
              <w:textAlignment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45" w:type="pct"/>
            <w:vAlign w:val="center"/>
          </w:tcPr>
          <w:p w14:paraId="13C7E02E">
            <w:pPr>
              <w:keepNext w:val="0"/>
              <w:keepLines w:val="0"/>
              <w:widowControl/>
              <w:suppressLineNumbers w:val="0"/>
              <w:ind w:left="0" w:leftChars="0" w:firstLine="0" w:firstLineChars="0"/>
              <w:jc w:val="center"/>
              <w:textAlignment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755" w:type="dxa"/>
            <w:vAlign w:val="center"/>
          </w:tcPr>
          <w:p w14:paraId="23BAF1B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06D2D9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E5F40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403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54B58A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w:t>
            </w:r>
          </w:p>
        </w:tc>
        <w:tc>
          <w:tcPr>
            <w:tcW w:w="577" w:type="pct"/>
            <w:vAlign w:val="center"/>
          </w:tcPr>
          <w:p w14:paraId="679422CA">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1872" w:type="pct"/>
            <w:vAlign w:val="center"/>
          </w:tcPr>
          <w:p w14:paraId="5040D9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设备应为全硬件架构，系统采用嵌入式处理方式，不受操作系统影响，信号与桌面分别独立处理；支持在输出通道打开一个或多个窗口，显示图像内容；</w:t>
            </w:r>
          </w:p>
          <w:p w14:paraId="7402C3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设备输入HDMI接口不少于16路，输出HDMI接口不少于16路；</w:t>
            </w:r>
          </w:p>
          <w:p w14:paraId="71B739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图像信号无压缩、无失真实时传输，保证图像质量无损耗。支持窗口在多个输出通道的任意位置移动显示（漫游）；支持在输入通道上叠加任意字符；</w:t>
            </w:r>
          </w:p>
          <w:p w14:paraId="3395D2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4.产品输入输出板卡可热插拔，输入板卡热插拔恢复时间＜2s，输出板卡热插拔恢复时间＜8s；图像开窗响应速度小于15ms；</w:t>
            </w:r>
          </w:p>
          <w:p w14:paraId="008E53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5.输出信号分辨支持1920*1200、1920*1080、1600*1200、1440*900、1366*768、1360*768、1280*800、1280*720、1024*768、800*600等；支持调取预先存好的窗口布局；场景调取响应速度＜20ms；</w:t>
            </w:r>
          </w:p>
          <w:p w14:paraId="2F5ABE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6.设备应具有支持VGA、CVBS、IP H.264、IP H.265、HDMI、DVI等信号的输入；</w:t>
            </w:r>
          </w:p>
          <w:p w14:paraId="3B1007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7.设备可实现任意一路画面的任意比例缩放、漫游、跨屏、叠加、开窗；</w:t>
            </w:r>
          </w:p>
          <w:p w14:paraId="66991B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245B69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58110F17">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45" w:type="pct"/>
            <w:vAlign w:val="center"/>
          </w:tcPr>
          <w:p w14:paraId="584EF634">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755" w:type="dxa"/>
            <w:vAlign w:val="center"/>
          </w:tcPr>
          <w:p w14:paraId="19FFA0E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387DC75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61E237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486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AA095A">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7" w:type="pct"/>
            <w:vAlign w:val="center"/>
          </w:tcPr>
          <w:p w14:paraId="0EADAA7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电柜</w:t>
            </w:r>
          </w:p>
        </w:tc>
        <w:tc>
          <w:tcPr>
            <w:tcW w:w="1872" w:type="pct"/>
            <w:vAlign w:val="center"/>
          </w:tcPr>
          <w:p w14:paraId="4B0217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不低于15KW LED显示屏PLC智能配电柜</w:t>
            </w:r>
          </w:p>
          <w:p w14:paraId="3F6AB2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支持手动和远程开关模式,PLC远程控制,具有过压、过流、短路、断路等保护功能</w:t>
            </w:r>
          </w:p>
          <w:p w14:paraId="172CB9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5C076D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213E24E1">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45" w:type="pct"/>
            <w:vAlign w:val="center"/>
          </w:tcPr>
          <w:p w14:paraId="65BA342C">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755" w:type="dxa"/>
            <w:vAlign w:val="center"/>
          </w:tcPr>
          <w:p w14:paraId="5258EF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326419E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1E06E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088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F878F5B">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11</w:t>
            </w:r>
          </w:p>
        </w:tc>
        <w:tc>
          <w:tcPr>
            <w:tcW w:w="577" w:type="pct"/>
            <w:vAlign w:val="center"/>
          </w:tcPr>
          <w:p w14:paraId="5439CB04">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配件包组件</w:t>
            </w:r>
          </w:p>
        </w:tc>
        <w:tc>
          <w:tcPr>
            <w:tcW w:w="1872" w:type="pct"/>
            <w:vAlign w:val="center"/>
          </w:tcPr>
          <w:p w14:paraId="07E6F23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屏体级联网线、电源线、安装磁铁等组件，含备用灯板6块，维护工具一套</w:t>
            </w:r>
          </w:p>
        </w:tc>
        <w:tc>
          <w:tcPr>
            <w:tcW w:w="458" w:type="pct"/>
            <w:vAlign w:val="center"/>
          </w:tcPr>
          <w:p w14:paraId="24AC58F6">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45" w:type="pct"/>
            <w:vAlign w:val="center"/>
          </w:tcPr>
          <w:p w14:paraId="5D88BE1C">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755" w:type="dxa"/>
            <w:vAlign w:val="center"/>
          </w:tcPr>
          <w:p w14:paraId="2E37698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27118B5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D25914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A8A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DD73341">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12</w:t>
            </w:r>
          </w:p>
        </w:tc>
        <w:tc>
          <w:tcPr>
            <w:tcW w:w="577" w:type="pct"/>
            <w:vAlign w:val="center"/>
          </w:tcPr>
          <w:p w14:paraId="75FB9BB9">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大屏钢结构</w:t>
            </w:r>
          </w:p>
        </w:tc>
        <w:tc>
          <w:tcPr>
            <w:tcW w:w="1872" w:type="pct"/>
            <w:vAlign w:val="center"/>
          </w:tcPr>
          <w:p w14:paraId="4E577D4C">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定制服务，包含人工，屏体结构制，方通，加固等辅材</w:t>
            </w:r>
          </w:p>
        </w:tc>
        <w:tc>
          <w:tcPr>
            <w:tcW w:w="458" w:type="pct"/>
            <w:vAlign w:val="center"/>
          </w:tcPr>
          <w:p w14:paraId="613127A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445" w:type="pct"/>
            <w:vAlign w:val="center"/>
          </w:tcPr>
          <w:p w14:paraId="37B059BE">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w:t>
            </w:r>
          </w:p>
        </w:tc>
        <w:tc>
          <w:tcPr>
            <w:tcW w:w="755" w:type="dxa"/>
            <w:vAlign w:val="center"/>
          </w:tcPr>
          <w:p w14:paraId="625A1E2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建筑业</w:t>
            </w:r>
          </w:p>
        </w:tc>
        <w:tc>
          <w:tcPr>
            <w:tcW w:w="745" w:type="dxa"/>
            <w:vAlign w:val="center"/>
          </w:tcPr>
          <w:p w14:paraId="4E559C8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5C1E99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1E5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1C322A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4566" w:type="pct"/>
            <w:gridSpan w:val="7"/>
            <w:vAlign w:val="center"/>
          </w:tcPr>
          <w:p w14:paraId="6875FE8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数说滁州</w:t>
            </w:r>
          </w:p>
        </w:tc>
      </w:tr>
      <w:tr w14:paraId="3C11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A193A29">
            <w:pPr>
              <w:keepNext w:val="0"/>
              <w:keepLines w:val="0"/>
              <w:widowControl/>
              <w:suppressLineNumbers w:val="0"/>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577" w:type="pct"/>
            <w:vAlign w:val="center"/>
          </w:tcPr>
          <w:p w14:paraId="5DEA8553">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拼接屏</w:t>
            </w:r>
          </w:p>
        </w:tc>
        <w:tc>
          <w:tcPr>
            <w:tcW w:w="1872" w:type="pct"/>
            <w:vAlign w:val="center"/>
          </w:tcPr>
          <w:p w14:paraId="6D458B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1、屏幕尺寸（对角线）65寸，显示比例16:9，对比度≥4000：1，真4K分辨率3840×2160，支持HDR， 屏幕响应时间≤6.5ms</w:t>
            </w:r>
          </w:p>
          <w:p w14:paraId="2919FF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2、整机色域NTSC≥68%，可视角度178/178，</w:t>
            </w:r>
          </w:p>
          <w:p w14:paraId="7AD6D0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3、为保障产品可靠性，整机采用直下式背光，背光源LED均匀分布在整个屏幕后面的背板上，亮度≥400nit。</w:t>
            </w:r>
          </w:p>
          <w:p w14:paraId="209F77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4、铝材质金属前框，支持横、竖放安装使用，运行时间7*24小时</w:t>
            </w:r>
          </w:p>
          <w:p w14:paraId="4A0363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5、整机采用4核处理器主频≥1.8GHz，内存≥2GB DDR，存储容量≥16G，内置扬声器；</w:t>
            </w:r>
          </w:p>
          <w:p w14:paraId="3A13EA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6、整机内置操作系统：安卓系统9.0及以上版本，内置信息发布系统；支持用户安装应用。</w:t>
            </w:r>
          </w:p>
          <w:p w14:paraId="766D47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5C9492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047A709">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45" w:type="pct"/>
            <w:vAlign w:val="center"/>
          </w:tcPr>
          <w:p w14:paraId="4F2E18E4">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773DF8F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7C4F93C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414B2A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25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C85B56F">
            <w:pPr>
              <w:keepNext w:val="0"/>
              <w:keepLines w:val="0"/>
              <w:widowControl/>
              <w:suppressLineNumbers w:val="0"/>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69824707">
            <w:pPr>
              <w:keepNext w:val="0"/>
              <w:keepLines w:val="0"/>
              <w:widowControl/>
              <w:suppressLineNumbers w:val="0"/>
              <w:ind w:left="0" w:leftChars="0" w:firstLine="0" w:firstLineChars="0"/>
              <w:jc w:val="center"/>
              <w:textAlignment w:val="center"/>
              <w:rPr>
                <w:rFonts w:hint="eastAsia" w:ascii="宋体" w:hAnsi="宋体" w:eastAsia="宋体" w:cs="宋体"/>
                <w:color w:val="D99694" w:themeColor="accent2" w:themeTint="99"/>
                <w:sz w:val="24"/>
                <w:szCs w:val="24"/>
                <w:highlight w:val="none"/>
                <w:lang w:val="en-US" w:eastAsia="zh-CN"/>
                <w14:textFill>
                  <w14:solidFill>
                    <w14:schemeClr w14:val="accent2">
                      <w14:lumMod w14:val="60000"/>
                      <w14:lumOff w14:val="40000"/>
                    </w14:schemeClr>
                  </w14:solidFill>
                </w14:textFill>
              </w:rPr>
            </w:pPr>
            <w:r>
              <w:rPr>
                <w:rFonts w:hint="eastAsia" w:ascii="宋体" w:hAnsi="宋体" w:eastAsia="宋体" w:cs="宋体"/>
                <w:i w:val="0"/>
                <w:iCs w:val="0"/>
                <w:color w:val="auto"/>
                <w:kern w:val="0"/>
                <w:sz w:val="24"/>
                <w:szCs w:val="24"/>
                <w:highlight w:val="none"/>
                <w:u w:val="none"/>
                <w:lang w:val="en-US" w:eastAsia="zh-CN" w:bidi="ar"/>
              </w:rPr>
              <w:t>LED显示屏</w:t>
            </w:r>
          </w:p>
        </w:tc>
        <w:tc>
          <w:tcPr>
            <w:tcW w:w="1872" w:type="pct"/>
            <w:vAlign w:val="center"/>
          </w:tcPr>
          <w:p w14:paraId="6A0BAA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1、LED像素点间距≤1.57mm;SMD封装，显示屏幕峰值亮度≥600nits,峰值功耗≤320W/㎡，平均功耗≤110W/㎡；</w:t>
            </w:r>
          </w:p>
          <w:p w14:paraId="245736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2、整屏净显示尺寸：宽≥4.2米,高≥2.3625米，显示面积≥9.9225㎡，分辨率≥2688*1512；</w:t>
            </w:r>
          </w:p>
          <w:p w14:paraId="1AB9EA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3、压铸铝合金箱体，屈服强度符合要求</w:t>
            </w:r>
          </w:p>
          <w:p w14:paraId="7B580E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4、色温：1000-18000 K可调，可视角：≥170°(H)/170°(V)，对比度：≥10000：1，刷新率：≥3840 Hz，灰度等级≥16bit</w:t>
            </w:r>
          </w:p>
          <w:p w14:paraId="788DC1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0B8DD8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2F53C184">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01A4330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755" w:type="dxa"/>
            <w:vAlign w:val="center"/>
          </w:tcPr>
          <w:p w14:paraId="47DB43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3D652E9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7E3761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A11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FBD004">
            <w:pPr>
              <w:keepNext w:val="0"/>
              <w:keepLines w:val="0"/>
              <w:widowControl/>
              <w:suppressLineNumbers w:val="0"/>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5C1FBD3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LED发送盒</w:t>
            </w:r>
          </w:p>
        </w:tc>
        <w:tc>
          <w:tcPr>
            <w:tcW w:w="1872" w:type="pct"/>
            <w:vAlign w:val="center"/>
          </w:tcPr>
          <w:p w14:paraId="065177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1.支持最大输入分辨率3840*2160@60Hz，并可实现3840*2160以内标准分辨率图像缩放，通道环出支持4K@60Hz；</w:t>
            </w:r>
          </w:p>
          <w:p w14:paraId="48D36E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2.单台设备最大带载面积≥830万像素点，最宽可达7680，最高可达4320；</w:t>
            </w:r>
          </w:p>
          <w:p w14:paraId="55CC3E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3.视频输入接口：HDMI2.0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1+DP1.2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w:t>
            </w:r>
          </w:p>
          <w:p w14:paraId="57684C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4.设备其他接口不少于：HDMI2.0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1（视频环通输出）、10M/100M/1000M自适应以太网口</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2（管理使用）、IR输入</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1、串口</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1、RS485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1、USB 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w:t>
            </w:r>
          </w:p>
          <w:p w14:paraId="25FC00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5.连续工作时间：支持7*24H连续正常工作；</w:t>
            </w:r>
          </w:p>
          <w:p w14:paraId="3E6BDD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49CF5E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20999BD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53EAD7EA">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3E541D0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394ACF6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37D7C8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268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0FC132">
            <w:pPr>
              <w:keepNext w:val="0"/>
              <w:keepLines w:val="0"/>
              <w:widowControl/>
              <w:suppressLineNumbers w:val="0"/>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10D733C6">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1872" w:type="pct"/>
            <w:vAlign w:val="center"/>
          </w:tcPr>
          <w:p w14:paraId="3914B1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设备应为全硬件架构，系统采用嵌入式处理方式，不受操作系统影响，信号与桌面分别独立处理；支持在输出通道打开一个或多个窗口，显示图像内容；</w:t>
            </w:r>
          </w:p>
          <w:p w14:paraId="1B215F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设备输入HDMI接口不少于12路，输出HDMI接口不少于12路；</w:t>
            </w:r>
          </w:p>
          <w:p w14:paraId="073272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图像信号无压缩、无失真实时传输，保证图像质量无损耗。支持窗口在多个输出通道的任意位置移动显示（漫游）；支持在输入通道上叠加任意字符；</w:t>
            </w:r>
          </w:p>
          <w:p w14:paraId="09EAB6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4.产品输入输出板卡可热插拔，输入板卡热插拔恢复时间＜2s，输出板卡热插拔恢复时间＜8s；图像开窗响应速度小于15ms；</w:t>
            </w:r>
          </w:p>
          <w:p w14:paraId="7FDE6C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5.输出信号分辨支持1920*1200、1920*1080、1600*1200、1440*900、1366*768、1360*768、1280*800、1280*720、1024*768、800*600等；支持调取预先存好的窗口布局；场景调取响应速度＜20ms；</w:t>
            </w:r>
          </w:p>
          <w:p w14:paraId="03FF4D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6.设备应具有支持VGA、CVBS、IP H.264、IP H.265、HDMI、DVI等信号的输入；</w:t>
            </w:r>
          </w:p>
          <w:p w14:paraId="4DC681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7.设备可实现任意一路画面的任意比例缩放、漫游、跨屏、叠加、开窗；</w:t>
            </w:r>
          </w:p>
          <w:p w14:paraId="00BAB9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1B7464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5C4A6EF3">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B99E6EB">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6FD0301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F2108B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40BAEF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18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09D01F2">
            <w:pPr>
              <w:keepNext w:val="0"/>
              <w:keepLines w:val="0"/>
              <w:widowControl/>
              <w:suppressLineNumbers w:val="0"/>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17D748B4">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电柜</w:t>
            </w:r>
          </w:p>
        </w:tc>
        <w:tc>
          <w:tcPr>
            <w:tcW w:w="1872" w:type="pct"/>
            <w:vAlign w:val="center"/>
          </w:tcPr>
          <w:p w14:paraId="2ABFD4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不少于10KW LED显示屏PLC智能配电柜</w:t>
            </w:r>
          </w:p>
          <w:p w14:paraId="09C016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支持手动和远程开关模式,PLC远程控制,具有过压、过流、短路、断路等保护功能</w:t>
            </w:r>
          </w:p>
          <w:p w14:paraId="52021CF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9C3E9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43BFE73A">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995CFD8">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49B77B3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00121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AFB3BB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4EB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F1A294A">
            <w:pPr>
              <w:keepNext w:val="0"/>
              <w:keepLines w:val="0"/>
              <w:widowControl/>
              <w:suppressLineNumbers w:val="0"/>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2F4B2BA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配件包组件</w:t>
            </w:r>
          </w:p>
        </w:tc>
        <w:tc>
          <w:tcPr>
            <w:tcW w:w="1872" w:type="pct"/>
            <w:vAlign w:val="center"/>
          </w:tcPr>
          <w:p w14:paraId="1830A2C9">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屏体级联网线、电源线、安装磁铁等组件，含备用灯板8块，维护工具一套</w:t>
            </w:r>
          </w:p>
        </w:tc>
        <w:tc>
          <w:tcPr>
            <w:tcW w:w="458" w:type="pct"/>
            <w:vAlign w:val="center"/>
          </w:tcPr>
          <w:p w14:paraId="1CEDE012">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FE221D2">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755" w:type="dxa"/>
            <w:vAlign w:val="center"/>
          </w:tcPr>
          <w:p w14:paraId="5ECD0A2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F12EBC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BCE059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6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445CFE3">
            <w:pPr>
              <w:keepNext w:val="0"/>
              <w:keepLines w:val="0"/>
              <w:widowControl/>
              <w:suppressLineNumbers w:val="0"/>
              <w:ind w:firstLine="480" w:firstLineChars="20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0D74590B">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大屏钢结构</w:t>
            </w:r>
          </w:p>
        </w:tc>
        <w:tc>
          <w:tcPr>
            <w:tcW w:w="1872" w:type="pct"/>
            <w:vAlign w:val="center"/>
          </w:tcPr>
          <w:p w14:paraId="6427324B">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定制服务，包含人工，屏体结构制，方通，加固等辅材</w:t>
            </w:r>
          </w:p>
        </w:tc>
        <w:tc>
          <w:tcPr>
            <w:tcW w:w="458" w:type="pct"/>
            <w:vAlign w:val="center"/>
          </w:tcPr>
          <w:p w14:paraId="0CBF5BC8">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93E5AEF">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48C34B2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Align w:val="center"/>
          </w:tcPr>
          <w:p w14:paraId="2D1BFA3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7DA256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A7E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F9F74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4921F5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98寸触控屏</w:t>
            </w:r>
          </w:p>
        </w:tc>
        <w:tc>
          <w:tcPr>
            <w:tcW w:w="1872" w:type="pct"/>
            <w:vAlign w:val="center"/>
          </w:tcPr>
          <w:p w14:paraId="786DE6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一、整机性能</w:t>
            </w:r>
          </w:p>
          <w:p w14:paraId="34E320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整机采用金属结构一体化设计，外部无可见内部功能模块的连接线，表面无尖锐边缘或突起，整体设计安全，牢固，美观。具备触控功能。</w:t>
            </w:r>
          </w:p>
          <w:p w14:paraId="527496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显示尺寸：≥98寸</w:t>
            </w:r>
          </w:p>
          <w:p w14:paraId="06960ED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显示分辨率：3840(H)×2160(V)；显示比例：16:9。</w:t>
            </w:r>
          </w:p>
          <w:p w14:paraId="749848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亮度：≥350 cd/㎡；对比度：≥5000：1；可视角度：≥178°。</w:t>
            </w:r>
          </w:p>
          <w:p w14:paraId="1725F7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采用红外多点触摸感应技术，可支持≥20点触摸。</w:t>
            </w:r>
          </w:p>
          <w:p w14:paraId="367BC7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触摸精准度：≤1mm；光标速度：≥300点/秒；响应时间≤4ms</w:t>
            </w:r>
          </w:p>
          <w:p w14:paraId="5B778B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 扬声器：总功率≥30W。</w:t>
            </w:r>
          </w:p>
          <w:p w14:paraId="5D80E6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 显示颜色：10bit，1.07B Colors；色域：≥95% NTSC高色域；透光率＞95%；</w:t>
            </w:r>
          </w:p>
          <w:p w14:paraId="19F3CE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 整机内置高清摄像头，非外接摄像头不占用设备接口，可拍摄不低于1300万像素数的照片，对角角度≥90°；</w:t>
            </w:r>
          </w:p>
          <w:p w14:paraId="1CB99C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 安卓系统配置：内存≥3G，存储内存≥32G。</w:t>
            </w:r>
          </w:p>
          <w:p w14:paraId="32E372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二、内置电脑模块</w:t>
            </w:r>
          </w:p>
          <w:p w14:paraId="6FECD1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标准的80针可拔插式电脑OPS电脑，采用模块化电脑方案，PC模块按压式插入整机，无任何裸露，无需工具即可快速拆卸电脑模块。</w:t>
            </w:r>
          </w:p>
          <w:p w14:paraId="66E970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CPU：不低于i5处理器；内存：≥8GB；硬盘：≥256GB 固态硬盘；</w:t>
            </w:r>
          </w:p>
          <w:p w14:paraId="71ACC0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 </w:t>
            </w:r>
            <w:r>
              <w:rPr>
                <w:rFonts w:hint="eastAsia" w:ascii="宋体" w:hAnsi="宋体" w:eastAsia="宋体" w:cs="宋体"/>
                <w:i w:val="0"/>
                <w:iCs w:val="0"/>
                <w:color w:val="auto"/>
                <w:kern w:val="0"/>
                <w:sz w:val="24"/>
                <w:szCs w:val="24"/>
                <w:highlight w:val="none"/>
                <w:u w:val="none"/>
                <w:lang w:val="en-US" w:eastAsia="zh-CN" w:bidi="ar"/>
              </w:rPr>
              <w:t>模块具有多个独立非外扩展的电脑USB3.0接口,不少于3路，</w:t>
            </w:r>
            <w:r>
              <w:rPr>
                <w:rFonts w:hint="eastAsia" w:ascii="宋体" w:hAnsi="宋体" w:eastAsia="宋体" w:cs="宋体"/>
                <w:i w:val="0"/>
                <w:iCs w:val="0"/>
                <w:color w:val="000000"/>
                <w:kern w:val="0"/>
                <w:sz w:val="24"/>
                <w:szCs w:val="24"/>
                <w:highlight w:val="none"/>
                <w:u w:val="none"/>
                <w:lang w:val="en-US" w:eastAsia="zh-CN" w:bidi="ar"/>
              </w:rPr>
              <w:t>具有独立非外扩展的视频输出接口：≥1路HDMI，≥1路DP。</w:t>
            </w:r>
          </w:p>
        </w:tc>
        <w:tc>
          <w:tcPr>
            <w:tcW w:w="458" w:type="pct"/>
            <w:vAlign w:val="center"/>
          </w:tcPr>
          <w:p w14:paraId="1843CE18">
            <w:pPr>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445" w:type="pct"/>
            <w:vAlign w:val="center"/>
          </w:tcPr>
          <w:p w14:paraId="350BBBD5">
            <w:pPr>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台</w:t>
            </w:r>
          </w:p>
        </w:tc>
        <w:tc>
          <w:tcPr>
            <w:tcW w:w="755" w:type="dxa"/>
            <w:vAlign w:val="center"/>
          </w:tcPr>
          <w:p w14:paraId="30326C7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1CE9B14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DE5E77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1AC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D5D60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4566" w:type="pct"/>
            <w:gridSpan w:val="7"/>
            <w:vAlign w:val="center"/>
          </w:tcPr>
          <w:p w14:paraId="6E12DE0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数字政府</w:t>
            </w:r>
          </w:p>
        </w:tc>
      </w:tr>
      <w:tr w14:paraId="5310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B1555CB">
            <w:pPr>
              <w:keepNext w:val="0"/>
              <w:keepLines w:val="0"/>
              <w:widowControl/>
              <w:suppressLineNumbers w:val="0"/>
              <w:jc w:val="center"/>
              <w:textAlignment w:val="center"/>
              <w:rPr>
                <w:rFonts w:hint="eastAsia" w:ascii="宋体" w:hAnsi="宋体" w:eastAsia="宋体" w:cs="宋体"/>
                <w:color w:val="D99694" w:themeColor="accent2" w:themeTint="99"/>
                <w:sz w:val="24"/>
                <w:szCs w:val="24"/>
                <w:highlight w:val="none"/>
                <w:lang w:val="en-US" w:eastAsia="zh-CN"/>
                <w14:textFill>
                  <w14:solidFill>
                    <w14:schemeClr w14:val="accent2">
                      <w14:lumMod w14:val="60000"/>
                      <w14:lumOff w14:val="40000"/>
                    </w14:schemeClr>
                  </w14:solidFill>
                </w14:textFill>
              </w:rPr>
            </w:pPr>
            <w:r>
              <w:rPr>
                <w:rFonts w:hint="eastAsia" w:ascii="宋体" w:hAnsi="宋体" w:eastAsia="宋体" w:cs="宋体"/>
                <w:i w:val="0"/>
                <w:iCs w:val="0"/>
                <w:color w:val="auto"/>
                <w:kern w:val="0"/>
                <w:sz w:val="24"/>
                <w:szCs w:val="24"/>
                <w:highlight w:val="none"/>
                <w:u w:val="none"/>
                <w:lang w:val="en-US" w:eastAsia="zh-CN" w:bidi="ar"/>
              </w:rPr>
              <w:t>1</w:t>
            </w:r>
          </w:p>
        </w:tc>
        <w:tc>
          <w:tcPr>
            <w:tcW w:w="577" w:type="pct"/>
            <w:vAlign w:val="center"/>
          </w:tcPr>
          <w:p w14:paraId="2B7D54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98寸触控屏</w:t>
            </w:r>
          </w:p>
        </w:tc>
        <w:tc>
          <w:tcPr>
            <w:tcW w:w="1872" w:type="pct"/>
            <w:vAlign w:val="center"/>
          </w:tcPr>
          <w:p w14:paraId="694796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一、整机性能</w:t>
            </w:r>
          </w:p>
          <w:p w14:paraId="5F75DB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整机采用金属结构一体化设计，外部无可见内部功能模块的连接线，表面无尖锐边缘或突起，整体设计安全，牢固，美观。具备触控功能。</w:t>
            </w:r>
          </w:p>
          <w:p w14:paraId="0BAA77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显示尺寸：≥98寸</w:t>
            </w:r>
          </w:p>
          <w:p w14:paraId="7A65F4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显示分辨率：3840(H)×2160(V)；显示比例：16:9。</w:t>
            </w:r>
          </w:p>
          <w:p w14:paraId="05A82F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亮度：≥350 cd/㎡；对比度：≥5000：1；可视角度：≥178°。</w:t>
            </w:r>
          </w:p>
          <w:p w14:paraId="5EA451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采用红外多点触摸感应技术，可支持≥20点触摸。</w:t>
            </w:r>
          </w:p>
          <w:p w14:paraId="1189D0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触摸精准度：≤1mm；光标速度：≥300点/秒；响应时间≤4ms</w:t>
            </w:r>
          </w:p>
          <w:p w14:paraId="46F1F8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 扬声器：总功率≥30W。</w:t>
            </w:r>
          </w:p>
          <w:p w14:paraId="6F0F63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 显示颜色：10bit，1.07B Colors；色域：≥95% NTSC高色域；透光率＞95%；</w:t>
            </w:r>
          </w:p>
          <w:p w14:paraId="338383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 整机内置高清摄像头，非外接摄像头不占用设备接口，可拍摄不低于1300万像素数的照片，对角角度≥90°；</w:t>
            </w:r>
          </w:p>
          <w:p w14:paraId="74BC98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 安卓系统配置：内存≥3G，存储内存≥32G。</w:t>
            </w:r>
          </w:p>
          <w:p w14:paraId="3A0293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二、内置电脑模块</w:t>
            </w:r>
          </w:p>
          <w:p w14:paraId="454E8C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标准的80针可拔插式电脑OPS电脑，采用模块化电脑方案，PC模块按压式插入整机，无任何裸露，无需工具即可快速拆卸电脑模块。</w:t>
            </w:r>
          </w:p>
          <w:p w14:paraId="421350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CPU：不低于i5处理器；内存：≥8GB；硬盘：≥256GB 固态硬盘；</w:t>
            </w:r>
          </w:p>
          <w:p w14:paraId="0684E9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模块具有多个独立非外扩展的电脑USB3.0接口,不少于3路，具有独立非外扩展的视频输出接口：≥1路HDMI，≥1路DP。</w:t>
            </w:r>
          </w:p>
        </w:tc>
        <w:tc>
          <w:tcPr>
            <w:tcW w:w="458" w:type="pct"/>
            <w:vAlign w:val="center"/>
          </w:tcPr>
          <w:p w14:paraId="1AA05D8A">
            <w:pPr>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445" w:type="pct"/>
            <w:vAlign w:val="center"/>
          </w:tcPr>
          <w:p w14:paraId="26F4DD74">
            <w:pPr>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台</w:t>
            </w:r>
          </w:p>
        </w:tc>
        <w:tc>
          <w:tcPr>
            <w:tcW w:w="755" w:type="dxa"/>
            <w:vAlign w:val="center"/>
          </w:tcPr>
          <w:p w14:paraId="68B6B9D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4194E9F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85279D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6E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0A635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5F22FC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65寸触控屏</w:t>
            </w:r>
          </w:p>
        </w:tc>
        <w:tc>
          <w:tcPr>
            <w:tcW w:w="1872" w:type="pct"/>
            <w:vAlign w:val="center"/>
          </w:tcPr>
          <w:p w14:paraId="37106B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一、整机性能</w:t>
            </w:r>
          </w:p>
          <w:p w14:paraId="61DA3D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整机采用金属结构一体化设计，外部无可见内部功能模块的连接线，表面无尖锐边缘或突起，整体设计安全，牢固，美观。具备触控功能。</w:t>
            </w:r>
          </w:p>
          <w:p w14:paraId="2B1D66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显示尺寸：≥65寸，屏幕表面采用全钢化防眩光玻璃；</w:t>
            </w:r>
          </w:p>
          <w:p w14:paraId="46081C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显示分辨率：3840(H)×2160(V)；显示比例：16:9。</w:t>
            </w:r>
          </w:p>
          <w:p w14:paraId="1214BF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亮度：≥350 cd/㎡；对比度：≥5000：1；可视角度：≥178°。</w:t>
            </w:r>
          </w:p>
          <w:p w14:paraId="36BCF6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采用红外多点触摸感应技术，可支持≥20点触摸。</w:t>
            </w:r>
          </w:p>
          <w:p w14:paraId="21933E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触摸精准度：≤1mm；光标速度：≥300点/秒；响应时间≤4ms</w:t>
            </w:r>
          </w:p>
          <w:p w14:paraId="156515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 扬声器：总功率≥30W。</w:t>
            </w:r>
          </w:p>
          <w:p w14:paraId="59F426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 显示颜色：10bit，1.07B Colors；色域：≥95% NTSC高色域；透光率＞95%；</w:t>
            </w:r>
          </w:p>
          <w:p w14:paraId="223BD6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 整机内置高清摄像头，非外接摄像头不占用设备接口，可拍摄不低于1300万像素数的照片，对角角度≥90°；</w:t>
            </w:r>
          </w:p>
          <w:p w14:paraId="0B98CF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 系统配置：内存≥3G，存储内存≥32G。</w:t>
            </w:r>
          </w:p>
          <w:p w14:paraId="21687D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 常用外接接口：USB接口≥2路、Type-C接口≥1路、HDMI接口≥1路</w:t>
            </w:r>
          </w:p>
          <w:p w14:paraId="7C4C28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二、内置电脑模块</w:t>
            </w:r>
          </w:p>
          <w:p w14:paraId="21AD32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标准的80针可拔插式电脑OPS电脑，采用模块化电脑方案，PC模块按压式插入整机，无任何裸露，无需工具即可快速拆卸电脑模块。</w:t>
            </w:r>
          </w:p>
          <w:p w14:paraId="4A15E6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CPU：不低于i5处理器；内存：≥8GB；硬盘：≥256GB 固态硬盘；</w:t>
            </w:r>
          </w:p>
          <w:p w14:paraId="1C0609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模块具有多个独立非外扩展的电脑USB3.0接口,不少于3路，具有独立非外扩展的视频输出接口：≥1路HDMI，≥1路DP。</w:t>
            </w:r>
          </w:p>
        </w:tc>
        <w:tc>
          <w:tcPr>
            <w:tcW w:w="458" w:type="pct"/>
            <w:vAlign w:val="center"/>
          </w:tcPr>
          <w:p w14:paraId="30B6B0D9">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445" w:type="pct"/>
            <w:vAlign w:val="center"/>
          </w:tcPr>
          <w:p w14:paraId="3076C42C">
            <w:pPr>
              <w:keepNext w:val="0"/>
              <w:keepLines w:val="0"/>
              <w:pageBreakBefore w:val="0"/>
              <w:kinsoku/>
              <w:wordWrap/>
              <w:overflowPunct/>
              <w:topLinePunct w:val="0"/>
              <w:autoSpaceDE/>
              <w:autoSpaceDN/>
              <w:bidi w:val="0"/>
              <w:adjustRightInd/>
              <w:snapToGrid/>
              <w:spacing w:before="68" w:line="181" w:lineRule="auto"/>
              <w:ind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755" w:type="dxa"/>
            <w:vAlign w:val="center"/>
          </w:tcPr>
          <w:p w14:paraId="233FACA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4BB6050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EB86F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B89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C1A8EE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4566" w:type="pct"/>
            <w:gridSpan w:val="7"/>
            <w:vAlign w:val="center"/>
          </w:tcPr>
          <w:p w14:paraId="1DA13C10">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数字经济</w:t>
            </w:r>
          </w:p>
        </w:tc>
      </w:tr>
      <w:tr w14:paraId="4842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A5B77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6BB63A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65寸触控屏</w:t>
            </w:r>
          </w:p>
        </w:tc>
        <w:tc>
          <w:tcPr>
            <w:tcW w:w="1872" w:type="pct"/>
            <w:vAlign w:val="center"/>
          </w:tcPr>
          <w:p w14:paraId="1C23EF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一、整机性能</w:t>
            </w:r>
          </w:p>
          <w:p w14:paraId="07C9F7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整机采用金属结构一体化设计，外部无可见内部功能模块的连接线，表面无尖锐边缘或突起，整体设计安全，牢固，美观。具备触控功能。</w:t>
            </w:r>
          </w:p>
          <w:p w14:paraId="684FA0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显示尺寸：≥65寸，屏幕表面采用全钢化防眩光玻璃；</w:t>
            </w:r>
          </w:p>
          <w:p w14:paraId="48ADFA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显示分辨率：3840(H)×2160(V)；显示比例：16:9。</w:t>
            </w:r>
          </w:p>
          <w:p w14:paraId="075F05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亮度：≥350 cd/㎡；对比度：≥5000：1；可视角度：≥178°。</w:t>
            </w:r>
          </w:p>
          <w:p w14:paraId="69AB8F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采用红外多点触摸感应技术，可支持≥20点触摸。</w:t>
            </w:r>
          </w:p>
          <w:p w14:paraId="6033F7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触摸精准度：≤1mm；光标速度：≥300点/秒；响应时间≤4ms</w:t>
            </w:r>
          </w:p>
          <w:p w14:paraId="577502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 扬声器：总功率≥30W。</w:t>
            </w:r>
          </w:p>
          <w:p w14:paraId="3F9D77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 显示颜色：10bit，1.07B Colors；色域：≥95% NTSC高色域；透光率＞95%；</w:t>
            </w:r>
          </w:p>
          <w:p w14:paraId="4D972F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 整机内置高清摄像头，非外接摄像头不占用设备接口，可拍摄不低于1300万像素数的照片，对角角度≥90°；</w:t>
            </w:r>
          </w:p>
          <w:p w14:paraId="6B9CB3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 系统配置：内存≥3G，存储内存≥32G。</w:t>
            </w:r>
          </w:p>
          <w:p w14:paraId="76BBC7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 常用外接接口：USB接口≥2路、Type-C接口≥1路、HDMI接口≥1路</w:t>
            </w:r>
          </w:p>
          <w:p w14:paraId="18713F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二、内置电脑模块</w:t>
            </w:r>
          </w:p>
          <w:p w14:paraId="54469F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标准的80针可拔插式电脑OPS电脑，采用模块化电脑方案，PC模块按压式插入整机，无任何裸露，无需工具即可快速拆卸电脑模块。</w:t>
            </w:r>
          </w:p>
          <w:p w14:paraId="72EB98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CPU：不低于i5处理器；内存：≥8GB；硬盘：≥256GB 固态硬盘；</w:t>
            </w:r>
          </w:p>
          <w:p w14:paraId="4EE4CC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模块具有多个独立非外扩展的电脑USB3.0接口,不少于3路，具有独立非外扩展的视频输出接口：≥1路HDMI，≥1路DP。</w:t>
            </w:r>
          </w:p>
        </w:tc>
        <w:tc>
          <w:tcPr>
            <w:tcW w:w="458" w:type="pct"/>
            <w:vAlign w:val="center"/>
          </w:tcPr>
          <w:p w14:paraId="1A5F974C">
            <w:pPr>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8</w:t>
            </w:r>
          </w:p>
        </w:tc>
        <w:tc>
          <w:tcPr>
            <w:tcW w:w="445" w:type="pct"/>
            <w:vAlign w:val="center"/>
          </w:tcPr>
          <w:p w14:paraId="047D3F11">
            <w:pPr>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台</w:t>
            </w:r>
          </w:p>
        </w:tc>
        <w:tc>
          <w:tcPr>
            <w:tcW w:w="755" w:type="dxa"/>
            <w:vAlign w:val="center"/>
          </w:tcPr>
          <w:p w14:paraId="614563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8E0434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37A16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22F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B931F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77A847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75寸触控屏</w:t>
            </w:r>
          </w:p>
        </w:tc>
        <w:tc>
          <w:tcPr>
            <w:tcW w:w="1872" w:type="pct"/>
            <w:vAlign w:val="center"/>
          </w:tcPr>
          <w:p w14:paraId="6B9795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一、整机性能</w:t>
            </w:r>
          </w:p>
          <w:p w14:paraId="3E34C3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整机采用金属结构一体化设计，外部无可见内部功能模块的连接线，表面无尖锐边缘或突起，整体设计安全，牢固，美观。具备触控功能。</w:t>
            </w:r>
          </w:p>
          <w:p w14:paraId="343C9A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显示尺寸：≥75寸，屏幕表面采用全钢化防眩光玻璃；</w:t>
            </w:r>
          </w:p>
          <w:p w14:paraId="11EBBD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显示分辨率：3840(H)×2160(V)；显示比例：16:9。</w:t>
            </w:r>
          </w:p>
          <w:p w14:paraId="37D893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亮度：≥350 cd/㎡；对比度：≥5000：1；可视角度：≥178°。</w:t>
            </w:r>
          </w:p>
          <w:p w14:paraId="6CC99C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采用红外多点触摸感应技术，可支持≥20点触摸。</w:t>
            </w:r>
          </w:p>
          <w:p w14:paraId="572D8A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触摸精准度：≤1mm；光标速度：≥300点/秒；响应时间≤4ms</w:t>
            </w:r>
          </w:p>
          <w:p w14:paraId="57A677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 扬声器：总功率≥30W。</w:t>
            </w:r>
          </w:p>
          <w:p w14:paraId="65D6AA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 显示颜色：10bit，1.07B Colors；色域：≥95% NTSC高色域；透光率＞95%；</w:t>
            </w:r>
          </w:p>
          <w:p w14:paraId="3AC600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 整机内置高清摄像头，非外接摄像头不占用设备接口，可拍摄不低于1300万像素数的照片，对角角度≥90°；</w:t>
            </w:r>
          </w:p>
          <w:p w14:paraId="1AF3F9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 系统配置：内存≥3G，存储内存≥32G。</w:t>
            </w:r>
          </w:p>
          <w:p w14:paraId="40B47C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 常用外接接口：USB接口≥2路、Type-C接口≥1路、HDMI接口≥1路</w:t>
            </w:r>
          </w:p>
          <w:p w14:paraId="265083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二、内置电脑模块</w:t>
            </w:r>
          </w:p>
          <w:p w14:paraId="7B19E2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标准的80针可拔插式电脑OPS电脑，采用模块化电脑方案，PC模块按压式插入整机，无任何裸露，无需工具即可快速拆卸电脑模块。</w:t>
            </w:r>
          </w:p>
          <w:p w14:paraId="3944FE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CPU：Intel Core i5处理器；内存：≥8GB；硬盘：≥256GB 固态硬盘；</w:t>
            </w:r>
          </w:p>
          <w:p w14:paraId="4E5327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模块具有多个独立非外扩展的电脑USB3.0接口,不少于3路，具有独立非外扩展的视频输出接口：≥1路HDMI，≥1路DP。</w:t>
            </w:r>
          </w:p>
        </w:tc>
        <w:tc>
          <w:tcPr>
            <w:tcW w:w="458" w:type="pct"/>
            <w:vAlign w:val="center"/>
          </w:tcPr>
          <w:p w14:paraId="08149591">
            <w:pPr>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7</w:t>
            </w:r>
          </w:p>
        </w:tc>
        <w:tc>
          <w:tcPr>
            <w:tcW w:w="445" w:type="pct"/>
            <w:vAlign w:val="center"/>
          </w:tcPr>
          <w:p w14:paraId="3452277A">
            <w:pPr>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台</w:t>
            </w:r>
          </w:p>
        </w:tc>
        <w:tc>
          <w:tcPr>
            <w:tcW w:w="755" w:type="dxa"/>
            <w:vAlign w:val="center"/>
          </w:tcPr>
          <w:p w14:paraId="2F3809C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76898F9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4547B36">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F54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C05639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4566" w:type="pct"/>
            <w:gridSpan w:val="7"/>
            <w:vAlign w:val="center"/>
          </w:tcPr>
          <w:p w14:paraId="541AA5F8">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数字社会</w:t>
            </w:r>
          </w:p>
        </w:tc>
      </w:tr>
      <w:tr w14:paraId="11C9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56555A7">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CAEAB2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LED曲面显示屏</w:t>
            </w:r>
          </w:p>
        </w:tc>
        <w:tc>
          <w:tcPr>
            <w:tcW w:w="1872" w:type="pct"/>
            <w:vAlign w:val="center"/>
          </w:tcPr>
          <w:p w14:paraId="3074E1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1、LED像素点间距≤1.57mm;COB封装1R1G1B， RGB 芯片全倒装，显示屏幕峰值亮度≥600nits,峰值功耗≤320W/㎡，平均功耗≤110W/㎡，共阴驱动；</w:t>
            </w:r>
          </w:p>
          <w:p w14:paraId="6C2AE8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2、压铸铝合金箱体，屈服强度符合要求；</w:t>
            </w:r>
          </w:p>
          <w:p w14:paraId="35C2BD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3、色温：2000-10000 K可调，可视角：≥170°(H)/170°(V)，对比度：15000：1，刷新率≥3840 Hz，灰度等级：16 bit。</w:t>
            </w:r>
          </w:p>
          <w:p w14:paraId="26223D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08884E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A4EC85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2742736B">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755" w:type="dxa"/>
            <w:vAlign w:val="center"/>
          </w:tcPr>
          <w:p w14:paraId="30FD45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576FC39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044231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6C6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E7F6490">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06063B82">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LED发送盒</w:t>
            </w:r>
          </w:p>
        </w:tc>
        <w:tc>
          <w:tcPr>
            <w:tcW w:w="1872" w:type="pct"/>
            <w:vAlign w:val="center"/>
          </w:tcPr>
          <w:p w14:paraId="373657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1.支持最大输入分辨率3840*2160@60Hz，并可实现3840*2160以内标准分辨率图像缩放，通道环出支持4K@60Hz；</w:t>
            </w:r>
          </w:p>
          <w:p w14:paraId="141178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2.单台设备最大带载面积≥830万像素点，最宽可达7680，最高可达4320；</w:t>
            </w:r>
          </w:p>
          <w:p w14:paraId="4380C8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3.视频输入接口：HDMI2.0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1+DP1.2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w:t>
            </w:r>
          </w:p>
          <w:p w14:paraId="572B76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4.设备其他接口不少于：HDMI2.0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1（视频环通输出）、10M/100M/1000M自适应以太网口</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2（管理使用）、IR输入</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1、串口</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1、RS485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1、USB 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w:t>
            </w:r>
          </w:p>
          <w:p w14:paraId="42E2D0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5.连续工作时间：支持7*24H连续正常工作；</w:t>
            </w:r>
          </w:p>
          <w:p w14:paraId="1B28F5B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A4A42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0DC0ADC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38D198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36E163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280DEC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A515B3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9E1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8F0CA4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4626F608">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1872" w:type="pct"/>
            <w:vAlign w:val="center"/>
          </w:tcPr>
          <w:p w14:paraId="6B5AEAB0">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设备应为全硬件架构，系统采用嵌入式处理方式，不受操作系统影响，信号与桌面分别独立处理；支持在输出通道打开一个或多个窗口，显示图像内容；</w:t>
            </w:r>
          </w:p>
          <w:p w14:paraId="32CF548D">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设备输入HDMI接口不少于12路，输出HDMI接口不少于12路；</w:t>
            </w:r>
          </w:p>
          <w:p w14:paraId="7A5370A0">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图像信号无压缩、无失真实时传输，保证图像质量无损耗。支持窗口在多个输出通道的任意位置移动显示（漫游）；支持在输入通道上叠加任意字符；</w:t>
            </w:r>
          </w:p>
          <w:p w14:paraId="28C15D4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4.产品输入输出板卡可热插拔，输入板卡热插拔恢复时间＜2s，输出板卡热插拔恢复时间＜8s；图像开窗响应速度小于15ms；</w:t>
            </w:r>
          </w:p>
          <w:p w14:paraId="6337EC6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5.输出信号分辨支持1920*1200、1920*1080、1600*1200、1440*900、1366*768、1360*768、1280*800、1280*720、1024*768、800*600等；支持调取预先存好的窗口布局；场景调取响应速度＜20ms；</w:t>
            </w:r>
          </w:p>
          <w:p w14:paraId="76E2FE3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6.设备应具有支持VGA、CVBS、IP H.264、IP H.265、HDMI、DVI等信号的输入；</w:t>
            </w:r>
          </w:p>
          <w:p w14:paraId="237E6506">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7.设备可实现任意一路画面的任意比例缩放、漫游、跨屏、叠加、开窗；</w:t>
            </w:r>
          </w:p>
          <w:p w14:paraId="7F13C2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A6D352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9BED96A">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00119D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2830807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BA8F9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27CD491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C88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853FEF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19DAAE1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电柜</w:t>
            </w:r>
          </w:p>
        </w:tc>
        <w:tc>
          <w:tcPr>
            <w:tcW w:w="1872" w:type="pct"/>
            <w:vAlign w:val="center"/>
          </w:tcPr>
          <w:p w14:paraId="5DABAC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不小于10KW LED显示屏PLC智能配电柜</w:t>
            </w:r>
          </w:p>
          <w:p w14:paraId="2CFEE1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支持手动和远程开关模式,PLC远程控制,具有过压、过流、短路、断路等保护功能</w:t>
            </w:r>
          </w:p>
          <w:p w14:paraId="49C251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B5BC6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6D20E8D4">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BAE70D9">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501D77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8963C9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AE6B2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961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7763D69">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5634A50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配件包组件</w:t>
            </w:r>
          </w:p>
        </w:tc>
        <w:tc>
          <w:tcPr>
            <w:tcW w:w="1872" w:type="pct"/>
            <w:vAlign w:val="center"/>
          </w:tcPr>
          <w:p w14:paraId="6B7DB31B">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屏体级联网线、电源线、安装磁铁等组件，含备用灯板8块，维护工具一套</w:t>
            </w:r>
          </w:p>
        </w:tc>
        <w:tc>
          <w:tcPr>
            <w:tcW w:w="458" w:type="pct"/>
            <w:vAlign w:val="center"/>
          </w:tcPr>
          <w:p w14:paraId="3EFADF99">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F410E3A">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755" w:type="dxa"/>
            <w:vAlign w:val="center"/>
          </w:tcPr>
          <w:p w14:paraId="036B1C9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1EEA43E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4E1EB06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ABD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152FCCD">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487A2F75">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大屏钢结构</w:t>
            </w:r>
          </w:p>
        </w:tc>
        <w:tc>
          <w:tcPr>
            <w:tcW w:w="1872" w:type="pct"/>
            <w:vAlign w:val="center"/>
          </w:tcPr>
          <w:p w14:paraId="497CF03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定制服务，包含人工，屏体结构制，方通，加固等辅材</w:t>
            </w:r>
          </w:p>
        </w:tc>
        <w:tc>
          <w:tcPr>
            <w:tcW w:w="458" w:type="pct"/>
            <w:vAlign w:val="center"/>
          </w:tcPr>
          <w:p w14:paraId="03FE041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2AC2296">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43" w:type="pct"/>
            <w:vAlign w:val="center"/>
          </w:tcPr>
          <w:p w14:paraId="0CA431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Align w:val="center"/>
          </w:tcPr>
          <w:p w14:paraId="623C2B5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37ECC2B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638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855F528">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18F8B58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65寸触控屏</w:t>
            </w:r>
          </w:p>
        </w:tc>
        <w:tc>
          <w:tcPr>
            <w:tcW w:w="1872" w:type="pct"/>
            <w:vAlign w:val="center"/>
          </w:tcPr>
          <w:p w14:paraId="2942B5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一、整机性能</w:t>
            </w:r>
          </w:p>
          <w:p w14:paraId="6BC64C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整机采用金属结构一体化设计，外部无可见内部功能模块的连接线，表面无尖锐边缘或突起，整体设计安全，牢固，美观。具备触控功能。</w:t>
            </w:r>
          </w:p>
          <w:p w14:paraId="05856B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显示尺寸：≥65寸，屏幕表面采用全钢化防眩光玻璃；</w:t>
            </w:r>
          </w:p>
          <w:p w14:paraId="7E3AAC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显示分辨率：3840(H)×2160(V)；显示比例：16:9。</w:t>
            </w:r>
          </w:p>
          <w:p w14:paraId="220ACF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亮度：≥350 cd/㎡；对比度：≥5000：1；可视角度：≥178°。</w:t>
            </w:r>
          </w:p>
          <w:p w14:paraId="0483C5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采用红外多点触摸感应技术，可支持≥20点触摸。</w:t>
            </w:r>
          </w:p>
          <w:p w14:paraId="1F73B7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触摸精准度：≤1mm；光标速度：≥300点/秒；响应时间≤4ms</w:t>
            </w:r>
          </w:p>
          <w:p w14:paraId="2A3D7A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 扬声器：总功率≥30W。</w:t>
            </w:r>
          </w:p>
          <w:p w14:paraId="7558D7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 显示颜色：10bit，1.07B Colors；色域：≥95% NTSC高色域；透光率＞95%；</w:t>
            </w:r>
          </w:p>
          <w:p w14:paraId="5518E9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 整机内置高清摄像头，非外接摄像头不占用设备接口，可拍摄不低于1300万像素数的照片，对角角度≥90°；</w:t>
            </w:r>
          </w:p>
          <w:p w14:paraId="341692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 系统配置：内存≥3G，存储内存≥32G。</w:t>
            </w:r>
          </w:p>
          <w:p w14:paraId="7D0110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 常用外接接口：USB接口≥2路、Type-C接口≥1路、HDMI接口≥1路</w:t>
            </w:r>
          </w:p>
          <w:p w14:paraId="55ED76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二、内置电脑模块</w:t>
            </w:r>
          </w:p>
          <w:p w14:paraId="0A32AB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标准的80针可拔插式电脑OPS电脑，采用模块化电脑方案，PC模块按压式插入整机，无任何裸露，无需工具即可快速拆卸电脑模块。</w:t>
            </w:r>
          </w:p>
          <w:p w14:paraId="2F40CB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CPU：Intel Core i5处理器；内存：≥8GB；硬盘：≥256GB 固态硬盘；</w:t>
            </w:r>
          </w:p>
          <w:p w14:paraId="0773A0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模块具有多个独立非外扩展的电脑USB3.0接口,不少于3路，具有独立非外扩展的视频输出接口：≥1路HDMI，≥1路DP。</w:t>
            </w:r>
          </w:p>
          <w:p w14:paraId="24B98B27">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lang w:val="en-US" w:eastAsia="zh-CN"/>
              </w:rPr>
            </w:pPr>
          </w:p>
        </w:tc>
        <w:tc>
          <w:tcPr>
            <w:tcW w:w="458" w:type="pct"/>
            <w:vAlign w:val="center"/>
          </w:tcPr>
          <w:p w14:paraId="6E0ECDC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445" w:type="pct"/>
            <w:vAlign w:val="center"/>
          </w:tcPr>
          <w:p w14:paraId="4172B5D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w:t>
            </w:r>
          </w:p>
        </w:tc>
        <w:tc>
          <w:tcPr>
            <w:tcW w:w="755" w:type="dxa"/>
            <w:vAlign w:val="center"/>
          </w:tcPr>
          <w:p w14:paraId="5189C9C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29218FD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B1A6C7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0DB4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6C610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w:t>
            </w:r>
          </w:p>
        </w:tc>
        <w:tc>
          <w:tcPr>
            <w:tcW w:w="4566" w:type="pct"/>
            <w:gridSpan w:val="7"/>
            <w:vAlign w:val="center"/>
          </w:tcPr>
          <w:p w14:paraId="5A237AE4">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数字亭城</w:t>
            </w:r>
          </w:p>
        </w:tc>
      </w:tr>
      <w:tr w14:paraId="2065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738D8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41D0AA19">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拼接屏</w:t>
            </w:r>
          </w:p>
        </w:tc>
        <w:tc>
          <w:tcPr>
            <w:tcW w:w="1872" w:type="pct"/>
            <w:vAlign w:val="center"/>
          </w:tcPr>
          <w:p w14:paraId="150B3E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1.46寸拼接显示单元；3*6组合方式 </w:t>
            </w:r>
          </w:p>
          <w:p w14:paraId="27424F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2.显示单元亮度≥500cd/m2； </w:t>
            </w:r>
          </w:p>
          <w:p w14:paraId="5FC7E2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3.物理拼缝应≤0.88mm； </w:t>
            </w:r>
          </w:p>
          <w:p w14:paraId="74C6FC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4.对比度≥4000:1； </w:t>
            </w:r>
          </w:p>
          <w:p w14:paraId="72A40B62">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5.接口RS323IN*1 OUT*1;HDMI*1;DVI IN*1</w:t>
            </w:r>
          </w:p>
        </w:tc>
        <w:tc>
          <w:tcPr>
            <w:tcW w:w="458" w:type="pct"/>
            <w:vAlign w:val="center"/>
          </w:tcPr>
          <w:p w14:paraId="1235D08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445" w:type="pct"/>
            <w:vAlign w:val="center"/>
          </w:tcPr>
          <w:p w14:paraId="51E56D16">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6FEBC9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49171B2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3D235B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E67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45CCA8C">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577" w:type="pct"/>
            <w:vAlign w:val="center"/>
          </w:tcPr>
          <w:p w14:paraId="36947F53">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滑轨屏（进入指挥中心）</w:t>
            </w:r>
          </w:p>
        </w:tc>
        <w:tc>
          <w:tcPr>
            <w:tcW w:w="1872" w:type="pct"/>
            <w:vAlign w:val="center"/>
          </w:tcPr>
          <w:p w14:paraId="26E84F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1、LED像素点间距≤1.57mm;COB封装1R1G1B， RGB 芯片全倒装，显示屏幕峰值亮度≥600nits,峰值功耗≤320W/㎡，平均功耗≤110W/㎡，共阴驱动；</w:t>
            </w:r>
          </w:p>
          <w:p w14:paraId="6CAF08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2、整屏净显示尺寸：宽≥4.2米,高≥2.3625米，显示面积≥9.9225㎡，分辨率≥2688*1512</w:t>
            </w:r>
          </w:p>
          <w:p w14:paraId="4FF732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3、压铸铝箱体，屈服强度符合要求</w:t>
            </w:r>
          </w:p>
          <w:p w14:paraId="0828E1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4、色温：2000-10000 K可调，可视角：≥170°(H)/170°(V)，对比度：15000：1，刷新率≥3840 Hz，灰度等级：16 bit。</w:t>
            </w:r>
          </w:p>
          <w:p w14:paraId="6B8E30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D55FD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9AF9530">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45" w:type="pct"/>
            <w:vAlign w:val="center"/>
          </w:tcPr>
          <w:p w14:paraId="294DA9BA">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755" w:type="dxa"/>
            <w:vAlign w:val="center"/>
          </w:tcPr>
          <w:p w14:paraId="3F19FF8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62A5AE0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7DB00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2CB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628C0E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577" w:type="pct"/>
            <w:vAlign w:val="center"/>
          </w:tcPr>
          <w:p w14:paraId="74D7C203">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LED发送盒</w:t>
            </w:r>
          </w:p>
        </w:tc>
        <w:tc>
          <w:tcPr>
            <w:tcW w:w="1872" w:type="pct"/>
            <w:vAlign w:val="center"/>
          </w:tcPr>
          <w:p w14:paraId="31F7CE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1.支持最大输入分辨率3840*2160@60Hz，并可实现3840*2160以内标准分辨率图像缩放，通道环出支持4K@60Hz；</w:t>
            </w:r>
          </w:p>
          <w:p w14:paraId="61CDB7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2.单台设备最大带载面积≥830万像素点，最宽可达7680，最高可达4320；</w:t>
            </w:r>
          </w:p>
          <w:p w14:paraId="3EFEEC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3.视频输入接口：HDMI2.0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1+DP1.2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w:t>
            </w:r>
          </w:p>
          <w:p w14:paraId="51BCEC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4.设备其他接口不少于：HDMI2.0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1（视频环通输出）、10M/100M/1000M自适应以太网口</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2（管理使用）、IR输入</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1、串口</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1、RS485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1、USB 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w:t>
            </w:r>
          </w:p>
          <w:p w14:paraId="644715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5.连续工作时间：支持7*24H连续正常工作；</w:t>
            </w:r>
          </w:p>
          <w:p w14:paraId="1522A53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28B6EA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1CFF1CCB">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D1B5047">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2FF8B3D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3C2B046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F14B7D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ACD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BF95BF5">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577" w:type="pct"/>
            <w:vAlign w:val="center"/>
          </w:tcPr>
          <w:p w14:paraId="1A8E89A7">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1872" w:type="pct"/>
            <w:vAlign w:val="center"/>
          </w:tcPr>
          <w:p w14:paraId="4EA10D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设备应为全硬件架构，系统采用嵌入式处理方式，不受操作系统影响，信号与桌面分别独立处理；支持在输出通道打开一个或多个窗口，显示图像内容；</w:t>
            </w:r>
          </w:p>
          <w:p w14:paraId="233ED8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 设备输入HDMI接口不少于16路，输出HDMI接口不少于16路；</w:t>
            </w:r>
          </w:p>
          <w:p w14:paraId="728F43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图像信号无压缩、无失真实时传输，保证图像质量无损耗。支持窗口在多个输出通道的任意位置移动显示（漫游）；支持在输入通道上叠加任意字符；</w:t>
            </w:r>
          </w:p>
          <w:p w14:paraId="0E6E31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4.产品输入输出板卡可热插拔，输入板卡热插拔恢复时间＜2s，输出板卡热插拔恢复时间＜8s；图像开窗响应速度小于15ms；</w:t>
            </w:r>
          </w:p>
          <w:p w14:paraId="6182E6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5.输出信号分辨支持1920*1200、1920*1080、1600*1200、1440*900、1366*768、1360*768、1280*800、1280*720、1024*768、800*600等；支持调取预先存好的窗口布局；场景调取响应速度＜20ms；</w:t>
            </w:r>
          </w:p>
          <w:p w14:paraId="359A5B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6.设备应具有支持VGA、CVBS、IP H.264、IP H.265、HDMI、DVI等信号的输入；</w:t>
            </w:r>
          </w:p>
          <w:p w14:paraId="72CF9C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7.设备可实现任意一路画面的任意比例缩放、漫游、跨屏、叠加、开窗；</w:t>
            </w:r>
          </w:p>
          <w:p w14:paraId="070FC1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FE1D1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610029CE">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78DE5D93">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718130C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78089D6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52E6E2F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7A1E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3375FDB">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577" w:type="pct"/>
            <w:vAlign w:val="center"/>
          </w:tcPr>
          <w:p w14:paraId="1CB922AA">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电柜</w:t>
            </w:r>
          </w:p>
        </w:tc>
        <w:tc>
          <w:tcPr>
            <w:tcW w:w="1872" w:type="pct"/>
            <w:vAlign w:val="center"/>
          </w:tcPr>
          <w:p w14:paraId="7B6318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不低于10KW LED显示屏PLC智能配电柜</w:t>
            </w:r>
          </w:p>
          <w:p w14:paraId="1C80A9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支持手动和远程开关模式,PLC远程控制,具有过压、过流、短路、断路等保护功能</w:t>
            </w:r>
          </w:p>
          <w:p w14:paraId="48018E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服务要求：</w:t>
            </w:r>
          </w:p>
          <w:p w14:paraId="6171B9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按照原厂标准提供五年免费质保服务，提供保修期内硬件故障的维修、设备的更换及软件的免费升级，</w:t>
            </w:r>
            <w:r>
              <w:rPr>
                <w:rFonts w:hint="eastAsia" w:ascii="宋体" w:hAnsi="宋体" w:eastAsia="宋体" w:cs="宋体"/>
                <w:i w:val="0"/>
                <w:iCs w:val="0"/>
                <w:color w:val="auto"/>
                <w:kern w:val="2"/>
                <w:sz w:val="24"/>
                <w:szCs w:val="24"/>
                <w:highlight w:val="none"/>
                <w:u w:val="none"/>
                <w:lang w:val="en-US" w:eastAsia="zh-CN" w:bidi="ar-SA"/>
              </w:rPr>
              <w:t>提供充足备品备件。</w:t>
            </w:r>
          </w:p>
        </w:tc>
        <w:tc>
          <w:tcPr>
            <w:tcW w:w="458" w:type="pct"/>
            <w:vAlign w:val="center"/>
          </w:tcPr>
          <w:p w14:paraId="68FD73D8">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CFDBCDC">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55" w:type="dxa"/>
            <w:vAlign w:val="center"/>
          </w:tcPr>
          <w:p w14:paraId="405F8A8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1CB5A83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C63A2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C65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A713DA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577" w:type="pct"/>
            <w:vAlign w:val="center"/>
          </w:tcPr>
          <w:p w14:paraId="7BD5F6D7">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配件包组件</w:t>
            </w:r>
          </w:p>
        </w:tc>
        <w:tc>
          <w:tcPr>
            <w:tcW w:w="1872" w:type="pct"/>
            <w:vAlign w:val="center"/>
          </w:tcPr>
          <w:p w14:paraId="3A61B1A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屏体级联网线、电源线、安装磁铁等组件，含备用灯板8块，维护工具一套</w:t>
            </w:r>
          </w:p>
        </w:tc>
        <w:tc>
          <w:tcPr>
            <w:tcW w:w="458" w:type="pct"/>
            <w:vAlign w:val="center"/>
          </w:tcPr>
          <w:p w14:paraId="0E481F68">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6CD3D8FB">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755" w:type="dxa"/>
            <w:vAlign w:val="center"/>
          </w:tcPr>
          <w:p w14:paraId="59E5E8A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4C5918C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1B1811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6EA6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CF4A6B4">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577" w:type="pct"/>
            <w:vAlign w:val="center"/>
          </w:tcPr>
          <w:p w14:paraId="1A572CC6">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大屏钢结构</w:t>
            </w:r>
          </w:p>
        </w:tc>
        <w:tc>
          <w:tcPr>
            <w:tcW w:w="1872" w:type="pct"/>
            <w:vAlign w:val="center"/>
          </w:tcPr>
          <w:p w14:paraId="480E0E9D">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定制服务，包含人工，屏体结构制，方通，加固等辅材</w:t>
            </w:r>
          </w:p>
        </w:tc>
        <w:tc>
          <w:tcPr>
            <w:tcW w:w="458" w:type="pct"/>
            <w:vAlign w:val="center"/>
          </w:tcPr>
          <w:p w14:paraId="58DF8A3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BB1A473">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w:t>
            </w:r>
          </w:p>
        </w:tc>
        <w:tc>
          <w:tcPr>
            <w:tcW w:w="443" w:type="pct"/>
            <w:vAlign w:val="center"/>
          </w:tcPr>
          <w:p w14:paraId="6526DA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建筑业</w:t>
            </w:r>
          </w:p>
        </w:tc>
        <w:tc>
          <w:tcPr>
            <w:tcW w:w="437" w:type="pct"/>
            <w:vAlign w:val="center"/>
          </w:tcPr>
          <w:p w14:paraId="5AFEE56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否</w:t>
            </w:r>
          </w:p>
        </w:tc>
        <w:tc>
          <w:tcPr>
            <w:tcW w:w="332" w:type="pct"/>
            <w:vAlign w:val="center"/>
          </w:tcPr>
          <w:p w14:paraId="099AF5C5">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9D0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793D7E3">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577" w:type="pct"/>
            <w:vAlign w:val="center"/>
          </w:tcPr>
          <w:p w14:paraId="2930C63F">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静音导轨</w:t>
            </w:r>
          </w:p>
        </w:tc>
        <w:tc>
          <w:tcPr>
            <w:tcW w:w="1872" w:type="pct"/>
            <w:vAlign w:val="center"/>
          </w:tcPr>
          <w:p w14:paraId="28D77A7E">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含框体主梁，导轨及其附件</w:t>
            </w:r>
          </w:p>
        </w:tc>
        <w:tc>
          <w:tcPr>
            <w:tcW w:w="458" w:type="pct"/>
            <w:vAlign w:val="center"/>
          </w:tcPr>
          <w:p w14:paraId="329F140C">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12CAFE05">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5" w:type="dxa"/>
            <w:vAlign w:val="center"/>
          </w:tcPr>
          <w:p w14:paraId="0A36184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工业</w:t>
            </w:r>
          </w:p>
        </w:tc>
        <w:tc>
          <w:tcPr>
            <w:tcW w:w="745" w:type="dxa"/>
            <w:vAlign w:val="center"/>
          </w:tcPr>
          <w:p w14:paraId="7FCE36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EAC34E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12F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89A5948">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577" w:type="pct"/>
            <w:vAlign w:val="center"/>
          </w:tcPr>
          <w:p w14:paraId="4F03402E">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动力系统</w:t>
            </w:r>
          </w:p>
        </w:tc>
        <w:tc>
          <w:tcPr>
            <w:tcW w:w="1872" w:type="pct"/>
            <w:vAlign w:val="center"/>
          </w:tcPr>
          <w:p w14:paraId="301364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主要部件：伺服电机（750W）、控制器、减速器、限位感应器</w:t>
            </w:r>
          </w:p>
          <w:p w14:paraId="08BFE6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1、动力系统：采用伺服电机，绝对值编码器，断电位置记忆，位置控制精准。</w:t>
            </w:r>
          </w:p>
          <w:p w14:paraId="460230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2、可设置加减速时间， 加减速非常平稳，有效减少冲击，保护硬件。</w:t>
            </w:r>
          </w:p>
          <w:p w14:paraId="563014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、定位精度可达0.1mm</w:t>
            </w:r>
          </w:p>
          <w:p w14:paraId="447323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4、不使用运行控制器，软件直接控制电机，灵活定义各种动作</w:t>
            </w:r>
          </w:p>
          <w:p w14:paraId="22C616A0">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5、加减速平稳</w:t>
            </w:r>
          </w:p>
        </w:tc>
        <w:tc>
          <w:tcPr>
            <w:tcW w:w="458" w:type="pct"/>
            <w:vAlign w:val="center"/>
          </w:tcPr>
          <w:p w14:paraId="34A1BD14">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2719AB9E">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5" w:type="dxa"/>
            <w:vAlign w:val="center"/>
          </w:tcPr>
          <w:p w14:paraId="1B299B3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745" w:type="dxa"/>
            <w:vAlign w:val="center"/>
          </w:tcPr>
          <w:p w14:paraId="16F3FA1A">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01BCFDAB">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5D76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7794781">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577" w:type="pct"/>
            <w:vAlign w:val="center"/>
          </w:tcPr>
          <w:p w14:paraId="131CBA51">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控制软件</w:t>
            </w:r>
          </w:p>
        </w:tc>
        <w:tc>
          <w:tcPr>
            <w:tcW w:w="1872" w:type="pct"/>
            <w:vAlign w:val="center"/>
          </w:tcPr>
          <w:p w14:paraId="20931E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适合多个开合运动，精准复位</w:t>
            </w:r>
          </w:p>
          <w:p w14:paraId="2F5A18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1.可定义多套动作，动作套数无上限</w:t>
            </w:r>
          </w:p>
          <w:p w14:paraId="69AF23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2.可在多套动作之间切换</w:t>
            </w:r>
          </w:p>
          <w:p w14:paraId="1B1E2277">
            <w:pPr>
              <w:keepNext w:val="0"/>
              <w:keepLines w:val="0"/>
              <w:widowControl/>
              <w:suppressLineNumbers w:val="0"/>
              <w:ind w:left="0" w:leftChars="0" w:firstLine="0" w:firstLineChars="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3.提供UDP协议，触发动作，支持外部对接（中控等）。</w:t>
            </w:r>
          </w:p>
        </w:tc>
        <w:tc>
          <w:tcPr>
            <w:tcW w:w="458" w:type="pct"/>
            <w:vAlign w:val="center"/>
          </w:tcPr>
          <w:p w14:paraId="2E7B39ED">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45" w:type="pct"/>
            <w:vAlign w:val="center"/>
          </w:tcPr>
          <w:p w14:paraId="32BA9C04">
            <w:pPr>
              <w:keepNext w:val="0"/>
              <w:keepLines w:val="0"/>
              <w:widowControl/>
              <w:suppressLineNumbers w:val="0"/>
              <w:ind w:left="0" w:leftChars="0" w:firstLine="0" w:firstLineChars="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55" w:type="dxa"/>
            <w:vAlign w:val="center"/>
          </w:tcPr>
          <w:p w14:paraId="6AD3748F">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745" w:type="dxa"/>
            <w:vAlign w:val="center"/>
          </w:tcPr>
          <w:p w14:paraId="2E08D45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3FA3268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4BDA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18233D7">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w:t>
            </w:r>
          </w:p>
        </w:tc>
        <w:tc>
          <w:tcPr>
            <w:tcW w:w="4566" w:type="pct"/>
            <w:gridSpan w:val="7"/>
            <w:vAlign w:val="center"/>
          </w:tcPr>
          <w:p w14:paraId="103A25AC">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多媒体播控系统</w:t>
            </w:r>
          </w:p>
        </w:tc>
      </w:tr>
      <w:tr w14:paraId="21B8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8A154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77" w:type="pct"/>
            <w:vAlign w:val="center"/>
          </w:tcPr>
          <w:p w14:paraId="5C3EE0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云互动系统</w:t>
            </w:r>
          </w:p>
        </w:tc>
        <w:tc>
          <w:tcPr>
            <w:tcW w:w="1872" w:type="pct"/>
            <w:vAlign w:val="center"/>
          </w:tcPr>
          <w:p w14:paraId="57E4F4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1、系统能支持图片、视频、文字、网页作为播放素材内容；</w:t>
            </w:r>
          </w:p>
          <w:p w14:paraId="7DA264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2、能够使用鼠标点击与拖动直接制作节目画面内容；</w:t>
            </w:r>
          </w:p>
          <w:p w14:paraId="74E0FB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3、系统软件播放时支持常规的分辨率，包括4：3、16：9；</w:t>
            </w:r>
          </w:p>
          <w:p w14:paraId="6B60F6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4、节目制作能够分为多个分区，包括一、二、四、六、八、九分区，在每个分区里能放置图片、视频、文字与网页；</w:t>
            </w:r>
          </w:p>
          <w:p w14:paraId="11312B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5、▲支持自定义软件界面内按钮的语音字符集，通过麦克风语音说话与设置的按钮字符集匹配实现页面的自由切换(投标文件中提供第三方检测/检验报告)。</w:t>
            </w:r>
          </w:p>
          <w:p w14:paraId="2B7266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系统安全机制可控：每个播放的网络控制器不需固定的外部IP地址（指云平台设备）、文件在传输过程中是加密传输的、操作员必须经过审核后才能发布节目和任务、每个操作员可以控制的网络控制器个数是受到限制的、每个操作员的操作权限是受到限制的。</w:t>
            </w:r>
          </w:p>
          <w:p w14:paraId="65A851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7、▲支持二次设计自定义大屏画面，可设计成椭圆形、三角形、五角形、六边形等风格(投标文件中提供第三方检测/检验报告)。</w:t>
            </w:r>
          </w:p>
          <w:p w14:paraId="65DEBF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8、自定义互动画面任务：可提前预订180天的互动画面方案,且在一天内可在不同时间段内播放不同的互动画面节目,如:9点到10点显示互动节目1, 10点到12点显示互动节目2。</w:t>
            </w:r>
          </w:p>
          <w:p w14:paraId="4FC9CC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9、每个互动画面支持各种多媒体素材：互动画面可以互动各种多媒体与互动素材，包括图片、视频、文字、PPT、网页、时钟、天气预报、流信号（电视、监控、直播、录播、电脑桌面）、第三方软件等。</w:t>
            </w:r>
          </w:p>
          <w:p w14:paraId="2CD6A5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10、支持无级缩放与窗口叠加操作：每个节目窗口可以通过鼠标操作实现对窗口的拖动，包括窗口大小与位置。不同窗口间可叠层展示。</w:t>
            </w:r>
          </w:p>
          <w:p w14:paraId="7337D6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11、▲用麦克风语音、Pad、手机可以切换到软件界面的任何一个页面，进行自由切换(投标文件中提供第三方检测/检验报告扫描件）。</w:t>
            </w:r>
          </w:p>
          <w:p w14:paraId="4C77A4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12、后台系统不需要安装专业软件，通过局域网内的任何一台电脑上的浏览器软件就可进入后台软件进行操作控制。</w:t>
            </w:r>
          </w:p>
          <w:p w14:paraId="1D52A3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13、支持通过麦克风语音进行字幕显示切换，支持字幕的颜色、大小、字体、背景色、的设置，支持超快、快速、慢速、超慢字幕滚动速度；</w:t>
            </w:r>
          </w:p>
          <w:p w14:paraId="7ECC1B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14、可追溯性报表：对历史操作可进行日志报表式查询。</w:t>
            </w:r>
          </w:p>
          <w:p w14:paraId="2168BF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15、▲每个操作员可以设定不同的互动区域，并且在指定区域设计图片、视频、文字、ppt、网页、流媒体素材(投标文件中提供第三方检测/检验报告扫描件)。</w:t>
            </w:r>
          </w:p>
        </w:tc>
        <w:tc>
          <w:tcPr>
            <w:tcW w:w="458" w:type="pct"/>
            <w:vAlign w:val="center"/>
          </w:tcPr>
          <w:p w14:paraId="411214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445" w:type="pct"/>
            <w:vAlign w:val="center"/>
          </w:tcPr>
          <w:p w14:paraId="2E9A00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color w:val="auto"/>
                <w:sz w:val="24"/>
                <w:szCs w:val="24"/>
                <w:highlight w:val="none"/>
                <w:lang w:val="en-US" w:eastAsia="zh-CN"/>
              </w:rPr>
              <w:t>套</w:t>
            </w:r>
          </w:p>
        </w:tc>
        <w:tc>
          <w:tcPr>
            <w:tcW w:w="755" w:type="dxa"/>
            <w:vAlign w:val="center"/>
          </w:tcPr>
          <w:p w14:paraId="09C043C2">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745" w:type="dxa"/>
            <w:vAlign w:val="center"/>
          </w:tcPr>
          <w:p w14:paraId="2CBE487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E24E691">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3DD2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859BDDC">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I</w:t>
            </w:r>
          </w:p>
        </w:tc>
        <w:tc>
          <w:tcPr>
            <w:tcW w:w="4566" w:type="pct"/>
            <w:gridSpan w:val="7"/>
            <w:vAlign w:val="center"/>
          </w:tcPr>
          <w:p w14:paraId="41E0DF85">
            <w:pPr>
              <w:keepNext w:val="0"/>
              <w:keepLines w:val="0"/>
              <w:pageBreakBefore w:val="0"/>
              <w:kinsoku/>
              <w:wordWrap w:val="0"/>
              <w:overflowPunct/>
              <w:topLinePunct w:val="0"/>
              <w:autoSpaceDE/>
              <w:autoSpaceDN/>
              <w:bidi w:val="0"/>
              <w:adjustRightInd/>
              <w:snapToGrid/>
              <w:spacing w:line="360" w:lineRule="auto"/>
              <w:jc w:val="left"/>
              <w:rPr>
                <w:rFonts w:hint="eastAsia"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素材制作</w:t>
            </w:r>
          </w:p>
        </w:tc>
      </w:tr>
      <w:tr w14:paraId="3412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D376C82">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77" w:type="pct"/>
            <w:vAlign w:val="center"/>
          </w:tcPr>
          <w:p w14:paraId="1DA33AC1">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数说滁州展厅</w:t>
            </w:r>
          </w:p>
        </w:tc>
        <w:tc>
          <w:tcPr>
            <w:tcW w:w="1872" w:type="pct"/>
            <w:vAlign w:val="center"/>
          </w:tcPr>
          <w:p w14:paraId="6F5F34AF">
            <w:pPr>
              <w:keepNext w:val="0"/>
              <w:keepLines w:val="0"/>
              <w:pageBreakBefore w:val="0"/>
              <w:kinsoku/>
              <w:wordWrap/>
              <w:overflowPunct/>
              <w:topLinePunct w:val="0"/>
              <w:autoSpaceDE/>
              <w:autoSpaceDN/>
              <w:bidi w:val="0"/>
              <w:adjustRightInd/>
              <w:snapToGrid/>
              <w:spacing w:before="68" w:line="360" w:lineRule="auto"/>
              <w:ind w:firstLine="0" w:firstLine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将国家、安徽省和滁州市发布的与数据资源、网络基础设施、政务服务、社会治理、智慧城市建设等方面相关的政策及规划文件进行提炼，截取部分内容做成虚拟书，触摸即可放大查看文件内容，同时提供二维码进行扫码阅览。</w:t>
            </w:r>
          </w:p>
        </w:tc>
        <w:tc>
          <w:tcPr>
            <w:tcW w:w="458" w:type="pct"/>
            <w:vAlign w:val="center"/>
          </w:tcPr>
          <w:p w14:paraId="008B21BD">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45" w:type="pct"/>
            <w:vAlign w:val="center"/>
          </w:tcPr>
          <w:p w14:paraId="5C99A654">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755" w:type="dxa"/>
            <w:vAlign w:val="center"/>
          </w:tcPr>
          <w:p w14:paraId="5C1BD160">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745" w:type="dxa"/>
            <w:vAlign w:val="center"/>
          </w:tcPr>
          <w:p w14:paraId="68C4D86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652FD723">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1529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27EF039">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p>
        </w:tc>
        <w:tc>
          <w:tcPr>
            <w:tcW w:w="577" w:type="pct"/>
            <w:vAlign w:val="center"/>
          </w:tcPr>
          <w:p w14:paraId="397ABCCC">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数字社会展厅（智慧亭城）</w:t>
            </w:r>
          </w:p>
        </w:tc>
        <w:tc>
          <w:tcPr>
            <w:tcW w:w="1872" w:type="pct"/>
            <w:vAlign w:val="center"/>
          </w:tcPr>
          <w:p w14:paraId="219092D8">
            <w:pPr>
              <w:keepNext w:val="0"/>
              <w:keepLines w:val="0"/>
              <w:pageBreakBefore w:val="0"/>
              <w:kinsoku/>
              <w:wordWrap/>
              <w:overflowPunct/>
              <w:topLinePunct w:val="0"/>
              <w:autoSpaceDE/>
              <w:autoSpaceDN/>
              <w:bidi w:val="0"/>
              <w:adjustRightInd/>
              <w:snapToGrid/>
              <w:spacing w:before="68" w:line="360" w:lineRule="auto"/>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使用物体识别互动桌和显示屏进行多媒体互动，围绕七个强市（动能强劲的科技强市、智能绿色的制造强市、高质高效的农业强市、山水秀美的生态强市、英才荟萃的人才强市、人民满意的教育强市、繁荣兴盛的文化强市）的建设目标，介绍数字化技术在不同领域的应用。</w:t>
            </w:r>
          </w:p>
        </w:tc>
        <w:tc>
          <w:tcPr>
            <w:tcW w:w="458" w:type="pct"/>
            <w:vAlign w:val="center"/>
          </w:tcPr>
          <w:p w14:paraId="2F16A4EC">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1</w:t>
            </w:r>
          </w:p>
        </w:tc>
        <w:tc>
          <w:tcPr>
            <w:tcW w:w="445" w:type="pct"/>
            <w:vAlign w:val="center"/>
          </w:tcPr>
          <w:p w14:paraId="63023B5C">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项</w:t>
            </w:r>
          </w:p>
        </w:tc>
        <w:tc>
          <w:tcPr>
            <w:tcW w:w="755" w:type="dxa"/>
            <w:vAlign w:val="center"/>
          </w:tcPr>
          <w:p w14:paraId="11E413C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745" w:type="dxa"/>
            <w:vAlign w:val="center"/>
          </w:tcPr>
          <w:p w14:paraId="477AEDA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1AE48658">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r w14:paraId="2B3D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580A7247">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p>
        </w:tc>
        <w:tc>
          <w:tcPr>
            <w:tcW w:w="577" w:type="pct"/>
            <w:vAlign w:val="center"/>
          </w:tcPr>
          <w:p w14:paraId="2E529819">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数字亭城展厅</w:t>
            </w:r>
          </w:p>
        </w:tc>
        <w:tc>
          <w:tcPr>
            <w:tcW w:w="1872" w:type="pct"/>
            <w:vAlign w:val="center"/>
          </w:tcPr>
          <w:p w14:paraId="4EE16ECF">
            <w:pPr>
              <w:keepNext w:val="0"/>
              <w:keepLines w:val="0"/>
              <w:pageBreakBefore w:val="0"/>
              <w:numPr>
                <w:ilvl w:val="0"/>
                <w:numId w:val="0"/>
              </w:numPr>
              <w:kinsoku/>
              <w:wordWrap/>
              <w:overflowPunct/>
              <w:topLinePunct w:val="0"/>
              <w:autoSpaceDE/>
              <w:autoSpaceDN/>
              <w:bidi w:val="0"/>
              <w:adjustRightInd/>
              <w:snapToGrid/>
              <w:spacing w:before="68" w:line="360" w:lineRule="auto"/>
              <w:ind w:left="0" w:lef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跨越江淮分水岭·领略醉美风景线：本项目为单车骑行，结合滁州市跨越江淮分水岭风景线进行3D精细建模，实现边骑行边切换视角，将滁州市风景名胜融入彩虹路作为沿途风景，要求建模动画时间不少于5分钟，并结合实际进行适度扩展。</w:t>
            </w:r>
          </w:p>
        </w:tc>
        <w:tc>
          <w:tcPr>
            <w:tcW w:w="458" w:type="pct"/>
            <w:vAlign w:val="center"/>
          </w:tcPr>
          <w:p w14:paraId="4824359C">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1</w:t>
            </w:r>
          </w:p>
        </w:tc>
        <w:tc>
          <w:tcPr>
            <w:tcW w:w="445" w:type="pct"/>
            <w:vAlign w:val="center"/>
          </w:tcPr>
          <w:p w14:paraId="07007B4B">
            <w:pPr>
              <w:keepNext w:val="0"/>
              <w:keepLines w:val="0"/>
              <w:pageBreakBefore w:val="0"/>
              <w:kinsoku/>
              <w:wordWrap/>
              <w:overflowPunct/>
              <w:topLinePunct w:val="0"/>
              <w:autoSpaceDE/>
              <w:autoSpaceDN/>
              <w:bidi w:val="0"/>
              <w:adjustRightInd/>
              <w:snapToGrid/>
              <w:spacing w:before="68" w:line="36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项</w:t>
            </w:r>
          </w:p>
        </w:tc>
        <w:tc>
          <w:tcPr>
            <w:tcW w:w="755" w:type="dxa"/>
            <w:vAlign w:val="center"/>
          </w:tcPr>
          <w:p w14:paraId="505E402E">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软件和信息技术服务业</w:t>
            </w:r>
          </w:p>
        </w:tc>
        <w:tc>
          <w:tcPr>
            <w:tcW w:w="745" w:type="dxa"/>
            <w:vAlign w:val="center"/>
          </w:tcPr>
          <w:p w14:paraId="32210E49">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否</w:t>
            </w:r>
          </w:p>
        </w:tc>
        <w:tc>
          <w:tcPr>
            <w:tcW w:w="332" w:type="pct"/>
            <w:vAlign w:val="center"/>
          </w:tcPr>
          <w:p w14:paraId="7BFD048D">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bCs/>
                <w:color w:val="auto"/>
                <w:sz w:val="24"/>
                <w:szCs w:val="24"/>
                <w:highlight w:val="none"/>
              </w:rPr>
            </w:pPr>
          </w:p>
        </w:tc>
      </w:tr>
    </w:tbl>
    <w:p w14:paraId="6C46B783">
      <w:pPr>
        <w:pStyle w:val="47"/>
        <w:rPr>
          <w:rFonts w:hint="eastAsia" w:ascii="宋体" w:hAnsi="宋体" w:eastAsia="宋体" w:cs="宋体"/>
          <w:highlight w:val="none"/>
        </w:rPr>
      </w:pPr>
    </w:p>
    <w:p w14:paraId="633197CE">
      <w:pPr>
        <w:spacing w:line="360" w:lineRule="auto"/>
        <w:ind w:firstLine="437"/>
        <w:outlineLvl w:val="1"/>
        <w:rPr>
          <w:rFonts w:hint="eastAsia" w:ascii="宋体" w:hAnsi="宋体" w:eastAsia="宋体" w:cs="宋体"/>
          <w:b/>
          <w:bCs/>
          <w:color w:val="auto"/>
          <w:sz w:val="24"/>
          <w:szCs w:val="18"/>
          <w:highlight w:val="none"/>
        </w:rPr>
      </w:pPr>
      <w:bookmarkStart w:id="22" w:name="_Toc7421"/>
      <w:bookmarkStart w:id="23" w:name="_Toc4843"/>
      <w:r>
        <w:rPr>
          <w:rFonts w:hint="eastAsia" w:ascii="宋体" w:hAnsi="宋体" w:eastAsia="宋体" w:cs="宋体"/>
          <w:b/>
          <w:bCs/>
          <w:color w:val="auto"/>
          <w:sz w:val="24"/>
          <w:szCs w:val="18"/>
          <w:highlight w:val="none"/>
        </w:rPr>
        <w:t>三、报价要求</w:t>
      </w:r>
      <w:bookmarkEnd w:id="22"/>
      <w:bookmarkEnd w:id="23"/>
    </w:p>
    <w:p w14:paraId="4BC1551B">
      <w:pPr>
        <w:spacing w:line="360" w:lineRule="auto"/>
        <w:ind w:firstLine="437"/>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投标报价包括对应本项目需求的</w:t>
      </w:r>
      <w:r>
        <w:rPr>
          <w:rFonts w:hint="eastAsia" w:ascii="宋体" w:hAnsi="宋体" w:eastAsia="宋体" w:cs="宋体"/>
          <w:bCs/>
          <w:color w:val="auto"/>
          <w:sz w:val="24"/>
          <w:szCs w:val="18"/>
          <w:highlight w:val="none"/>
          <w:lang w:val="en-US" w:eastAsia="zh-CN"/>
        </w:rPr>
        <w:t>深化设计费、</w:t>
      </w:r>
      <w:r>
        <w:rPr>
          <w:rFonts w:hint="eastAsia" w:ascii="宋体" w:hAnsi="宋体" w:eastAsia="宋体" w:cs="宋体"/>
          <w:bCs/>
          <w:color w:val="auto"/>
          <w:sz w:val="24"/>
          <w:szCs w:val="18"/>
          <w:highlight w:val="none"/>
        </w:rPr>
        <w:t>全部货物及所需附件购置费、包装费、运输费、人工费、保险费、安装调试费、各种税费、资料费、售后服务费及完成项目应有的全部费用，</w:t>
      </w:r>
      <w:r>
        <w:rPr>
          <w:rFonts w:hint="eastAsia" w:ascii="宋体" w:hAnsi="宋体" w:eastAsia="宋体" w:cs="宋体"/>
          <w:bCs/>
          <w:color w:val="auto"/>
          <w:sz w:val="24"/>
          <w:szCs w:val="18"/>
          <w:highlight w:val="none"/>
          <w:lang w:val="en-US" w:eastAsia="zh-CN"/>
        </w:rPr>
        <w:t>投标报价</w:t>
      </w:r>
      <w:r>
        <w:rPr>
          <w:rFonts w:hint="eastAsia" w:ascii="宋体" w:hAnsi="宋体" w:eastAsia="宋体" w:cs="宋体"/>
          <w:bCs/>
          <w:color w:val="auto"/>
          <w:sz w:val="24"/>
          <w:szCs w:val="18"/>
          <w:highlight w:val="none"/>
        </w:rPr>
        <w:t>今后将不作任何调整。</w:t>
      </w:r>
      <w:r>
        <w:rPr>
          <w:rFonts w:hint="eastAsia" w:ascii="宋体" w:hAnsi="宋体" w:eastAsia="宋体" w:cs="宋体"/>
          <w:b/>
          <w:bCs w:val="0"/>
          <w:color w:val="auto"/>
          <w:sz w:val="24"/>
          <w:szCs w:val="18"/>
          <w:highlight w:val="none"/>
          <w:lang w:val="en-US" w:eastAsia="zh-CN"/>
        </w:rPr>
        <w:t>投标人应自行勘查现场并评估，根据项目需要但采购清单中未明确列出的货物及服务，所产生的费用应包含在项目报价内，</w:t>
      </w:r>
      <w:r>
        <w:rPr>
          <w:rFonts w:hint="eastAsia" w:ascii="宋体" w:hAnsi="宋体" w:eastAsia="宋体" w:cs="宋体"/>
          <w:b/>
          <w:bCs w:val="0"/>
          <w:color w:val="auto"/>
          <w:sz w:val="24"/>
          <w:szCs w:val="18"/>
          <w:highlight w:val="none"/>
        </w:rPr>
        <w:t>采购人后期不予追加任何费用，请投标人综合考虑各种风险，谨慎报价。</w:t>
      </w:r>
    </w:p>
    <w:p w14:paraId="6B0EEF4E">
      <w:pPr>
        <w:spacing w:line="360" w:lineRule="auto"/>
        <w:ind w:firstLine="437"/>
        <w:outlineLvl w:val="1"/>
        <w:rPr>
          <w:rFonts w:hint="eastAsia" w:ascii="宋体" w:hAnsi="宋体" w:eastAsia="宋体" w:cs="宋体"/>
          <w:b/>
          <w:bCs/>
          <w:color w:val="auto"/>
          <w:sz w:val="24"/>
          <w:szCs w:val="18"/>
          <w:highlight w:val="none"/>
        </w:rPr>
      </w:pPr>
      <w:bookmarkStart w:id="24" w:name="_Toc14698"/>
      <w:bookmarkStart w:id="25" w:name="_Toc15293"/>
      <w:r>
        <w:rPr>
          <w:rFonts w:hint="eastAsia" w:ascii="宋体" w:hAnsi="宋体" w:eastAsia="宋体" w:cs="宋体"/>
          <w:b/>
          <w:bCs/>
          <w:color w:val="auto"/>
          <w:sz w:val="24"/>
          <w:szCs w:val="18"/>
          <w:highlight w:val="none"/>
        </w:rPr>
        <w:t>四、其他要求</w:t>
      </w:r>
      <w:bookmarkEnd w:id="24"/>
      <w:bookmarkEnd w:id="25"/>
    </w:p>
    <w:p w14:paraId="35568ED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4.1建设内容</w:t>
      </w:r>
    </w:p>
    <w:p w14:paraId="0CD441F3">
      <w:pPr>
        <w:spacing w:line="360" w:lineRule="auto"/>
        <w:ind w:firstLine="437"/>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lang w:val="en-US" w:eastAsia="zh-CN"/>
        </w:rPr>
        <w:t>对数据大厦1-3层的智能化系统和标准化建设的设施进行购置安装，其中智能化系统包含综合布线系统、计算机网络系统、显示系统、分布式座席管理系统、城市运行统一门户、融合通信系统、多媒体会议系统、集中控制系统、安防监控系统、门禁系统、公共广播系统和机房工程等；标准化建设包含智慧城市运行管理大厅、智慧城市展示大厅和附属配套用房标准化建设。</w:t>
      </w:r>
    </w:p>
    <w:p w14:paraId="439988E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4.2建设需求</w:t>
      </w:r>
    </w:p>
    <w:p w14:paraId="737714F0">
      <w:pPr>
        <w:spacing w:line="360" w:lineRule="auto"/>
        <w:ind w:firstLine="437"/>
        <w:rPr>
          <w:rFonts w:hint="eastAsia" w:ascii="宋体" w:hAnsi="宋体" w:eastAsia="宋体" w:cs="宋体"/>
          <w:bCs/>
          <w:color w:val="auto"/>
          <w:sz w:val="24"/>
          <w:szCs w:val="18"/>
          <w:highlight w:val="none"/>
          <w:lang w:val="en-US" w:eastAsia="zh-CN"/>
        </w:rPr>
      </w:pPr>
      <w:bookmarkStart w:id="26" w:name="_Toc122943167"/>
      <w:bookmarkStart w:id="27" w:name="_Toc13304"/>
      <w:bookmarkStart w:id="28" w:name="_Toc21092"/>
      <w:r>
        <w:rPr>
          <w:rFonts w:hint="eastAsia" w:ascii="宋体" w:hAnsi="宋体" w:eastAsia="宋体" w:cs="宋体"/>
          <w:bCs/>
          <w:color w:val="auto"/>
          <w:sz w:val="24"/>
          <w:szCs w:val="18"/>
          <w:highlight w:val="none"/>
          <w:lang w:val="en-US" w:eastAsia="zh-CN"/>
        </w:rPr>
        <w:t>4.2.1数据大厦1-3层智能化</w:t>
      </w:r>
      <w:bookmarkEnd w:id="26"/>
      <w:bookmarkEnd w:id="27"/>
      <w:r>
        <w:rPr>
          <w:rFonts w:hint="eastAsia" w:ascii="宋体" w:hAnsi="宋体" w:eastAsia="宋体" w:cs="宋体"/>
          <w:bCs/>
          <w:color w:val="auto"/>
          <w:sz w:val="24"/>
          <w:szCs w:val="18"/>
          <w:highlight w:val="none"/>
          <w:lang w:val="en-US" w:eastAsia="zh-CN"/>
        </w:rPr>
        <w:t>系统</w:t>
      </w:r>
      <w:bookmarkEnd w:id="28"/>
    </w:p>
    <w:p w14:paraId="6863FA7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本次智能化系统参照《智慧城市 运营中心 第 1部分:总体要求》GB/T 40656.1-2021要求，针对城市运营,提供综合的、实时的信息,改善城市管理与服务,提高城市智能化水平。主要有四方面功能：信息展示、实时监测、决策分析、事件管理。主要通过事件、指标、指令进行过程调度、监督和管理,并利用信息展示、实时监测、决策分析、事件管理等能力,与政府各部门、各单位的业务系统进行信息交换、相互联动，监测本城市及周边相关区域的运行状况，为城市的决策者、相关业务人员提供业务支持。框架要求应符合 GB/T 34678-2017。</w:t>
      </w:r>
    </w:p>
    <w:p w14:paraId="12C292F2">
      <w:pPr>
        <w:spacing w:line="360" w:lineRule="auto"/>
        <w:ind w:firstLine="437"/>
        <w:rPr>
          <w:rFonts w:hint="eastAsia" w:ascii="宋体" w:hAnsi="宋体" w:eastAsia="宋体" w:cs="宋体"/>
          <w:b/>
          <w:bCs w:val="0"/>
          <w:color w:val="auto"/>
          <w:sz w:val="24"/>
          <w:szCs w:val="18"/>
          <w:highlight w:val="none"/>
          <w:lang w:val="en-US" w:eastAsia="zh-CN"/>
        </w:rPr>
      </w:pPr>
      <w:bookmarkStart w:id="29" w:name="_Toc2963"/>
      <w:r>
        <w:rPr>
          <w:rFonts w:hint="eastAsia" w:ascii="宋体" w:hAnsi="宋体" w:eastAsia="宋体" w:cs="宋体"/>
          <w:b/>
          <w:bCs w:val="0"/>
          <w:color w:val="auto"/>
          <w:sz w:val="24"/>
          <w:szCs w:val="18"/>
          <w:highlight w:val="none"/>
          <w:lang w:val="en-US" w:eastAsia="zh-CN"/>
        </w:rPr>
        <w:t>综合布线系统</w:t>
      </w:r>
      <w:bookmarkEnd w:id="29"/>
    </w:p>
    <w:p w14:paraId="50B16D1C">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综合布线系统参照GB50314-2015《智能建筑设计标准》，充分考虑未来网络结构改变、扩容及新技术的发展，网线全部采用六类及超六类元件，满足数据大厦1-3层的语音、数据、图像等传输要求。所需材料以实际施工数量为准。</w:t>
      </w:r>
    </w:p>
    <w:p w14:paraId="3B095B2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本项目分为政务外网、语音网、安防监控等各项子系统的综合布线，互不干扰，分开设计。采用模块化、开放式的结构，适应系统的灵活组网、扩充升级的需要，实现信息共享、资源共享和科学管理。</w:t>
      </w:r>
    </w:p>
    <w:p w14:paraId="248B2BB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（1）工作区子系统</w:t>
      </w:r>
    </w:p>
    <w:p w14:paraId="2276809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工作区子系统包括装配软线、适配器和连接所需的扩展软线，在终端设备和I/O之间搭桥，确定信息点数量。其中政务外网采用六类非屏蔽插座（单、双孔面板）和地插。</w:t>
      </w:r>
    </w:p>
    <w:p w14:paraId="7971F4D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信息点数量确定：</w:t>
      </w:r>
    </w:p>
    <w:p w14:paraId="4465B77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项目综合布线系统的信息点主要分为政务外网（互联网）点、语音网点以及备用信息点三大类型。（备用信息点仅做前端面板和布线，相关设备后期使用时具体增加。根据办公楼的建筑分布情况，本次设计布线的点位设计情况如下：</w:t>
      </w:r>
    </w:p>
    <w:p w14:paraId="237FD37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城运中心座席根据一定比例按4个信息点进行设置，每组信息点包含2个政务外网（互联网）点、语音网点以及备用信息点。在城运中心会议区域根据布局需求设置音视频及话筒等信息点。</w:t>
      </w:r>
    </w:p>
    <w:p w14:paraId="6C8479D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指挥调度室和会议室按照大小进行设置：主要包括桌面多媒体信息盒（强电、政务外网（互联网）及 HDMI 接口）以及墙插。</w:t>
      </w:r>
    </w:p>
    <w:p w14:paraId="7C74E00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办公室按照每工位4个信息点（墙插）进行设置，包含2个政务外网（互联网）点、语音网点、备用网信息点。</w:t>
      </w:r>
    </w:p>
    <w:p w14:paraId="3CE1F05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值班室等按照床位设计两个信息点，每组信息点包含政务外网（互联网）点、语音网点。</w:t>
      </w:r>
    </w:p>
    <w:p w14:paraId="7AB8EAE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信息点安装方式：</w:t>
      </w:r>
    </w:p>
    <w:p w14:paraId="7E05172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墙面型插座：安装高度为距离地面30cm。</w:t>
      </w:r>
    </w:p>
    <w:p w14:paraId="1A80291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面板：采用86标准面板，选用暗埋盒与之匹配。</w:t>
      </w:r>
    </w:p>
    <w:p w14:paraId="1184A39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模块：数据信息点采用六类信息模块。</w:t>
      </w:r>
    </w:p>
    <w:p w14:paraId="0C1EC4E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跳线：采用六类非屏蔽跳线，按信息点数量进行配置。</w:t>
      </w:r>
    </w:p>
    <w:p w14:paraId="4BC4E4B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工作区设计要点：</w:t>
      </w:r>
    </w:p>
    <w:p w14:paraId="6572CE3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各工作区的信息组合端口，其中包括六类非屏蔽插座（单、双孔面板）。所有的信息点插座应配有明显的、可方便互换的、永久的彩色标识，以区分插座用途。电信插座带有永久防尘门，以免在综合布线系统长达十几年的使用期限内因空气和潮湿导致布线系统链路性能的下降。</w:t>
      </w:r>
    </w:p>
    <w:p w14:paraId="4B7E42D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（2）水平子系统</w:t>
      </w:r>
    </w:p>
    <w:p w14:paraId="34384F3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水平子系统将线路延伸到工作区，并端接在信息插座或区域布线的中转点上，信息点采用六类非屏蔽双绞线；保密室内信息点单独采用光缆。</w:t>
      </w:r>
    </w:p>
    <w:p w14:paraId="0D9D764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（3）垂直干线子系统</w:t>
      </w:r>
    </w:p>
    <w:p w14:paraId="24D654F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项目的主干线缆分为铜缆和光缆两大类型，进入弱电间采用光缆部署，电话部分采用铜缆部署，网络主干光纤实现物理隔离。为保证业务和办公信息点的数据传输带宽和扩展需要，网络汇聚层设置在大楼一层网络机房，从网络机房总配线架到弱电间配线架分别布放一根24芯单模光缆和3类大对数电缆。</w:t>
      </w:r>
    </w:p>
    <w:p w14:paraId="61B0694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（4）管理子系统</w:t>
      </w:r>
    </w:p>
    <w:p w14:paraId="7A62DF8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管理子系统的设计主要是指管理设备间机柜的选型及数量的确定，机柜的固定方式，管理子系统配线架的选型及数量的确定、配线架的安装方式、管理间跳线种类的选择、跳线方式的确定等。</w:t>
      </w:r>
    </w:p>
    <w:p w14:paraId="378EB46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采用高度2000mm、宽度600mm、深度600mm的机柜，材料选用金属喷塑，并配有网络设备专用配电电源端接位置，可将网络设备共同放置其中。管理子系统的配线架分为铜缆配线架和光纤配线架两种，采用的铜缆配线架为模块化六类24口配线架；光纤配线架为24口通用型19英寸机架式，配置低损耗的LC接口的单模光纤耦合器，语音主配线架选用110 型 50 对压接式配线架。</w:t>
      </w:r>
    </w:p>
    <w:p w14:paraId="78E3D098">
      <w:pPr>
        <w:spacing w:line="360" w:lineRule="auto"/>
        <w:ind w:firstLine="437"/>
        <w:rPr>
          <w:rFonts w:hint="eastAsia" w:ascii="宋体" w:hAnsi="宋体" w:eastAsia="宋体" w:cs="宋体"/>
          <w:b/>
          <w:bCs w:val="0"/>
          <w:color w:val="auto"/>
          <w:sz w:val="24"/>
          <w:szCs w:val="18"/>
          <w:highlight w:val="none"/>
          <w:lang w:val="en-US" w:eastAsia="zh-CN"/>
        </w:rPr>
      </w:pPr>
      <w:bookmarkStart w:id="30" w:name="_Toc19243"/>
      <w:r>
        <w:rPr>
          <w:rFonts w:hint="eastAsia" w:ascii="宋体" w:hAnsi="宋体" w:eastAsia="宋体" w:cs="宋体"/>
          <w:b/>
          <w:bCs w:val="0"/>
          <w:color w:val="auto"/>
          <w:sz w:val="24"/>
          <w:szCs w:val="18"/>
          <w:highlight w:val="none"/>
          <w:lang w:val="en-US" w:eastAsia="zh-CN"/>
        </w:rPr>
        <w:t>计算机网络系统</w:t>
      </w:r>
      <w:bookmarkEnd w:id="30"/>
    </w:p>
    <w:p w14:paraId="5412F6F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本次计算机网络系统按照《数据中心设计规范》GB 50174-2017和《信息安全技术网络安全等级保护基本要求》GB/T22239-2019，设计及建设标准要达到计算机网络等级保护二级及以上要求，网络安全应符合《智慧城市 运营中心 第1部分：总体要求》GB/T 40656.1-2021要求，支撑数据大厦1-3层网络的高效运行，包括：政务外网统一出口专线、电子政务外网（互联网）、无线WIFI。其中，政务外网统一出口专线为本项目专用，裸光纤（双链路）直连至市网络交换中心；电子政务外网与互联网强逻辑隔离，无线WIFI用于电子政务外网（互联网）的访问。</w:t>
      </w:r>
    </w:p>
    <w:p w14:paraId="23E9426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（1）电子政务外网（互联网）</w:t>
      </w:r>
    </w:p>
    <w:p w14:paraId="1D8E4B7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参照《安徽省电子政务外网网络建设技术指南（2022版）》要求，通过统一技术标准，采用统一规划、分级建设、分级管理的模式，全面适配IPv4/IPv6双栈协议，按照滁州市电子政务外网IPv4（10段、100段）及IPv6地址进行统一规划和分配，建设更规范、高效、集约的电子政务外网（互联网），同时做好与互联网强逻辑隔离，向上接入滁州市网络交换中心，实现办公用户和业务系统网络的互联互通。</w:t>
      </w:r>
    </w:p>
    <w:p w14:paraId="42023F4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网络架构设计</w:t>
      </w:r>
    </w:p>
    <w:p w14:paraId="3A041AE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数据大厦1-3层电子政务外网（互联网）网络按照两层架构、模块化思路进行规划和建设。其中，网络可划分为核心层和接入层。核心层和接入层设备之间采用裸光纤级联；按照网络访问需求，做好不同区域的地址规划和分配工作，采用VLAN隔离方式保障数据安全及业务稳定，易于进行故障定位。</w:t>
      </w:r>
    </w:p>
    <w:p w14:paraId="7391A5F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网络架构设计图如下所示：</w:t>
      </w:r>
    </w:p>
    <w:p w14:paraId="1130F3CE">
      <w:pPr>
        <w:spacing w:line="360" w:lineRule="auto"/>
        <w:ind w:firstLine="437"/>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5271770" cy="4221480"/>
            <wp:effectExtent l="0" t="0" r="127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0"/>
                    <a:stretch>
                      <a:fillRect/>
                    </a:stretch>
                  </pic:blipFill>
                  <pic:spPr>
                    <a:xfrm>
                      <a:off x="0" y="0"/>
                      <a:ext cx="5271770" cy="4221480"/>
                    </a:xfrm>
                    <a:prstGeom prst="rect">
                      <a:avLst/>
                    </a:prstGeom>
                    <a:noFill/>
                    <a:ln>
                      <a:noFill/>
                    </a:ln>
                  </pic:spPr>
                </pic:pic>
              </a:graphicData>
            </a:graphic>
          </wp:inline>
        </w:drawing>
      </w:r>
    </w:p>
    <w:p w14:paraId="34FED86A">
      <w:pPr>
        <w:pageBreakBefore w:val="0"/>
        <w:kinsoku/>
        <w:wordWrap/>
        <w:overflowPunct/>
        <w:topLinePunct w:val="0"/>
        <w:bidi w:val="0"/>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1-3层电子政务外网（互联网）网络架构设计图</w:t>
      </w:r>
    </w:p>
    <w:p w14:paraId="7E593D2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利旧2台S7706作为数据大厦1-3层电子政务外网（互联网）核心交换机。</w:t>
      </w:r>
    </w:p>
    <w:p w14:paraId="48A0F93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新建防火墙和入侵监测设备、为本项目的业务系统提供安全防护能力。新建接入交换机，负责业务系统及办公用户访问电子政务外网（互联网）；本次接入层选用48口千兆接入交换机：千兆电口下行，万兆光口上行；配置13台48口千兆接入交换机实现电子政务外网（互联网）的接入。</w:t>
      </w:r>
    </w:p>
    <w:p w14:paraId="60CACA8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新建无线网络，采用全WIFI6设备，通过5台POE交换机对AP进行供电，满足大楼1-3层的无线网络需求，其中，1F配置1台24口POE交换机，2F配置2台24口POE交换机，3F配置1台POE交换机，同时配置1台无线控制器对无线网络进行管理。</w:t>
      </w:r>
    </w:p>
    <w:p w14:paraId="7179A51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本项目IP地址分为用户地址、业务地址和设备管理地址，其中设备管理只允许通过堡垒机进行访问，IP地址规划需符合滁州市电子政务外网IP地址管理规范。</w:t>
      </w:r>
    </w:p>
    <w:p w14:paraId="5403A7F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无线网络设计原则</w:t>
      </w:r>
    </w:p>
    <w:p w14:paraId="050528D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1、服务质量QoS</w:t>
      </w:r>
    </w:p>
    <w:p w14:paraId="751422F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无线漫游：覆盖区域内无线漫游，用户终端从一个AP覆盖范围移动到另一个AP覆盖范围，无需重新登录和认证，终端设备无感知智能切换信号。</w:t>
      </w:r>
    </w:p>
    <w:p w14:paraId="310CA15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2、安全防护</w:t>
      </w:r>
    </w:p>
    <w:p w14:paraId="5DEB594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无线安全加密：WLAN无线网络需要支持WPA/WPA2、WAPI等加密认证方式，保证办公用户重要信息的私密性，数据传输的安全性。</w:t>
      </w:r>
    </w:p>
    <w:p w14:paraId="5FF84D5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无线入侵防护：为了更好地保证网络的安全性和可靠性，WLAN无线网需要支持泛洪攻击、Spoof攻击、暴力PSK破解、WeakⅣ等WIDS/WIPS安全防护。</w:t>
      </w:r>
    </w:p>
    <w:p w14:paraId="3F6FD24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3、运行维护</w:t>
      </w:r>
    </w:p>
    <w:p w14:paraId="3D100E8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无线网络覆盖管理：通过无线网络管理平台可以直接显示所有AP在线信息、每个AP所连接的用户信息、无线设备告警状态、网络结构拓扑信息等。</w:t>
      </w:r>
    </w:p>
    <w:p w14:paraId="027E844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远程维护：当无线网络覆盖业务策略发生变化或者无线网络覆盖系统发生故障时，可以快速远程处理。</w:t>
      </w:r>
    </w:p>
    <w:p w14:paraId="54CE847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故障恢复：可以通过AC控制器远程批量重启AP，恢复AP配置；通过AC控制器快速完成AP替换，替换后业务不变。</w:t>
      </w:r>
    </w:p>
    <w:p w14:paraId="332B3E7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无线网络设计标准</w:t>
      </w:r>
    </w:p>
    <w:p w14:paraId="239F7C4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1、办公场所内信号覆盖强度≥-65dBm。</w:t>
      </w:r>
    </w:p>
    <w:p w14:paraId="2195DC9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2、兼容性：具备802.11a/b/g/n/x/ac/ax标准，保证不同协议的无线终端接入，选择双频设备，保证无线网络性能。</w:t>
      </w:r>
    </w:p>
    <w:p w14:paraId="360F979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3、漫游性能：具备无缝漫游、信号随行、AP间信号达到毫秒级自动切换，保证无线网络数据业务不中断。</w:t>
      </w:r>
    </w:p>
    <w:p w14:paraId="2FB8CDA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4、高速上网体验：无线网络系统采用吸顶AP和面板AP进行部署，实现大量终端设备连接到无线网络中，并保证网络连接速度的快速和高效。</w:t>
      </w:r>
    </w:p>
    <w:p w14:paraId="0137C71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5、无线安全加密：无线覆盖系统需要符合国际标准的无线加密协议，包括但不限于WPA-PSK、WPA2-PSK等，保证私密信息安全。</w:t>
      </w:r>
    </w:p>
    <w:p w14:paraId="2BCC5F2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6、无线统一管理：提供无线接入点AP和终端设备统一管理功能，实现简单方便的无线维护管理。</w:t>
      </w:r>
    </w:p>
    <w:p w14:paraId="34A761DC">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无线准入设计</w:t>
      </w:r>
    </w:p>
    <w:p w14:paraId="340E3D61">
      <w:pPr>
        <w:spacing w:line="360" w:lineRule="auto"/>
        <w:ind w:firstLine="437"/>
        <w:rPr>
          <w:rFonts w:hint="eastAsia" w:ascii="宋体" w:hAnsi="宋体" w:eastAsia="宋体" w:cs="宋体"/>
          <w:sz w:val="28"/>
          <w:szCs w:val="28"/>
          <w:highlight w:val="none"/>
        </w:rPr>
      </w:pPr>
      <w:r>
        <w:rPr>
          <w:rFonts w:hint="eastAsia" w:ascii="宋体" w:hAnsi="宋体" w:eastAsia="宋体" w:cs="宋体"/>
          <w:bCs/>
          <w:color w:val="auto"/>
          <w:sz w:val="24"/>
          <w:szCs w:val="18"/>
          <w:highlight w:val="none"/>
          <w:lang w:val="en-US" w:eastAsia="zh-CN"/>
        </w:rPr>
        <w:t>针对城运中心内部人员进行认证管理，实现终端管理、基于场景的接入授权，可有效解决移动智能终端的接入控制管理问题。城运中心内部人员使用自己的无线终端，通过 Portal 认证方式接入。</w:t>
      </w:r>
    </w:p>
    <w:p w14:paraId="41FF5F3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（3）云桌面系统</w:t>
      </w:r>
    </w:p>
    <w:p w14:paraId="23D6386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本次项目建设1套独立的云桌面服务器集群，通过物理隔离的手段，解决电子政务外网和互联网在云桌面下共用的情况。实现数据大厦1-2层办公用户的统一桌面管理，提高运维效率。</w:t>
      </w:r>
    </w:p>
    <w:p w14:paraId="5473FD3C">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本次需建设安全可靠、自主可控的云桌面系统，进一步提升办公协作效率。部署位置为电子政务外网（互联网），终端数量为80个，其中1楼城运中心50个，2楼办公区域30个。</w:t>
      </w:r>
    </w:p>
    <w:p w14:paraId="5115C12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系统设计</w:t>
      </w:r>
    </w:p>
    <w:p w14:paraId="6983143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设计方案将操作系统、应用和数据全部集中到国产化服务器（C86/ARM架构）集群上进行统一管理，将座席人员的桌面系统部署在云桌面服务器上，并在工位上放置云终端用于桌面接入，在服务器上发布虚拟化操作系统，在确保业务不受影响的情况下，实现硬件、操作系统、业务软件的全方位改造。</w:t>
      </w:r>
    </w:p>
    <w:p w14:paraId="52C26E6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1、硬件平台设计</w:t>
      </w:r>
    </w:p>
    <w:p w14:paraId="1332FC5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采用国产化服务器集群部署，形成统一资源池，实现弹性调用、集中监控和故障切换（一旦检测到服务器故障之后，自动在集群内的其他正常主机重启虚拟机，保证桌面业务正常运行）。无需购置独立存储，通过虚拟存储技术实现独立存储功能。</w:t>
      </w:r>
    </w:p>
    <w:p w14:paraId="076BE72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存储硬盘使用SSD，保障云桌面流畅；扩容时无需停机，在线加入集群，自动实现资源平衡。采用全集群架构设计，主机和硬盘均有冗余设计机制，实现故障自动迁移，确保桌面业务稳定运行。</w:t>
      </w:r>
    </w:p>
    <w:p w14:paraId="11729CB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2、软件平台设计</w:t>
      </w:r>
    </w:p>
    <w:p w14:paraId="45971A7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（1）桌面虚拟化：用户认证管理、策略控制、桌面统一监控及管理功能。</w:t>
      </w:r>
    </w:p>
    <w:p w14:paraId="526EDD5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（2）服务器虚拟化：提供高性能负载平台和管理功能，虚拟机快速部署、资源管理及监控、集群高可用、动态迁移、数据备份及恢复功能。</w:t>
      </w:r>
    </w:p>
    <w:p w14:paraId="622D89C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（3）存储虚拟化：使用分布式数据存储技术，通过冗余机制，确保磁盘和服务器故障时，数据不会丢失。</w:t>
      </w:r>
    </w:p>
    <w:p w14:paraId="0AA924B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3、基于“零信任”的数字化工作站设计</w:t>
      </w:r>
    </w:p>
    <w:p w14:paraId="5F4F65A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参照《政务外网终端一机两用安全管控技术指南》，本次需对云桌面系统用户终端进行有效安全管控，实现对终端的准入控制和安全隔离，保障政务外网终端访问安全性、稳定性、可靠性。</w:t>
      </w:r>
    </w:p>
    <w:p w14:paraId="60D3AF3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4、极简运维</w:t>
      </w:r>
    </w:p>
    <w:p w14:paraId="36FA990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能够简单高效地进行账号与权限的分配，轻松发布新业务和应用，上线即可使用，方便风险研判、故障诊断和异常恢复。</w:t>
      </w:r>
    </w:p>
    <w:p w14:paraId="26AE887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本次以云桌面与“零信任”为底座，打造安全可靠的数字化安全办公平台。提供包含但不限于虚拟桌面等功能组件，保障终端环境安全、人员身份安全、边界访问动态控制、数据安全等维度的安全防护能力。</w:t>
      </w:r>
    </w:p>
    <w:p w14:paraId="04BB61C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在PC上安装“云桌面+零信任”二合一客户端，在网络可达的情况下，用户可在任何地点访问本次建设的云桌面进行远程办公使用。本次建设电子政务外网（互联网）云桌面，用户如需访问电子政务外网，需通过“零信任”的认证之后，方可进行远程桌面的使用。提供的桌面发布模式，将与“一机两用”使用的“零信任”设备进行联动使用，相关人员可在自身麒麟、统信等操作系统内点击零信任与云桌面的二合一客户端，通过用户账号单点登录至云桌面。</w:t>
      </w:r>
    </w:p>
    <w:p w14:paraId="4DAA5B1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（4）“一机两用”系统</w:t>
      </w:r>
    </w:p>
    <w:p w14:paraId="58217AE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建设“一机两用”系统使接入的委办单位网络做到规范、统一管理。系统基于零信任理念的SDP架构，以控制平台为核心组件，整合终端安全监测与终端防横向、统一身份管理与认证、行为分析、数据防泄密等能力，实现全方位立体的业务安全访问体系。具体构成为：</w:t>
      </w:r>
    </w:p>
    <w:p w14:paraId="2116BBA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零信任控制中心：由安全代理网关和控制中心两部分构成，实现控制面和数据面的分离。</w:t>
      </w:r>
    </w:p>
    <w:p w14:paraId="257C878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零信任接入网关：安全代理网关支持HTTPS代理访问和SSL隧道代理访问。控制中心和安全代理网关均受SPA单包授权技术对设备本身的服务进行隐身保护。</w:t>
      </w:r>
    </w:p>
    <w:p w14:paraId="16AEFD2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零信任客户端：在每台接入政务外网的政务部门单位终端安装，并与管理平台完成SPA认证，通过零信任客户端进行身份鉴别、网络隔离、违规外联检测等控制。安装相关客户端完成身份认证后方可接入电子政务外网，未安装则禁止接入电子政务外网。</w:t>
      </w:r>
    </w:p>
    <w:p w14:paraId="12DBD20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需求分析</w:t>
      </w:r>
    </w:p>
    <w:p w14:paraId="20130C3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滁州市电子政务外网目前已覆盖市－县－乡－村四级，实现了统一多运营商互联网出口，市级互联网出口总带宽33G，市到县电子政务外网广域网总带宽16G，用户终端数量约3.8万。目前我市尚未建立政务外网终端一机两用安全管控机制，电子政务外网网络安全防护和安全监测能力较弱，缺乏对终端的安全管控。</w:t>
      </w:r>
    </w:p>
    <w:p w14:paraId="09ACE8D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对接入政务外网的用户终端，实现接入认证和安全检查，确保接入人员身份合法，接入的终端具备安全防护能力，不能携带病毒访问政务外网，确保只有合法合规的终端才能接入访问相应权限范围内的业务。</w:t>
      </w:r>
    </w:p>
    <w:p w14:paraId="2D583A1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对接入政务外网的终端实现网络隔离，实现同一台终端无法同时访问两张网络，如终端在访问互联网时，无法访问政务外网。当此终端访问政务外网时，无法访问互联网。</w:t>
      </w:r>
    </w:p>
    <w:p w14:paraId="10E8736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各政务部门还需增加终端安全能力，原则上建议采用一个客户端实现准入认证、网络隔离和终端安全防护，避免影响终端办公效率，同时避免出现终端烟囱式建设带来的相关问题，如兼容难、功能重复等。</w:t>
      </w:r>
    </w:p>
    <w:p w14:paraId="2CA227E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具备与第三方平台进行数据外发、接口对接等能力，配合做好市一体化安全运营（监测）平台对系统运行和业务相关日志、数据的实时汇聚，提供对接开发服务。</w:t>
      </w:r>
    </w:p>
    <w:p w14:paraId="6EA0B67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系统设计</w:t>
      </w:r>
    </w:p>
    <w:p w14:paraId="70D851A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本次部署方式采用广域网核心路由部署，统一部署零信任安全网关和零信任管理平台，实现市县一体的集约化部署，旨在加强对市县政务外网终端的安全管控。本次建设整体功能设计包含但不限于：</w:t>
      </w:r>
    </w:p>
    <w:p w14:paraId="5AE53F61">
      <w:pPr>
        <w:spacing w:line="360" w:lineRule="auto"/>
        <w:ind w:firstLine="437"/>
        <w:rPr>
          <w:rFonts w:hint="eastAsia" w:ascii="宋体" w:hAnsi="宋体" w:eastAsia="宋体" w:cs="宋体"/>
          <w:bCs/>
          <w:color w:val="auto"/>
          <w:sz w:val="24"/>
          <w:szCs w:val="18"/>
          <w:highlight w:val="none"/>
          <w:lang w:val="en-US" w:eastAsia="zh-CN"/>
        </w:rPr>
      </w:pPr>
      <w:bookmarkStart w:id="31" w:name="_Toc77345137"/>
      <w:r>
        <w:rPr>
          <w:rFonts w:hint="eastAsia" w:ascii="宋体" w:hAnsi="宋体" w:eastAsia="宋体" w:cs="宋体"/>
          <w:bCs/>
          <w:color w:val="auto"/>
          <w:sz w:val="24"/>
          <w:szCs w:val="18"/>
          <w:highlight w:val="none"/>
          <w:lang w:val="en-US" w:eastAsia="zh-CN"/>
        </w:rPr>
        <w:t>准入认证</w:t>
      </w:r>
      <w:bookmarkEnd w:id="31"/>
      <w:r>
        <w:rPr>
          <w:rFonts w:hint="eastAsia" w:ascii="宋体" w:hAnsi="宋体" w:eastAsia="宋体" w:cs="宋体"/>
          <w:bCs/>
          <w:color w:val="auto"/>
          <w:sz w:val="24"/>
          <w:szCs w:val="18"/>
          <w:highlight w:val="none"/>
          <w:lang w:val="en-US" w:eastAsia="zh-CN"/>
        </w:rPr>
        <w:t>功能设计</w:t>
      </w:r>
    </w:p>
    <w:p w14:paraId="1D17750D">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（1）身份认证：</w:t>
      </w:r>
    </w:p>
    <w:p w14:paraId="2C439844">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当用户需要访问政务外网办理业务时，需先进行准入身份认证，用户身份认证可采用多种认证方式，支持手机扫码</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如政务钉钉、企业微信等</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、动态令牌</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如第三方令牌</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、短信认证</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需要短信网关配合</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、CA认证</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如U-key、证书认证等，支持商密算法</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可配置让用户自主选择认证方式。针对体验要求较高的用户，可以配置免认证策略，即当用户终端、网络环境没有发生变化时，无需认证即可自动上线。</w:t>
      </w:r>
    </w:p>
    <w:p w14:paraId="4E02D0FF">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针对用户认证的过程中，支持结合不同环境或背景信息提供不同的认证方式</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访问业务的过程中持续进行检测，基于策略的定义和执行，对</w:t>
      </w:r>
      <w:r>
        <w:rPr>
          <w:rFonts w:hint="eastAsia" w:ascii="宋体" w:hAnsi="宋体" w:eastAsia="宋体" w:cs="宋体"/>
          <w:bCs/>
          <w:color w:val="auto"/>
          <w:sz w:val="24"/>
          <w:szCs w:val="18"/>
          <w:highlight w:val="none"/>
          <w:lang w:val="en-US" w:eastAsia="zh-CN"/>
        </w:rPr>
        <w:t>异常行为的</w:t>
      </w:r>
      <w:r>
        <w:rPr>
          <w:rFonts w:hint="eastAsia" w:ascii="宋体" w:hAnsi="宋体" w:eastAsia="宋体" w:cs="宋体"/>
          <w:bCs/>
          <w:color w:val="auto"/>
          <w:sz w:val="24"/>
          <w:szCs w:val="18"/>
          <w:highlight w:val="none"/>
          <w:lang w:val="en-US" w:eastAsia="zh-Hans"/>
        </w:rPr>
        <w:t>用户</w:t>
      </w:r>
      <w:r>
        <w:rPr>
          <w:rFonts w:hint="eastAsia" w:ascii="宋体" w:hAnsi="宋体" w:eastAsia="宋体" w:cs="宋体"/>
          <w:bCs/>
          <w:color w:val="auto"/>
          <w:sz w:val="24"/>
          <w:szCs w:val="18"/>
          <w:highlight w:val="none"/>
          <w:lang w:val="en-US" w:eastAsia="zh-CN"/>
        </w:rPr>
        <w:t>进行</w:t>
      </w:r>
      <w:r>
        <w:rPr>
          <w:rFonts w:hint="eastAsia" w:ascii="宋体" w:hAnsi="宋体" w:eastAsia="宋体" w:cs="宋体"/>
          <w:bCs/>
          <w:color w:val="auto"/>
          <w:sz w:val="24"/>
          <w:szCs w:val="18"/>
          <w:highlight w:val="none"/>
          <w:lang w:val="en-US" w:eastAsia="zh-Hans"/>
        </w:rPr>
        <w:t>重新身份认证或重新授权，实现安全性、高可用性、易用性和成本效率之间的平衡。</w:t>
      </w:r>
    </w:p>
    <w:p w14:paraId="039429BA">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（2）安全检查</w:t>
      </w:r>
    </w:p>
    <w:p w14:paraId="1BC0463B">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当用户完成身份认证后，还需进行合规检查，检测内容包含但不限于终端是否安装了防病毒软件、安全基线是否合规（如弱密码、屏保设置等）、是否安装指定软件、是否安装违规软件等，当有一项或多项不合规时，依然阻止终端接入行为，确保接入的终端身份和环境全部合法合规，才能接入政务外网，访问到权限范围内的业务。</w:t>
      </w:r>
    </w:p>
    <w:p w14:paraId="6AAEE4FF">
      <w:pPr>
        <w:spacing w:line="360" w:lineRule="auto"/>
        <w:ind w:firstLine="437"/>
        <w:rPr>
          <w:rFonts w:hint="eastAsia" w:ascii="宋体" w:hAnsi="宋体" w:eastAsia="宋体" w:cs="宋体"/>
          <w:bCs/>
          <w:color w:val="auto"/>
          <w:sz w:val="24"/>
          <w:szCs w:val="18"/>
          <w:highlight w:val="none"/>
          <w:lang w:val="en-US" w:eastAsia="zh-CN"/>
        </w:rPr>
      </w:pPr>
      <w:bookmarkStart w:id="32" w:name="_Toc77345138"/>
      <w:r>
        <w:rPr>
          <w:rFonts w:hint="eastAsia" w:ascii="宋体" w:hAnsi="宋体" w:eastAsia="宋体" w:cs="宋体"/>
          <w:bCs/>
          <w:color w:val="auto"/>
          <w:sz w:val="24"/>
          <w:szCs w:val="18"/>
          <w:highlight w:val="none"/>
          <w:lang w:val="en-US" w:eastAsia="zh-CN"/>
        </w:rPr>
        <w:t>网络隔离</w:t>
      </w:r>
      <w:bookmarkEnd w:id="32"/>
      <w:r>
        <w:rPr>
          <w:rFonts w:hint="eastAsia" w:ascii="宋体" w:hAnsi="宋体" w:eastAsia="宋体" w:cs="宋体"/>
          <w:bCs/>
          <w:color w:val="auto"/>
          <w:sz w:val="24"/>
          <w:szCs w:val="18"/>
          <w:highlight w:val="none"/>
          <w:lang w:val="en-US" w:eastAsia="zh-CN"/>
        </w:rPr>
        <w:t>功能设计</w:t>
      </w:r>
    </w:p>
    <w:p w14:paraId="67026313">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终端同时只允许访问一张网络，当访问政务</w:t>
      </w:r>
      <w:r>
        <w:rPr>
          <w:rFonts w:hint="eastAsia" w:ascii="宋体" w:hAnsi="宋体" w:eastAsia="宋体" w:cs="宋体"/>
          <w:bCs/>
          <w:color w:val="auto"/>
          <w:sz w:val="24"/>
          <w:szCs w:val="18"/>
          <w:highlight w:val="none"/>
          <w:lang w:val="en-US" w:eastAsia="zh-CN"/>
        </w:rPr>
        <w:t>外</w:t>
      </w:r>
      <w:r>
        <w:rPr>
          <w:rFonts w:hint="eastAsia" w:ascii="宋体" w:hAnsi="宋体" w:eastAsia="宋体" w:cs="宋体"/>
          <w:bCs/>
          <w:color w:val="auto"/>
          <w:sz w:val="24"/>
          <w:szCs w:val="18"/>
          <w:highlight w:val="none"/>
          <w:lang w:val="en-US" w:eastAsia="zh-Hans"/>
        </w:rPr>
        <w:t>网资源时，零信任客户端自动关闭本机互联网访问，通过切换方式可正常访问互联网，此时电子政务外网不可通信，实现“办公不上网，上网不办公”的安全效果，从而有效解决复杂网络中的双网隔离访问难题，实现“两网一端”下同时只允许一张网络的安全使用。</w:t>
      </w:r>
    </w:p>
    <w:p w14:paraId="5C2E2B0D">
      <w:pPr>
        <w:spacing w:line="360" w:lineRule="auto"/>
        <w:ind w:firstLine="437"/>
        <w:rPr>
          <w:rFonts w:hint="eastAsia" w:ascii="宋体" w:hAnsi="宋体" w:eastAsia="宋体" w:cs="宋体"/>
          <w:bCs/>
          <w:color w:val="auto"/>
          <w:sz w:val="24"/>
          <w:szCs w:val="18"/>
          <w:highlight w:val="none"/>
          <w:lang w:val="en-US" w:eastAsia="zh-CN"/>
        </w:rPr>
      </w:pPr>
      <w:bookmarkStart w:id="33" w:name="_Toc77345150"/>
      <w:r>
        <w:rPr>
          <w:rFonts w:hint="eastAsia" w:ascii="宋体" w:hAnsi="宋体" w:eastAsia="宋体" w:cs="宋体"/>
          <w:bCs/>
          <w:color w:val="auto"/>
          <w:sz w:val="24"/>
          <w:szCs w:val="18"/>
          <w:highlight w:val="none"/>
          <w:lang w:val="en-US" w:eastAsia="zh-CN"/>
        </w:rPr>
        <w:t>业务访问流程</w:t>
      </w:r>
      <w:bookmarkEnd w:id="33"/>
      <w:r>
        <w:rPr>
          <w:rFonts w:hint="eastAsia" w:ascii="宋体" w:hAnsi="宋体" w:eastAsia="宋体" w:cs="宋体"/>
          <w:bCs/>
          <w:color w:val="auto"/>
          <w:sz w:val="24"/>
          <w:szCs w:val="18"/>
          <w:highlight w:val="none"/>
          <w:lang w:val="en-US" w:eastAsia="zh-CN"/>
        </w:rPr>
        <w:t>设计</w:t>
      </w:r>
    </w:p>
    <w:p w14:paraId="622D2511">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在零信任系统建设完成后，终端未安装任何零信任客户端的情况下，零信任安全网关将默认阻断所有用户终端访问政务外网应用，同时针对要访问业务系统的用户在身份认证设施创建账号信息。</w:t>
      </w:r>
    </w:p>
    <w:p w14:paraId="1437A5B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Hans"/>
        </w:rPr>
        <w:t>1、用户在接入政务外网的办公终端进行客户端安装，同时通过零信任管理平台下发应用代理策略到安全网关，以及终端隔离等安全策略到安装客户端的终端。</w:t>
      </w:r>
    </w:p>
    <w:p w14:paraId="09B0E5B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Hans"/>
        </w:rPr>
        <w:t>2.用户通过客户端发起政务外网的身份认证请求，如账号口令信息，认证请求将发送至零信任安全网关。</w:t>
      </w:r>
    </w:p>
    <w:p w14:paraId="18A39CF6">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3.认证信息通过安全网关传输到零信任管理平台。</w:t>
      </w:r>
    </w:p>
    <w:p w14:paraId="0EDDCED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Hans"/>
        </w:rPr>
        <w:t>4.零信任管理平台将校验身份信息是否准确，同时反馈校验结果，如无问题，则允许授权用户接入政务外网。</w:t>
      </w:r>
    </w:p>
    <w:p w14:paraId="0BA48E3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Hans"/>
        </w:rPr>
        <w:t>5.用户通过身份校验没有问题，且安全检查通过的终端，进行政务外网的业务访问操作，可通过零信任安全网关进行业务代理访问。</w:t>
      </w:r>
    </w:p>
    <w:p w14:paraId="06D8B3A3">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6.如业务系统已对接统一身份管理系统，可通过账号口令登录和MAC认证业务应用，正常访问政务外网业务。</w:t>
      </w:r>
    </w:p>
    <w:p w14:paraId="4014933E">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CN"/>
        </w:rPr>
        <w:t>（5）网管系统</w:t>
      </w:r>
    </w:p>
    <w:p w14:paraId="028C97D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滁州市电子政务外网现有网管系统（华为Esight）建于2016年12月，设备质保已到期，目前已运行超过7年，因厂家停止升级和维护，且系统存在对不同品牌设备的兼容问题，为保障全市电子政务外网关键基础设施安全稳定运行，本次将新建一套网管系统，横向纳管滁州市市本级政务外网所有设备（含核心层、汇聚层、接入层、相关安全设备等），纵向向上接入省网管平台，向下纳管县（市、区）政务外网核心设备（含网络、安全设备）。</w:t>
      </w:r>
    </w:p>
    <w:p w14:paraId="7BAF9F26">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建设内容</w:t>
      </w:r>
    </w:p>
    <w:p w14:paraId="08D76EC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通过本系统把基础网络设备监控全部纳入统一平台中进行监视和管理，建立全面的资源配置信息库和监视信息库，通过运维管理平台进行深入的故障相关性分析，及时有效地提供综合统计分析报表，提升现有网络管理水平，为业务正常开展提供有力的保障。</w:t>
      </w:r>
    </w:p>
    <w:p w14:paraId="1CC61FA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考虑到各县（市、区）网管系统品牌不一，本次只将县级电子政务外网核心设备纳管至市级网管平台，通过市级网管平台将资源统一上传至省统一运维网管平台。</w:t>
      </w:r>
    </w:p>
    <w:p w14:paraId="08635EB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具备与第三方平台进行数据外发、接口对接等能力，配合做好市一体化安全运营（监测）平台对系统运行和业务相关日志、数据的实时汇聚，提供对接开发服务。</w:t>
      </w:r>
    </w:p>
    <w:p w14:paraId="7BC5FBA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运维管理系统需要对接的数据包括接入节点数据、拓扑关系数据、资源类、性能类、告警类，共五大类。</w:t>
      </w:r>
    </w:p>
    <w:p w14:paraId="226AC50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滁州市网管平台需上报资源性能数据、端口性能数据和告警事件：</w:t>
      </w:r>
    </w:p>
    <w:p w14:paraId="772B095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（1）资源性能数据：可用状态、CPU、内存、ping等性能参数；</w:t>
      </w:r>
    </w:p>
    <w:p w14:paraId="6880150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（2）端口性能数据：端口状态、端口带宽、带宽利用率、数据包发送、数据包接收、丢包等信息；</w:t>
      </w:r>
    </w:p>
    <w:p w14:paraId="7CDDDA8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（3）告警事件：告警事件代码、告警资源信息、告警子资源信息、告警端口、告警类型、告警状态、告警级别、告警事件、告警详情等信息（需定义和筛选告警信息，重要级别以上不能过滤）。</w:t>
      </w:r>
    </w:p>
    <w:p w14:paraId="1A2BA65A">
      <w:pPr>
        <w:spacing w:line="360" w:lineRule="auto"/>
        <w:ind w:firstLine="437"/>
        <w:rPr>
          <w:rFonts w:hint="eastAsia" w:ascii="宋体" w:hAnsi="宋体" w:eastAsia="宋体" w:cs="宋体"/>
          <w:b/>
          <w:bCs w:val="0"/>
          <w:color w:val="auto"/>
          <w:sz w:val="24"/>
          <w:szCs w:val="18"/>
          <w:highlight w:val="none"/>
          <w:lang w:val="en-US" w:eastAsia="zh-CN"/>
        </w:rPr>
      </w:pPr>
      <w:r>
        <w:rPr>
          <w:rFonts w:hint="eastAsia" w:ascii="宋体" w:hAnsi="宋体" w:eastAsia="宋体" w:cs="宋体"/>
          <w:b/>
          <w:bCs w:val="0"/>
          <w:color w:val="auto"/>
          <w:sz w:val="24"/>
          <w:szCs w:val="18"/>
          <w:highlight w:val="none"/>
          <w:lang w:val="en-US" w:eastAsia="zh-CN"/>
        </w:rPr>
        <w:t>显示系统</w:t>
      </w:r>
    </w:p>
    <w:p w14:paraId="162FC8A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Hans"/>
        </w:rPr>
        <w:t>本次</w:t>
      </w:r>
      <w:r>
        <w:rPr>
          <w:rFonts w:hint="eastAsia" w:ascii="宋体" w:hAnsi="宋体" w:eastAsia="宋体" w:cs="宋体"/>
          <w:bCs/>
          <w:color w:val="auto"/>
          <w:sz w:val="24"/>
          <w:szCs w:val="18"/>
          <w:highlight w:val="none"/>
          <w:lang w:val="en-US" w:eastAsia="zh-CN"/>
        </w:rPr>
        <w:t>显示系统按照《视频显示系统工程技术规范》GB50462-2008为标准进行设计，</w:t>
      </w:r>
      <w:r>
        <w:rPr>
          <w:rFonts w:hint="eastAsia" w:ascii="宋体" w:hAnsi="宋体" w:eastAsia="宋体" w:cs="宋体"/>
          <w:bCs/>
          <w:color w:val="auto"/>
          <w:sz w:val="24"/>
          <w:szCs w:val="18"/>
          <w:highlight w:val="none"/>
          <w:lang w:val="en-US" w:eastAsia="zh-Hans"/>
        </w:rPr>
        <w:t>为滁州市</w:t>
      </w:r>
      <w:r>
        <w:rPr>
          <w:rFonts w:hint="eastAsia" w:ascii="宋体" w:hAnsi="宋体" w:eastAsia="宋体" w:cs="宋体"/>
          <w:bCs/>
          <w:color w:val="auto"/>
          <w:sz w:val="24"/>
          <w:szCs w:val="18"/>
          <w:highlight w:val="none"/>
          <w:lang w:val="en-US" w:eastAsia="zh-CN"/>
        </w:rPr>
        <w:t>智慧城市运行管理中心</w:t>
      </w:r>
      <w:r>
        <w:rPr>
          <w:rFonts w:hint="eastAsia" w:ascii="宋体" w:hAnsi="宋体" w:eastAsia="宋体" w:cs="宋体"/>
          <w:bCs/>
          <w:color w:val="auto"/>
          <w:sz w:val="24"/>
          <w:szCs w:val="18"/>
          <w:highlight w:val="none"/>
          <w:lang w:val="en-US" w:eastAsia="zh-Hans"/>
        </w:rPr>
        <w:t>提供</w:t>
      </w:r>
      <w:r>
        <w:rPr>
          <w:rFonts w:hint="eastAsia" w:ascii="宋体" w:hAnsi="宋体" w:eastAsia="宋体" w:cs="宋体"/>
          <w:bCs/>
          <w:color w:val="auto"/>
          <w:sz w:val="24"/>
          <w:szCs w:val="18"/>
          <w:highlight w:val="none"/>
          <w:lang w:val="en-US" w:eastAsia="zh-CN"/>
        </w:rPr>
        <w:t>多画面高清</w:t>
      </w:r>
      <w:r>
        <w:rPr>
          <w:rFonts w:hint="eastAsia" w:ascii="宋体" w:hAnsi="宋体" w:eastAsia="宋体" w:cs="宋体"/>
          <w:bCs/>
          <w:color w:val="auto"/>
          <w:sz w:val="24"/>
          <w:szCs w:val="18"/>
          <w:highlight w:val="none"/>
          <w:lang w:val="en-US" w:eastAsia="zh-Hans"/>
        </w:rPr>
        <w:t>显示功能。</w:t>
      </w:r>
      <w:r>
        <w:rPr>
          <w:rFonts w:hint="eastAsia" w:ascii="宋体" w:hAnsi="宋体" w:eastAsia="宋体" w:cs="宋体"/>
          <w:bCs/>
          <w:color w:val="auto"/>
          <w:sz w:val="24"/>
          <w:szCs w:val="18"/>
          <w:highlight w:val="none"/>
          <w:lang w:val="en-US" w:eastAsia="zh-CN"/>
        </w:rPr>
        <w:t>可以实现随时对各种采集到的监控信号、网络信号及各种计算机图形信息进行多画面显示和分析，能够直观、完整、准确、清晰、灵活的显示任意有关来自各方面信息，便于及时做出判断和处理，实现实时监控和集中指挥、统一管控的目的。</w:t>
      </w:r>
    </w:p>
    <w:p w14:paraId="375E7379">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显示屏尺寸设计</w:t>
      </w:r>
    </w:p>
    <w:p w14:paraId="790A21F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Hans"/>
        </w:rPr>
        <w:t>本次LED显示系统采用点间距≤1.25mm的高清小间距全倒装COB面板；大屏设计有效显示面积为153.09平方米；整屏可进行多画面分割；显示屏由尺寸为600mm×337.5mm的箱体组成</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屏体间物理拼缝≤0.05mm。</w:t>
      </w:r>
    </w:p>
    <w:p w14:paraId="397C20AD">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配电设计</w:t>
      </w:r>
    </w:p>
    <w:p w14:paraId="75B04C89">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本次考虑显示屏整体配电安全标准，在设计时留有30%的安全余量。采用三相五线制供电方式由UPS机房输送至配电柜，配电柜输入电压为交流380V±10%，工作频率50Hz。显示屏设备属于变压器型启动设备，数量多、启动电流大，均为220V/50Hz输入，为方便现场安全布线、减少显示单元之间的相互影响，本次将配电系统设计成若干个电源控制回路，采取延时启动和延时断电的方式，减小显示屏开、关电时对电网的冲击。</w:t>
      </w:r>
    </w:p>
    <w:p w14:paraId="1CE9562A">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安全设计：应具备过流、短路、断路、过压、欠压、防雷、温度过高等保护措施及相应的故障指示装置。具备防潮、防尘、防高温、防腐蚀、防燃烧、防静电、抗震动、烟雾报警和温升报警功能。</w:t>
      </w:r>
    </w:p>
    <w:p w14:paraId="053979FE">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分布式供电：系统配电采用放射式和树干式的配电方式，由380V电压分成若干个220V市电后，通过电缆给显示屏供电。以箱体行、列数为单位，每个回路均衡带载，确保回路间负载平衡，互不影响。</w:t>
      </w:r>
    </w:p>
    <w:p w14:paraId="6AF21FE0">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分步上电设计：通过分步延时启动和分步延时断电控制若干供电回路，利用延时功能达到供电回路按序启动或者关闭，减小显示屏开、关电时对电网的冲击，延长显示屏的使用寿命。配电柜门配备各支路的手动开关和电源通断状态指示灯，紧急情况下，可通过手动开关来控制各电路的通断，支持PLC远程控制功能。</w:t>
      </w:r>
    </w:p>
    <w:p w14:paraId="3F06D5D7">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配电柜设计：配电柜材质采用钣金防静电喷涂，具备防酸碱腐蚀、防氧化、防水、防潮、防尘能力，适应各种不同环境需求。</w:t>
      </w:r>
    </w:p>
    <w:p w14:paraId="61117145">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安装位置：根据现场环境和屏体维护空间而定，配电柜安置于屏体附近。</w:t>
      </w:r>
    </w:p>
    <w:p w14:paraId="7DB884C1">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线路敷设方式：采用金属桥架敷设，如需另外敷设金属线槽或者金属线管，视现场具体情况确定。</w:t>
      </w:r>
    </w:p>
    <w:p w14:paraId="7FA53D1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系统构成和相关技术</w:t>
      </w:r>
    </w:p>
    <w:p w14:paraId="68C96CE0">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LED小间距显示系统主要</w:t>
      </w:r>
      <w:r>
        <w:rPr>
          <w:rFonts w:hint="eastAsia" w:ascii="宋体" w:hAnsi="宋体" w:eastAsia="宋体" w:cs="宋体"/>
          <w:bCs/>
          <w:color w:val="auto"/>
          <w:sz w:val="24"/>
          <w:szCs w:val="18"/>
          <w:highlight w:val="none"/>
          <w:lang w:val="en-US" w:eastAsia="zh-CN"/>
        </w:rPr>
        <w:t>包含但不限于</w:t>
      </w:r>
      <w:r>
        <w:rPr>
          <w:rFonts w:hint="eastAsia" w:ascii="宋体" w:hAnsi="宋体" w:eastAsia="宋体" w:cs="宋体"/>
          <w:bCs/>
          <w:color w:val="auto"/>
          <w:sz w:val="24"/>
          <w:szCs w:val="18"/>
          <w:highlight w:val="none"/>
          <w:lang w:val="en-US" w:eastAsia="zh-Hans"/>
        </w:rPr>
        <w:t>以下</w:t>
      </w:r>
      <w:r>
        <w:rPr>
          <w:rFonts w:hint="eastAsia" w:ascii="宋体" w:hAnsi="宋体" w:eastAsia="宋体" w:cs="宋体"/>
          <w:bCs/>
          <w:color w:val="auto"/>
          <w:sz w:val="24"/>
          <w:szCs w:val="18"/>
          <w:highlight w:val="none"/>
          <w:lang w:val="en-US" w:eastAsia="zh-CN"/>
        </w:rPr>
        <w:t>部分</w:t>
      </w:r>
      <w:r>
        <w:rPr>
          <w:rFonts w:hint="eastAsia" w:ascii="宋体" w:hAnsi="宋体" w:eastAsia="宋体" w:cs="宋体"/>
          <w:bCs/>
          <w:color w:val="auto"/>
          <w:sz w:val="24"/>
          <w:szCs w:val="18"/>
          <w:highlight w:val="none"/>
          <w:lang w:val="en-US" w:eastAsia="zh-Hans"/>
        </w:rPr>
        <w:t>：</w:t>
      </w:r>
    </w:p>
    <w:p w14:paraId="72F3552F">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COB</w:t>
      </w:r>
      <w:r>
        <w:rPr>
          <w:rFonts w:hint="eastAsia" w:ascii="宋体" w:hAnsi="宋体" w:eastAsia="宋体" w:cs="宋体"/>
          <w:bCs/>
          <w:color w:val="auto"/>
          <w:sz w:val="24"/>
          <w:szCs w:val="18"/>
          <w:highlight w:val="none"/>
          <w:lang w:val="en-US" w:eastAsia="zh-CN"/>
        </w:rPr>
        <w:t>全倒装</w:t>
      </w:r>
      <w:r>
        <w:rPr>
          <w:rFonts w:hint="eastAsia" w:ascii="宋体" w:hAnsi="宋体" w:eastAsia="宋体" w:cs="宋体"/>
          <w:bCs/>
          <w:color w:val="auto"/>
          <w:sz w:val="24"/>
          <w:szCs w:val="18"/>
          <w:highlight w:val="none"/>
          <w:lang w:val="en-US" w:eastAsia="zh-Hans"/>
        </w:rPr>
        <w:t>微间距高清显示面板；</w:t>
      </w:r>
    </w:p>
    <w:p w14:paraId="6AF51788">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控制系统：包括LED显示控制系统（含播控软件，发送盒等）、图像处理系统；</w:t>
      </w:r>
    </w:p>
    <w:p w14:paraId="5A130031">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电气系统：配电柜、电缆线；</w:t>
      </w:r>
    </w:p>
    <w:p w14:paraId="78F3EA08">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钢结构支架等辅材</w:t>
      </w:r>
      <w:bookmarkStart w:id="34" w:name="_Toc39053249"/>
      <w:bookmarkEnd w:id="34"/>
      <w:bookmarkStart w:id="35" w:name="_Toc511821331"/>
      <w:bookmarkEnd w:id="35"/>
      <w:bookmarkStart w:id="36" w:name="_Toc511812615"/>
      <w:bookmarkEnd w:id="36"/>
      <w:bookmarkStart w:id="37" w:name="_Toc511770801"/>
      <w:bookmarkEnd w:id="37"/>
      <w:bookmarkStart w:id="38" w:name="_Toc511821332"/>
      <w:bookmarkEnd w:id="38"/>
      <w:bookmarkStart w:id="39" w:name="_Toc511812561"/>
      <w:bookmarkEnd w:id="39"/>
      <w:bookmarkStart w:id="40" w:name="_Toc511770756"/>
      <w:bookmarkEnd w:id="40"/>
      <w:bookmarkStart w:id="41" w:name="_Toc516475271"/>
      <w:bookmarkEnd w:id="41"/>
      <w:bookmarkStart w:id="42" w:name="_Toc516476318"/>
      <w:bookmarkEnd w:id="42"/>
      <w:bookmarkStart w:id="43" w:name="_Toc511770754"/>
      <w:bookmarkEnd w:id="43"/>
      <w:bookmarkStart w:id="44" w:name="_Toc511810411"/>
      <w:bookmarkEnd w:id="44"/>
      <w:bookmarkStart w:id="45" w:name="_Toc516475274"/>
      <w:bookmarkEnd w:id="45"/>
      <w:bookmarkStart w:id="46" w:name="_Toc45232266"/>
      <w:bookmarkEnd w:id="46"/>
      <w:bookmarkStart w:id="47" w:name="_Toc511770757"/>
      <w:bookmarkEnd w:id="47"/>
      <w:bookmarkStart w:id="48" w:name="_Toc511812617"/>
      <w:bookmarkEnd w:id="48"/>
      <w:bookmarkStart w:id="49" w:name="_Toc511770800"/>
      <w:bookmarkEnd w:id="49"/>
      <w:bookmarkStart w:id="50" w:name="_Toc516476316"/>
      <w:bookmarkEnd w:id="50"/>
      <w:bookmarkStart w:id="51" w:name="_Toc516476319"/>
      <w:bookmarkEnd w:id="51"/>
      <w:bookmarkStart w:id="52" w:name="_Toc511812618"/>
      <w:bookmarkEnd w:id="52"/>
      <w:bookmarkStart w:id="53" w:name="_Toc511823111"/>
      <w:bookmarkEnd w:id="53"/>
      <w:bookmarkStart w:id="54" w:name="_Toc39052652"/>
      <w:bookmarkEnd w:id="54"/>
      <w:bookmarkStart w:id="55" w:name="_Toc515302596"/>
      <w:bookmarkEnd w:id="55"/>
      <w:bookmarkStart w:id="56" w:name="_Toc511810409"/>
      <w:bookmarkEnd w:id="56"/>
      <w:bookmarkStart w:id="57" w:name="_Toc511812560"/>
      <w:bookmarkEnd w:id="57"/>
      <w:bookmarkStart w:id="58" w:name="_Toc511770798"/>
      <w:bookmarkEnd w:id="58"/>
      <w:bookmarkStart w:id="59" w:name="_Toc511810412"/>
      <w:bookmarkEnd w:id="59"/>
      <w:bookmarkStart w:id="60" w:name="_Toc511812558"/>
      <w:bookmarkEnd w:id="60"/>
      <w:bookmarkStart w:id="61" w:name="_Toc511823110"/>
      <w:bookmarkEnd w:id="61"/>
      <w:bookmarkStart w:id="62" w:name="_Toc39053251"/>
      <w:bookmarkEnd w:id="62"/>
      <w:bookmarkStart w:id="63" w:name="_Toc511821275"/>
      <w:bookmarkEnd w:id="63"/>
      <w:bookmarkStart w:id="64" w:name="_Toc511823108"/>
      <w:bookmarkEnd w:id="64"/>
      <w:bookmarkStart w:id="65" w:name="_Toc511821274"/>
      <w:bookmarkEnd w:id="65"/>
      <w:bookmarkStart w:id="66" w:name="_Toc515302598"/>
      <w:bookmarkEnd w:id="66"/>
      <w:bookmarkStart w:id="67" w:name="_Toc39052649"/>
      <w:bookmarkEnd w:id="67"/>
      <w:bookmarkStart w:id="68" w:name="_Toc515302599"/>
      <w:bookmarkEnd w:id="68"/>
      <w:bookmarkStart w:id="69" w:name="_Toc511821272"/>
      <w:bookmarkEnd w:id="69"/>
      <w:bookmarkStart w:id="70" w:name="_Toc45232264"/>
      <w:bookmarkEnd w:id="70"/>
      <w:bookmarkStart w:id="71" w:name="_Toc516475273"/>
      <w:bookmarkEnd w:id="71"/>
      <w:bookmarkStart w:id="72" w:name="_Toc39052651"/>
      <w:bookmarkEnd w:id="72"/>
      <w:bookmarkStart w:id="73" w:name="_Toc39053252"/>
      <w:bookmarkEnd w:id="73"/>
      <w:bookmarkStart w:id="74" w:name="_Toc45232267"/>
      <w:bookmarkEnd w:id="74"/>
      <w:bookmarkStart w:id="75" w:name="_Toc511821329"/>
      <w:bookmarkEnd w:id="75"/>
      <w:r>
        <w:rPr>
          <w:rFonts w:hint="eastAsia" w:ascii="宋体" w:hAnsi="宋体" w:eastAsia="宋体" w:cs="宋体"/>
          <w:bCs/>
          <w:color w:val="auto"/>
          <w:sz w:val="24"/>
          <w:szCs w:val="18"/>
          <w:highlight w:val="none"/>
          <w:lang w:val="en-US" w:eastAsia="zh-Hans"/>
        </w:rPr>
        <w:t>。</w:t>
      </w:r>
    </w:p>
    <w:p w14:paraId="3D74DA0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技术要求</w:t>
      </w:r>
    </w:p>
    <w:p w14:paraId="06F70BB5">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由于显示屏箱体及模组结构上的精度差异以及安装过程中的外在因素，都不可避免</w:t>
      </w:r>
      <w:r>
        <w:rPr>
          <w:rFonts w:hint="eastAsia" w:ascii="宋体" w:hAnsi="宋体" w:eastAsia="宋体" w:cs="宋体"/>
          <w:bCs/>
          <w:color w:val="auto"/>
          <w:sz w:val="24"/>
          <w:szCs w:val="18"/>
          <w:highlight w:val="none"/>
          <w:lang w:val="en-US" w:eastAsia="zh-CN"/>
        </w:rPr>
        <w:t>地</w:t>
      </w:r>
      <w:r>
        <w:rPr>
          <w:rFonts w:hint="eastAsia" w:ascii="宋体" w:hAnsi="宋体" w:eastAsia="宋体" w:cs="宋体"/>
          <w:bCs/>
          <w:color w:val="auto"/>
          <w:sz w:val="24"/>
          <w:szCs w:val="18"/>
          <w:highlight w:val="none"/>
          <w:lang w:val="en-US" w:eastAsia="zh-Hans"/>
        </w:rPr>
        <w:t>会导致模组和箱体之间产生一些细小的缝隙，为了消除这些缝隙对整屏显示效果的影响，全倒装COB显示屏除了传统的以箱体为单位调节的方式外，还在模组和三合一集成板卡间采用浮动式接插件设计，使得显示单元支持XYZ三轴六向平整度调节，对可能出现的拼缝进行二次精准调整，以模组为单位进行更加精准</w:t>
      </w:r>
      <w:r>
        <w:rPr>
          <w:rFonts w:hint="eastAsia" w:ascii="宋体" w:hAnsi="宋体" w:eastAsia="宋体" w:cs="宋体"/>
          <w:bCs/>
          <w:color w:val="auto"/>
          <w:sz w:val="24"/>
          <w:szCs w:val="18"/>
          <w:highlight w:val="none"/>
          <w:lang w:val="en-US" w:eastAsia="zh-CN"/>
        </w:rPr>
        <w:t>的</w:t>
      </w:r>
      <w:r>
        <w:rPr>
          <w:rFonts w:hint="eastAsia" w:ascii="宋体" w:hAnsi="宋体" w:eastAsia="宋体" w:cs="宋体"/>
          <w:bCs/>
          <w:color w:val="auto"/>
          <w:sz w:val="24"/>
          <w:szCs w:val="18"/>
          <w:highlight w:val="none"/>
          <w:lang w:val="en-US" w:eastAsia="zh-Hans"/>
        </w:rPr>
        <w:t>拼缝、平整度调节，最大限度</w:t>
      </w:r>
      <w:r>
        <w:rPr>
          <w:rFonts w:hint="eastAsia" w:ascii="宋体" w:hAnsi="宋体" w:eastAsia="宋体" w:cs="宋体"/>
          <w:bCs/>
          <w:color w:val="auto"/>
          <w:sz w:val="24"/>
          <w:szCs w:val="18"/>
          <w:highlight w:val="none"/>
          <w:lang w:val="en-US" w:eastAsia="zh-CN"/>
        </w:rPr>
        <w:t>地</w:t>
      </w:r>
      <w:r>
        <w:rPr>
          <w:rFonts w:hint="eastAsia" w:ascii="宋体" w:hAnsi="宋体" w:eastAsia="宋体" w:cs="宋体"/>
          <w:bCs/>
          <w:color w:val="auto"/>
          <w:sz w:val="24"/>
          <w:szCs w:val="18"/>
          <w:highlight w:val="none"/>
          <w:lang w:val="en-US" w:eastAsia="zh-Hans"/>
        </w:rPr>
        <w:t>保证整屏拼接后无明显拼缝，整体画面一致性更高，同时降低安装的难度与成本。</w:t>
      </w:r>
    </w:p>
    <w:p w14:paraId="148B1DE7">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全倒装COB显示屏除了物理拼接可实现拼缝精准调整外，采用专用修缝软件一键修缝，调节拼缝的亮度。</w:t>
      </w:r>
    </w:p>
    <w:p w14:paraId="6786D75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箱体间隐藏式连接技术</w:t>
      </w:r>
    </w:p>
    <w:p w14:paraId="179FE7D4">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显示单元箱体间连接采用隐线式连接方式，无需箱体外连接箱体之间的电源和信号线，箱体之间没有外露线材连接，节省安装时间。</w:t>
      </w:r>
    </w:p>
    <w:p w14:paraId="66DE5683">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当系统大规模箱体拼接时，隐线连接带载超负荷时，可通过外配线缆连接箱体上的电源和信号接口实现箱体间连接，有效解决信号衰减隐患。</w:t>
      </w:r>
    </w:p>
    <w:p w14:paraId="0B3234F2">
      <w:pPr>
        <w:spacing w:line="360" w:lineRule="auto"/>
        <w:ind w:firstLine="437"/>
        <w:rPr>
          <w:rFonts w:hint="eastAsia" w:ascii="宋体" w:hAnsi="宋体" w:eastAsia="宋体" w:cs="宋体"/>
          <w:b/>
          <w:bCs w:val="0"/>
          <w:color w:val="auto"/>
          <w:sz w:val="24"/>
          <w:szCs w:val="18"/>
          <w:highlight w:val="none"/>
          <w:lang w:val="en-US" w:eastAsia="zh-CN"/>
        </w:rPr>
      </w:pPr>
      <w:r>
        <w:rPr>
          <w:rFonts w:hint="eastAsia" w:ascii="宋体" w:hAnsi="宋体" w:eastAsia="宋体" w:cs="宋体"/>
          <w:b/>
          <w:bCs w:val="0"/>
          <w:color w:val="auto"/>
          <w:sz w:val="24"/>
          <w:szCs w:val="18"/>
          <w:highlight w:val="none"/>
          <w:lang w:val="en-US" w:eastAsia="zh-CN"/>
        </w:rPr>
        <w:t>分布式坐席管理系统</w:t>
      </w:r>
    </w:p>
    <w:p w14:paraId="6ABD9E9F">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本次</w:t>
      </w:r>
      <w:r>
        <w:rPr>
          <w:rFonts w:hint="eastAsia" w:ascii="宋体" w:hAnsi="宋体" w:eastAsia="宋体" w:cs="宋体"/>
          <w:bCs/>
          <w:color w:val="auto"/>
          <w:sz w:val="24"/>
          <w:szCs w:val="18"/>
          <w:highlight w:val="none"/>
          <w:lang w:val="en-US" w:eastAsia="zh-CN"/>
        </w:rPr>
        <w:t>分布式坐席管理系统按照《分布式控制系统工程技术规范》GB50784-2013标准进行设计，</w:t>
      </w:r>
      <w:r>
        <w:rPr>
          <w:rFonts w:hint="eastAsia" w:ascii="宋体" w:hAnsi="宋体" w:eastAsia="宋体" w:cs="宋体"/>
          <w:bCs/>
          <w:color w:val="auto"/>
          <w:sz w:val="24"/>
          <w:szCs w:val="18"/>
          <w:highlight w:val="none"/>
          <w:lang w:val="en-US" w:eastAsia="zh-Hans"/>
        </w:rPr>
        <w:t>分布式坐席管理系统由分布式输入节点和分布式输出节点组成，所有节点都通过交换机互连，采用纯分布式系统构架，可自由调整系统中输入输出节点数量</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当单个节点发生故障时对整个系统链路无影响，可</w:t>
      </w:r>
      <w:r>
        <w:rPr>
          <w:rFonts w:hint="eastAsia" w:ascii="宋体" w:hAnsi="宋体" w:eastAsia="宋体" w:cs="宋体"/>
          <w:bCs/>
          <w:color w:val="auto"/>
          <w:sz w:val="24"/>
          <w:szCs w:val="18"/>
          <w:highlight w:val="none"/>
          <w:lang w:val="en-US" w:eastAsia="zh-CN"/>
        </w:rPr>
        <w:t>对</w:t>
      </w:r>
      <w:r>
        <w:rPr>
          <w:rFonts w:hint="eastAsia" w:ascii="宋体" w:hAnsi="宋体" w:eastAsia="宋体" w:cs="宋体"/>
          <w:bCs/>
          <w:color w:val="auto"/>
          <w:sz w:val="24"/>
          <w:szCs w:val="18"/>
          <w:highlight w:val="none"/>
          <w:lang w:val="en-US" w:eastAsia="zh-Hans"/>
        </w:rPr>
        <w:t>故障设备进行快速替换和维护</w:t>
      </w:r>
      <w:r>
        <w:rPr>
          <w:rFonts w:hint="eastAsia" w:ascii="宋体" w:hAnsi="宋体" w:eastAsia="宋体" w:cs="宋体"/>
          <w:bCs/>
          <w:color w:val="auto"/>
          <w:sz w:val="24"/>
          <w:szCs w:val="18"/>
          <w:highlight w:val="none"/>
          <w:lang w:val="en-US" w:eastAsia="zh-CN"/>
        </w:rPr>
        <w:t>，且可</w:t>
      </w:r>
      <w:r>
        <w:rPr>
          <w:rFonts w:hint="eastAsia" w:ascii="宋体" w:hAnsi="宋体" w:eastAsia="宋体" w:cs="宋体"/>
          <w:bCs/>
          <w:color w:val="auto"/>
          <w:sz w:val="24"/>
          <w:szCs w:val="18"/>
          <w:highlight w:val="none"/>
          <w:lang w:val="en-US" w:eastAsia="zh-Hans"/>
        </w:rPr>
        <w:t>对同一网络中的不同设备进行便捷管理。</w:t>
      </w:r>
    </w:p>
    <w:p w14:paraId="29DFA0E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系统架构设计</w:t>
      </w:r>
    </w:p>
    <w:p w14:paraId="10350728">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本次设计主要包括</w:t>
      </w:r>
      <w:r>
        <w:rPr>
          <w:rFonts w:hint="eastAsia" w:ascii="宋体" w:hAnsi="宋体" w:eastAsia="宋体" w:cs="宋体"/>
          <w:bCs/>
          <w:color w:val="auto"/>
          <w:sz w:val="24"/>
          <w:szCs w:val="18"/>
          <w:highlight w:val="none"/>
          <w:lang w:val="en-US" w:eastAsia="zh-CN"/>
        </w:rPr>
        <w:t>智慧城市运行管理中心</w:t>
      </w:r>
      <w:r>
        <w:rPr>
          <w:rFonts w:hint="eastAsia" w:ascii="宋体" w:hAnsi="宋体" w:eastAsia="宋体" w:cs="宋体"/>
          <w:bCs/>
          <w:color w:val="auto"/>
          <w:sz w:val="24"/>
          <w:szCs w:val="18"/>
          <w:highlight w:val="none"/>
          <w:lang w:val="en-US" w:eastAsia="zh-Hans"/>
        </w:rPr>
        <w:t>、指挥调度室</w:t>
      </w:r>
      <w:r>
        <w:rPr>
          <w:rFonts w:hint="eastAsia" w:ascii="宋体" w:hAnsi="宋体" w:eastAsia="宋体" w:cs="宋体"/>
          <w:bCs/>
          <w:color w:val="auto"/>
          <w:sz w:val="24"/>
          <w:szCs w:val="18"/>
          <w:highlight w:val="none"/>
          <w:lang w:val="en-US" w:eastAsia="zh-CN"/>
        </w:rPr>
        <w:t>和展示中心3个</w:t>
      </w:r>
      <w:r>
        <w:rPr>
          <w:rFonts w:hint="eastAsia" w:ascii="宋体" w:hAnsi="宋体" w:eastAsia="宋体" w:cs="宋体"/>
          <w:bCs/>
          <w:color w:val="auto"/>
          <w:sz w:val="24"/>
          <w:szCs w:val="18"/>
          <w:highlight w:val="none"/>
          <w:lang w:val="en-US" w:eastAsia="zh-Hans"/>
        </w:rPr>
        <w:t>场景，整体采用IP分布式网络链路。前端的信号源包括</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信号、</w:t>
      </w:r>
      <w:r>
        <w:rPr>
          <w:rFonts w:hint="eastAsia" w:ascii="宋体" w:hAnsi="宋体" w:eastAsia="宋体" w:cs="宋体"/>
          <w:bCs/>
          <w:color w:val="auto"/>
          <w:sz w:val="24"/>
          <w:szCs w:val="18"/>
          <w:highlight w:val="none"/>
          <w:lang w:val="en-US" w:eastAsia="zh-CN"/>
        </w:rPr>
        <w:t>渲染服务器</w:t>
      </w:r>
      <w:r>
        <w:rPr>
          <w:rFonts w:hint="eastAsia" w:ascii="宋体" w:hAnsi="宋体" w:eastAsia="宋体" w:cs="宋体"/>
          <w:bCs/>
          <w:color w:val="auto"/>
          <w:sz w:val="24"/>
          <w:szCs w:val="18"/>
          <w:highlight w:val="none"/>
          <w:lang w:val="en-US" w:eastAsia="zh-Hans"/>
        </w:rPr>
        <w:t>、视频会议终端、高清摄像机等，经过分布式输入节点接入网络，通过输出节点解码输出到相应的显示设备，同时输出节点支持鼠标和键盘的接入，可以对前端的接入计算机信号源进行操作</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将各业务系统信号通过分布式汇聚成音视频资源池。</w:t>
      </w:r>
    </w:p>
    <w:p w14:paraId="394E65A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座席输入终端</w:t>
      </w:r>
    </w:p>
    <w:p w14:paraId="2A9457E2">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输入终端用于接入业务系统电脑、</w:t>
      </w:r>
      <w:r>
        <w:rPr>
          <w:rFonts w:hint="eastAsia" w:ascii="宋体" w:hAnsi="宋体" w:eastAsia="宋体" w:cs="宋体"/>
          <w:bCs/>
          <w:color w:val="auto"/>
          <w:sz w:val="24"/>
          <w:szCs w:val="18"/>
          <w:highlight w:val="none"/>
          <w:lang w:val="en-US" w:eastAsia="zh-CN"/>
        </w:rPr>
        <w:t>桌面云、</w:t>
      </w:r>
      <w:r>
        <w:rPr>
          <w:rFonts w:hint="eastAsia" w:ascii="宋体" w:hAnsi="宋体" w:eastAsia="宋体" w:cs="宋体"/>
          <w:bCs/>
          <w:color w:val="auto"/>
          <w:sz w:val="24"/>
          <w:szCs w:val="18"/>
          <w:highlight w:val="none"/>
          <w:lang w:val="en-US" w:eastAsia="zh-Hans"/>
        </w:rPr>
        <w:t>摄像机、视频会议终端等设备的输出信号，将各种信号资源接入到</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管理系统中。</w:t>
      </w:r>
    </w:p>
    <w:p w14:paraId="4D4B6C4E">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业务主机的各类输出信号连接到</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接入终端，通过光纤连接到</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管理主机，各类信号接入后形成信号资源池，操作人员可以调用、查看、操控权限范围内的各类信号资源。</w:t>
      </w:r>
    </w:p>
    <w:p w14:paraId="4B7A5E6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座席输出终端</w:t>
      </w:r>
    </w:p>
    <w:p w14:paraId="7AB468A5">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输出终端将各类信号输出到操作席位或其他显示设备上，</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输出终端与</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管理主机间采用光纤连接。</w:t>
      </w:r>
    </w:p>
    <w:p w14:paraId="6273B23F">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每个操作席位配置一套鼠标键盘，在不同显示器间自由切换，实现一人多机、一席多屏功能。</w:t>
      </w:r>
    </w:p>
    <w:p w14:paraId="72865FC9">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系统功能设计</w:t>
      </w:r>
    </w:p>
    <w:p w14:paraId="28EA263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本次设计</w:t>
      </w:r>
      <w:r>
        <w:rPr>
          <w:rFonts w:hint="eastAsia" w:ascii="宋体" w:hAnsi="宋体" w:eastAsia="宋体" w:cs="宋体"/>
          <w:bCs/>
          <w:color w:val="auto"/>
          <w:sz w:val="24"/>
          <w:szCs w:val="18"/>
          <w:highlight w:val="none"/>
          <w:lang w:val="en-US" w:eastAsia="zh-Hans"/>
        </w:rPr>
        <w:t>信号切换、音视频互联互通</w:t>
      </w:r>
      <w:r>
        <w:rPr>
          <w:rFonts w:hint="eastAsia" w:ascii="宋体" w:hAnsi="宋体" w:eastAsia="宋体" w:cs="宋体"/>
          <w:bCs/>
          <w:color w:val="auto"/>
          <w:sz w:val="24"/>
          <w:szCs w:val="18"/>
          <w:highlight w:val="none"/>
          <w:lang w:val="en-US" w:eastAsia="zh-CN"/>
        </w:rPr>
        <w:t>等功能。区域间信息互联互通，可实现统一管理、统一调度、决策指挥等跨区域工作协作。</w:t>
      </w:r>
    </w:p>
    <w:p w14:paraId="24C1C30C">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采集各类图像资源、应用资源、数据资源并按照规定的协同流程和座席控制权限进行统一管理、操作、调度，缩短反应时间，提高整体反应能力，通过调度各个区域部门的数据，联动各个区域部门进行研讨分析和决策，实现多个不同区域或部门之间相互办公、协作交互、工作管理。</w:t>
      </w:r>
    </w:p>
    <w:p w14:paraId="3CFAE62D">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KVM</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管理</w:t>
      </w:r>
    </w:p>
    <w:p w14:paraId="17E19F7E">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坐席管理系统需支持实现便捷的信号切换，坐席人员可轻松调取接入分布式的任意图像信号，可视化的信号源状态可帮助坐席操作员轻松辨别信号，快速调用切换</w:t>
      </w:r>
      <w:r>
        <w:rPr>
          <w:rFonts w:hint="eastAsia" w:ascii="宋体" w:hAnsi="宋体" w:eastAsia="宋体" w:cs="宋体"/>
          <w:bCs/>
          <w:color w:val="auto"/>
          <w:sz w:val="24"/>
          <w:szCs w:val="18"/>
          <w:highlight w:val="none"/>
          <w:lang w:val="en-US" w:eastAsia="zh-CN"/>
        </w:rPr>
        <w:t>。</w:t>
      </w:r>
      <w:r>
        <w:rPr>
          <w:rFonts w:hint="eastAsia" w:ascii="宋体" w:hAnsi="宋体" w:eastAsia="宋体" w:cs="宋体"/>
          <w:bCs/>
          <w:color w:val="auto"/>
          <w:sz w:val="24"/>
          <w:szCs w:val="18"/>
          <w:highlight w:val="none"/>
          <w:lang w:val="en-US" w:eastAsia="zh-Hans"/>
        </w:rPr>
        <w:t>在一个席位上通过一套键盘鼠标管控多台电脑，操控鼠标在不同电脑间灵活流畅跨屏漫游，键盘控制、音频跟随鼠标漫游自动切换，支持</w:t>
      </w:r>
      <w:r>
        <w:rPr>
          <w:rFonts w:hint="eastAsia" w:ascii="宋体" w:hAnsi="宋体" w:eastAsia="宋体" w:cs="宋体"/>
          <w:bCs/>
          <w:color w:val="auto"/>
          <w:sz w:val="24"/>
          <w:szCs w:val="18"/>
          <w:highlight w:val="none"/>
          <w:lang w:val="en-US" w:eastAsia="zh-CN"/>
        </w:rPr>
        <w:t>多</w:t>
      </w:r>
      <w:r>
        <w:rPr>
          <w:rFonts w:hint="eastAsia" w:ascii="宋体" w:hAnsi="宋体" w:eastAsia="宋体" w:cs="宋体"/>
          <w:bCs/>
          <w:color w:val="auto"/>
          <w:sz w:val="24"/>
          <w:szCs w:val="18"/>
          <w:highlight w:val="none"/>
          <w:lang w:val="en-US" w:eastAsia="zh-Hans"/>
        </w:rPr>
        <w:t>系统随意组合。</w:t>
      </w:r>
      <w:bookmarkStart w:id="76" w:name="_Toc63262562"/>
      <w:bookmarkStart w:id="77" w:name="_Toc63261023"/>
    </w:p>
    <w:bookmarkEnd w:id="76"/>
    <w:bookmarkEnd w:id="77"/>
    <w:p w14:paraId="11092A52">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通过</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管理系统，实现</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职能的动态调整，席位按场景进行预设，一键进行席位重新部署，在日常值班到夜间值班的转换到应急指挥的转换，实现高效指挥。</w:t>
      </w:r>
    </w:p>
    <w:p w14:paraId="7C77B164">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管理系统具备用户权限的管理，只有具备管控权限的席位才具备调整</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分布的权限，</w:t>
      </w:r>
      <w:r>
        <w:rPr>
          <w:rFonts w:hint="eastAsia" w:ascii="宋体" w:hAnsi="宋体" w:eastAsia="宋体" w:cs="宋体"/>
          <w:bCs/>
          <w:color w:val="auto"/>
          <w:sz w:val="24"/>
          <w:szCs w:val="18"/>
          <w:highlight w:val="none"/>
          <w:lang w:val="en-US" w:eastAsia="zh-CN"/>
        </w:rPr>
        <w:t>无须</w:t>
      </w:r>
      <w:r>
        <w:rPr>
          <w:rFonts w:hint="eastAsia" w:ascii="宋体" w:hAnsi="宋体" w:eastAsia="宋体" w:cs="宋体"/>
          <w:bCs/>
          <w:color w:val="auto"/>
          <w:sz w:val="24"/>
          <w:szCs w:val="18"/>
          <w:highlight w:val="none"/>
          <w:lang w:val="en-US" w:eastAsia="zh-Hans"/>
        </w:rPr>
        <w:t>担心</w:t>
      </w: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的分布被随意</w:t>
      </w:r>
      <w:r>
        <w:rPr>
          <w:rFonts w:hint="eastAsia" w:ascii="宋体" w:hAnsi="宋体" w:eastAsia="宋体" w:cs="宋体"/>
          <w:bCs/>
          <w:color w:val="auto"/>
          <w:sz w:val="24"/>
          <w:szCs w:val="18"/>
          <w:highlight w:val="none"/>
          <w:lang w:val="en-US" w:eastAsia="zh-CN"/>
        </w:rPr>
        <w:t>地</w:t>
      </w:r>
      <w:r>
        <w:rPr>
          <w:rFonts w:hint="eastAsia" w:ascii="宋体" w:hAnsi="宋体" w:eastAsia="宋体" w:cs="宋体"/>
          <w:bCs/>
          <w:color w:val="auto"/>
          <w:sz w:val="24"/>
          <w:szCs w:val="18"/>
          <w:highlight w:val="none"/>
          <w:lang w:val="en-US" w:eastAsia="zh-Hans"/>
        </w:rPr>
        <w:t>修改。</w:t>
      </w:r>
    </w:p>
    <w:p w14:paraId="42AC7418">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CN"/>
        </w:rPr>
        <w:t>座席</w:t>
      </w:r>
      <w:r>
        <w:rPr>
          <w:rFonts w:hint="eastAsia" w:ascii="宋体" w:hAnsi="宋体" w:eastAsia="宋体" w:cs="宋体"/>
          <w:bCs/>
          <w:color w:val="auto"/>
          <w:sz w:val="24"/>
          <w:szCs w:val="18"/>
          <w:highlight w:val="none"/>
          <w:lang w:val="en-US" w:eastAsia="zh-Hans"/>
        </w:rPr>
        <w:t>与大屏之间通过推送功能实现紧急情况上屏展示，发现紧急情况时，利用推送功能在本席位通过设置好的热键一键推送上大屏。确保应急调度、指挥的快速、高效。</w:t>
      </w:r>
    </w:p>
    <w:p w14:paraId="5A4FEB63">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拥有更高权限的指挥员可以实时查看各席位值勤人员的指挥状态，紧急情况下可以利用席位抓取功能，一键获取其他席位操作权，取代下级人员进行越级指挥，减少中间环节，实现高效、准确的越级指挥。</w:t>
      </w:r>
    </w:p>
    <w:p w14:paraId="4B21993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大屏拼接</w:t>
      </w:r>
    </w:p>
    <w:p w14:paraId="78CA8F1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可实现系统显示画面的拼接功能，实现画面的拼接、漫游、分割、叠加等显示应用。拼接采用同步处理机制，保证显示动态画面无撕裂和无卡顿。屏幕显示模式应包括但不限于：</w:t>
      </w:r>
    </w:p>
    <w:p w14:paraId="0E0DDEE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整屏显示：系统具备在显示画面上全屏显示单路画面，实现点对点的超高分辨率显示。</w:t>
      </w:r>
    </w:p>
    <w:p w14:paraId="120825B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分割显示：具备将整个画面虚拟分割成多个块进行显示，在同一界面下同时可预览不低于16路画面。</w:t>
      </w:r>
    </w:p>
    <w:p w14:paraId="682E8C6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漫游显示：具备将任意信号拖送到屏幕的任意位置进行显示，图像大小不受屏幕物理屏体的限制，可任意放大/缩小。</w:t>
      </w:r>
    </w:p>
    <w:p w14:paraId="2FCDDF8B">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CN"/>
        </w:rPr>
        <w:t>多屏同步显示功能：系统具备多块显示画面同时同步显示的功能，可一键实现上下级或不同显示屏幕的视频内容进行全屏同步显示。</w:t>
      </w:r>
    </w:p>
    <w:p w14:paraId="18D83326">
      <w:pPr>
        <w:spacing w:line="360" w:lineRule="auto"/>
        <w:ind w:firstLine="437"/>
        <w:rPr>
          <w:rFonts w:hint="eastAsia" w:ascii="宋体" w:hAnsi="宋体" w:eastAsia="宋体" w:cs="宋体"/>
          <w:b/>
          <w:bCs w:val="0"/>
          <w:color w:val="auto"/>
          <w:sz w:val="24"/>
          <w:szCs w:val="18"/>
          <w:highlight w:val="none"/>
          <w:lang w:val="en-US" w:eastAsia="zh-CN"/>
        </w:rPr>
      </w:pPr>
      <w:r>
        <w:rPr>
          <w:rFonts w:hint="eastAsia" w:ascii="宋体" w:hAnsi="宋体" w:eastAsia="宋体" w:cs="宋体"/>
          <w:b/>
          <w:bCs w:val="0"/>
          <w:color w:val="auto"/>
          <w:sz w:val="24"/>
          <w:szCs w:val="18"/>
          <w:highlight w:val="none"/>
          <w:lang w:val="en-US" w:eastAsia="zh-CN"/>
        </w:rPr>
        <w:t>城市运行统一门户</w:t>
      </w:r>
    </w:p>
    <w:p w14:paraId="685F1B3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依据《智慧城市 城市运行指标体系 总体框架》GB/T 43048-2023要求，通过构建一套智慧城市运行指标，依托大数据、物联网、人工智能等现代信息技术，通过智慧化手段，对城市生命体征进行数字赋能，将城市运行体征的要素的特征、效果以指标的形式展现，实现全面感知态势，智能研判现状、统筹调度资源，人机交互处置，有助于引导城市快速搭建数字模型并支撑城市辅助决策。此外，通过视频共享交换平台，对城市公共区域进行视频监测，保障市民生命财产安全。城市运营感知中心通过整合多种感知手段，实现全方位的城市信息感知。</w:t>
      </w:r>
    </w:p>
    <w:p w14:paraId="20B2C9E2">
      <w:pPr>
        <w:spacing w:line="360" w:lineRule="auto"/>
        <w:ind w:firstLine="437"/>
        <w:rPr>
          <w:rFonts w:hint="eastAsia" w:ascii="宋体" w:hAnsi="宋体" w:eastAsia="宋体" w:cs="宋体"/>
          <w:b/>
          <w:bCs w:val="0"/>
          <w:color w:val="auto"/>
          <w:sz w:val="24"/>
          <w:szCs w:val="18"/>
          <w:highlight w:val="none"/>
          <w:lang w:val="en-US" w:eastAsia="zh-Hans"/>
        </w:rPr>
      </w:pPr>
      <w:r>
        <w:rPr>
          <w:rFonts w:hint="eastAsia" w:ascii="宋体" w:hAnsi="宋体" w:eastAsia="宋体" w:cs="宋体"/>
          <w:b/>
          <w:bCs w:val="0"/>
          <w:color w:val="auto"/>
          <w:sz w:val="24"/>
          <w:szCs w:val="18"/>
          <w:highlight w:val="none"/>
          <w:lang w:val="en-US" w:eastAsia="zh-Hans"/>
        </w:rPr>
        <w:t>融合通信系统</w:t>
      </w:r>
    </w:p>
    <w:p w14:paraId="073FC41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（1）基础能力</w:t>
      </w:r>
    </w:p>
    <w:p w14:paraId="39CC1CB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为满足日常及突发事件情况下的通信和指挥调度需求，加强滁州市在各类突发事件、重大活动中的指挥调度能力，通过多种技术手段，实现指挥调度信息的一键快速分发，强化前后方指挥调度通信保障和任务全过程管理。通过整合监控图像、无线对讲、移动终端、电话系统和会议系统等多种通信手段，建立数据传输、语音通话、视频接入的融合通信系统。</w:t>
      </w:r>
    </w:p>
    <w:p w14:paraId="20E60C2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本次融合通信系统按照《融合通信系统工程技术规范》GB51298-2018标准进行设计，滁州市智慧城市运行管理中心通过有线通信、无线通信、5G移动通信等手段，与一体化数据基础平台滁州市节点、“城市大脑”、网格化服务管理平台等项目建设内容相结合，实现指挥调度信息的一键快速分发，强化前后方指挥调度通信保障和任务全过程管理，实现城市生命线、基层社会治理、生态环境、120急救、城管、交通水利等部门的实时调度指挥及协同综合研判会商。本次建设需保留系统对外接口，可以将融合通信底层能力进行赋能，横向支持其他部门系统接入，纵向支持各级城运中心系统接入，补充指挥调度能力。</w:t>
      </w:r>
    </w:p>
    <w:p w14:paraId="43C44EC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融合通信平台整体技术架构可分为终端层、接入层、平台层、接口层、应用层。</w:t>
      </w:r>
    </w:p>
    <w:p w14:paraId="249AC81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终端层：包括固定电话，移动手机、公网集群应用、会议终端、视频监控、窄带集群无线对讲机、LTE终端等各种音视频终端。</w:t>
      </w:r>
    </w:p>
    <w:p w14:paraId="7F9DC65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接入层：采用不同网关对接终端层的各种系统。</w:t>
      </w:r>
    </w:p>
    <w:p w14:paraId="45CA87C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平台层：提供丰富的音视频融合能力，实现语音融合、视频融合、会商融合，提供基础资源融合通信能力，如集群语音调度能力，视频调度能力及融合视频会商能力。</w:t>
      </w:r>
    </w:p>
    <w:p w14:paraId="1F21A20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接口层：平台层提供基于基础平台层的音视频调度能力，对上层应用层开放统一服务，包括BS、CS架构应用系统接口。</w:t>
      </w:r>
    </w:p>
    <w:p w14:paraId="68EAA92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应用层：主要是基于融合通信平台开放接口，由应用厂商开发上层指挥调度系统。</w:t>
      </w:r>
    </w:p>
    <w:p w14:paraId="19931CD4">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需求分析</w:t>
      </w:r>
    </w:p>
    <w:p w14:paraId="31FBA39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随着滁州市应对重大活动、事故、灾害、基层治理的业务逐步开展和加强，对资源调度、协同指挥、应急处置、快速响应等方面需求不断提升，现有业务系统、视频会议系统只能实现单部门的音/视频调度，建设完善融合通信平台，具体需求如下：</w:t>
      </w:r>
    </w:p>
    <w:p w14:paraId="5F74B97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音频融合</w:t>
      </w:r>
    </w:p>
    <w:p w14:paraId="352D24D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融合通信平台需接入各类音频资源，包括外部固定/移动电话、车载、手台等语音通信设备，实现将各类音频接入到视频会商会议中，方便领导、专家以及应急人员随时加入会商会议。</w:t>
      </w:r>
    </w:p>
    <w:p w14:paraId="3A6B522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视频监控融合</w:t>
      </w:r>
    </w:p>
    <w:p w14:paraId="13ADE4F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融合通信平台接入各类视频监控资源，包括监控视频、车载监控、单兵布控球、无人机等各种现场视频采集和通信设备，实现多种视频图像统一调度、视频预览、推送、转发等。</w:t>
      </w:r>
    </w:p>
    <w:p w14:paraId="5D494CF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视频会商融合</w:t>
      </w:r>
    </w:p>
    <w:p w14:paraId="2519771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在各种突发事件的情况下，协同不同单位的视频会议终端，接入各个相关部门和各领域专家，进行视频会商。</w:t>
      </w:r>
    </w:p>
    <w:p w14:paraId="2D0A740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多终端融合</w:t>
      </w:r>
    </w:p>
    <w:p w14:paraId="7A093D5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融合通信平台可以接入各类终端，包括语音电话、视频监控、视频会议、执法记录仪、手机等终端，实现多终端互联互通。</w:t>
      </w:r>
    </w:p>
    <w:p w14:paraId="16D55EA3">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系统组网设计</w:t>
      </w:r>
    </w:p>
    <w:p w14:paraId="0756AE0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系统需融合电话系统、视频监控平台、无线对讲通讯系统、视频会议系统等通信方式，同时提供公网集群应用能力、音视频调度能力、会商调度能力和应用能力。在互联网部署公网集群接入模块，通过在公网终端安装APP的方式，接入公网终端；在滁州市电子政务外网部署融合通信系统，包括多媒体调度中心、录音录像、用户管理、会议能力模块、监控融合网关软件、语音中继网关、窄带网关专业硬件，为已建设的应用平台（城市大脑、网格化、城市生命线等）提供丰富的音视频调度能力，整体部署方案如下：</w:t>
      </w:r>
    </w:p>
    <w:p w14:paraId="638A6E62">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监控视频融合</w:t>
      </w:r>
    </w:p>
    <w:p w14:paraId="0A6BC22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监控融合是指融合通信系统通过基于GB/T28181协议的视频融合网关对接视频共享平台，实现对视频管理平台中固定/移动监控设备的视频调度，并且可以拉取监控设备或移动终端上的视频回传业务（执法记录仪也由记录仪平台通过GB/T28181协议与视频融合网关对接）。</w:t>
      </w:r>
    </w:p>
    <w:p w14:paraId="4E0502C8">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会商调度能力融合</w:t>
      </w:r>
    </w:p>
    <w:p w14:paraId="39E8F5C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系统与视频会议系统对接，实现电话、无线对讲集群群组、监控、公网集群终端的统一会商调度。会商调度能力融合充分考虑到业务使用需求，有效提高突发事件的处理能力，提升解决问题的时间有效性和高效性。</w:t>
      </w:r>
    </w:p>
    <w:p w14:paraId="17B00577">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公网集群应用融合</w:t>
      </w:r>
    </w:p>
    <w:p w14:paraId="0966FD8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运营商公网网络覆盖范围广，信号较好，日常办公和日常指挥调度的移动通信系统可以采用基于运营商网络的公网集群系统实现。公网终端集群系统是基于公网无线技术的宽带集群通信系统。</w:t>
      </w:r>
    </w:p>
    <w:p w14:paraId="1BBF465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融合通信系统的多媒体调度中心提供公网终端集群应用，在手机端安装APP，通过运营商公网进入部署在互联网的终端接入模块，再通过安全边界进入部署在政务外网的融合通信平台。</w:t>
      </w:r>
    </w:p>
    <w:p w14:paraId="391B649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公网终端进入融合通信系统后，可以与融合通信系统内的集群终端的互联互通，实现语音点呼、集群组呼功能，同时具备视频回传、视频分发等功能。</w:t>
      </w:r>
    </w:p>
    <w:p w14:paraId="53C9F4FF">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固话/手机融合</w:t>
      </w:r>
    </w:p>
    <w:p w14:paraId="5E8448D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融合通信系统通过固定电话网关对接固定/移动电话网络，实现平台与固话和运营商移动电话的点对点语音通话。融合通信系统与固定电话网关之间使用SIP协议进行信令交互。</w:t>
      </w:r>
    </w:p>
    <w:p w14:paraId="089AFEF8">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GIS位置融合</w:t>
      </w:r>
    </w:p>
    <w:p w14:paraId="0930B59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平台统一采集、存储各系统终端的定位数据，通过GB/T28181协议与视频共享平台对接，获取视频监控设备的位置信息；手机、执法记录仪通过接入APP上报位置信息，与数字孪生平台进行对接，在地图上实时显示终端的当前位置和状态，进行位置跟踪，对指定终端进行历史移动轨迹回放。</w:t>
      </w:r>
    </w:p>
    <w:p w14:paraId="189A638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融合通信系统能够接收到终端上报的GIS位置信息后可进行存储，并将终端的GIS位置信息分发给上层应用平台展示终端的位置信息，可实现基于位置触发相关的调度业务。</w:t>
      </w:r>
    </w:p>
    <w:p w14:paraId="36BABA67">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系统功能设计</w:t>
      </w:r>
    </w:p>
    <w:p w14:paraId="1178D09D">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语音融合调度</w:t>
      </w:r>
    </w:p>
    <w:p w14:paraId="2332464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对各种音频系统（固定/移动电话、对讲系统、公网POC等）的统一接入，实现所有音频系统的集中管理与调度，各种音频系统之间的无缝互通，以及与其他视频系统、业务系统的交互，实现指挥人员可以通过多种语音通信手段进行统一指挥调度，满足多部门协同工作的需要。</w:t>
      </w:r>
    </w:p>
    <w:p w14:paraId="1D3351F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通过语音集群融合能力，实现对各类终端进行语音调度，实现跨制式点呼功能，包括但不限于：</w:t>
      </w:r>
    </w:p>
    <w:p w14:paraId="2988F07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点呼：调度台与用户的点对点呼叫，用户终端包括集群手持终端、手机、记录仪、固定电话。</w:t>
      </w:r>
    </w:p>
    <w:p w14:paraId="7563C91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组呼：调度台与PDT无线集群终端建立群组，进行半双工通信。</w:t>
      </w:r>
    </w:p>
    <w:p w14:paraId="70CF9EB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多方会议：调度台可创建语音会场，提供添加、删除与会成员、退出会议、结束会议等功能。</w:t>
      </w:r>
    </w:p>
    <w:p w14:paraId="7645EE4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动态编组：调度台可将多个集群终端进行动态编组，发起动态群组呼叫，呼叫过程中可动态加入或删除无线集群组。</w:t>
      </w:r>
    </w:p>
    <w:p w14:paraId="426E372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多群组监听：调度台可以同时监听多个集群组，被监听的集群声音从扬声器输出。</w:t>
      </w:r>
    </w:p>
    <w:p w14:paraId="5B51F4A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多线路呼叫：当调度台正在处理当前呼叫时，新的呼叫能够给出提示，调度台可以选择继续当前通话，或保持当前通话去接听新的通话。</w:t>
      </w:r>
    </w:p>
    <w:p w14:paraId="46FADCE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呼叫历史记录：所有的呼叫需要有历史记录，包括：语音、短消息、视频。历史记录内容需要包括：主被叫号码、通话时长、座席编号等信息。</w:t>
      </w:r>
    </w:p>
    <w:p w14:paraId="1FDD182B">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视频融合调度</w:t>
      </w:r>
    </w:p>
    <w:p w14:paraId="42A36AF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融合通信接入各种视频资源，包括固定式和移动式视频终端的视频资源。</w:t>
      </w:r>
    </w:p>
    <w:p w14:paraId="47D66B1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通过视频融合能力，可实现对固定/移动视频终端进行视频调度，功能包括但不限于：</w:t>
      </w:r>
    </w:p>
    <w:p w14:paraId="4ABA25D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视频点呼：调度台和移动终端之间发起点对点视频呼叫，进行视频通话。</w:t>
      </w:r>
    </w:p>
    <w:p w14:paraId="654E000C">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视频实时预览：调度台可实时预览现场视频，被预览的视频终端包括：监控摄像头、执法记录仪、移动视频APP、视频会议终端，浏览中可以对监控摄像机云台进行控制操作。</w:t>
      </w:r>
    </w:p>
    <w:p w14:paraId="63E4C0B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历史视频回放：调度台可将融合通信平台中的历史视频以预览的方式进行浏览。</w:t>
      </w:r>
    </w:p>
    <w:p w14:paraId="67C2C30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视频回传：移动终端（安装接入软件的公网手机）将实时视频回传到调度台，调度台也可以对移动终端发起回传。视频回传过程中前后摄像头可动态切换。</w:t>
      </w:r>
    </w:p>
    <w:p w14:paraId="26DCC9A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视频分发：调度台可将当前回传的实时视频，以转发的方式，发送给相关的人员。</w:t>
      </w:r>
    </w:p>
    <w:p w14:paraId="4531A95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源权限管控：具备视频源权限管控功能，可以根据实际需要限制用户控制的摄像头权限。开户系统为终端用户或调度台用户配置可访问的固定摄像头列表。终端用户或调度台用户查看摄像头列表时，仅允许查看权限范围内摄像头列表。</w:t>
      </w:r>
    </w:p>
    <w:p w14:paraId="11820B7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多方视频调度：调度台可将现场监控摄像头、移动终端、无线集群群组拉到同一个会场，进行高效会商。</w:t>
      </w:r>
    </w:p>
    <w:p w14:paraId="1EC93303">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会商融合模块</w:t>
      </w:r>
    </w:p>
    <w:p w14:paraId="59699BBB">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融合通信系统与视频会议系统互联，提供所融合的通信方式的会议能力，可以将电话、监控、无线对讲群组、公网集群终端等</w:t>
      </w:r>
      <w:r>
        <w:rPr>
          <w:rFonts w:hint="eastAsia" w:ascii="宋体" w:hAnsi="宋体" w:eastAsia="宋体" w:cs="宋体"/>
          <w:bCs/>
          <w:color w:val="auto"/>
          <w:sz w:val="24"/>
          <w:szCs w:val="18"/>
          <w:highlight w:val="none"/>
          <w:lang w:val="en-US" w:eastAsia="zh-CN"/>
        </w:rPr>
        <w:t>接入</w:t>
      </w:r>
      <w:r>
        <w:rPr>
          <w:rFonts w:hint="eastAsia" w:ascii="宋体" w:hAnsi="宋体" w:eastAsia="宋体" w:cs="宋体"/>
          <w:bCs/>
          <w:color w:val="auto"/>
          <w:sz w:val="24"/>
          <w:szCs w:val="18"/>
          <w:highlight w:val="none"/>
          <w:lang w:val="en-US" w:eastAsia="zh-Hans"/>
        </w:rPr>
        <w:t>同一个会场通信，会商能力模块功能包括但不限于：</w:t>
      </w:r>
    </w:p>
    <w:p w14:paraId="42DEBD67">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基本功能</w:t>
      </w:r>
    </w:p>
    <w:p w14:paraId="46B72325">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1）创建会议，添加成员，重呼成员，挂断成员，结束会议，成员主动/被动入会</w:t>
      </w:r>
    </w:p>
    <w:p w14:paraId="5E27AB6D">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2）启动会议录制，订阅/去订阅会议事件</w:t>
      </w:r>
    </w:p>
    <w:p w14:paraId="692DE881">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3）静音/取消静音，静音/取消静音会议，成员举手发言，保持/取消保持会议，摄像头入会</w:t>
      </w:r>
    </w:p>
    <w:p w14:paraId="0B6A9E0A">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4）选看与会者，选看视频多画面，广播与会者，广播视频多画面，取消广播视频多画面/进入自由模式</w:t>
      </w:r>
    </w:p>
    <w:p w14:paraId="0E7E2B90">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对接功能</w:t>
      </w:r>
    </w:p>
    <w:p w14:paraId="18EBD165">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可通过SIP/H.323与三方视频会议系统对接</w:t>
      </w:r>
    </w:p>
    <w:p w14:paraId="0EFD5C5B">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协议功能</w:t>
      </w:r>
    </w:p>
    <w:p w14:paraId="46FBC633">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1）支持RTP/SRTP协议传输媒体流，支持PCMA/PCMU/G.729音频编码格式及相互转换</w:t>
      </w:r>
    </w:p>
    <w:p w14:paraId="46224450">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2）支持H.264/H.265视频编码及4k/1080P/720P视频分辨率格式。</w:t>
      </w:r>
    </w:p>
    <w:p w14:paraId="4E09C93F">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位置融合调度</w:t>
      </w:r>
    </w:p>
    <w:p w14:paraId="0A1D1C8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通过位置融合能力，实现对具有定位能力的终端，如固定摄像头、公网手机、记录仪等进行定位调度，实现位置上报、地图点选/圈选、跟踪/回放、地理围栏等功能，包括但不限于：</w:t>
      </w:r>
    </w:p>
    <w:p w14:paraId="3D33F29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具备GPS、北斗等多种终端定位手段。</w:t>
      </w:r>
    </w:p>
    <w:p w14:paraId="56BF5A5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统一采集、存储各系统终端的定位数据，获取公网终端和视频共享交换平台下的终端GIS位置信息，在地图上实时显示终端的当前位置和状态，进行位置跟踪，对指定终端进行历史移动轨迹回放。</w:t>
      </w:r>
    </w:p>
    <w:p w14:paraId="04B4216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调度台可查看所有定位终端的信息，实现地图点选/圈选、跟踪/回放、地理围栏等功能。</w:t>
      </w:r>
    </w:p>
    <w:p w14:paraId="1FFE853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提供标准的GIS服务和多媒体数据服务，将这些终端的GIS系统上报给上层业务系统，实现语音、视频、定位信息的有效协同。</w:t>
      </w:r>
    </w:p>
    <w:p w14:paraId="3872760B">
      <w:pPr>
        <w:spacing w:line="360" w:lineRule="auto"/>
        <w:ind w:firstLine="437"/>
        <w:rPr>
          <w:rFonts w:hint="eastAsia" w:ascii="宋体" w:hAnsi="宋体" w:eastAsia="宋体" w:cs="宋体"/>
          <w:bCs/>
          <w:color w:val="auto"/>
          <w:sz w:val="24"/>
          <w:szCs w:val="18"/>
          <w:highlight w:val="none"/>
          <w:lang w:val="en-US" w:eastAsia="zh-Hans"/>
        </w:rPr>
      </w:pPr>
      <w:r>
        <w:rPr>
          <w:rFonts w:hint="eastAsia" w:ascii="宋体" w:hAnsi="宋体" w:eastAsia="宋体" w:cs="宋体"/>
          <w:bCs/>
          <w:color w:val="auto"/>
          <w:sz w:val="24"/>
          <w:szCs w:val="18"/>
          <w:highlight w:val="none"/>
          <w:lang w:val="en-US" w:eastAsia="zh-Hans"/>
        </w:rPr>
        <w:t>用户管理模块</w:t>
      </w:r>
    </w:p>
    <w:p w14:paraId="61B0376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具备用户管理功能，对融合通信系统用户进行开户管理、用户信息管理、群组管理及登录管理等。功能包括但不限于：</w:t>
      </w:r>
    </w:p>
    <w:p w14:paraId="5D7C172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开户管理：管理员通过浏览器进行开户。</w:t>
      </w:r>
    </w:p>
    <w:p w14:paraId="7D93557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用户信息管理：用户信息管理包括用户群组服务、通讯录服务和视频监控服务。</w:t>
      </w:r>
    </w:p>
    <w:p w14:paraId="08B29AF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部门管理：通过给用户指定部门，实现用户的分级分权管理，最大五级部门。上级部门对下级部门有资源查看和调配权限，下级部门仅拥有本部门的资源管理权限，同级别间互相不越权。</w:t>
      </w:r>
    </w:p>
    <w:p w14:paraId="67579D46">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子网管理：通过子网管理，实现灵活的组网要求，子网分层管理。</w:t>
      </w:r>
    </w:p>
    <w:p w14:paraId="373C427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登录服务：用户和设备的接入具备鉴权和认证功能。</w:t>
      </w:r>
    </w:p>
    <w:p w14:paraId="2736655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GIS权限管控：该终端用户是否有权进行GIS上报（例如领导的GIS位置无需上报）、是否有权查看其他终端用户的GIS信息；</w:t>
      </w:r>
    </w:p>
    <w:p w14:paraId="49DDE3C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视频业务权限：该终端用户是否有权发起和接收视频点呼、视频监控、视频上传业务。</w:t>
      </w:r>
    </w:p>
    <w:p w14:paraId="56AE6DA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录音录像系统</w:t>
      </w:r>
    </w:p>
    <w:p w14:paraId="15E165CD">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系统可记录、保存和查询所有的语音、视频调度操作产生的录音录像文件。</w:t>
      </w:r>
    </w:p>
    <w:p w14:paraId="185E559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具备录音录像功能、录音录像回放功能、录音录像下载和录音录像查询功能等。</w:t>
      </w:r>
    </w:p>
    <w:p w14:paraId="507BF77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具备录音功能，包括全双工点呼录音、半双工点呼录音和组呼录音。</w:t>
      </w:r>
    </w:p>
    <w:p w14:paraId="1A20CB4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录音录像可配置，包括但不限于设备管理、摄像头配置、录音录像计划；设备管理包括系统配置、节点配置和存储资源配置等；摄像头配置包括摄像头管理和定时参数设置等；录音录像计划配置包括手工设定录音录像计划和自动录音录像计划；具备录音录像文件的查找、下载以及删除功能。</w:t>
      </w:r>
    </w:p>
    <w:p w14:paraId="24C1298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群组录音管理，可对群组通话语音进行存储，对存储文件进行查询、下载和删除等操作。</w:t>
      </w:r>
    </w:p>
    <w:p w14:paraId="0D337CA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视频回传录像管理，可对摄像头回传的视频进行存储，对存储文件进行查询、下载和删除。</w:t>
      </w:r>
    </w:p>
    <w:p w14:paraId="0C6581F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（2）联动指挥平台</w:t>
      </w:r>
    </w:p>
    <w:p w14:paraId="3E2774DF">
      <w:pPr>
        <w:spacing w:line="360" w:lineRule="auto"/>
        <w:ind w:firstLine="437"/>
        <w:rPr>
          <w:rFonts w:hint="eastAsia" w:ascii="宋体" w:hAnsi="宋体" w:eastAsia="宋体" w:cs="宋体"/>
          <w:bCs/>
          <w:color w:val="auto"/>
          <w:sz w:val="24"/>
          <w:szCs w:val="18"/>
          <w:highlight w:val="none"/>
          <w:lang w:val="en-US" w:eastAsia="zh-CN"/>
        </w:rPr>
      </w:pPr>
      <w:bookmarkStart w:id="78" w:name="_Toc71292038"/>
      <w:bookmarkStart w:id="79" w:name="_Toc6176"/>
      <w:r>
        <w:rPr>
          <w:rFonts w:hint="eastAsia" w:ascii="宋体" w:hAnsi="宋体" w:eastAsia="宋体" w:cs="宋体"/>
          <w:bCs/>
          <w:color w:val="auto"/>
          <w:sz w:val="24"/>
          <w:szCs w:val="18"/>
          <w:highlight w:val="none"/>
          <w:lang w:val="en-US" w:eastAsia="zh-CN"/>
        </w:rPr>
        <w:t>统一登录认证</w:t>
      </w:r>
      <w:bookmarkEnd w:id="78"/>
      <w:bookmarkEnd w:id="79"/>
    </w:p>
    <w:p w14:paraId="5C245712">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通过配置的其他平台账号登录到对接的通信平台、视频会议等系统，无需使用账号、密码二次登录其他平台。</w:t>
      </w:r>
    </w:p>
    <w:p w14:paraId="45B4B050">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对接第三方统一认证平台（</w:t>
      </w:r>
      <w:r>
        <w:rPr>
          <w:rFonts w:hint="eastAsia" w:ascii="宋体" w:hAnsi="宋体" w:eastAsia="宋体" w:cs="宋体"/>
          <w:bCs/>
          <w:color w:val="auto"/>
          <w:sz w:val="24"/>
          <w:szCs w:val="18"/>
          <w:highlight w:val="none"/>
          <w:lang w:val="en-US" w:eastAsia="zh-CN"/>
        </w:rPr>
        <w:t>城市大脑统一认证</w:t>
      </w:r>
      <w:r>
        <w:rPr>
          <w:rFonts w:hint="eastAsia" w:ascii="宋体" w:hAnsi="宋体" w:eastAsia="宋体" w:cs="宋体"/>
          <w:bCs/>
          <w:color w:val="auto"/>
          <w:sz w:val="24"/>
          <w:szCs w:val="18"/>
          <w:highlight w:val="none"/>
          <w:lang w:val="zh-CN" w:eastAsia="zh-CN"/>
        </w:rPr>
        <w:t>），实现各种终端用户单点登录过程，同一用户账号在统一认证平台完成用户鉴权后，即可登录到</w:t>
      </w:r>
      <w:r>
        <w:rPr>
          <w:rFonts w:hint="eastAsia" w:ascii="宋体" w:hAnsi="宋体" w:eastAsia="宋体" w:cs="宋体"/>
          <w:bCs/>
          <w:color w:val="auto"/>
          <w:sz w:val="24"/>
          <w:szCs w:val="18"/>
          <w:highlight w:val="none"/>
          <w:lang w:val="en-US" w:eastAsia="zh-CN"/>
        </w:rPr>
        <w:t>音视频系统</w:t>
      </w:r>
      <w:r>
        <w:rPr>
          <w:rFonts w:hint="eastAsia" w:ascii="宋体" w:hAnsi="宋体" w:eastAsia="宋体" w:cs="宋体"/>
          <w:bCs/>
          <w:color w:val="auto"/>
          <w:sz w:val="24"/>
          <w:szCs w:val="18"/>
          <w:highlight w:val="none"/>
          <w:lang w:val="zh-CN" w:eastAsia="zh-CN"/>
        </w:rPr>
        <w:t>、视频会议等系统。减少系统间的登录交互，提高系统安全性。</w:t>
      </w:r>
    </w:p>
    <w:p w14:paraId="1C23EA57">
      <w:pPr>
        <w:spacing w:line="360" w:lineRule="auto"/>
        <w:ind w:firstLine="437"/>
        <w:rPr>
          <w:rFonts w:hint="eastAsia" w:ascii="宋体" w:hAnsi="宋体" w:eastAsia="宋体" w:cs="宋体"/>
          <w:bCs/>
          <w:color w:val="auto"/>
          <w:sz w:val="24"/>
          <w:szCs w:val="18"/>
          <w:highlight w:val="none"/>
          <w:lang w:val="en-US" w:eastAsia="zh-CN"/>
        </w:rPr>
      </w:pPr>
      <w:bookmarkStart w:id="80" w:name="_Toc71292039"/>
      <w:bookmarkStart w:id="81" w:name="_Toc14492"/>
      <w:r>
        <w:rPr>
          <w:rFonts w:hint="eastAsia" w:ascii="宋体" w:hAnsi="宋体" w:eastAsia="宋体" w:cs="宋体"/>
          <w:bCs/>
          <w:color w:val="auto"/>
          <w:sz w:val="24"/>
          <w:szCs w:val="18"/>
          <w:highlight w:val="none"/>
          <w:lang w:val="en-US" w:eastAsia="zh-CN"/>
        </w:rPr>
        <w:t>统一权限管理</w:t>
      </w:r>
      <w:bookmarkEnd w:id="80"/>
      <w:bookmarkEnd w:id="81"/>
    </w:p>
    <w:p w14:paraId="4CE363AD">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进行统一人员权限模型管理，实现操作人员对设备的分权分域管理，对部门配置管理员，管理员可定义不同的用户角色来设置业务权限和角色权限。</w:t>
      </w:r>
    </w:p>
    <w:p w14:paraId="5A8C1610">
      <w:pPr>
        <w:spacing w:line="360" w:lineRule="auto"/>
        <w:ind w:firstLine="437"/>
        <w:rPr>
          <w:rFonts w:hint="eastAsia" w:ascii="宋体" w:hAnsi="宋体" w:eastAsia="宋体" w:cs="宋体"/>
          <w:bCs/>
          <w:color w:val="auto"/>
          <w:sz w:val="24"/>
          <w:szCs w:val="18"/>
          <w:highlight w:val="none"/>
          <w:lang w:val="en-US" w:eastAsia="zh-CN"/>
        </w:rPr>
      </w:pPr>
      <w:bookmarkStart w:id="82" w:name="_Toc71292040"/>
      <w:bookmarkStart w:id="83" w:name="_Toc29056"/>
      <w:r>
        <w:rPr>
          <w:rFonts w:hint="eastAsia" w:ascii="宋体" w:hAnsi="宋体" w:eastAsia="宋体" w:cs="宋体"/>
          <w:bCs/>
          <w:color w:val="auto"/>
          <w:sz w:val="24"/>
          <w:szCs w:val="18"/>
          <w:highlight w:val="none"/>
          <w:lang w:val="en-US" w:eastAsia="zh-CN"/>
        </w:rPr>
        <w:t>统一注册管理</w:t>
      </w:r>
      <w:bookmarkEnd w:id="82"/>
      <w:bookmarkEnd w:id="83"/>
    </w:p>
    <w:p w14:paraId="520E09D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en-US" w:eastAsia="zh-CN"/>
        </w:rPr>
        <w:t>平台可</w:t>
      </w:r>
      <w:r>
        <w:rPr>
          <w:rFonts w:hint="eastAsia" w:ascii="宋体" w:hAnsi="宋体" w:eastAsia="宋体" w:cs="宋体"/>
          <w:bCs/>
          <w:color w:val="auto"/>
          <w:sz w:val="24"/>
          <w:szCs w:val="18"/>
          <w:highlight w:val="none"/>
          <w:lang w:val="zh-CN" w:eastAsia="zh-CN"/>
        </w:rPr>
        <w:t>接入不同种类的终端设备，如固定话机，LTE专网终端、公网终端等；视频监控业务可以操作摄像头、执法记录仪、布控球等类型的终端；会议系统可以使用视频话机、手持话机、专业会议视频终端等。</w:t>
      </w:r>
      <w:r>
        <w:rPr>
          <w:rFonts w:hint="eastAsia" w:ascii="宋体" w:hAnsi="宋体" w:eastAsia="宋体" w:cs="宋体"/>
          <w:bCs/>
          <w:color w:val="auto"/>
          <w:sz w:val="24"/>
          <w:szCs w:val="18"/>
          <w:highlight w:val="none"/>
          <w:lang w:val="en-US" w:eastAsia="zh-CN"/>
        </w:rPr>
        <w:t>支持</w:t>
      </w:r>
      <w:r>
        <w:rPr>
          <w:rFonts w:hint="eastAsia" w:ascii="宋体" w:hAnsi="宋体" w:eastAsia="宋体" w:cs="宋体"/>
          <w:bCs/>
          <w:color w:val="auto"/>
          <w:sz w:val="24"/>
          <w:szCs w:val="18"/>
          <w:highlight w:val="none"/>
          <w:lang w:val="zh-CN" w:eastAsia="zh-CN"/>
        </w:rPr>
        <w:t>不同种类终端接入平台并相互通信，对接入的终端进行统一的注册管理，明确管理规则，统一管理策略，</w:t>
      </w:r>
      <w:r>
        <w:rPr>
          <w:rFonts w:hint="eastAsia" w:ascii="宋体" w:hAnsi="宋体" w:eastAsia="宋体" w:cs="宋体"/>
          <w:bCs/>
          <w:color w:val="auto"/>
          <w:sz w:val="24"/>
          <w:szCs w:val="18"/>
          <w:highlight w:val="none"/>
          <w:lang w:val="en-US" w:eastAsia="zh-CN"/>
        </w:rPr>
        <w:t>提供</w:t>
      </w:r>
      <w:r>
        <w:rPr>
          <w:rFonts w:hint="eastAsia" w:ascii="宋体" w:hAnsi="宋体" w:eastAsia="宋体" w:cs="宋体"/>
          <w:bCs/>
          <w:color w:val="auto"/>
          <w:sz w:val="24"/>
          <w:szCs w:val="18"/>
          <w:highlight w:val="none"/>
          <w:lang w:val="zh-CN" w:eastAsia="zh-CN"/>
        </w:rPr>
        <w:t>高效管理。</w:t>
      </w:r>
    </w:p>
    <w:p w14:paraId="40BEA6B3">
      <w:pPr>
        <w:spacing w:line="360" w:lineRule="auto"/>
        <w:ind w:firstLine="437"/>
        <w:rPr>
          <w:rFonts w:hint="eastAsia" w:ascii="宋体" w:hAnsi="宋体" w:eastAsia="宋体" w:cs="宋体"/>
          <w:bCs/>
          <w:color w:val="auto"/>
          <w:sz w:val="24"/>
          <w:szCs w:val="18"/>
          <w:highlight w:val="none"/>
          <w:lang w:val="en-US" w:eastAsia="zh-CN"/>
        </w:rPr>
      </w:pPr>
      <w:bookmarkStart w:id="84" w:name="_Toc2809"/>
      <w:bookmarkStart w:id="85" w:name="_Toc71292044"/>
      <w:r>
        <w:rPr>
          <w:rFonts w:hint="eastAsia" w:ascii="宋体" w:hAnsi="宋体" w:eastAsia="宋体" w:cs="宋体"/>
          <w:bCs/>
          <w:color w:val="auto"/>
          <w:sz w:val="24"/>
          <w:szCs w:val="18"/>
          <w:highlight w:val="none"/>
          <w:lang w:val="en-US" w:eastAsia="zh-CN"/>
        </w:rPr>
        <w:t>群组管理</w:t>
      </w:r>
      <w:bookmarkEnd w:id="84"/>
      <w:bookmarkEnd w:id="85"/>
    </w:p>
    <w:p w14:paraId="084D599C">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提供多用户场景下的及时通讯功能，支持半双工方式的语音通讯，提供PTT按钮进行讲话，支持群组短消息，</w:t>
      </w:r>
      <w:r>
        <w:rPr>
          <w:rFonts w:hint="eastAsia" w:ascii="宋体" w:hAnsi="宋体" w:eastAsia="宋体" w:cs="宋体"/>
          <w:bCs/>
          <w:color w:val="auto"/>
          <w:sz w:val="24"/>
          <w:szCs w:val="18"/>
          <w:highlight w:val="none"/>
          <w:lang w:val="en-US" w:eastAsia="zh-CN"/>
        </w:rPr>
        <w:t>提供群组周期性删除功能</w:t>
      </w:r>
      <w:r>
        <w:rPr>
          <w:rFonts w:hint="eastAsia" w:ascii="宋体" w:hAnsi="宋体" w:eastAsia="宋体" w:cs="宋体"/>
          <w:bCs/>
          <w:color w:val="auto"/>
          <w:sz w:val="24"/>
          <w:szCs w:val="18"/>
          <w:highlight w:val="none"/>
          <w:lang w:val="zh-CN" w:eastAsia="zh-CN"/>
        </w:rPr>
        <w:t>。</w:t>
      </w:r>
    </w:p>
    <w:p w14:paraId="7DAEDB4B">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静态群组</w:t>
      </w:r>
    </w:p>
    <w:p w14:paraId="51E31772">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部门和组织层级的群组，以公共通讯录的方式呈现给用户，用户订阅该群组后能够及时收到群组中的消息，方便部门和组织统一管理、统一调度、信息传达。</w:t>
      </w:r>
    </w:p>
    <w:p w14:paraId="114D5E2B">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动态群组</w:t>
      </w:r>
    </w:p>
    <w:p w14:paraId="75D1CEE2">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调度台可以在不同场景创建群组，群组成员可以包含人员、设备等资源。群组内展示成员在线状态，支持添加、移除成员，群组内支持语音对讲，短信。动态群组支持解散群组功能，随时可用，随时可删。</w:t>
      </w:r>
    </w:p>
    <w:p w14:paraId="0270BB65">
      <w:pPr>
        <w:spacing w:line="360" w:lineRule="auto"/>
        <w:ind w:firstLine="437"/>
        <w:rPr>
          <w:rFonts w:hint="eastAsia" w:ascii="宋体" w:hAnsi="宋体" w:eastAsia="宋体" w:cs="宋体"/>
          <w:bCs/>
          <w:color w:val="auto"/>
          <w:sz w:val="24"/>
          <w:szCs w:val="18"/>
          <w:highlight w:val="none"/>
          <w:lang w:val="en-US" w:eastAsia="zh-CN"/>
        </w:rPr>
      </w:pPr>
      <w:bookmarkStart w:id="86" w:name="_Toc71292045"/>
      <w:bookmarkStart w:id="87" w:name="_Toc13112"/>
      <w:r>
        <w:rPr>
          <w:rFonts w:hint="eastAsia" w:ascii="宋体" w:hAnsi="宋体" w:eastAsia="宋体" w:cs="宋体"/>
          <w:bCs/>
          <w:color w:val="auto"/>
          <w:sz w:val="24"/>
          <w:szCs w:val="18"/>
          <w:highlight w:val="none"/>
          <w:lang w:val="en-US" w:eastAsia="zh-CN"/>
        </w:rPr>
        <w:t>用户管理</w:t>
      </w:r>
      <w:bookmarkEnd w:id="86"/>
      <w:bookmarkEnd w:id="87"/>
    </w:p>
    <w:p w14:paraId="00F6B769">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用户账号支持单条操作，能灵活适配人员信息变更等场景，也支持批量操作，方便数据同步和多用户场景下的操作。</w:t>
      </w:r>
    </w:p>
    <w:p w14:paraId="387BC0E9">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账号绑定</w:t>
      </w:r>
    </w:p>
    <w:p w14:paraId="583E8C51">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融合通讯平台、视频会商平台、大屏拼接系统等三方平台账号统一录入到统一管理平台中，统一管理平台用户账号动态关联三方账号实现通讯、会商、上墙等业务，账号关联关系可动态维护，能应对三方平台中账号信息变更和统一管理平台中用户业务变更的场景。</w:t>
      </w:r>
    </w:p>
    <w:p w14:paraId="5FC2CB83">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设备领用</w:t>
      </w:r>
    </w:p>
    <w:p w14:paraId="2F88C017">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用户在统一管理平台中录入设备数据、设备关联账号数据，通过动态绑定设备和账号之前的关联关系实现各业务。支持人员对设备进行领用，设备被人员领用之后，在对应用户的通讯录中展示领用设备情况，可以对人员进行该设备的通讯业务和GIS业务，人员通过领用设备，能定位到用户位置和展示人员行动轨迹。</w:t>
      </w:r>
    </w:p>
    <w:p w14:paraId="64956F78">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用户冻结</w:t>
      </w:r>
    </w:p>
    <w:p w14:paraId="3A858AA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统一管理平台支持管理员对用户账号进行禁用、冻结操作。对于用户登录场景进行安全验证，用户连续多次输入错误密码后平台自动冻结该用户，禁止该账号进行登录。防止用户账号被其他人盗用账号登录，保证系统安全。用户账号冻结后管理员可对该账号进行解冻，解冻后用户能正常登录。</w:t>
      </w:r>
    </w:p>
    <w:p w14:paraId="58548B93">
      <w:pPr>
        <w:spacing w:line="360" w:lineRule="auto"/>
        <w:ind w:firstLine="437"/>
        <w:rPr>
          <w:rFonts w:hint="eastAsia" w:ascii="宋体" w:hAnsi="宋体" w:eastAsia="宋体" w:cs="宋体"/>
          <w:bCs/>
          <w:color w:val="auto"/>
          <w:sz w:val="24"/>
          <w:szCs w:val="18"/>
          <w:highlight w:val="none"/>
          <w:lang w:val="en-US" w:eastAsia="zh-CN"/>
        </w:rPr>
      </w:pPr>
      <w:bookmarkStart w:id="88" w:name="_Toc10265"/>
      <w:bookmarkStart w:id="89" w:name="_Toc71292046"/>
      <w:r>
        <w:rPr>
          <w:rFonts w:hint="eastAsia" w:ascii="宋体" w:hAnsi="宋体" w:eastAsia="宋体" w:cs="宋体"/>
          <w:bCs/>
          <w:color w:val="auto"/>
          <w:sz w:val="24"/>
          <w:szCs w:val="18"/>
          <w:highlight w:val="none"/>
          <w:lang w:val="en-US" w:eastAsia="zh-CN"/>
        </w:rPr>
        <w:t>摄像头管理</w:t>
      </w:r>
      <w:bookmarkEnd w:id="88"/>
      <w:bookmarkEnd w:id="89"/>
    </w:p>
    <w:p w14:paraId="532B65E0">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由于摄像头数量较多，为了方便摄像头数据的呈现，统一管理平台提供了摄像头层级的功能，摄像头层级通过树形结构展示。各部门、组织可通过地域、组织等维度对摄像头进行分层管理，通过对摄像头层级的管理可达到数据规律化展示，也可以达到摄像头监控权限的限制。</w:t>
      </w:r>
    </w:p>
    <w:p w14:paraId="1B7FAFB9">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固定摄像头支持录入位置信息，录入位置信息后摄像头能够在地图中展示。</w:t>
      </w:r>
    </w:p>
    <w:p w14:paraId="1F56483A">
      <w:pPr>
        <w:spacing w:line="360" w:lineRule="auto"/>
        <w:ind w:firstLine="437"/>
        <w:rPr>
          <w:rFonts w:hint="eastAsia" w:ascii="宋体" w:hAnsi="宋体" w:eastAsia="宋体" w:cs="宋体"/>
          <w:bCs/>
          <w:color w:val="auto"/>
          <w:sz w:val="24"/>
          <w:szCs w:val="18"/>
          <w:highlight w:val="none"/>
          <w:lang w:val="en-US" w:eastAsia="zh-CN"/>
        </w:rPr>
      </w:pPr>
      <w:bookmarkStart w:id="90" w:name="_Toc71292047"/>
      <w:bookmarkStart w:id="91" w:name="_Toc28232"/>
      <w:r>
        <w:rPr>
          <w:rFonts w:hint="eastAsia" w:ascii="宋体" w:hAnsi="宋体" w:eastAsia="宋体" w:cs="宋体"/>
          <w:bCs/>
          <w:color w:val="auto"/>
          <w:sz w:val="24"/>
          <w:szCs w:val="18"/>
          <w:highlight w:val="none"/>
          <w:lang w:val="en-US" w:eastAsia="zh-CN"/>
        </w:rPr>
        <w:t>部门组织管理</w:t>
      </w:r>
      <w:bookmarkEnd w:id="90"/>
      <w:bookmarkEnd w:id="91"/>
    </w:p>
    <w:p w14:paraId="68038C0F">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通过录入组织上下级关系，平台通过树形结构进行展示组织信息。各人员、设备通过和组织的关联，不同组织间能够进行通讯，但是设备等资源相互独立管理，实现权限的边界的划分。各部门组织管理各自的成员、设备数据，上级部门能够查看下级部门的数据。</w:t>
      </w:r>
    </w:p>
    <w:p w14:paraId="0705E5E0">
      <w:pPr>
        <w:spacing w:line="360" w:lineRule="auto"/>
        <w:ind w:firstLine="437"/>
        <w:rPr>
          <w:rFonts w:hint="eastAsia" w:ascii="宋体" w:hAnsi="宋体" w:eastAsia="宋体" w:cs="宋体"/>
          <w:bCs/>
          <w:color w:val="auto"/>
          <w:sz w:val="24"/>
          <w:szCs w:val="18"/>
          <w:highlight w:val="none"/>
          <w:lang w:val="en-US" w:eastAsia="zh-CN"/>
        </w:rPr>
      </w:pPr>
      <w:bookmarkStart w:id="92" w:name="_Toc9272"/>
      <w:bookmarkStart w:id="93" w:name="_Toc71292048"/>
      <w:r>
        <w:rPr>
          <w:rFonts w:hint="eastAsia" w:ascii="宋体" w:hAnsi="宋体" w:eastAsia="宋体" w:cs="宋体"/>
          <w:bCs/>
          <w:color w:val="auto"/>
          <w:sz w:val="24"/>
          <w:szCs w:val="18"/>
          <w:highlight w:val="none"/>
          <w:lang w:val="en-US" w:eastAsia="zh-CN"/>
        </w:rPr>
        <w:t>融合通信调度</w:t>
      </w:r>
      <w:bookmarkEnd w:id="92"/>
      <w:bookmarkEnd w:id="93"/>
    </w:p>
    <w:p w14:paraId="44405B9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提供融合通信调度，用于发起音视频多媒体接入调度、视频监控调度、终端统一定位等各项指挥调度业务。</w:t>
      </w:r>
    </w:p>
    <w:p w14:paraId="3FE4D23F">
      <w:pPr>
        <w:spacing w:line="360" w:lineRule="auto"/>
        <w:ind w:firstLine="437"/>
        <w:rPr>
          <w:rFonts w:hint="eastAsia" w:ascii="宋体" w:hAnsi="宋体" w:eastAsia="宋体" w:cs="宋体"/>
          <w:bCs/>
          <w:color w:val="auto"/>
          <w:sz w:val="24"/>
          <w:szCs w:val="18"/>
          <w:highlight w:val="none"/>
          <w:lang w:val="en-US" w:eastAsia="zh-CN"/>
        </w:rPr>
      </w:pPr>
      <w:bookmarkStart w:id="94" w:name="_Toc17441"/>
      <w:bookmarkStart w:id="95" w:name="_Toc71292049"/>
      <w:r>
        <w:rPr>
          <w:rFonts w:hint="eastAsia" w:ascii="宋体" w:hAnsi="宋体" w:eastAsia="宋体" w:cs="宋体"/>
          <w:bCs/>
          <w:color w:val="auto"/>
          <w:sz w:val="24"/>
          <w:szCs w:val="18"/>
          <w:highlight w:val="none"/>
          <w:lang w:val="en-US" w:eastAsia="zh-CN"/>
        </w:rPr>
        <w:t>语音呼叫</w:t>
      </w:r>
      <w:bookmarkEnd w:id="94"/>
      <w:bookmarkEnd w:id="95"/>
    </w:p>
    <w:p w14:paraId="75F83367">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对通讯录中、地图中人员和设备进行语音呼叫，通过拨号盘对其他固定电话、移动电话、终端号码发起语音呼叫。</w:t>
      </w:r>
      <w:r>
        <w:rPr>
          <w:rFonts w:hint="eastAsia" w:ascii="宋体" w:hAnsi="宋体" w:eastAsia="宋体" w:cs="宋体"/>
          <w:bCs/>
          <w:color w:val="auto"/>
          <w:sz w:val="24"/>
          <w:szCs w:val="18"/>
          <w:highlight w:val="none"/>
          <w:lang w:val="en-US" w:eastAsia="zh-CN"/>
        </w:rPr>
        <w:t>具备</w:t>
      </w:r>
      <w:r>
        <w:rPr>
          <w:rFonts w:hint="eastAsia" w:ascii="宋体" w:hAnsi="宋体" w:eastAsia="宋体" w:cs="宋体"/>
          <w:bCs/>
          <w:color w:val="auto"/>
          <w:sz w:val="24"/>
          <w:szCs w:val="18"/>
          <w:highlight w:val="none"/>
          <w:lang w:val="zh-CN" w:eastAsia="zh-CN"/>
        </w:rPr>
        <w:t>语音接听功能，语音呼叫支持挂断、静音功能。</w:t>
      </w:r>
    </w:p>
    <w:p w14:paraId="349EDCBD">
      <w:pPr>
        <w:spacing w:line="360" w:lineRule="auto"/>
        <w:ind w:firstLine="437"/>
        <w:rPr>
          <w:rFonts w:hint="eastAsia" w:ascii="宋体" w:hAnsi="宋体" w:eastAsia="宋体" w:cs="宋体"/>
          <w:bCs/>
          <w:color w:val="auto"/>
          <w:sz w:val="24"/>
          <w:szCs w:val="18"/>
          <w:highlight w:val="none"/>
          <w:lang w:val="en-US" w:eastAsia="zh-CN"/>
        </w:rPr>
      </w:pPr>
      <w:bookmarkStart w:id="96" w:name="_Toc71292050"/>
      <w:bookmarkStart w:id="97" w:name="_Toc19884"/>
      <w:r>
        <w:rPr>
          <w:rFonts w:hint="eastAsia" w:ascii="宋体" w:hAnsi="宋体" w:eastAsia="宋体" w:cs="宋体"/>
          <w:bCs/>
          <w:color w:val="auto"/>
          <w:sz w:val="24"/>
          <w:szCs w:val="18"/>
          <w:highlight w:val="none"/>
          <w:lang w:val="en-US" w:eastAsia="zh-CN"/>
        </w:rPr>
        <w:t>视频呼叫</w:t>
      </w:r>
      <w:bookmarkEnd w:id="96"/>
      <w:bookmarkEnd w:id="97"/>
    </w:p>
    <w:p w14:paraId="15869466">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对通讯录中、地图中人员和设备进行视频呼叫，</w:t>
      </w:r>
      <w:r>
        <w:rPr>
          <w:rFonts w:hint="eastAsia" w:ascii="宋体" w:hAnsi="宋体" w:eastAsia="宋体" w:cs="宋体"/>
          <w:bCs/>
          <w:color w:val="auto"/>
          <w:sz w:val="24"/>
          <w:szCs w:val="18"/>
          <w:highlight w:val="none"/>
          <w:lang w:val="en-US" w:eastAsia="zh-CN"/>
        </w:rPr>
        <w:t>具备</w:t>
      </w:r>
      <w:r>
        <w:rPr>
          <w:rFonts w:hint="eastAsia" w:ascii="宋体" w:hAnsi="宋体" w:eastAsia="宋体" w:cs="宋体"/>
          <w:bCs/>
          <w:color w:val="auto"/>
          <w:sz w:val="24"/>
          <w:szCs w:val="18"/>
          <w:highlight w:val="none"/>
          <w:lang w:val="zh-CN" w:eastAsia="zh-CN"/>
        </w:rPr>
        <w:t>视频接听功能，视频呼叫支持挂断、静音、关闭摄像头、切换摄像头功能。</w:t>
      </w:r>
    </w:p>
    <w:p w14:paraId="4B5EBBC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对监控摄像头发起视频呼叫，摄像头无需接听，调度台呼叫摄像头后能够观看到摄像头画面，对画面进行云台控制。</w:t>
      </w:r>
    </w:p>
    <w:p w14:paraId="167E0BC8">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en-US" w:eastAsia="zh-CN"/>
        </w:rPr>
        <w:t>具备</w:t>
      </w:r>
      <w:r>
        <w:rPr>
          <w:rFonts w:hint="eastAsia" w:ascii="宋体" w:hAnsi="宋体" w:eastAsia="宋体" w:cs="宋体"/>
          <w:bCs/>
          <w:color w:val="auto"/>
          <w:sz w:val="24"/>
          <w:szCs w:val="18"/>
          <w:highlight w:val="none"/>
          <w:lang w:val="zh-CN" w:eastAsia="zh-CN"/>
        </w:rPr>
        <w:t>视频分发功能，视频分发给指定用户后，系统会将该视频源复制一路发送给其他用户，支持停止分发功能。</w:t>
      </w:r>
    </w:p>
    <w:p w14:paraId="5CB9D606">
      <w:pPr>
        <w:spacing w:line="360" w:lineRule="auto"/>
        <w:ind w:firstLine="437"/>
        <w:rPr>
          <w:rFonts w:hint="eastAsia" w:ascii="宋体" w:hAnsi="宋体" w:eastAsia="宋体" w:cs="宋体"/>
          <w:bCs/>
          <w:color w:val="auto"/>
          <w:sz w:val="24"/>
          <w:szCs w:val="18"/>
          <w:highlight w:val="none"/>
          <w:lang w:val="en-US" w:eastAsia="zh-CN"/>
        </w:rPr>
      </w:pPr>
      <w:bookmarkStart w:id="98" w:name="_Toc10731"/>
      <w:bookmarkStart w:id="99" w:name="_Toc71292051"/>
      <w:r>
        <w:rPr>
          <w:rFonts w:hint="eastAsia" w:ascii="宋体" w:hAnsi="宋体" w:eastAsia="宋体" w:cs="宋体"/>
          <w:bCs/>
          <w:color w:val="auto"/>
          <w:sz w:val="24"/>
          <w:szCs w:val="18"/>
          <w:highlight w:val="none"/>
          <w:lang w:val="en-US" w:eastAsia="zh-CN"/>
        </w:rPr>
        <w:t>短</w:t>
      </w:r>
      <w:bookmarkEnd w:id="98"/>
      <w:r>
        <w:rPr>
          <w:rFonts w:hint="eastAsia" w:ascii="宋体" w:hAnsi="宋体" w:eastAsia="宋体" w:cs="宋体"/>
          <w:bCs/>
          <w:color w:val="auto"/>
          <w:sz w:val="24"/>
          <w:szCs w:val="18"/>
          <w:highlight w:val="none"/>
          <w:lang w:val="en-US" w:eastAsia="zh-CN"/>
        </w:rPr>
        <w:t>消息功能</w:t>
      </w:r>
      <w:bookmarkEnd w:id="99"/>
    </w:p>
    <w:p w14:paraId="478E82B6">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en-US" w:eastAsia="zh-CN"/>
        </w:rPr>
        <w:t>对于</w:t>
      </w:r>
      <w:r>
        <w:rPr>
          <w:rFonts w:hint="eastAsia" w:ascii="宋体" w:hAnsi="宋体" w:eastAsia="宋体" w:cs="宋体"/>
          <w:bCs/>
          <w:color w:val="auto"/>
          <w:sz w:val="24"/>
          <w:szCs w:val="18"/>
          <w:highlight w:val="none"/>
          <w:lang w:val="zh-CN" w:eastAsia="zh-CN"/>
        </w:rPr>
        <w:t>需要文字传递的调度场景提供短消息功能。</w:t>
      </w:r>
    </w:p>
    <w:p w14:paraId="5601E9A7">
      <w:pPr>
        <w:spacing w:line="360" w:lineRule="auto"/>
        <w:ind w:firstLine="437"/>
        <w:rPr>
          <w:rFonts w:hint="eastAsia" w:ascii="宋体" w:hAnsi="宋体" w:eastAsia="宋体" w:cs="宋体"/>
          <w:bCs/>
          <w:color w:val="auto"/>
          <w:sz w:val="24"/>
          <w:szCs w:val="18"/>
          <w:highlight w:val="none"/>
          <w:lang w:val="en-US" w:eastAsia="zh-CN"/>
        </w:rPr>
      </w:pPr>
      <w:bookmarkStart w:id="100" w:name="_Toc71292052"/>
      <w:bookmarkStart w:id="101" w:name="_Toc19582"/>
      <w:r>
        <w:rPr>
          <w:rFonts w:hint="eastAsia" w:ascii="宋体" w:hAnsi="宋体" w:eastAsia="宋体" w:cs="宋体"/>
          <w:bCs/>
          <w:color w:val="auto"/>
          <w:sz w:val="24"/>
          <w:szCs w:val="18"/>
          <w:highlight w:val="none"/>
          <w:lang w:val="en-US" w:eastAsia="zh-CN"/>
        </w:rPr>
        <w:t>集群呼叫</w:t>
      </w:r>
      <w:bookmarkEnd w:id="100"/>
      <w:bookmarkEnd w:id="101"/>
    </w:p>
    <w:p w14:paraId="0EB02341">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支持用户从通讯录中选择订阅的群组发起组呼业务。</w:t>
      </w:r>
    </w:p>
    <w:p w14:paraId="112052BD">
      <w:pPr>
        <w:spacing w:line="360" w:lineRule="auto"/>
        <w:ind w:firstLine="437"/>
        <w:rPr>
          <w:rFonts w:hint="eastAsia" w:ascii="宋体" w:hAnsi="宋体" w:eastAsia="宋体" w:cs="宋体"/>
          <w:bCs/>
          <w:color w:val="auto"/>
          <w:sz w:val="24"/>
          <w:szCs w:val="18"/>
          <w:highlight w:val="none"/>
          <w:lang w:val="en-US" w:eastAsia="zh-CN"/>
        </w:rPr>
      </w:pPr>
      <w:bookmarkStart w:id="102" w:name="_Toc71292053"/>
      <w:bookmarkStart w:id="103" w:name="_Toc6402"/>
      <w:r>
        <w:rPr>
          <w:rFonts w:hint="eastAsia" w:ascii="宋体" w:hAnsi="宋体" w:eastAsia="宋体" w:cs="宋体"/>
          <w:bCs/>
          <w:color w:val="auto"/>
          <w:sz w:val="24"/>
          <w:szCs w:val="18"/>
          <w:highlight w:val="none"/>
          <w:lang w:val="en-US" w:eastAsia="zh-CN"/>
        </w:rPr>
        <w:t>视频监控</w:t>
      </w:r>
      <w:bookmarkEnd w:id="102"/>
      <w:bookmarkEnd w:id="103"/>
    </w:p>
    <w:p w14:paraId="0DEB51D6">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支持用户调阅固定监控设备、移动终端设备上的视频，能够进行云台控制、轮询、分发。</w:t>
      </w:r>
    </w:p>
    <w:p w14:paraId="4BB166B9">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提供丰富的布局方式满足不同场景下视频监控的展示。</w:t>
      </w:r>
    </w:p>
    <w:p w14:paraId="2F5366F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地图布局</w:t>
      </w:r>
    </w:p>
    <w:p w14:paraId="324F3158">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通过地图查看地图上的人员、设备、摄像头资源，对资源进行调度。支持在地图上进行展示，支持对单个摄像头点击查看视频的功能，提供多种框选功能，用户在地图中框选中摄像头，界面将直接播放摄像头的监控画面。</w:t>
      </w:r>
    </w:p>
    <w:p w14:paraId="72463775">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视频墙布局</w:t>
      </w:r>
    </w:p>
    <w:p w14:paraId="05D3EEE8">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提供视频墙展示功能。支持同时展示1/4/9/16路视频，视频布局可以随时切换。支持轮询功能，对选中的监控资源进行轮播展示。</w:t>
      </w:r>
    </w:p>
    <w:p w14:paraId="433ACF8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通话控制</w:t>
      </w:r>
    </w:p>
    <w:p w14:paraId="56D4BE01">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通话接听</w:t>
      </w:r>
    </w:p>
    <w:p w14:paraId="431E04A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终端或坐席拨打坐席账号（包括语音点呼、视频点呼、视频回传），坐席会收到接听卡片和振铃，进入通话后，可以对此次通话进行人工转接、静音和呼叫保持等操作。通话结束后，通话记录中会存入此次通话的详情。</w:t>
      </w:r>
    </w:p>
    <w:p w14:paraId="58E91F3D">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通话强插</w:t>
      </w:r>
    </w:p>
    <w:p w14:paraId="26814D0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具有强插权限的调度员，可以强制挂断其管辖范围内的任一点呼通话，与挂断的对象建立通话。</w:t>
      </w:r>
    </w:p>
    <w:p w14:paraId="0100D59C">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缜密侦听</w:t>
      </w:r>
    </w:p>
    <w:p w14:paraId="24A39BC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具有缜密侦听权限的调度员可以在目标用户未察觉的情况下实时收听其点呼通话的内容。一个调度员同时仅可以进行一路点呼缜密侦听。</w:t>
      </w:r>
    </w:p>
    <w:p w14:paraId="16757453">
      <w:pPr>
        <w:spacing w:line="360" w:lineRule="auto"/>
        <w:ind w:firstLine="437"/>
        <w:rPr>
          <w:rFonts w:hint="eastAsia" w:ascii="宋体" w:hAnsi="宋体" w:eastAsia="宋体" w:cs="宋体"/>
          <w:bCs/>
          <w:color w:val="auto"/>
          <w:sz w:val="24"/>
          <w:szCs w:val="18"/>
          <w:highlight w:val="none"/>
          <w:lang w:val="en-US" w:eastAsia="zh-CN"/>
        </w:rPr>
      </w:pPr>
      <w:bookmarkStart w:id="104" w:name="_Toc18478"/>
      <w:bookmarkStart w:id="105" w:name="_Toc71292054"/>
      <w:r>
        <w:rPr>
          <w:rFonts w:hint="eastAsia" w:ascii="宋体" w:hAnsi="宋体" w:eastAsia="宋体" w:cs="宋体"/>
          <w:bCs/>
          <w:color w:val="auto"/>
          <w:sz w:val="24"/>
          <w:szCs w:val="18"/>
          <w:highlight w:val="none"/>
          <w:lang w:val="en-US" w:eastAsia="zh-CN"/>
        </w:rPr>
        <w:t>视频会商调度</w:t>
      </w:r>
      <w:bookmarkEnd w:id="104"/>
      <w:bookmarkEnd w:id="105"/>
    </w:p>
    <w:p w14:paraId="11F57B9D">
      <w:pPr>
        <w:spacing w:line="360" w:lineRule="auto"/>
        <w:ind w:firstLine="437"/>
        <w:rPr>
          <w:rFonts w:hint="eastAsia" w:ascii="宋体" w:hAnsi="宋体" w:eastAsia="宋体" w:cs="宋体"/>
          <w:bCs/>
          <w:color w:val="auto"/>
          <w:sz w:val="24"/>
          <w:szCs w:val="18"/>
          <w:highlight w:val="none"/>
          <w:lang w:val="en-US" w:eastAsia="zh-CN"/>
        </w:rPr>
      </w:pPr>
      <w:bookmarkStart w:id="106" w:name="_Toc10291"/>
      <w:bookmarkStart w:id="107" w:name="_Toc71292055"/>
      <w:r>
        <w:rPr>
          <w:rFonts w:hint="eastAsia" w:ascii="宋体" w:hAnsi="宋体" w:eastAsia="宋体" w:cs="宋体"/>
          <w:bCs/>
          <w:color w:val="auto"/>
          <w:sz w:val="24"/>
          <w:szCs w:val="18"/>
          <w:highlight w:val="none"/>
          <w:lang w:val="en-US" w:eastAsia="zh-CN"/>
        </w:rPr>
        <w:t>会议</w:t>
      </w:r>
      <w:bookmarkEnd w:id="106"/>
      <w:r>
        <w:rPr>
          <w:rFonts w:hint="eastAsia" w:ascii="宋体" w:hAnsi="宋体" w:eastAsia="宋体" w:cs="宋体"/>
          <w:bCs/>
          <w:color w:val="auto"/>
          <w:sz w:val="24"/>
          <w:szCs w:val="18"/>
          <w:highlight w:val="none"/>
          <w:lang w:val="en-US" w:eastAsia="zh-CN"/>
        </w:rPr>
        <w:t>创建</w:t>
      </w:r>
      <w:bookmarkEnd w:id="107"/>
    </w:p>
    <w:p w14:paraId="4F8A257B">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根据会议召开时间的不同，可预订的会议类型包括：预约会议、即时会议。</w:t>
      </w:r>
    </w:p>
    <w:p w14:paraId="2888233D">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预定会议内容包括：开始时间、会议时长、主题、召集人（包含人员、设备、摄像头）、会议议题。</w:t>
      </w:r>
    </w:p>
    <w:p w14:paraId="5362FD02">
      <w:pPr>
        <w:spacing w:line="360" w:lineRule="auto"/>
        <w:ind w:firstLine="437"/>
        <w:rPr>
          <w:rFonts w:hint="eastAsia" w:ascii="宋体" w:hAnsi="宋体" w:eastAsia="宋体" w:cs="宋体"/>
          <w:bCs/>
          <w:color w:val="auto"/>
          <w:sz w:val="24"/>
          <w:szCs w:val="18"/>
          <w:highlight w:val="none"/>
          <w:lang w:val="en-US" w:eastAsia="zh-CN"/>
        </w:rPr>
      </w:pPr>
      <w:bookmarkStart w:id="108" w:name="_Toc31861"/>
      <w:bookmarkStart w:id="109" w:name="_Toc71292056"/>
      <w:r>
        <w:rPr>
          <w:rFonts w:hint="eastAsia" w:ascii="宋体" w:hAnsi="宋体" w:eastAsia="宋体" w:cs="宋体"/>
          <w:bCs/>
          <w:color w:val="auto"/>
          <w:sz w:val="24"/>
          <w:szCs w:val="18"/>
          <w:highlight w:val="none"/>
          <w:lang w:val="en-US" w:eastAsia="zh-CN"/>
        </w:rPr>
        <w:t>会议修改</w:t>
      </w:r>
      <w:bookmarkEnd w:id="108"/>
      <w:bookmarkEnd w:id="109"/>
    </w:p>
    <w:p w14:paraId="40D812CF">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会议预订人或召集人能够修改已经预订但尚未召开的会议，并根据需要发送会议通知给各与会者。</w:t>
      </w:r>
    </w:p>
    <w:p w14:paraId="42AD9F4A">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可修改的会议信息：会议日期和时间、与会人数、会议主题、会议议程、其他参数等。</w:t>
      </w:r>
    </w:p>
    <w:p w14:paraId="125703FD">
      <w:pPr>
        <w:spacing w:line="360" w:lineRule="auto"/>
        <w:ind w:firstLine="437"/>
        <w:rPr>
          <w:rFonts w:hint="eastAsia" w:ascii="宋体" w:hAnsi="宋体" w:eastAsia="宋体" w:cs="宋体"/>
          <w:bCs/>
          <w:color w:val="auto"/>
          <w:sz w:val="24"/>
          <w:szCs w:val="18"/>
          <w:highlight w:val="none"/>
          <w:lang w:val="en-US" w:eastAsia="zh-CN"/>
        </w:rPr>
      </w:pPr>
      <w:bookmarkStart w:id="110" w:name="_Toc71292057"/>
      <w:bookmarkStart w:id="111" w:name="_Toc11246"/>
      <w:r>
        <w:rPr>
          <w:rFonts w:hint="eastAsia" w:ascii="宋体" w:hAnsi="宋体" w:eastAsia="宋体" w:cs="宋体"/>
          <w:bCs/>
          <w:color w:val="auto"/>
          <w:sz w:val="24"/>
          <w:szCs w:val="18"/>
          <w:highlight w:val="none"/>
          <w:lang w:val="en-US" w:eastAsia="zh-CN"/>
        </w:rPr>
        <w:t>会议取消</w:t>
      </w:r>
      <w:bookmarkEnd w:id="110"/>
      <w:bookmarkEnd w:id="111"/>
    </w:p>
    <w:p w14:paraId="36BA208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会议预订人或召集人可以登录统一会议系统取消已经预订但尚未召开的会议。</w:t>
      </w:r>
    </w:p>
    <w:p w14:paraId="4539BDD5">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取消会议时，系统将通知给与会者，如果最近一次选择的会议通知类型包含短信，则系统将发送短信给召集人和普通与会者。</w:t>
      </w:r>
    </w:p>
    <w:p w14:paraId="3CA3CFD0">
      <w:pPr>
        <w:spacing w:line="360" w:lineRule="auto"/>
        <w:ind w:firstLine="437"/>
        <w:rPr>
          <w:rFonts w:hint="eastAsia" w:ascii="宋体" w:hAnsi="宋体" w:eastAsia="宋体" w:cs="宋体"/>
          <w:bCs/>
          <w:color w:val="auto"/>
          <w:sz w:val="24"/>
          <w:szCs w:val="18"/>
          <w:highlight w:val="none"/>
          <w:lang w:val="en-US" w:eastAsia="zh-CN"/>
        </w:rPr>
      </w:pPr>
      <w:bookmarkStart w:id="112" w:name="_Toc31977"/>
      <w:bookmarkStart w:id="113" w:name="_Toc71292059"/>
      <w:r>
        <w:rPr>
          <w:rFonts w:hint="eastAsia" w:ascii="宋体" w:hAnsi="宋体" w:eastAsia="宋体" w:cs="宋体"/>
          <w:bCs/>
          <w:color w:val="auto"/>
          <w:sz w:val="24"/>
          <w:szCs w:val="18"/>
          <w:highlight w:val="none"/>
          <w:lang w:val="en-US" w:eastAsia="zh-CN"/>
        </w:rPr>
        <w:t>会议查询</w:t>
      </w:r>
      <w:bookmarkEnd w:id="112"/>
      <w:bookmarkEnd w:id="113"/>
    </w:p>
    <w:p w14:paraId="6E565DE9">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与会者登录统一会议系统后可以看到预订的会议和需要参加的会议信息。同时</w:t>
      </w:r>
      <w:r>
        <w:rPr>
          <w:rFonts w:hint="eastAsia" w:ascii="宋体" w:hAnsi="宋体" w:eastAsia="宋体" w:cs="宋体"/>
          <w:bCs/>
          <w:color w:val="auto"/>
          <w:sz w:val="24"/>
          <w:szCs w:val="18"/>
          <w:highlight w:val="none"/>
          <w:lang w:val="en-US" w:eastAsia="zh-CN"/>
        </w:rPr>
        <w:t>可</w:t>
      </w:r>
      <w:r>
        <w:rPr>
          <w:rFonts w:hint="eastAsia" w:ascii="宋体" w:hAnsi="宋体" w:eastAsia="宋体" w:cs="宋体"/>
          <w:bCs/>
          <w:color w:val="auto"/>
          <w:sz w:val="24"/>
          <w:szCs w:val="18"/>
          <w:highlight w:val="none"/>
          <w:lang w:val="zh-CN" w:eastAsia="zh-CN"/>
        </w:rPr>
        <w:t>通过时间轴会议信息栏上的入会按钮加入会议。</w:t>
      </w:r>
    </w:p>
    <w:p w14:paraId="5523DE55">
      <w:pPr>
        <w:spacing w:line="360" w:lineRule="auto"/>
        <w:ind w:firstLine="437"/>
        <w:rPr>
          <w:rFonts w:hint="eastAsia" w:ascii="宋体" w:hAnsi="宋体" w:eastAsia="宋体" w:cs="宋体"/>
          <w:bCs/>
          <w:color w:val="auto"/>
          <w:sz w:val="24"/>
          <w:szCs w:val="18"/>
          <w:highlight w:val="none"/>
          <w:lang w:val="en-US" w:eastAsia="zh-CN"/>
        </w:rPr>
      </w:pPr>
      <w:bookmarkStart w:id="114" w:name="_Toc71292060"/>
      <w:bookmarkStart w:id="115" w:name="_Toc11027"/>
      <w:r>
        <w:rPr>
          <w:rFonts w:hint="eastAsia" w:ascii="宋体" w:hAnsi="宋体" w:eastAsia="宋体" w:cs="宋体"/>
          <w:bCs/>
          <w:color w:val="auto"/>
          <w:sz w:val="24"/>
          <w:szCs w:val="18"/>
          <w:highlight w:val="none"/>
          <w:lang w:val="en-US" w:eastAsia="zh-CN"/>
        </w:rPr>
        <w:t>会议入会</w:t>
      </w:r>
      <w:bookmarkEnd w:id="114"/>
      <w:bookmarkEnd w:id="115"/>
    </w:p>
    <w:p w14:paraId="5978162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支持会议终端、移动终端同时接入会议，支持语音、视频和数据协作。针对不同的终端用户提供多种入会方式，支持不同的客户端被会议主席外呼邀请加入会议。</w:t>
      </w:r>
    </w:p>
    <w:p w14:paraId="02B9A7D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启停静音</w:t>
      </w:r>
    </w:p>
    <w:p w14:paraId="7BF2AE5B">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全体静音启停：</w:t>
      </w:r>
      <w:r>
        <w:rPr>
          <w:rFonts w:hint="eastAsia" w:ascii="宋体" w:hAnsi="宋体" w:eastAsia="宋体" w:cs="宋体"/>
          <w:bCs/>
          <w:color w:val="auto"/>
          <w:sz w:val="24"/>
          <w:szCs w:val="18"/>
          <w:highlight w:val="none"/>
          <w:lang w:val="en-US" w:eastAsia="zh-CN"/>
        </w:rPr>
        <w:t>主控单元</w:t>
      </w:r>
      <w:r>
        <w:rPr>
          <w:rFonts w:hint="eastAsia" w:ascii="宋体" w:hAnsi="宋体" w:eastAsia="宋体" w:cs="宋体"/>
          <w:bCs/>
          <w:color w:val="auto"/>
          <w:sz w:val="24"/>
          <w:szCs w:val="18"/>
          <w:highlight w:val="none"/>
          <w:lang w:val="zh-CN" w:eastAsia="zh-CN"/>
        </w:rPr>
        <w:t>可以启动或停止所有用户的麦克风。</w:t>
      </w:r>
    </w:p>
    <w:p w14:paraId="6199B9E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个人静音启停：</w:t>
      </w:r>
      <w:r>
        <w:rPr>
          <w:rFonts w:hint="eastAsia" w:ascii="宋体" w:hAnsi="宋体" w:eastAsia="宋体" w:cs="宋体"/>
          <w:bCs/>
          <w:color w:val="auto"/>
          <w:sz w:val="24"/>
          <w:szCs w:val="18"/>
          <w:highlight w:val="none"/>
          <w:lang w:val="en-US" w:eastAsia="zh-CN"/>
        </w:rPr>
        <w:t>主控单元可以</w:t>
      </w:r>
      <w:r>
        <w:rPr>
          <w:rFonts w:hint="eastAsia" w:ascii="宋体" w:hAnsi="宋体" w:eastAsia="宋体" w:cs="宋体"/>
          <w:bCs/>
          <w:color w:val="auto"/>
          <w:sz w:val="24"/>
          <w:szCs w:val="18"/>
          <w:highlight w:val="none"/>
          <w:lang w:val="zh-CN" w:eastAsia="zh-CN"/>
        </w:rPr>
        <w:t>在“与会成员”列表中调节用户音量，启动或停止用户的麦克风。</w:t>
      </w:r>
    </w:p>
    <w:p w14:paraId="6C3C628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启停广播</w:t>
      </w:r>
    </w:p>
    <w:p w14:paraId="7643DF82">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停止广播：</w:t>
      </w:r>
      <w:r>
        <w:rPr>
          <w:rFonts w:hint="eastAsia" w:ascii="宋体" w:hAnsi="宋体" w:eastAsia="宋体" w:cs="宋体"/>
          <w:bCs/>
          <w:color w:val="auto"/>
          <w:sz w:val="24"/>
          <w:szCs w:val="18"/>
          <w:highlight w:val="none"/>
          <w:lang w:val="en-US" w:eastAsia="zh-CN"/>
        </w:rPr>
        <w:t>主控单元</w:t>
      </w:r>
      <w:r>
        <w:rPr>
          <w:rFonts w:hint="eastAsia" w:ascii="宋体" w:hAnsi="宋体" w:eastAsia="宋体" w:cs="宋体"/>
          <w:bCs/>
          <w:color w:val="auto"/>
          <w:sz w:val="24"/>
          <w:szCs w:val="18"/>
          <w:highlight w:val="none"/>
          <w:lang w:val="zh-CN" w:eastAsia="zh-CN"/>
        </w:rPr>
        <w:t>可以关闭广播，重置主视频至初始播放模式。</w:t>
      </w:r>
    </w:p>
    <w:p w14:paraId="64B96C62">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个人广播启停：</w:t>
      </w:r>
      <w:r>
        <w:rPr>
          <w:rFonts w:hint="eastAsia" w:ascii="宋体" w:hAnsi="宋体" w:eastAsia="宋体" w:cs="宋体"/>
          <w:bCs/>
          <w:color w:val="auto"/>
          <w:sz w:val="24"/>
          <w:szCs w:val="18"/>
          <w:highlight w:val="none"/>
          <w:lang w:val="en-US" w:eastAsia="zh-CN"/>
        </w:rPr>
        <w:t>主控单元</w:t>
      </w:r>
      <w:r>
        <w:rPr>
          <w:rFonts w:hint="eastAsia" w:ascii="宋体" w:hAnsi="宋体" w:eastAsia="宋体" w:cs="宋体"/>
          <w:bCs/>
          <w:color w:val="auto"/>
          <w:sz w:val="24"/>
          <w:szCs w:val="18"/>
          <w:highlight w:val="none"/>
          <w:lang w:val="zh-CN" w:eastAsia="zh-CN"/>
        </w:rPr>
        <w:t>可以在主视频广播该用户的视频画面，</w:t>
      </w:r>
      <w:r>
        <w:rPr>
          <w:rFonts w:hint="eastAsia" w:ascii="宋体" w:hAnsi="宋体" w:eastAsia="宋体" w:cs="宋体"/>
          <w:bCs/>
          <w:color w:val="auto"/>
          <w:sz w:val="24"/>
          <w:szCs w:val="18"/>
          <w:highlight w:val="none"/>
          <w:lang w:val="en-US" w:eastAsia="zh-CN"/>
        </w:rPr>
        <w:t>也</w:t>
      </w:r>
      <w:r>
        <w:rPr>
          <w:rFonts w:hint="eastAsia" w:ascii="宋体" w:hAnsi="宋体" w:eastAsia="宋体" w:cs="宋体"/>
          <w:bCs/>
          <w:color w:val="auto"/>
          <w:sz w:val="24"/>
          <w:szCs w:val="18"/>
          <w:highlight w:val="none"/>
          <w:lang w:val="zh-CN" w:eastAsia="zh-CN"/>
        </w:rPr>
        <w:t>可重置主视频至初始播放模式。</w:t>
      </w:r>
    </w:p>
    <w:p w14:paraId="6CA16BE8">
      <w:pPr>
        <w:spacing w:line="360" w:lineRule="auto"/>
        <w:ind w:firstLine="437"/>
        <w:rPr>
          <w:rFonts w:hint="eastAsia" w:ascii="宋体" w:hAnsi="宋体" w:eastAsia="宋体" w:cs="宋体"/>
          <w:bCs/>
          <w:color w:val="auto"/>
          <w:sz w:val="24"/>
          <w:szCs w:val="18"/>
          <w:highlight w:val="none"/>
          <w:lang w:val="en-US" w:eastAsia="zh-CN"/>
        </w:rPr>
      </w:pPr>
      <w:bookmarkStart w:id="116" w:name="_Toc9498"/>
      <w:bookmarkStart w:id="117" w:name="_Toc71292062"/>
      <w:r>
        <w:rPr>
          <w:rFonts w:hint="eastAsia" w:ascii="宋体" w:hAnsi="宋体" w:eastAsia="宋体" w:cs="宋体"/>
          <w:bCs/>
          <w:color w:val="auto"/>
          <w:sz w:val="24"/>
          <w:szCs w:val="18"/>
          <w:highlight w:val="none"/>
          <w:lang w:val="en-US" w:eastAsia="zh-CN"/>
        </w:rPr>
        <w:t>GIS地图调度</w:t>
      </w:r>
      <w:bookmarkEnd w:id="116"/>
      <w:bookmarkEnd w:id="117"/>
    </w:p>
    <w:p w14:paraId="53445948">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提供终端实时状态的获取和展示功能，用来展示终端的在线或离线使用情况，并通过终端管理可视化功能，使用 GIS定位在地图显示终端，或在系统资源管理页面对终端进行树状、列表等各种展示。也可以根据终端类型进行相应的图层过滤。</w:t>
      </w:r>
    </w:p>
    <w:p w14:paraId="6E1317C7">
      <w:pPr>
        <w:spacing w:line="360" w:lineRule="auto"/>
        <w:ind w:firstLine="437"/>
        <w:rPr>
          <w:rFonts w:hint="eastAsia" w:ascii="宋体" w:hAnsi="宋体" w:eastAsia="宋体" w:cs="宋体"/>
          <w:bCs/>
          <w:color w:val="auto"/>
          <w:sz w:val="24"/>
          <w:szCs w:val="18"/>
          <w:highlight w:val="none"/>
          <w:lang w:val="en-US" w:eastAsia="zh-CN"/>
        </w:rPr>
      </w:pPr>
      <w:bookmarkStart w:id="118" w:name="_Toc71292063"/>
      <w:bookmarkStart w:id="119" w:name="_Toc12464"/>
      <w:r>
        <w:rPr>
          <w:rFonts w:hint="eastAsia" w:ascii="宋体" w:hAnsi="宋体" w:eastAsia="宋体" w:cs="宋体"/>
          <w:bCs/>
          <w:color w:val="auto"/>
          <w:sz w:val="24"/>
          <w:szCs w:val="18"/>
          <w:highlight w:val="none"/>
          <w:lang w:val="en-US" w:eastAsia="zh-CN"/>
        </w:rPr>
        <w:t>发起呼叫业务</w:t>
      </w:r>
      <w:bookmarkEnd w:id="118"/>
      <w:bookmarkEnd w:id="119"/>
    </w:p>
    <w:p w14:paraId="194B8AC6">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通过地图上终端的状态及地理位置，在各应用系统中对终端发起自己的应用功能，比如对终端发起会议邀请、视频回传、语音通话、组建群组等业务功能。</w:t>
      </w:r>
    </w:p>
    <w:p w14:paraId="21B1B1CD">
      <w:pPr>
        <w:spacing w:line="360" w:lineRule="auto"/>
        <w:ind w:firstLine="437"/>
        <w:rPr>
          <w:rFonts w:hint="eastAsia" w:ascii="宋体" w:hAnsi="宋体" w:eastAsia="宋体" w:cs="宋体"/>
          <w:bCs/>
          <w:color w:val="auto"/>
          <w:sz w:val="24"/>
          <w:szCs w:val="18"/>
          <w:highlight w:val="none"/>
          <w:lang w:val="en-US" w:eastAsia="zh-CN"/>
        </w:rPr>
      </w:pPr>
      <w:bookmarkStart w:id="120" w:name="_Toc71292064"/>
      <w:bookmarkStart w:id="121" w:name="_Toc10690"/>
      <w:r>
        <w:rPr>
          <w:rFonts w:hint="eastAsia" w:ascii="宋体" w:hAnsi="宋体" w:eastAsia="宋体" w:cs="宋体"/>
          <w:bCs/>
          <w:color w:val="auto"/>
          <w:sz w:val="24"/>
          <w:szCs w:val="18"/>
          <w:highlight w:val="none"/>
          <w:lang w:val="en-US" w:eastAsia="zh-CN"/>
        </w:rPr>
        <w:t>创建群组</w:t>
      </w:r>
      <w:bookmarkEnd w:id="120"/>
      <w:bookmarkEnd w:id="121"/>
    </w:p>
    <w:p w14:paraId="609610C6">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根据地图上展示的资源数据，通过框选功能，选中对应的资源，能够对选中的资源创建临时群组，并发起群组业务操作。</w:t>
      </w:r>
    </w:p>
    <w:p w14:paraId="71B4BE25">
      <w:pPr>
        <w:spacing w:line="360" w:lineRule="auto"/>
        <w:ind w:firstLine="437"/>
        <w:rPr>
          <w:rFonts w:hint="eastAsia" w:ascii="宋体" w:hAnsi="宋体" w:eastAsia="宋体" w:cs="宋体"/>
          <w:bCs/>
          <w:color w:val="auto"/>
          <w:sz w:val="24"/>
          <w:szCs w:val="18"/>
          <w:highlight w:val="none"/>
          <w:lang w:val="en-US" w:eastAsia="zh-CN"/>
        </w:rPr>
      </w:pPr>
      <w:bookmarkStart w:id="122" w:name="_Toc71292065"/>
      <w:bookmarkStart w:id="123" w:name="_Toc25151"/>
      <w:r>
        <w:rPr>
          <w:rFonts w:hint="eastAsia" w:ascii="宋体" w:hAnsi="宋体" w:eastAsia="宋体" w:cs="宋体"/>
          <w:bCs/>
          <w:color w:val="auto"/>
          <w:sz w:val="24"/>
          <w:szCs w:val="18"/>
          <w:highlight w:val="none"/>
          <w:lang w:val="en-US" w:eastAsia="zh-CN"/>
        </w:rPr>
        <w:t>行动轨迹</w:t>
      </w:r>
      <w:bookmarkEnd w:id="122"/>
      <w:bookmarkEnd w:id="123"/>
    </w:p>
    <w:p w14:paraId="56D740B9">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提供查看终端行动轨迹的功能，支持按照时间进行筛选，支持快放、慢放。</w:t>
      </w:r>
    </w:p>
    <w:p w14:paraId="23D1416C">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 xml:space="preserve"> 预案管理</w:t>
      </w:r>
    </w:p>
    <w:p w14:paraId="262F35A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预案库</w:t>
      </w:r>
    </w:p>
    <w:p w14:paraId="19D036BF">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支持预案号、预案名称、预案类型、所属辖区、编辑时间的检索。在展示上按照分页进行展示，操作列支持编辑、查看历史版本以及删除等操作。预案资源为系统级全局资源，所有调度坐席可见。</w:t>
      </w:r>
    </w:p>
    <w:p w14:paraId="0CC62E1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预案版本</w:t>
      </w:r>
    </w:p>
    <w:p w14:paraId="7E3A92A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支持历史版本的管理和维护，在预案匹配时，调度坐席可以根据事件的需求进行预案及版本的选择。</w:t>
      </w:r>
    </w:p>
    <w:p w14:paraId="4380AE9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新增与修改</w:t>
      </w:r>
    </w:p>
    <w:p w14:paraId="3FCF1531">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新增预案时，支持预案名称、预案类型、预案分类、所属辖区、响应级别、编制单位、发布单位、发布时间、实施时间、处置工作组、预案详情、预案文件等字段。</w:t>
      </w:r>
    </w:p>
    <w:p w14:paraId="2A8C43D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删除预案</w:t>
      </w:r>
    </w:p>
    <w:p w14:paraId="6320A2C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删除预案时，需要提示是否删除所有历史版本，确定后则删除此预案的所有历史版本。</w:t>
      </w:r>
    </w:p>
    <w:p w14:paraId="04002CA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处置工作组</w:t>
      </w:r>
    </w:p>
    <w:p w14:paraId="03C8C6FF">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支持处置工作组名称、责任主体、联系人、联系人电话以及主要工作事项等字段。支持常规的增删改查即可，处置工作组为系统级全局资源，所有调度坐席可见。</w:t>
      </w:r>
    </w:p>
    <w:p w14:paraId="5DF8760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事件管理</w:t>
      </w:r>
    </w:p>
    <w:p w14:paraId="34B2D1A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按照不同的等级进行颜色标注，使用不同的图标标识不同的事件类型，所有事件支持详情查看。</w:t>
      </w:r>
    </w:p>
    <w:p w14:paraId="79938AA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实时事件列表</w:t>
      </w:r>
    </w:p>
    <w:p w14:paraId="3B0E8954">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按照录入事件倒序展示实</w:t>
      </w:r>
      <w:r>
        <w:rPr>
          <w:rFonts w:hint="eastAsia" w:ascii="宋体" w:hAnsi="宋体" w:eastAsia="宋体" w:cs="宋体"/>
          <w:bCs/>
          <w:color w:val="auto"/>
          <w:sz w:val="24"/>
          <w:szCs w:val="18"/>
          <w:highlight w:val="none"/>
          <w:lang w:val="en-US" w:eastAsia="zh-CN"/>
        </w:rPr>
        <w:t>时</w:t>
      </w:r>
      <w:r>
        <w:rPr>
          <w:rFonts w:hint="eastAsia" w:ascii="宋体" w:hAnsi="宋体" w:eastAsia="宋体" w:cs="宋体"/>
          <w:bCs/>
          <w:color w:val="auto"/>
          <w:sz w:val="24"/>
          <w:szCs w:val="18"/>
          <w:highlight w:val="none"/>
          <w:lang w:val="zh-CN" w:eastAsia="zh-CN"/>
        </w:rPr>
        <w:t>事件。需要展示事件级别、事件状态、事件标题和事件发生时间。在地图上需要以地理定位的方式展示出所有的实时事件。事件以不同颜色标识不同的事件级别，点击后展示事件概要信息，地图或列表的事件都支持选中进入处置过程。</w:t>
      </w:r>
    </w:p>
    <w:p w14:paraId="36B47D8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事件管理</w:t>
      </w:r>
    </w:p>
    <w:p w14:paraId="58857CA2">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以表格形式呈现事件概要信息，可以通过多种条件进行检索。支持事件检索查询、导出、修改、删除和结束。</w:t>
      </w:r>
    </w:p>
    <w:p w14:paraId="6D84B26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其他</w:t>
      </w:r>
    </w:p>
    <w:p w14:paraId="6BCBD2B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个人中心</w:t>
      </w:r>
    </w:p>
    <w:p w14:paraId="5B6A7345">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界面右上角显示登录的用户的用户名，</w:t>
      </w:r>
      <w:r>
        <w:rPr>
          <w:rFonts w:hint="eastAsia" w:ascii="宋体" w:hAnsi="宋体" w:eastAsia="宋体" w:cs="宋体"/>
          <w:bCs/>
          <w:color w:val="auto"/>
          <w:sz w:val="24"/>
          <w:szCs w:val="18"/>
          <w:highlight w:val="none"/>
          <w:lang w:val="en-US" w:eastAsia="zh-CN"/>
        </w:rPr>
        <w:t>查看</w:t>
      </w:r>
      <w:r>
        <w:rPr>
          <w:rFonts w:hint="eastAsia" w:ascii="宋体" w:hAnsi="宋体" w:eastAsia="宋体" w:cs="宋体"/>
          <w:bCs/>
          <w:color w:val="auto"/>
          <w:sz w:val="24"/>
          <w:szCs w:val="18"/>
          <w:highlight w:val="none"/>
          <w:lang w:val="zh-CN" w:eastAsia="zh-CN"/>
        </w:rPr>
        <w:t>服务连接状态，可根据需要分别查看各类信息。</w:t>
      </w:r>
    </w:p>
    <w:p w14:paraId="7F6137F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群组卡片</w:t>
      </w:r>
    </w:p>
    <w:p w14:paraId="7259497E">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用户可以打开或者关闭群组卡片，将订阅群组拖动至群组卡片上，可以快速使用组呼功能，将群组拖动至放置群组的群组卡片上会替换群组卡片上放置的群组。</w:t>
      </w:r>
    </w:p>
    <w:p w14:paraId="12BF78B4">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视频窗口</w:t>
      </w:r>
    </w:p>
    <w:p w14:paraId="4BE62733">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用户可以打开或者关闭视频窗口。在通讯录中将摄像头拖动至任一视频窗口后，可以在该窗口中播放摄像头视频。</w:t>
      </w:r>
    </w:p>
    <w:p w14:paraId="08216CC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离线资源展示</w:t>
      </w:r>
    </w:p>
    <w:p w14:paraId="456EBDF7">
      <w:pPr>
        <w:spacing w:line="360" w:lineRule="auto"/>
        <w:ind w:firstLine="437"/>
        <w:rPr>
          <w:rFonts w:hint="eastAsia" w:ascii="宋体" w:hAnsi="宋体" w:eastAsia="宋体" w:cs="宋体"/>
          <w:bCs/>
          <w:color w:val="auto"/>
          <w:sz w:val="24"/>
          <w:szCs w:val="18"/>
          <w:highlight w:val="none"/>
          <w:lang w:val="zh-CN" w:eastAsia="zh-CN"/>
        </w:rPr>
      </w:pPr>
      <w:r>
        <w:rPr>
          <w:rFonts w:hint="eastAsia" w:ascii="宋体" w:hAnsi="宋体" w:eastAsia="宋体" w:cs="宋体"/>
          <w:bCs/>
          <w:color w:val="auto"/>
          <w:sz w:val="24"/>
          <w:szCs w:val="18"/>
          <w:highlight w:val="none"/>
          <w:lang w:val="zh-CN" w:eastAsia="zh-CN"/>
        </w:rPr>
        <w:t>用户可以打开或者关闭离线资源展示。关闭离线资源展示后，地图中将不展示离线资源。</w:t>
      </w:r>
    </w:p>
    <w:p w14:paraId="499751D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应用场景</w:t>
      </w:r>
    </w:p>
    <w:p w14:paraId="3E2EB038">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重要活动保障</w:t>
      </w:r>
    </w:p>
    <w:p w14:paraId="04042F12">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目前滁州市各类活动开展频繁，特别是明湖奥体中心开展一系列重大活动，人员聚集度高，容易发生安全事件，需要将现场安保人员、警员、医护人员、筹办单位等进行统一调度，协同指挥，避免发生安全事故。</w:t>
      </w:r>
    </w:p>
    <w:p w14:paraId="5A86FC7A">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活动举办前：</w:t>
      </w:r>
    </w:p>
    <w:p w14:paraId="201714A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在确定好重要活动举办的时间和地点后，将举办活动地点附近卡口的视频监控接入到融合通信平台上，通过视频监控时刻关注是否有安全隐患，一经发现，及时通知相关部门进行整改。针对本次活动，在融合通信平台上进行视频会商，讨论设计相关预案，建立组织机构，明确任务分工，落实工作责任制。做好值班值守，加强巡逻。</w:t>
      </w:r>
    </w:p>
    <w:p w14:paraId="0937B23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活动举办时：</w:t>
      </w:r>
    </w:p>
    <w:p w14:paraId="0788F303">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对活动现场进行实时监控，针对狭窄道路、小巷等，出现人流拥挤等情况，城运中心通过手机、对讲机、执法记录仪等多种设备和途径语音调度安保人员前往现场进行疏通，结合多个路段的实时路况，提供通行和疏散路线，避免出现安全事件。在疏散过程中，通过执法记录仪实时回传视频了解现场情况。一线人员通过手持终端进行实时交流。可以实时将现场画面回传到指挥中心并留存，确保处理过程中的高效以及事后可以回溯。</w:t>
      </w:r>
    </w:p>
    <w:p w14:paraId="4D994E5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活动结束后：</w:t>
      </w:r>
    </w:p>
    <w:p w14:paraId="64339A69">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有序地安排工作人员引导群众散场，通过视频监控实时了解各个方位人流情况，及时对拥堵路段进行疏通，全力保障活动顺利结束。</w:t>
      </w:r>
    </w:p>
    <w:p w14:paraId="0C743D8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应急救援</w:t>
      </w:r>
    </w:p>
    <w:p w14:paraId="3DB683D1">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 xml:space="preserve">  当发生森林火灾或者重大交通事故时，现场通信手段缺失，构建临时基站满足音视频的通信需求，将现场信号通过公网或卫星回传到后方指挥中心，实现前后方指挥互通，协调资源进行处置。</w:t>
      </w:r>
    </w:p>
    <w:p w14:paraId="7C0067A5">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救援前：</w:t>
      </w:r>
    </w:p>
    <w:p w14:paraId="0826E9E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在融合通信平台上进行视频会商，讨论出符合绝大多数场景的预案，按照制定好的相关预案，通过融合通信平台进行日常周期性演练，督促做好安全事件的预防措施和应急处置等各项准备工作。</w:t>
      </w:r>
    </w:p>
    <w:p w14:paraId="75A849FF">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救援中：</w:t>
      </w:r>
    </w:p>
    <w:p w14:paraId="43DA659B">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在融合通信平台上发布应急救援通知，通过平台组织指挥应急队伍和街道办事处进行应急救援行动，通过基站满足现场音视频通讯的需求，利用视频监控、记录仪、无人机、手机Volte等手段将现场视频实时回传到后方指挥中心，了解最新进展和情况，调度相应资源进行救援行动。</w:t>
      </w:r>
    </w:p>
    <w:p w14:paraId="584E48BE">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救援后：</w:t>
      </w:r>
    </w:p>
    <w:p w14:paraId="6FC17727">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事故发生后，除了防止事故扩大或抢救伤员而采取的必要措施以外，保护好事故现场，以备调查分析，并且安排工作人员进行隐患排查，防止发生二次灾害。查明事故原因以后，通过视频会商研讨，制定此类事件的对策及应急预案。</w:t>
      </w:r>
    </w:p>
    <w:p w14:paraId="63BDE2B0">
      <w:pPr>
        <w:spacing w:line="360" w:lineRule="auto"/>
        <w:ind w:firstLine="437"/>
        <w:rPr>
          <w:rFonts w:hint="eastAsia" w:ascii="宋体" w:hAnsi="宋体" w:eastAsia="宋体" w:cs="宋体"/>
          <w:bCs/>
          <w:color w:val="auto"/>
          <w:sz w:val="24"/>
          <w:szCs w:val="18"/>
          <w:highlight w:val="none"/>
          <w:lang w:val="en-US" w:eastAsia="zh-CN"/>
        </w:rPr>
      </w:pPr>
      <w:r>
        <w:rPr>
          <w:rFonts w:hint="eastAsia" w:ascii="宋体" w:hAnsi="宋体" w:eastAsia="宋体" w:cs="宋体"/>
          <w:bCs/>
          <w:color w:val="auto"/>
          <w:sz w:val="24"/>
          <w:szCs w:val="18"/>
          <w:highlight w:val="none"/>
          <w:lang w:val="en-US" w:eastAsia="zh-CN"/>
        </w:rPr>
        <w:t>防汛抗洪</w:t>
      </w:r>
    </w:p>
    <w:p w14:paraId="0501FAFF">
      <w:pPr>
        <w:spacing w:line="360" w:lineRule="auto"/>
        <w:ind w:firstLine="437"/>
        <w:rPr>
          <w:rFonts w:hint="eastAsia" w:ascii="宋体" w:hAnsi="宋体" w:eastAsia="宋体" w:cs="宋体"/>
          <w:bCs/>
          <w:color w:val="auto"/>
          <w:sz w:val="24"/>
          <w:szCs w:val="18"/>
          <w:highlight w:val="none"/>
          <w:lang w:val="en-US" w:eastAsia="zh-CN"/>
        </w:rPr>
      </w:pPr>
      <w:bookmarkStart w:id="124" w:name="_Hlk109774308"/>
      <w:r>
        <w:rPr>
          <w:rFonts w:hint="eastAsia" w:ascii="宋体" w:hAnsi="宋体" w:eastAsia="宋体" w:cs="宋体"/>
          <w:bCs/>
          <w:color w:val="auto"/>
          <w:sz w:val="24"/>
          <w:szCs w:val="18"/>
          <w:highlight w:val="none"/>
          <w:lang w:val="en-US" w:eastAsia="zh-CN"/>
        </w:rPr>
        <w:t>防汛抗洪涉及多部门的协同处置工作，首先在指挥中心完善防汛指挥组织结构，在市、县乡镇设立不同的防汛指挥群组，明确分工和区域划分，并要求相关组织人员保持24小时通讯畅通，随时待命。</w:t>
      </w:r>
    </w:p>
    <w:p w14:paraId="732BBD9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18"/>
          <w:highlight w:val="none"/>
          <w:lang w:val="en-US" w:eastAsia="zh-CN"/>
        </w:rPr>
        <w:t>气象发布汛期预警时，指挥中心在事前安排相关部门做好隐患排查，在事中通过视频调看故障点位，及时安排专业人员排除故障，如水电修复，管道修复等，涉及群众转移的可请求公安交警协同；依托融合通信平台，做好值班值守，事后对整个事</w:t>
      </w:r>
      <w:r>
        <w:rPr>
          <w:rFonts w:hint="eastAsia" w:ascii="宋体" w:hAnsi="宋体" w:eastAsia="宋体" w:cs="宋体"/>
          <w:color w:val="auto"/>
          <w:kern w:val="2"/>
          <w:sz w:val="24"/>
          <w:szCs w:val="24"/>
          <w:highlight w:val="none"/>
          <w:lang w:val="en-US" w:eastAsia="zh-CN" w:bidi="ar-SA"/>
        </w:rPr>
        <w:t>件处置过程进行分析总结，形成预案。</w:t>
      </w:r>
    </w:p>
    <w:bookmarkEnd w:id="124"/>
    <w:p w14:paraId="1B7745A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（3）网格化服务管理平台能力提升</w:t>
      </w:r>
    </w:p>
    <w:p w14:paraId="4FFEFA3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目前滁州市网格化服务管理平台现状，在原有基本数据展示的基础上，通过把系统数据大屏可视化与融合通信平台接口能力调用的有机结合，最终实现滁州市网格化服务管理平台依托融合通信平台进行能力全面升级的目标，进一步深化一屏总览、一图指挥、一键会商等多个大屏综合实战应用。</w:t>
      </w:r>
    </w:p>
    <w:p w14:paraId="01CDC27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融合通信底座对接</w:t>
      </w:r>
    </w:p>
    <w:p w14:paraId="2D3EA12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依托融合通信平台，滁州市网格化服务管理平台对接对方统一的移动视频源调用接口，将融合通信平台中的摄像头、执法终端的实时现场画面融合进指挥调度大屏中，最终实现移动视频源的视频汇聚功能。</w:t>
      </w:r>
    </w:p>
    <w:p w14:paraId="38CB689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网格化平台对接获取融合通信平台移动视频源的实时GIS定位经纬度，并将经纬度匹配至对应地图区域，将移动视频源点位在网格地图上进行热力分布分析、撒点展示，并可根据视频密度进行接口调用及分布位置管理，对重点区域、重点人员等所处位置进行点位分析，对视频点位分布不足的地方后期补充建设提供决策依据。</w:t>
      </w:r>
    </w:p>
    <w:p w14:paraId="6D325D1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视频能力提升</w:t>
      </w:r>
    </w:p>
    <w:p w14:paraId="21B2554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依托融合通信平台，滁州市网格化服务管理平台对接对方统一的移动视频源调用接口，将融合通信平台中的摄像头、执法终端的实时现场画面融合进指挥调度大屏中，最终实现移动视频源的视频汇聚功能。</w:t>
      </w:r>
    </w:p>
    <w:p w14:paraId="540E041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格化平台对接获取融合通信平台移动视频源的实时GIS定位经纬度，并将经纬度匹配至对应地图区域，将移动视频源点位在网格地图上进行热力分布分析、撒点展示，并可根据视频密度进行接口调用及分布位置管理，对重点区域、重点人员等所处位置进行点位分析，对视频点位分布不足的地方后期补充建设提供决策依据。</w:t>
      </w:r>
    </w:p>
    <w:p w14:paraId="064F1B8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GIS定位对接</w:t>
      </w:r>
    </w:p>
    <w:p w14:paraId="2D53ED9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融合通信平台定时抓取接入终端设备的经纬度GIS定位，滁州市网格化服务管理平台获取实时定位，在此基础上形成网格要素撒点、网格要素轨迹等系统应用。</w:t>
      </w:r>
    </w:p>
    <w:p w14:paraId="1C2256A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会议能力对接</w:t>
      </w:r>
    </w:p>
    <w:p w14:paraId="768AB05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对接融合通信平台的音视频通信接口，实现网格化系统各移动终端与联动指挥中心一对一、一对多的多场景通信能力，包括语音通话、视频聊天、远程会议、实时监控等。</w:t>
      </w:r>
    </w:p>
    <w:p w14:paraId="0BFBF00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对接融合通信平台的会议能力接口，定制化开发会议召集、会议看板、会场控制、会议成员管理、即时通讯等各项会议管理功能。</w:t>
      </w:r>
    </w:p>
    <w:p w14:paraId="763F614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智慧城市运行管理中心</w:t>
      </w:r>
      <w:r>
        <w:rPr>
          <w:rFonts w:hint="eastAsia" w:ascii="宋体" w:hAnsi="宋体" w:eastAsia="宋体" w:cs="宋体"/>
          <w:color w:val="auto"/>
          <w:kern w:val="2"/>
          <w:sz w:val="24"/>
          <w:szCs w:val="24"/>
          <w:highlight w:val="none"/>
          <w:lang w:val="en-US" w:eastAsia="zh-Hans" w:bidi="ar-SA"/>
        </w:rPr>
        <w:t>日常指挥应用</w:t>
      </w:r>
    </w:p>
    <w:p w14:paraId="40554EF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一屏统览</w:t>
      </w:r>
    </w:p>
    <w:p w14:paraId="1B52B3A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屏统览作为智慧城市建设的重要组成部分，基于网格化服务管理平台“一屏观滁州”，对原有功能进行优化，将各类数据进行可视化分析、图表化展示和管理，各部门按照数据共享流程，就可实现可视化数据的交换共享，在指挥中心的“大屏”、PC端的“中屏”及移动端的“小屏”上呈现，以辅助决策。</w:t>
      </w:r>
    </w:p>
    <w:p w14:paraId="70FFEB9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实时数据调度上图</w:t>
      </w:r>
    </w:p>
    <w:p w14:paraId="5883549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在指挥调度界面上，可以提供实时数据调度功能，对人员、车辆、终端设备等进行上图，根据人员使用手机APP GPS定位、车辆GPS定位、终端设备点位上传信号等，将实时数据回传至城运中心，根据回传数据在大屏地图上进行标点，实现一张图可统览网格内资源。若网格内内发生紧急事件时，可通过大屏对事件等及时调度指挥，根据已有的人员、车辆等数据，进行事件附近网格力量的调度。</w:t>
      </w:r>
    </w:p>
    <w:p w14:paraId="34C27B8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事件处置流程展示</w:t>
      </w:r>
    </w:p>
    <w:p w14:paraId="5E1CA8F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将事件流程的进度在大屏中进行展示，对原有事件详情进行升级，增加事件流程，便于城运中心了解事件处置进度，可根据事件处置情况进行及时调度或催办等。如事件分类、上报人、处置人、现场处置情况等内容以及事件处置后的结果闭环。</w:t>
      </w:r>
    </w:p>
    <w:p w14:paraId="4739D8D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一键</w:t>
      </w:r>
      <w:r>
        <w:rPr>
          <w:rFonts w:hint="eastAsia" w:ascii="宋体" w:hAnsi="宋体" w:eastAsia="宋体" w:cs="宋体"/>
          <w:color w:val="auto"/>
          <w:kern w:val="2"/>
          <w:sz w:val="24"/>
          <w:szCs w:val="24"/>
          <w:highlight w:val="none"/>
          <w:lang w:val="en-US" w:eastAsia="zh-Hans" w:bidi="ar-SA"/>
        </w:rPr>
        <w:t>会商</w:t>
      </w:r>
    </w:p>
    <w:p w14:paraId="35D31FC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视频会商为各部门提供协调处理和掌握情况的最直观的方式，也为领导的协商、决策提供系统基础。</w:t>
      </w:r>
    </w:p>
    <w:p w14:paraId="414920A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目前滁州市各部门内部大都已经建立了垂直的业务部门体系内的视频会议系统，但是各部门之间横向的视频会议系统仍没有建立，各部门的独有的视频会议系统由于各自硬件设备配置、品牌的不同，无法实现视频会议系统之间</w:t>
      </w:r>
      <w:r>
        <w:rPr>
          <w:rFonts w:hint="eastAsia" w:ascii="宋体" w:hAnsi="宋体" w:eastAsia="宋体" w:cs="宋体"/>
          <w:color w:val="auto"/>
          <w:kern w:val="2"/>
          <w:sz w:val="24"/>
          <w:szCs w:val="24"/>
          <w:highlight w:val="none"/>
          <w:lang w:val="en-US" w:eastAsia="zh-CN" w:bidi="ar-SA"/>
        </w:rPr>
        <w:t>的互联</w:t>
      </w:r>
      <w:r>
        <w:rPr>
          <w:rFonts w:hint="eastAsia" w:ascii="宋体" w:hAnsi="宋体" w:eastAsia="宋体" w:cs="宋体"/>
          <w:color w:val="auto"/>
          <w:kern w:val="2"/>
          <w:sz w:val="24"/>
          <w:szCs w:val="24"/>
          <w:highlight w:val="none"/>
          <w:lang w:val="en-US" w:eastAsia="zh-Hans" w:bidi="ar-SA"/>
        </w:rPr>
        <w:t>。这将使跨部门的应急处置遇到信息沟通障碍，同时也使协调、统一指挥的作用大打折扣。</w:t>
      </w:r>
    </w:p>
    <w:p w14:paraId="13C25F6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视频会议系统应该是一个集视频、语音、数据为一体的多媒体通讯网络平台，是融会议、培训为一体的系统，方便管理、使用的系统，完整成熟的系统，性能优良的系统以及先进可靠的系统，灵活扩展的系统，标准开放的系统。</w:t>
      </w:r>
    </w:p>
    <w:p w14:paraId="1A46D79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通讯录</w:t>
      </w:r>
    </w:p>
    <w:p w14:paraId="09148C2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将通讯录相关功能集成到会议中心，实现融合通信平台接入用户及移动视频源与网格化平台本地用户的通讯录整合，配合事件联动、微群联动、事件派单、指令下达的最基本功能组件，所有用户可查询相关用户的联系方式，同时可按用户职责、所属区域分组管理和更新。</w:t>
      </w:r>
    </w:p>
    <w:p w14:paraId="27B6EB5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功能包括单位通讯录和个人通讯了，单位通讯录只能查询所属单位权限内的通讯录信息。个人通讯录包括：查询联系人、删除联系人、增加联系人、修改联系人等。</w:t>
      </w:r>
    </w:p>
    <w:p w14:paraId="68101FE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系统支持用户在通讯录中点选人员快速召开会议。</w:t>
      </w:r>
    </w:p>
    <w:p w14:paraId="578D98C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会议群组</w:t>
      </w:r>
    </w:p>
    <w:p w14:paraId="554CC4D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视频会议按需召集与会人员，通过在系统内选择需要参会的人员建立会议群组，进行调度指挥语音、画面实时交流，参会人员可通过会已有的会议摄像头、手机APP、智能执法仪等会议终端参会。</w:t>
      </w:r>
    </w:p>
    <w:p w14:paraId="22B54AC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会议中心管理</w:t>
      </w:r>
    </w:p>
    <w:p w14:paraId="401FDB4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提供会议中心功能，用户可通过WEB 方式登陆会议中心完成会议预约、会议控制功能。会议组织支持即时会议和预定会议功能。预定会议方式下，会议的开始时间为将来某一时刻，当该时刻到达时，会议自动开始。在即时会议方式下，会议从当前时刻马上开始。</w:t>
      </w:r>
    </w:p>
    <w:p w14:paraId="1DB175F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会议预案管理</w:t>
      </w:r>
    </w:p>
    <w:p w14:paraId="2D01A06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会议预案管理用户设置会议主题、会议时间、参会人员、会议文件等为会议预案，根据预案类型和等级，系统支持启动紧急会议研判，一键开启融合通信会议。</w:t>
      </w:r>
    </w:p>
    <w:p w14:paraId="6B2665F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以现有视频会议系统为基础核心，完成委办局视频会议系统、终端融合互通，支持视频调度集成，统一视频调度对外的接口，支持在视频融合的基础上，提供更多的视频指挥调度类业务。</w:t>
      </w:r>
    </w:p>
    <w:p w14:paraId="1AF8EFE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即时通讯</w:t>
      </w:r>
    </w:p>
    <w:p w14:paraId="240105B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将相关通讯录功能集成到安全移动工作平台内，实现事件联动、微群联动、事件派单、指令下达的最基本的基础功能组件，所有用户可在移动端上查询相关用户的联系方式，同时可按用户职责、所属区域分组管理和更新。功能包括单位通讯录和个人通讯</w:t>
      </w:r>
      <w:r>
        <w:rPr>
          <w:rFonts w:hint="eastAsia" w:ascii="宋体" w:hAnsi="宋体" w:eastAsia="宋体" w:cs="宋体"/>
          <w:color w:val="auto"/>
          <w:kern w:val="2"/>
          <w:sz w:val="24"/>
          <w:szCs w:val="24"/>
          <w:highlight w:val="none"/>
          <w:lang w:val="en-US" w:eastAsia="zh-CN" w:bidi="ar-SA"/>
        </w:rPr>
        <w:t>录</w:t>
      </w:r>
      <w:r>
        <w:rPr>
          <w:rFonts w:hint="eastAsia" w:ascii="宋体" w:hAnsi="宋体" w:eastAsia="宋体" w:cs="宋体"/>
          <w:color w:val="auto"/>
          <w:kern w:val="2"/>
          <w:sz w:val="24"/>
          <w:szCs w:val="24"/>
          <w:highlight w:val="none"/>
          <w:lang w:val="en-US" w:eastAsia="zh-Hans" w:bidi="ar-SA"/>
        </w:rPr>
        <w:t>，单位通讯录只能查询所属单位权限内的通讯录信息。个人通讯录包括：查询联系人、删除联系人、增加联系人、修改联系人等。</w:t>
      </w:r>
    </w:p>
    <w:p w14:paraId="1E3AA8D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即时消息</w:t>
      </w:r>
    </w:p>
    <w:p w14:paraId="291D71A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通知消息分为接收消息和推送消息。其中，接收消息是指移动工作子系统可接收各个渠道发送来的消息，消息以气泡的方式在右下角显示。推送消息是指工作人员可根据已制定的模板，编制消息内容，同时根据通讯录里面的联系人，指</w:t>
      </w:r>
      <w:r>
        <w:rPr>
          <w:rFonts w:hint="eastAsia" w:ascii="宋体" w:hAnsi="宋体" w:eastAsia="宋体" w:cs="宋体"/>
          <w:color w:val="auto"/>
          <w:kern w:val="2"/>
          <w:sz w:val="24"/>
          <w:szCs w:val="24"/>
          <w:highlight w:val="none"/>
          <w:lang w:val="en-US" w:eastAsia="zh-CN" w:bidi="ar-SA"/>
        </w:rPr>
        <w:t>定</w:t>
      </w:r>
      <w:r>
        <w:rPr>
          <w:rFonts w:hint="eastAsia" w:ascii="宋体" w:hAnsi="宋体" w:eastAsia="宋体" w:cs="宋体"/>
          <w:color w:val="auto"/>
          <w:kern w:val="2"/>
          <w:sz w:val="24"/>
          <w:szCs w:val="24"/>
          <w:highlight w:val="none"/>
          <w:lang w:val="en-US" w:eastAsia="zh-Hans" w:bidi="ar-SA"/>
        </w:rPr>
        <w:t>发送通知消息。</w:t>
      </w:r>
    </w:p>
    <w:p w14:paraId="3BB7811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支持常见类型消息收发，包括文字</w:t>
      </w:r>
      <w:r>
        <w:rPr>
          <w:rFonts w:hint="eastAsia" w:ascii="宋体" w:hAnsi="宋体" w:eastAsia="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Hans" w:bidi="ar-SA"/>
        </w:rPr>
        <w:t>图片。支持多端多设备使用。用户点击未读消息直达相应的会话页面。</w:t>
      </w:r>
    </w:p>
    <w:p w14:paraId="2220E25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消息列表</w:t>
      </w:r>
    </w:p>
    <w:p w14:paraId="7FC68D1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在治理人员接收多条消息后，系统在右下角自动对消息接收时间进行先后顺序排序，并以列表的方式展示。同时，消息列表支持个性化的调整，治理人员根据消息推送人员的岗位、事件的紧急程度进行自定义方式的排序。</w:t>
      </w:r>
    </w:p>
    <w:p w14:paraId="69BE6B4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来电名片</w:t>
      </w:r>
    </w:p>
    <w:p w14:paraId="4056F5C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建立网络通话功能，实现直接拉起网络电话，电话拨打、电话呼叫、通话功能。显示来电人员名片，包含所属机关，来电人员姓名，联系方式。</w:t>
      </w:r>
    </w:p>
    <w:p w14:paraId="6126DF0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值班值守</w:t>
      </w:r>
    </w:p>
    <w:p w14:paraId="7E46D2B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实现对市、市（县）区、镇（街道）网格化服务管理中心值守人员的签到打卡、日常工作等情况的监督和预警，值班信息全局可视，值班人员一键直联。如城管执法中心、临时重大活动等专班值守时使用。</w:t>
      </w:r>
    </w:p>
    <w:p w14:paraId="1A3D154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排班管理</w:t>
      </w:r>
    </w:p>
    <w:p w14:paraId="36B43DC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对指挥中心和值班室人员的排班进行日常管理和智能调度，包括日常排班、值班表、值班日志、部门维护、人员维护、班次管理、排班等功能。</w:t>
      </w:r>
    </w:p>
    <w:p w14:paraId="0094B91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开发签到打卡功能，实时记录各级网格服务管理中心人员签到打卡上班信息，并将信息上传到市级平台。</w:t>
      </w:r>
    </w:p>
    <w:p w14:paraId="05C6975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提供根据日常值班制度，公示排班表，可以通过排班信息模块来查看日常的出勤排班信息，支持值排班信息在线编辑和文件导入导出，快速编辑，一键归档。</w:t>
      </w:r>
    </w:p>
    <w:p w14:paraId="12CA3A5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排班信息关联通讯录，减少手工录入工作，有效避免误操作。</w:t>
      </w:r>
    </w:p>
    <w:p w14:paraId="25941C6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提供智能提醒功能来及时提醒相关人员按时到岗，避免因为工作忙碌导致的日常排班值班出勤出现影响，为用户提供友好、便捷的排班信息管理查看模块</w:t>
      </w:r>
      <w:r>
        <w:rPr>
          <w:rFonts w:hint="eastAsia" w:ascii="宋体" w:hAnsi="宋体" w:eastAsia="宋体" w:cs="宋体"/>
          <w:color w:val="auto"/>
          <w:kern w:val="2"/>
          <w:sz w:val="24"/>
          <w:szCs w:val="24"/>
          <w:highlight w:val="none"/>
          <w:lang w:val="en-US" w:eastAsia="zh-CN" w:bidi="ar-SA"/>
        </w:rPr>
        <w:t>。</w:t>
      </w:r>
    </w:p>
    <w:p w14:paraId="2FFCA8B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排班信息上图</w:t>
      </w:r>
    </w:p>
    <w:p w14:paraId="3EED01B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支持地图界面展示当日值排班情况，到岗状态一目了然。</w:t>
      </w:r>
      <w:r>
        <w:rPr>
          <w:rFonts w:hint="eastAsia" w:ascii="宋体" w:hAnsi="宋体" w:eastAsia="宋体" w:cs="宋体"/>
          <w:color w:val="auto"/>
          <w:kern w:val="2"/>
          <w:sz w:val="24"/>
          <w:szCs w:val="24"/>
          <w:highlight w:val="none"/>
          <w:lang w:val="en-US" w:eastAsia="zh-Hans" w:bidi="ar-SA"/>
        </w:rPr>
        <w:t>根据中心的签到打卡情况，标注在线值班人员信息，方便第一时间查询在线值守人员</w:t>
      </w:r>
      <w:r>
        <w:rPr>
          <w:rFonts w:hint="eastAsia" w:ascii="宋体" w:hAnsi="宋体" w:eastAsia="宋体" w:cs="宋体"/>
          <w:color w:val="auto"/>
          <w:kern w:val="2"/>
          <w:sz w:val="24"/>
          <w:szCs w:val="24"/>
          <w:highlight w:val="none"/>
          <w:lang w:val="en-US" w:eastAsia="zh-CN" w:bidi="ar-SA"/>
        </w:rPr>
        <w:t>。</w:t>
      </w:r>
    </w:p>
    <w:p w14:paraId="5F297EB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值班值守可视化</w:t>
      </w:r>
    </w:p>
    <w:p w14:paraId="3F3D3DA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通过利用</w:t>
      </w:r>
      <w:r>
        <w:rPr>
          <w:rFonts w:hint="eastAsia" w:ascii="宋体" w:hAnsi="宋体" w:eastAsia="宋体" w:cs="宋体"/>
          <w:color w:val="auto"/>
          <w:kern w:val="2"/>
          <w:sz w:val="24"/>
          <w:szCs w:val="24"/>
          <w:highlight w:val="none"/>
          <w:lang w:val="en-US" w:eastAsia="zh-Hans" w:bidi="ar-SA"/>
        </w:rPr>
        <w:t>GIS地图、</w:t>
      </w:r>
      <w:r>
        <w:rPr>
          <w:rFonts w:hint="eastAsia" w:ascii="宋体" w:hAnsi="宋体" w:eastAsia="宋体" w:cs="宋体"/>
          <w:color w:val="auto"/>
          <w:kern w:val="2"/>
          <w:sz w:val="24"/>
          <w:szCs w:val="24"/>
          <w:highlight w:val="none"/>
          <w:lang w:val="en-US" w:eastAsia="zh-CN" w:bidi="ar-SA"/>
        </w:rPr>
        <w:t>可视化技术和工具，将值班值守的相关数据、信息和指标以图表、仪表盘等形式呈现出来，以便更直观地监控和管理各项工作。调度坐席值班，可在值班页面直接拨打电话呼叫相关人员，突发情况快速处置。</w:t>
      </w:r>
    </w:p>
    <w:p w14:paraId="18F5E1F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实时监控仪表盘：使用仪表盘展示实时的关键指标和数据，如工作进度、故障报警、资源使用情况等，帮助值班人员快速了解当前状态。</w:t>
      </w:r>
    </w:p>
    <w:p w14:paraId="48EE730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报表和统计图表：生成图表和报表，统计和分析值班期间的数据，如事件发生数量、处理时间、响应率等，以便进行绩效评估和问题分析。 </w:t>
      </w:r>
    </w:p>
    <w:p w14:paraId="1A3515C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GIS 可视化：借助地理信息系统 (GIS) 技术，将实时的位置信息、事件分布等展示在地图上，帮助值班人员更好地了解事件发生的空间分布和趋势。 </w:t>
      </w:r>
    </w:p>
    <w:p w14:paraId="6FAC8A0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多媒体展示：利用大屏幕或多屏显示设备，实时播放与值班值守相关的数据、图像和视频，以提高信息传达的效果和全局把握能力。 </w:t>
      </w:r>
    </w:p>
    <w:p w14:paraId="037EB66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异常可视化和预警：通过可视化方法，将异常情况标识出来，并及时进行预警，帮助值班人员快速发现和处理问题。 </w:t>
      </w:r>
    </w:p>
    <w:p w14:paraId="4873122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值班人员一键直联：日常工作开展需要或遇突发情况时可直接调度值班人员进行快速处置。</w:t>
      </w:r>
    </w:p>
    <w:p w14:paraId="331DF37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通过值班值守可视化，可以使值班人员更好地了解和把握工作状态，及时发现和应对问题，从而提高工作效率和质量。</w:t>
      </w:r>
    </w:p>
    <w:p w14:paraId="1340C47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短信平台</w:t>
      </w:r>
    </w:p>
    <w:p w14:paraId="4A8EBD2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平台内建设可用于批量发送短信的信息化系统。包括短信群发、定时发送、短信模板、发送记录统计等功能，同时支持网页前端、移动端APP等多种应用场景。</w:t>
      </w:r>
    </w:p>
    <w:p w14:paraId="266AE63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网格通指挥调度应用</w:t>
      </w:r>
    </w:p>
    <w:p w14:paraId="0CD2DBB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25" w:name="_Toc15383"/>
      <w:r>
        <w:rPr>
          <w:rFonts w:hint="eastAsia" w:ascii="宋体" w:hAnsi="宋体" w:eastAsia="宋体" w:cs="宋体"/>
          <w:color w:val="auto"/>
          <w:kern w:val="2"/>
          <w:sz w:val="24"/>
          <w:szCs w:val="24"/>
          <w:highlight w:val="none"/>
          <w:lang w:val="en-US" w:eastAsia="zh-CN" w:bidi="ar-SA"/>
        </w:rPr>
        <w:t>视频</w:t>
      </w:r>
      <w:bookmarkEnd w:id="125"/>
      <w:r>
        <w:rPr>
          <w:rFonts w:hint="eastAsia" w:ascii="宋体" w:hAnsi="宋体" w:eastAsia="宋体" w:cs="宋体"/>
          <w:color w:val="auto"/>
          <w:kern w:val="2"/>
          <w:sz w:val="24"/>
          <w:szCs w:val="24"/>
          <w:highlight w:val="none"/>
          <w:lang w:val="en-US" w:eastAsia="zh-CN" w:bidi="ar-SA"/>
        </w:rPr>
        <w:t>点调改造</w:t>
      </w:r>
    </w:p>
    <w:p w14:paraId="7EC0973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移动端集成视频会议功能，网格服务管理中心建立电话会议，通知用户才加视频会议。针对某个事件或突发情况快速建立视频会议，通过现有的各种电信通讯传输媒体，将人物的静、动态图像、语音、文字、图片等多种资料分送到各个用户的计算机和移动终端上，使得在地理上分散的用户可以共聚一处，通过图形、声音等多种方式交流信息，增加双方对内容的理解能力。实现多网协作、高清化、开发化的高效处置一件事。</w:t>
      </w:r>
    </w:p>
    <w:p w14:paraId="25F1C77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网格化服务管理平台功能升级优化</w:t>
      </w:r>
    </w:p>
    <w:p w14:paraId="4BA7A98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视频、数据贴合</w:t>
      </w:r>
    </w:p>
    <w:p w14:paraId="53ECA60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基于滁州市网格化平台在现有地图服务的基础上，选择指定区域，通过视频、数据贴合的方式，在地图上对人房数据、实时视频数据进行动态精准展示。</w:t>
      </w:r>
    </w:p>
    <w:p w14:paraId="1C7C8D8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任务管理</w:t>
      </w:r>
    </w:p>
    <w:p w14:paraId="0ABCF71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通过任务管理模块，网格中心可以对辖区内网格力量下派任务，所有用户可在移动端上查看任务详情并反馈，支持多人任务下派。</w:t>
      </w:r>
    </w:p>
    <w:p w14:paraId="6A8BAA3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事件处置优化升级</w:t>
      </w:r>
    </w:p>
    <w:p w14:paraId="34EA70A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按照业务需求，定制专业条线事件处置流程。</w:t>
      </w:r>
    </w:p>
    <w:p w14:paraId="1A6D6F9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系统对接</w:t>
      </w:r>
    </w:p>
    <w:p w14:paraId="636C7E5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与社会治理相关业务系统对接</w:t>
      </w:r>
    </w:p>
    <w:p w14:paraId="0C7D927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按照省市相关业务要求，预留与其他单位社会治理相关业务系统对接接口，便于后期与其他业务平台数据打通，将相关数据进行同步，实现社会治理“一网统管”。</w:t>
      </w:r>
    </w:p>
    <w:p w14:paraId="7BA4D00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与省级“一网统管”平台对接</w:t>
      </w:r>
    </w:p>
    <w:p w14:paraId="7FE7F1A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按照省级标准，预留与省级“一网统管”平台对接接口，便于后期与省级平台数据打通，将相关数据进行同步。</w:t>
      </w:r>
    </w:p>
    <w:p w14:paraId="0601ACA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地图兴趣点数据</w:t>
      </w:r>
    </w:p>
    <w:p w14:paraId="6650FE3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本次需要完善地图POI（兴趣点）数据，涵盖滁州市全域大类及小类POI并整合匹配入数字孪生平台，包括地点的名称和位置，包含详细的地址、联系电话、营业时间、用户评分、标签分类、用户评论、图片等。</w:t>
      </w:r>
    </w:p>
    <w:p w14:paraId="6751AC1F">
      <w:pPr>
        <w:keepNext w:val="0"/>
        <w:keepLines w:val="0"/>
        <w:pageBreakBefore w:val="0"/>
        <w:kinsoku/>
        <w:wordWrap/>
        <w:overflowPunct/>
        <w:topLinePunct w:val="0"/>
        <w:autoSpaceDE/>
        <w:autoSpaceDN/>
        <w:bidi w:val="0"/>
        <w:spacing w:line="520" w:lineRule="exact"/>
        <w:ind w:firstLine="482" w:firstLineChars="200"/>
        <w:rPr>
          <w:rFonts w:hint="eastAsia" w:ascii="宋体" w:hAnsi="宋体" w:eastAsia="宋体" w:cs="宋体"/>
          <w:b/>
          <w:bCs/>
          <w:color w:val="auto"/>
          <w:kern w:val="2"/>
          <w:sz w:val="24"/>
          <w:szCs w:val="24"/>
          <w:highlight w:val="none"/>
          <w:lang w:val="en-US" w:eastAsia="zh-CN" w:bidi="ar-SA"/>
        </w:rPr>
      </w:pPr>
      <w:bookmarkStart w:id="126" w:name="_Toc17713"/>
      <w:r>
        <w:rPr>
          <w:rFonts w:hint="eastAsia" w:ascii="宋体" w:hAnsi="宋体" w:eastAsia="宋体" w:cs="宋体"/>
          <w:b/>
          <w:bCs/>
          <w:color w:val="auto"/>
          <w:kern w:val="2"/>
          <w:sz w:val="24"/>
          <w:szCs w:val="24"/>
          <w:highlight w:val="none"/>
          <w:lang w:val="en-US" w:eastAsia="zh-CN" w:bidi="ar-SA"/>
        </w:rPr>
        <w:t>多媒体会议系统</w:t>
      </w:r>
      <w:bookmarkEnd w:id="126"/>
    </w:p>
    <w:p w14:paraId="4F7B8FC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本次多媒体会议系统</w:t>
      </w:r>
      <w:r>
        <w:rPr>
          <w:rFonts w:hint="eastAsia" w:ascii="宋体" w:hAnsi="宋体" w:eastAsia="宋体" w:cs="宋体"/>
          <w:color w:val="auto"/>
          <w:kern w:val="2"/>
          <w:sz w:val="24"/>
          <w:szCs w:val="24"/>
          <w:highlight w:val="none"/>
          <w:lang w:val="en-US" w:eastAsia="zh-CN" w:bidi="ar-SA"/>
        </w:rPr>
        <w:t>按照</w:t>
      </w:r>
      <w:r>
        <w:rPr>
          <w:rFonts w:hint="eastAsia" w:ascii="宋体" w:hAnsi="宋体" w:eastAsia="宋体" w:cs="宋体"/>
          <w:color w:val="auto"/>
          <w:kern w:val="2"/>
          <w:sz w:val="24"/>
          <w:szCs w:val="24"/>
          <w:highlight w:val="none"/>
          <w:lang w:val="en-US" w:eastAsia="zh-Hans" w:bidi="ar-SA"/>
        </w:rPr>
        <w:t>《多媒体会议系统工程技术规范》GB50999-2014</w:t>
      </w:r>
      <w:r>
        <w:rPr>
          <w:rFonts w:hint="eastAsia" w:ascii="宋体" w:hAnsi="宋体" w:eastAsia="宋体" w:cs="宋体"/>
          <w:color w:val="auto"/>
          <w:kern w:val="2"/>
          <w:sz w:val="24"/>
          <w:szCs w:val="24"/>
          <w:highlight w:val="none"/>
          <w:lang w:val="en-US" w:eastAsia="zh-CN" w:bidi="ar-SA"/>
        </w:rPr>
        <w:t>标准设计，以业务需求为导向，</w:t>
      </w:r>
      <w:r>
        <w:rPr>
          <w:rFonts w:hint="eastAsia" w:ascii="宋体" w:hAnsi="宋体" w:eastAsia="宋体" w:cs="宋体"/>
          <w:color w:val="auto"/>
          <w:kern w:val="2"/>
          <w:sz w:val="24"/>
          <w:szCs w:val="24"/>
          <w:highlight w:val="none"/>
          <w:lang w:val="en-US" w:eastAsia="zh-Hans" w:bidi="ar-SA"/>
        </w:rPr>
        <w:t>为</w:t>
      </w:r>
      <w:r>
        <w:rPr>
          <w:rFonts w:hint="eastAsia" w:ascii="宋体" w:hAnsi="宋体" w:eastAsia="宋体" w:cs="宋体"/>
          <w:color w:val="auto"/>
          <w:kern w:val="2"/>
          <w:sz w:val="24"/>
          <w:szCs w:val="24"/>
          <w:highlight w:val="none"/>
          <w:lang w:val="en-US" w:eastAsia="zh-CN" w:bidi="ar-SA"/>
        </w:rPr>
        <w:t>智慧城市运行管理中心</w:t>
      </w:r>
      <w:r>
        <w:rPr>
          <w:rFonts w:hint="eastAsia" w:ascii="宋体" w:hAnsi="宋体" w:eastAsia="宋体" w:cs="宋体"/>
          <w:color w:val="auto"/>
          <w:kern w:val="2"/>
          <w:sz w:val="24"/>
          <w:szCs w:val="24"/>
          <w:highlight w:val="none"/>
          <w:lang w:val="en-US" w:eastAsia="zh-Hans" w:bidi="ar-SA"/>
        </w:rPr>
        <w:t>及指挥调度室提供无纸化会议、发言扩声和视频会议功能，充分利用数字技术，实现各种智能系统之间的数据共享以及功能联动。</w:t>
      </w:r>
    </w:p>
    <w:p w14:paraId="7EBC013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无纸化办公系统</w:t>
      </w:r>
    </w:p>
    <w:p w14:paraId="3DEAA27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本次无纸化会议系统</w:t>
      </w:r>
      <w:r>
        <w:rPr>
          <w:rFonts w:hint="eastAsia" w:ascii="宋体" w:hAnsi="宋体" w:eastAsia="宋体" w:cs="宋体"/>
          <w:color w:val="auto"/>
          <w:kern w:val="2"/>
          <w:sz w:val="24"/>
          <w:szCs w:val="24"/>
          <w:highlight w:val="none"/>
          <w:lang w:val="en-US" w:eastAsia="zh-CN" w:bidi="ar-SA"/>
        </w:rPr>
        <w:t>应用于数据大厦1F智慧城市运行管理中心和数据大厦2F指挥调度室</w:t>
      </w:r>
      <w:r>
        <w:rPr>
          <w:rFonts w:hint="eastAsia" w:ascii="宋体" w:hAnsi="宋体" w:eastAsia="宋体" w:cs="宋体"/>
          <w:color w:val="auto"/>
          <w:kern w:val="2"/>
          <w:sz w:val="24"/>
          <w:szCs w:val="24"/>
          <w:highlight w:val="none"/>
          <w:lang w:val="en-US" w:eastAsia="zh-Hans" w:bidi="ar-SA"/>
        </w:rPr>
        <w:t>。无纸化会议系统是一款会议服务与管理系统软件，改变了传统会议模式的效率低、操作复杂、形式单一、资源浪费、保密隐患等问题。</w:t>
      </w:r>
    </w:p>
    <w:p w14:paraId="3FE0C7D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设计方案</w:t>
      </w:r>
    </w:p>
    <w:p w14:paraId="72ADBF2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1F</w:t>
      </w:r>
      <w:r>
        <w:rPr>
          <w:rFonts w:hint="eastAsia" w:ascii="宋体" w:hAnsi="宋体" w:eastAsia="宋体" w:cs="宋体"/>
          <w:color w:val="auto"/>
          <w:kern w:val="2"/>
          <w:sz w:val="24"/>
          <w:szCs w:val="24"/>
          <w:highlight w:val="none"/>
          <w:lang w:val="en-US" w:eastAsia="zh-CN" w:bidi="ar-SA"/>
        </w:rPr>
        <w:t>智慧城市运行管理中心</w:t>
      </w:r>
    </w:p>
    <w:p w14:paraId="75F3C8D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本次在1F</w:t>
      </w:r>
      <w:r>
        <w:rPr>
          <w:rFonts w:hint="eastAsia" w:ascii="宋体" w:hAnsi="宋体" w:eastAsia="宋体" w:cs="宋体"/>
          <w:color w:val="auto"/>
          <w:kern w:val="2"/>
          <w:sz w:val="24"/>
          <w:szCs w:val="24"/>
          <w:highlight w:val="none"/>
          <w:lang w:val="en-US" w:eastAsia="zh-CN" w:bidi="ar-SA"/>
        </w:rPr>
        <w:t>城运中心</w:t>
      </w:r>
      <w:r>
        <w:rPr>
          <w:rFonts w:hint="eastAsia" w:ascii="宋体" w:hAnsi="宋体" w:eastAsia="宋体" w:cs="宋体"/>
          <w:color w:val="auto"/>
          <w:kern w:val="2"/>
          <w:sz w:val="24"/>
          <w:szCs w:val="24"/>
          <w:highlight w:val="none"/>
          <w:lang w:val="en-US" w:eastAsia="zh-Hans" w:bidi="ar-SA"/>
        </w:rPr>
        <w:t>会议区设置</w:t>
      </w:r>
      <w:r>
        <w:rPr>
          <w:rFonts w:hint="eastAsia" w:ascii="宋体" w:hAnsi="宋体" w:eastAsia="宋体" w:cs="宋体"/>
          <w:color w:val="auto"/>
          <w:kern w:val="2"/>
          <w:sz w:val="24"/>
          <w:szCs w:val="24"/>
          <w:highlight w:val="none"/>
          <w:lang w:val="en-US" w:eastAsia="zh-CN" w:bidi="ar-SA"/>
        </w:rPr>
        <w:t>升降式</w:t>
      </w:r>
      <w:r>
        <w:rPr>
          <w:rFonts w:hint="eastAsia" w:ascii="宋体" w:hAnsi="宋体" w:eastAsia="宋体" w:cs="宋体"/>
          <w:color w:val="auto"/>
          <w:kern w:val="2"/>
          <w:sz w:val="24"/>
          <w:szCs w:val="24"/>
          <w:highlight w:val="none"/>
          <w:lang w:val="en-US" w:eastAsia="zh-Hans" w:bidi="ar-SA"/>
        </w:rPr>
        <w:t>电子席卡与</w:t>
      </w:r>
      <w:r>
        <w:rPr>
          <w:rFonts w:hint="eastAsia" w:ascii="宋体" w:hAnsi="宋体" w:eastAsia="宋体" w:cs="宋体"/>
          <w:color w:val="auto"/>
          <w:kern w:val="2"/>
          <w:sz w:val="24"/>
          <w:szCs w:val="24"/>
          <w:highlight w:val="none"/>
          <w:lang w:val="en-US" w:eastAsia="zh-CN" w:bidi="ar-SA"/>
        </w:rPr>
        <w:t>升降式</w:t>
      </w:r>
      <w:r>
        <w:rPr>
          <w:rFonts w:hint="eastAsia" w:ascii="宋体" w:hAnsi="宋体" w:eastAsia="宋体" w:cs="宋体"/>
          <w:color w:val="auto"/>
          <w:kern w:val="2"/>
          <w:sz w:val="24"/>
          <w:szCs w:val="24"/>
          <w:highlight w:val="none"/>
          <w:lang w:val="en-US" w:eastAsia="zh-Hans" w:bidi="ar-SA"/>
        </w:rPr>
        <w:t>话筒。</w:t>
      </w:r>
    </w:p>
    <w:p w14:paraId="1734BB0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2F指挥调度室</w:t>
      </w:r>
    </w:p>
    <w:p w14:paraId="5D15630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二层</w:t>
      </w:r>
      <w:r>
        <w:rPr>
          <w:rFonts w:hint="eastAsia" w:ascii="宋体" w:hAnsi="宋体" w:eastAsia="宋体" w:cs="宋体"/>
          <w:color w:val="auto"/>
          <w:kern w:val="2"/>
          <w:sz w:val="24"/>
          <w:szCs w:val="24"/>
          <w:highlight w:val="none"/>
          <w:lang w:val="en-US" w:eastAsia="zh-CN" w:bidi="ar-SA"/>
        </w:rPr>
        <w:t>指挥调度</w:t>
      </w:r>
      <w:r>
        <w:rPr>
          <w:rFonts w:hint="eastAsia" w:ascii="宋体" w:hAnsi="宋体" w:eastAsia="宋体" w:cs="宋体"/>
          <w:color w:val="auto"/>
          <w:kern w:val="2"/>
          <w:sz w:val="24"/>
          <w:szCs w:val="24"/>
          <w:highlight w:val="none"/>
          <w:lang w:val="en-US" w:eastAsia="zh-Hans" w:bidi="ar-SA"/>
        </w:rPr>
        <w:t>室设有16人会议桌，配置一套无纸化会议系统；由16套双面触摸升降一体机（含话筒）、16台会议终端主机、1台无纸化会议服务器来控制和管理，实现智能交互式无纸化会议系统功能；配置1台信号编解码服务器，用于无纸化会议系统外部高清视频信号输入和视频信号同步输出的转换处理，实现无纸化会议系统与其他视频设备的无缝对接。</w:t>
      </w:r>
    </w:p>
    <w:p w14:paraId="241A1A5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无纸化</w:t>
      </w:r>
      <w:r>
        <w:rPr>
          <w:rFonts w:hint="eastAsia" w:ascii="宋体" w:hAnsi="宋体" w:eastAsia="宋体" w:cs="宋体"/>
          <w:color w:val="auto"/>
          <w:kern w:val="2"/>
          <w:sz w:val="24"/>
          <w:szCs w:val="24"/>
          <w:highlight w:val="none"/>
          <w:lang w:val="en-US" w:eastAsia="zh-CN" w:bidi="ar-SA"/>
        </w:rPr>
        <w:t>会议</w:t>
      </w:r>
      <w:r>
        <w:rPr>
          <w:rFonts w:hint="eastAsia" w:ascii="宋体" w:hAnsi="宋体" w:eastAsia="宋体" w:cs="宋体"/>
          <w:color w:val="auto"/>
          <w:kern w:val="2"/>
          <w:sz w:val="24"/>
          <w:szCs w:val="24"/>
          <w:highlight w:val="none"/>
          <w:lang w:val="en-US" w:eastAsia="zh-Hans" w:bidi="ar-SA"/>
        </w:rPr>
        <w:t>系统可与分布式系统进行对接，实现无纸化会议与分布式系统的功能拓展。</w:t>
      </w:r>
    </w:p>
    <w:p w14:paraId="29244B0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通过无纸化投屏节点可将会议内容投送到</w:t>
      </w:r>
      <w:r>
        <w:rPr>
          <w:rFonts w:hint="eastAsia" w:ascii="宋体" w:hAnsi="宋体" w:eastAsia="宋体" w:cs="宋体"/>
          <w:color w:val="auto"/>
          <w:kern w:val="2"/>
          <w:sz w:val="24"/>
          <w:szCs w:val="24"/>
          <w:highlight w:val="none"/>
          <w:lang w:val="en-US" w:eastAsia="zh-CN" w:bidi="ar-SA"/>
        </w:rPr>
        <w:t>城运中心</w:t>
      </w:r>
      <w:r>
        <w:rPr>
          <w:rFonts w:hint="eastAsia" w:ascii="宋体" w:hAnsi="宋体" w:eastAsia="宋体" w:cs="宋体"/>
          <w:color w:val="auto"/>
          <w:kern w:val="2"/>
          <w:sz w:val="24"/>
          <w:szCs w:val="24"/>
          <w:highlight w:val="none"/>
          <w:lang w:val="en-US" w:eastAsia="zh-Hans" w:bidi="ar-SA"/>
        </w:rPr>
        <w:t>大屏</w:t>
      </w:r>
      <w:r>
        <w:rPr>
          <w:rFonts w:hint="eastAsia" w:ascii="宋体" w:hAnsi="宋体" w:eastAsia="宋体" w:cs="宋体"/>
          <w:color w:val="auto"/>
          <w:kern w:val="2"/>
          <w:sz w:val="24"/>
          <w:szCs w:val="24"/>
          <w:highlight w:val="none"/>
          <w:lang w:val="en-US" w:eastAsia="zh-CN" w:bidi="ar-SA"/>
        </w:rPr>
        <w:t>和指挥调度室显示屏</w:t>
      </w:r>
      <w:r>
        <w:rPr>
          <w:rFonts w:hint="eastAsia" w:ascii="宋体" w:hAnsi="宋体" w:eastAsia="宋体" w:cs="宋体"/>
          <w:color w:val="auto"/>
          <w:kern w:val="2"/>
          <w:sz w:val="24"/>
          <w:szCs w:val="24"/>
          <w:highlight w:val="none"/>
          <w:lang w:val="en-US" w:eastAsia="zh-Hans" w:bidi="ar-SA"/>
        </w:rPr>
        <w:t>上，或者进入分布式系统与其他会议室画面共享。配备编解码节点将分布式信号接入无纸化升降显示器进行显示，可同时接入多路画面综合分析。</w:t>
      </w:r>
    </w:p>
    <w:p w14:paraId="726E23D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发言及扩声系统</w:t>
      </w:r>
    </w:p>
    <w:p w14:paraId="24CC526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Hans" w:bidi="ar-SA"/>
        </w:rPr>
        <w:t>本次发言及扩声系统</w:t>
      </w:r>
      <w:r>
        <w:rPr>
          <w:rFonts w:hint="eastAsia" w:ascii="宋体" w:hAnsi="宋体" w:eastAsia="宋体" w:cs="宋体"/>
          <w:color w:val="auto"/>
          <w:kern w:val="2"/>
          <w:sz w:val="24"/>
          <w:szCs w:val="24"/>
          <w:highlight w:val="none"/>
          <w:lang w:val="en-US" w:eastAsia="zh-CN" w:bidi="ar-SA"/>
        </w:rPr>
        <w:t>的施工标准要</w:t>
      </w:r>
      <w:r>
        <w:rPr>
          <w:rFonts w:hint="eastAsia" w:ascii="宋体" w:hAnsi="宋体" w:eastAsia="宋体" w:cs="宋体"/>
          <w:color w:val="auto"/>
          <w:kern w:val="2"/>
          <w:sz w:val="24"/>
          <w:szCs w:val="24"/>
          <w:highlight w:val="none"/>
          <w:lang w:val="en-US" w:eastAsia="zh-Hans" w:bidi="ar-SA"/>
        </w:rPr>
        <w:t>符合GB-28049-2011-T标准中对于会议类扩声系统声学</w:t>
      </w:r>
      <w:r>
        <w:rPr>
          <w:rFonts w:hint="eastAsia" w:ascii="宋体" w:hAnsi="宋体" w:eastAsia="宋体" w:cs="宋体"/>
          <w:color w:val="auto"/>
          <w:kern w:val="2"/>
          <w:sz w:val="24"/>
          <w:szCs w:val="24"/>
          <w:highlight w:val="none"/>
          <w:lang w:val="en-US" w:eastAsia="zh-CN" w:bidi="ar-SA"/>
        </w:rPr>
        <w:t>指标</w:t>
      </w:r>
      <w:r>
        <w:rPr>
          <w:rFonts w:hint="eastAsia" w:ascii="宋体" w:hAnsi="宋体" w:eastAsia="宋体" w:cs="宋体"/>
          <w:color w:val="auto"/>
          <w:kern w:val="2"/>
          <w:sz w:val="24"/>
          <w:szCs w:val="24"/>
          <w:highlight w:val="none"/>
          <w:lang w:val="en-US" w:eastAsia="zh-Hans" w:bidi="ar-SA"/>
        </w:rPr>
        <w:t>的要求，通过第三方专业</w:t>
      </w:r>
      <w:r>
        <w:rPr>
          <w:rFonts w:hint="eastAsia" w:ascii="宋体" w:hAnsi="宋体" w:eastAsia="宋体" w:cs="宋体"/>
          <w:color w:val="auto"/>
          <w:kern w:val="2"/>
          <w:sz w:val="24"/>
          <w:szCs w:val="24"/>
          <w:highlight w:val="none"/>
          <w:lang w:val="en-US" w:eastAsia="zh-CN" w:bidi="ar-SA"/>
        </w:rPr>
        <w:t>声场测试并出具报告</w:t>
      </w:r>
      <w:r>
        <w:rPr>
          <w:rFonts w:hint="eastAsia" w:ascii="宋体" w:hAnsi="宋体" w:eastAsia="宋体" w:cs="宋体"/>
          <w:color w:val="auto"/>
          <w:kern w:val="2"/>
          <w:sz w:val="24"/>
          <w:szCs w:val="24"/>
          <w:highlight w:val="none"/>
          <w:lang w:val="en-US" w:eastAsia="zh-Hans" w:bidi="ar-SA"/>
        </w:rPr>
        <w:t>。</w:t>
      </w:r>
    </w:p>
    <w:p w14:paraId="132522B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根据系统中各部门功能及在系统架构中的位置，系统可分为会议发言系统、音频扩声系统。</w:t>
      </w:r>
    </w:p>
    <w:p w14:paraId="567D266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全数字会议发言系统由1台会议主机、1个主席单元，多个代表单元组成。主席单元具有优先发言权，可以对发言的顺序进行完全控制，可以随意切断和允许代表单元的发言。</w:t>
      </w:r>
    </w:p>
    <w:p w14:paraId="67A58D4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在配置有数字会议发言单元的基础上增加无线手持话筒来应对移动场景下的发言需求。</w:t>
      </w:r>
    </w:p>
    <w:p w14:paraId="75A295A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音频扩声系统由音频处理设备和后端功放音响共同组成，可对前端采集的音频信号进行混音、调音、压缩等处理，传递到后端功率放大器进行信号放大，通过扬声器还原扩声。</w:t>
      </w:r>
    </w:p>
    <w:p w14:paraId="47F1BC9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设计方案</w:t>
      </w:r>
    </w:p>
    <w:p w14:paraId="039F05B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智慧城市运行管理中心</w:t>
      </w:r>
    </w:p>
    <w:p w14:paraId="57F41D9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会议系统</w:t>
      </w:r>
      <w:r>
        <w:rPr>
          <w:rFonts w:hint="eastAsia" w:ascii="宋体" w:hAnsi="宋体" w:eastAsia="宋体" w:cs="宋体"/>
          <w:color w:val="auto"/>
          <w:kern w:val="2"/>
          <w:sz w:val="24"/>
          <w:szCs w:val="24"/>
          <w:highlight w:val="none"/>
          <w:lang w:val="en-US" w:eastAsia="zh-CN" w:bidi="ar-SA"/>
        </w:rPr>
        <w:t>需要</w:t>
      </w:r>
      <w:r>
        <w:rPr>
          <w:rFonts w:hint="eastAsia" w:ascii="宋体" w:hAnsi="宋体" w:eastAsia="宋体" w:cs="宋体"/>
          <w:color w:val="auto"/>
          <w:kern w:val="2"/>
          <w:sz w:val="24"/>
          <w:szCs w:val="24"/>
          <w:highlight w:val="none"/>
          <w:lang w:val="en-US" w:eastAsia="zh-Hans" w:bidi="ar-SA"/>
        </w:rPr>
        <w:t>有效消除与传统系统相关的问题，如背景</w:t>
      </w:r>
      <w:r>
        <w:rPr>
          <w:rFonts w:hint="eastAsia" w:ascii="宋体" w:hAnsi="宋体" w:eastAsia="宋体" w:cs="宋体"/>
          <w:color w:val="auto"/>
          <w:kern w:val="2"/>
          <w:sz w:val="24"/>
          <w:szCs w:val="24"/>
          <w:highlight w:val="none"/>
          <w:lang w:val="en-US" w:eastAsia="zh-CN" w:bidi="ar-SA"/>
        </w:rPr>
        <w:t>噪声</w:t>
      </w:r>
      <w:r>
        <w:rPr>
          <w:rFonts w:hint="eastAsia" w:ascii="宋体" w:hAnsi="宋体" w:eastAsia="宋体" w:cs="宋体"/>
          <w:color w:val="auto"/>
          <w:kern w:val="2"/>
          <w:sz w:val="24"/>
          <w:szCs w:val="24"/>
          <w:highlight w:val="none"/>
          <w:lang w:val="en-US" w:eastAsia="zh-Hans" w:bidi="ar-SA"/>
        </w:rPr>
        <w:t>、干扰、失真和串话等。</w:t>
      </w:r>
    </w:p>
    <w:p w14:paraId="29D6C7F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核心处理设备采用专业调音台和数字音频处理器。调音台可对各路音频信号进行实时调节，自由分配通道；音频处理器支持全数字音频处理：自动混音、反馈消除、回声消除、噪声消除、自动增益</w:t>
      </w:r>
      <w:r>
        <w:rPr>
          <w:rFonts w:hint="eastAsia" w:ascii="宋体" w:hAnsi="宋体" w:eastAsia="宋体" w:cs="宋体"/>
          <w:color w:val="auto"/>
          <w:kern w:val="2"/>
          <w:sz w:val="24"/>
          <w:szCs w:val="24"/>
          <w:highlight w:val="none"/>
          <w:lang w:val="en-US" w:eastAsia="zh-CN" w:bidi="ar-SA"/>
        </w:rPr>
        <w:t>等算法</w:t>
      </w:r>
      <w:r>
        <w:rPr>
          <w:rFonts w:hint="eastAsia" w:ascii="宋体" w:hAnsi="宋体" w:eastAsia="宋体" w:cs="宋体"/>
          <w:color w:val="auto"/>
          <w:kern w:val="2"/>
          <w:sz w:val="24"/>
          <w:szCs w:val="24"/>
          <w:highlight w:val="none"/>
          <w:lang w:val="en-US" w:eastAsia="zh-Hans" w:bidi="ar-SA"/>
        </w:rPr>
        <w:t>，可提供清晰稳定的音响扩声环境。</w:t>
      </w:r>
    </w:p>
    <w:p w14:paraId="6A5C175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指挥调度室</w:t>
      </w:r>
    </w:p>
    <w:p w14:paraId="0019348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指挥调度室会议桌采用分布式升降数字话筒，搭配无纸化发言会议主机，可对会议发言进行有效管理。</w:t>
      </w:r>
      <w:r>
        <w:rPr>
          <w:rFonts w:hint="eastAsia" w:ascii="宋体" w:hAnsi="宋体" w:eastAsia="宋体" w:cs="宋体"/>
          <w:color w:val="auto"/>
          <w:kern w:val="2"/>
          <w:sz w:val="24"/>
          <w:szCs w:val="24"/>
          <w:highlight w:val="none"/>
          <w:lang w:val="en-US" w:eastAsia="zh-CN" w:bidi="ar-SA"/>
        </w:rPr>
        <w:t>并为列席配置</w:t>
      </w:r>
      <w:r>
        <w:rPr>
          <w:rFonts w:hint="eastAsia" w:ascii="宋体" w:hAnsi="宋体" w:eastAsia="宋体" w:cs="宋体"/>
          <w:color w:val="auto"/>
          <w:kern w:val="2"/>
          <w:sz w:val="24"/>
          <w:szCs w:val="24"/>
          <w:highlight w:val="none"/>
          <w:lang w:val="en-US" w:eastAsia="zh-Hans" w:bidi="ar-SA"/>
        </w:rPr>
        <w:t>无线话筒。</w:t>
      </w:r>
    </w:p>
    <w:p w14:paraId="56019B9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视频会议系统</w:t>
      </w:r>
    </w:p>
    <w:p w14:paraId="6624BE5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系统概述</w:t>
      </w:r>
    </w:p>
    <w:p w14:paraId="682B509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本次在</w:t>
      </w:r>
      <w:r>
        <w:rPr>
          <w:rFonts w:hint="eastAsia" w:ascii="宋体" w:hAnsi="宋体" w:eastAsia="宋体" w:cs="宋体"/>
          <w:color w:val="auto"/>
          <w:kern w:val="2"/>
          <w:sz w:val="24"/>
          <w:szCs w:val="24"/>
          <w:highlight w:val="none"/>
          <w:lang w:val="en-US" w:eastAsia="zh-CN" w:bidi="ar-SA"/>
        </w:rPr>
        <w:t>智慧城市运行管理中心和指挥调度室</w:t>
      </w:r>
      <w:r>
        <w:rPr>
          <w:rFonts w:hint="eastAsia" w:ascii="宋体" w:hAnsi="宋体" w:eastAsia="宋体" w:cs="宋体"/>
          <w:color w:val="auto"/>
          <w:kern w:val="2"/>
          <w:sz w:val="24"/>
          <w:szCs w:val="24"/>
          <w:highlight w:val="none"/>
          <w:lang w:val="en-US" w:eastAsia="zh-Hans" w:bidi="ar-SA"/>
        </w:rPr>
        <w:t>建设一套视频会议系统，实现多个分会场之间随时召开高清视频会议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迅速掌握</w:t>
      </w:r>
      <w:r>
        <w:rPr>
          <w:rFonts w:hint="eastAsia" w:ascii="宋体" w:hAnsi="宋体" w:eastAsia="宋体" w:cs="宋体"/>
          <w:color w:val="auto"/>
          <w:kern w:val="2"/>
          <w:sz w:val="24"/>
          <w:szCs w:val="24"/>
          <w:highlight w:val="none"/>
          <w:lang w:val="en-US" w:eastAsia="zh-CN" w:bidi="ar-SA"/>
        </w:rPr>
        <w:t>实时</w:t>
      </w:r>
      <w:r>
        <w:rPr>
          <w:rFonts w:hint="eastAsia" w:ascii="宋体" w:hAnsi="宋体" w:eastAsia="宋体" w:cs="宋体"/>
          <w:color w:val="auto"/>
          <w:kern w:val="2"/>
          <w:sz w:val="24"/>
          <w:szCs w:val="24"/>
          <w:highlight w:val="none"/>
          <w:lang w:val="en-US" w:eastAsia="zh-Hans" w:bidi="ar-SA"/>
        </w:rPr>
        <w:t>信息。</w:t>
      </w:r>
    </w:p>
    <w:p w14:paraId="329E29A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设计方案</w:t>
      </w:r>
    </w:p>
    <w:p w14:paraId="55738FD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本系统</w:t>
      </w:r>
      <w:r>
        <w:rPr>
          <w:rFonts w:hint="eastAsia" w:ascii="宋体" w:hAnsi="宋体" w:eastAsia="宋体" w:cs="宋体"/>
          <w:color w:val="auto"/>
          <w:kern w:val="2"/>
          <w:sz w:val="24"/>
          <w:szCs w:val="24"/>
          <w:highlight w:val="none"/>
          <w:lang w:val="en-US" w:eastAsia="zh-Hans" w:bidi="ar-SA"/>
        </w:rPr>
        <w:t>部署1套视讯业务管理</w:t>
      </w:r>
      <w:r>
        <w:rPr>
          <w:rFonts w:hint="eastAsia" w:ascii="宋体" w:hAnsi="宋体" w:eastAsia="宋体" w:cs="宋体"/>
          <w:color w:val="auto"/>
          <w:kern w:val="2"/>
          <w:sz w:val="24"/>
          <w:szCs w:val="24"/>
          <w:highlight w:val="none"/>
          <w:lang w:val="en-US" w:eastAsia="zh-CN" w:bidi="ar-SA"/>
        </w:rPr>
        <w:t>平台</w:t>
      </w:r>
      <w:r>
        <w:rPr>
          <w:rFonts w:hint="eastAsia" w:ascii="宋体" w:hAnsi="宋体" w:eastAsia="宋体" w:cs="宋体"/>
          <w:color w:val="auto"/>
          <w:kern w:val="2"/>
          <w:sz w:val="24"/>
          <w:szCs w:val="24"/>
          <w:highlight w:val="none"/>
          <w:lang w:val="en-US" w:eastAsia="zh-Hans" w:bidi="ar-SA"/>
        </w:rPr>
        <w:t>，1套MCU</w:t>
      </w:r>
      <w:r>
        <w:rPr>
          <w:rFonts w:hint="eastAsia" w:ascii="宋体" w:hAnsi="宋体" w:eastAsia="宋体" w:cs="宋体"/>
          <w:color w:val="auto"/>
          <w:kern w:val="2"/>
          <w:sz w:val="24"/>
          <w:szCs w:val="24"/>
          <w:highlight w:val="none"/>
          <w:lang w:val="en-US" w:eastAsia="zh-CN" w:bidi="ar-SA"/>
        </w:rPr>
        <w:t>，1套录播服务器，1台分体式超高清终端</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2台超高清摄像机和2套话筒。其中</w:t>
      </w:r>
      <w:r>
        <w:rPr>
          <w:rFonts w:hint="eastAsia" w:ascii="宋体" w:hAnsi="宋体" w:eastAsia="宋体" w:cs="宋体"/>
          <w:color w:val="auto"/>
          <w:kern w:val="2"/>
          <w:sz w:val="24"/>
          <w:szCs w:val="24"/>
          <w:highlight w:val="none"/>
          <w:lang w:val="en-US" w:eastAsia="zh-Hans" w:bidi="ar-SA"/>
        </w:rPr>
        <w:t>业务管理平台负责设备管理、会议召开等会议管理控制功能</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MCU负责各会场终端的音视频接入与转发。</w:t>
      </w:r>
    </w:p>
    <w:p w14:paraId="2A02911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本次建设要考虑满足本项目所需的接入资源，同时要考虑后期对接各委办局单位的扩容需求，需保证视频会议系统全天24小时，全年365天无故障运行，预留与各委办局互联互通的系统扩容余量。</w:t>
      </w:r>
    </w:p>
    <w:p w14:paraId="335CF64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2F指挥调度室配置1台110寸会议一体机，2F 36人会议室配置1台110寸会议一体机，2F党员活动室配置1台86寸会议一体机。</w:t>
      </w:r>
    </w:p>
    <w:p w14:paraId="23091E4D">
      <w:pPr>
        <w:keepNext w:val="0"/>
        <w:keepLines w:val="0"/>
        <w:pageBreakBefore w:val="0"/>
        <w:kinsoku/>
        <w:wordWrap/>
        <w:overflowPunct/>
        <w:topLinePunct w:val="0"/>
        <w:autoSpaceDE/>
        <w:autoSpaceDN/>
        <w:bidi w:val="0"/>
        <w:spacing w:line="520" w:lineRule="exact"/>
        <w:ind w:firstLine="482" w:firstLineChars="200"/>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集中控制系统</w:t>
      </w:r>
    </w:p>
    <w:p w14:paraId="6610913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bookmarkStart w:id="127" w:name="_Toc7788"/>
      <w:r>
        <w:rPr>
          <w:rFonts w:hint="eastAsia" w:ascii="宋体" w:hAnsi="宋体" w:eastAsia="宋体" w:cs="宋体"/>
          <w:color w:val="auto"/>
          <w:kern w:val="2"/>
          <w:sz w:val="24"/>
          <w:szCs w:val="24"/>
          <w:highlight w:val="none"/>
          <w:lang w:val="zh-CN" w:eastAsia="zh-CN" w:bidi="ar-SA"/>
        </w:rPr>
        <w:t>系统概述</w:t>
      </w:r>
    </w:p>
    <w:p w14:paraId="59B5658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本次集中控制系统按照《集中控制系统工程技术规范》GB50603-2010标准进行设计，集中控制系统为数据大厦1-3层所有视频、音频、中央控制等系统进行提供统一管理。软件界面可根据用户需求自由编辑。</w:t>
      </w:r>
    </w:p>
    <w:p w14:paraId="4BF703A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集中控制应用于智慧城市运行管理中心、智慧城市展示中心、指挥调度室等空间。软件主要负责对平台中的每个节点的综合控制，同时具备技术先进，性能稳定，操作便捷的特点。智慧城市展示中心展馆的声、光、电及布展设备可以通过平板进行统一控制，硬件与城运中心共用，通过播放软件控制布展屏幕画面。</w:t>
      </w:r>
    </w:p>
    <w:p w14:paraId="0383324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集中控制系统是建立一个可对所有系统设备进行集中操作、控制的管理系统。简化设备的操作，提高效率。可以实现一些分散子系统无法实现或难以实现的功能。采用集中控制设计，能控制所有本地设备开关、切换以及调用模式等要求。操作席实现各个设备的综合控制，实现整个系统的统管统控。</w:t>
      </w:r>
    </w:p>
    <w:p w14:paraId="6AD4D4A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城运中心配置中控主机，通过标准串口协议可控制指挥中心音响、视频、环境设备等，通过8路强电继电器可满足灯光等电器的开关控制，满足大厅设备控制工作。</w:t>
      </w:r>
    </w:p>
    <w:p w14:paraId="74B894E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为实现音视频信号及中控系统的控制功能整合，同时满足网络化控制和平台对接需要，对城运中心和展示中心配置一套智能化管理系统以满足现场集中管理的需求。</w:t>
      </w:r>
    </w:p>
    <w:p w14:paraId="2D8B326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系统设计</w:t>
      </w:r>
    </w:p>
    <w:p w14:paraId="52AE595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平台系统整体采用分布式技术，支持本地网络化控制、异地跨网的集群部署和多用户的协同控制。资源接入层汇聚由视频处理器、分布式节点、会议终端、音频处理器等视音频信号源。</w:t>
      </w:r>
    </w:p>
    <w:p w14:paraId="362E60C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云端服务层通过微服务架构设计，将不同功能模块具象为功能服务，负责信号和设备的统一接入、管理、转发和转码等，通过负载均衡服务能够根据各服务的实时运行状态以及资源占用率，进行自适应调配，保证各服务之间的系统工作，实现整个系统的高效运行和安全稳定。</w:t>
      </w:r>
    </w:p>
    <w:p w14:paraId="1FF3C034">
      <w:pPr>
        <w:keepNext w:val="0"/>
        <w:keepLines w:val="0"/>
        <w:pageBreakBefore w:val="0"/>
        <w:kinsoku/>
        <w:wordWrap/>
        <w:overflowPunct/>
        <w:topLinePunct w:val="0"/>
        <w:autoSpaceDE/>
        <w:autoSpaceDN/>
        <w:bidi w:val="0"/>
        <w:spacing w:line="520" w:lineRule="exact"/>
        <w:ind w:firstLine="482" w:firstLineChars="200"/>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安防监控系统</w:t>
      </w:r>
      <w:bookmarkEnd w:id="127"/>
    </w:p>
    <w:p w14:paraId="5AF9096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系统概述</w:t>
      </w:r>
    </w:p>
    <w:p w14:paraId="672339D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本次安防监控系统</w:t>
      </w:r>
      <w:r>
        <w:rPr>
          <w:rFonts w:hint="eastAsia" w:ascii="宋体" w:hAnsi="宋体" w:eastAsia="宋体" w:cs="宋体"/>
          <w:color w:val="auto"/>
          <w:kern w:val="2"/>
          <w:sz w:val="24"/>
          <w:szCs w:val="24"/>
          <w:highlight w:val="none"/>
          <w:lang w:val="en-US" w:eastAsia="zh-CN" w:bidi="ar-SA"/>
        </w:rPr>
        <w:t>按照《安防监控系统工程设计规范》GB50348-2018标准进行设计，</w:t>
      </w:r>
      <w:r>
        <w:rPr>
          <w:rFonts w:hint="eastAsia" w:ascii="宋体" w:hAnsi="宋体" w:eastAsia="宋体" w:cs="宋体"/>
          <w:color w:val="auto"/>
          <w:kern w:val="2"/>
          <w:sz w:val="24"/>
          <w:szCs w:val="24"/>
          <w:highlight w:val="none"/>
          <w:lang w:val="en-US" w:eastAsia="zh-Hans" w:bidi="ar-SA"/>
        </w:rPr>
        <w:t>根据建筑物内的使用功能及安全防范管理的要求，对</w:t>
      </w:r>
      <w:r>
        <w:rPr>
          <w:rFonts w:hint="eastAsia" w:ascii="宋体" w:hAnsi="宋体" w:eastAsia="宋体" w:cs="宋体"/>
          <w:color w:val="auto"/>
          <w:kern w:val="2"/>
          <w:sz w:val="24"/>
          <w:szCs w:val="24"/>
          <w:highlight w:val="none"/>
          <w:lang w:val="en-US" w:eastAsia="zh-CN" w:bidi="ar-SA"/>
        </w:rPr>
        <w:t>数据大厦</w:t>
      </w:r>
      <w:r>
        <w:rPr>
          <w:rFonts w:hint="eastAsia" w:ascii="宋体" w:hAnsi="宋体" w:eastAsia="宋体" w:cs="宋体"/>
          <w:color w:val="auto"/>
          <w:kern w:val="2"/>
          <w:sz w:val="24"/>
          <w:szCs w:val="24"/>
          <w:highlight w:val="none"/>
          <w:lang w:val="en-US" w:eastAsia="zh-Hans" w:bidi="ar-SA"/>
        </w:rPr>
        <w:t>1-3层的公共场所、通道及重要部位进行实时、有效的视频探测、视频监视、图像显示、记录与回放。系统支持可扩展和开放性，方便未来的扩展，与其他系统的集成。</w:t>
      </w:r>
    </w:p>
    <w:p w14:paraId="17FEC9E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系统设计</w:t>
      </w:r>
    </w:p>
    <w:p w14:paraId="5A50CCF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1、前端信号采集</w:t>
      </w:r>
    </w:p>
    <w:p w14:paraId="11FCC0A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在展厅、电梯厅、走道等公共区域设置摄像机；在机房、档案室等重点区域设置摄像机，确保公共区域和重点区域的安全。</w:t>
      </w:r>
    </w:p>
    <w:p w14:paraId="2B46B92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2、摄像机选型</w:t>
      </w:r>
    </w:p>
    <w:p w14:paraId="15B8BA4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摄像机具体安装位置、镜头的方向设计以封锁出口为核心思路，摄像机镜头的方向主要考虑非法入侵人员离开的路径和朝向为准。</w:t>
      </w:r>
    </w:p>
    <w:p w14:paraId="31032C2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摄像机的选型充分考虑适用性、高性价比性，需要综合考虑包括建筑空间环境、装饰环境和照明环境不同的环境因素。</w:t>
      </w:r>
    </w:p>
    <w:p w14:paraId="7596D36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半球摄像机安装与建筑环境充分协调，用于室内小范围的监控区域。</w:t>
      </w:r>
    </w:p>
    <w:p w14:paraId="2C2B5DF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智能彩色球机自动适应环境明暗和目标远近的变化，可长期稳定运行，用于室内大范围的监控区域。</w:t>
      </w:r>
    </w:p>
    <w:p w14:paraId="2D83367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点位分布</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594"/>
        <w:gridCol w:w="2329"/>
        <w:gridCol w:w="2329"/>
      </w:tblGrid>
      <w:tr w14:paraId="36D3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44" w:type="pct"/>
            <w:shd w:val="clear" w:color="auto" w:fill="FFFFFF"/>
            <w:vAlign w:val="center"/>
          </w:tcPr>
          <w:p w14:paraId="1E749E6A">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楼层</w:t>
            </w:r>
          </w:p>
        </w:tc>
        <w:tc>
          <w:tcPr>
            <w:tcW w:w="1522" w:type="pct"/>
            <w:shd w:val="clear" w:color="auto" w:fill="auto"/>
            <w:vAlign w:val="center"/>
          </w:tcPr>
          <w:p w14:paraId="0EB9F22D">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高清半球摄像机</w:t>
            </w:r>
          </w:p>
        </w:tc>
        <w:tc>
          <w:tcPr>
            <w:tcW w:w="1366" w:type="pct"/>
            <w:shd w:val="clear" w:color="auto" w:fill="auto"/>
            <w:vAlign w:val="center"/>
          </w:tcPr>
          <w:p w14:paraId="152964A5">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高清枪型摄像机</w:t>
            </w:r>
          </w:p>
        </w:tc>
        <w:tc>
          <w:tcPr>
            <w:tcW w:w="1366" w:type="pct"/>
            <w:shd w:val="clear" w:color="auto" w:fill="auto"/>
            <w:vAlign w:val="center"/>
          </w:tcPr>
          <w:p w14:paraId="4DA48D09">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全彩广角摄像机</w:t>
            </w:r>
          </w:p>
        </w:tc>
      </w:tr>
      <w:tr w14:paraId="5EAA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44" w:type="pct"/>
            <w:shd w:val="clear" w:color="auto" w:fill="FFFFFF"/>
            <w:noWrap/>
            <w:vAlign w:val="center"/>
          </w:tcPr>
          <w:p w14:paraId="61FE968B">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1F</w:t>
            </w:r>
          </w:p>
        </w:tc>
        <w:tc>
          <w:tcPr>
            <w:tcW w:w="1522" w:type="pct"/>
            <w:shd w:val="clear" w:color="auto" w:fill="FFFFFF"/>
            <w:vAlign w:val="center"/>
          </w:tcPr>
          <w:p w14:paraId="3F41B87F">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66" w:type="pct"/>
            <w:shd w:val="clear" w:color="auto" w:fill="FFFFFF"/>
            <w:vAlign w:val="center"/>
          </w:tcPr>
          <w:p w14:paraId="04BDC609">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66" w:type="pct"/>
            <w:shd w:val="clear" w:color="auto" w:fill="FFFFFF"/>
            <w:vAlign w:val="center"/>
          </w:tcPr>
          <w:p w14:paraId="0A7433E2">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28B5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44" w:type="pct"/>
            <w:shd w:val="clear" w:color="auto" w:fill="FFFFFF"/>
            <w:noWrap/>
            <w:vAlign w:val="center"/>
          </w:tcPr>
          <w:p w14:paraId="4299B7C9">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2F</w:t>
            </w:r>
          </w:p>
        </w:tc>
        <w:tc>
          <w:tcPr>
            <w:tcW w:w="1522" w:type="pct"/>
            <w:shd w:val="clear" w:color="auto" w:fill="FFFFFF"/>
            <w:vAlign w:val="center"/>
          </w:tcPr>
          <w:p w14:paraId="48E1F46C">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366" w:type="pct"/>
            <w:shd w:val="clear" w:color="auto" w:fill="FFFFFF"/>
            <w:vAlign w:val="center"/>
          </w:tcPr>
          <w:p w14:paraId="20E84722">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366" w:type="pct"/>
            <w:shd w:val="clear" w:color="auto" w:fill="FFFFFF"/>
            <w:vAlign w:val="center"/>
          </w:tcPr>
          <w:p w14:paraId="4E0E5B7C">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r>
      <w:tr w14:paraId="5760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44" w:type="pct"/>
            <w:shd w:val="clear" w:color="auto" w:fill="FFFFFF"/>
            <w:noWrap/>
            <w:vAlign w:val="center"/>
          </w:tcPr>
          <w:p w14:paraId="327EBB2F">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3层</w:t>
            </w:r>
          </w:p>
        </w:tc>
        <w:tc>
          <w:tcPr>
            <w:tcW w:w="1522" w:type="pct"/>
            <w:shd w:val="clear" w:color="auto" w:fill="FFFFFF"/>
            <w:vAlign w:val="center"/>
          </w:tcPr>
          <w:p w14:paraId="0DD081D5">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66" w:type="pct"/>
            <w:shd w:val="clear" w:color="auto" w:fill="FFFFFF"/>
            <w:vAlign w:val="center"/>
          </w:tcPr>
          <w:p w14:paraId="0F8333AF">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1366" w:type="pct"/>
            <w:shd w:val="clear" w:color="auto" w:fill="FFFFFF"/>
            <w:vAlign w:val="center"/>
          </w:tcPr>
          <w:p w14:paraId="306ABD29">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p>
        </w:tc>
      </w:tr>
      <w:tr w14:paraId="30F2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44" w:type="pct"/>
            <w:shd w:val="clear" w:color="auto" w:fill="FFFFFF"/>
            <w:noWrap/>
            <w:vAlign w:val="center"/>
          </w:tcPr>
          <w:p w14:paraId="779AA299">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合计</w:t>
            </w:r>
          </w:p>
        </w:tc>
        <w:tc>
          <w:tcPr>
            <w:tcW w:w="1522" w:type="pct"/>
            <w:shd w:val="clear" w:color="auto" w:fill="FFFFFF"/>
            <w:vAlign w:val="center"/>
          </w:tcPr>
          <w:p w14:paraId="3AA79095">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1366" w:type="pct"/>
            <w:shd w:val="clear" w:color="auto" w:fill="FFFFFF"/>
            <w:vAlign w:val="center"/>
          </w:tcPr>
          <w:p w14:paraId="678CEDF4">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366" w:type="pct"/>
            <w:shd w:val="clear" w:color="auto" w:fill="FFFFFF"/>
            <w:vAlign w:val="center"/>
          </w:tcPr>
          <w:p w14:paraId="229C48E6">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bl>
    <w:p w14:paraId="0FD1DE3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4、控制部分</w:t>
      </w:r>
    </w:p>
    <w:p w14:paraId="4224742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视频数据信息传输信号传输到楼层接入交换机，接入硬盘录像机，前端摄像机用POE交换机直接供电。所有前端设备单独接地，后台设备统一接地。</w:t>
      </w:r>
    </w:p>
    <w:p w14:paraId="4A7DA5E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Hans" w:bidi="ar-SA"/>
        </w:rPr>
        <w:t>存储部分</w:t>
      </w:r>
    </w:p>
    <w:tbl>
      <w:tblPr>
        <w:tblStyle w:val="31"/>
        <w:tblW w:w="5000" w:type="pct"/>
        <w:tblInd w:w="0" w:type="dxa"/>
        <w:tblLayout w:type="autofit"/>
        <w:tblCellMar>
          <w:top w:w="0" w:type="dxa"/>
          <w:left w:w="108" w:type="dxa"/>
          <w:bottom w:w="0" w:type="dxa"/>
          <w:right w:w="108" w:type="dxa"/>
        </w:tblCellMar>
      </w:tblPr>
      <w:tblGrid>
        <w:gridCol w:w="741"/>
        <w:gridCol w:w="2153"/>
        <w:gridCol w:w="773"/>
        <w:gridCol w:w="716"/>
        <w:gridCol w:w="1211"/>
        <w:gridCol w:w="1452"/>
        <w:gridCol w:w="1476"/>
      </w:tblGrid>
      <w:tr w14:paraId="6BF694CD">
        <w:tblPrEx>
          <w:tblCellMar>
            <w:top w:w="0" w:type="dxa"/>
            <w:left w:w="108" w:type="dxa"/>
            <w:bottom w:w="0" w:type="dxa"/>
            <w:right w:w="108" w:type="dxa"/>
          </w:tblCellMar>
        </w:tblPrEx>
        <w:trPr>
          <w:trHeight w:val="576"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FE4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序号</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705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存储类型</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446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646E">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数量</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4363">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视频码流/M</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92A2">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存储时长/天</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E2E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存储空间/TB</w:t>
            </w:r>
          </w:p>
        </w:tc>
      </w:tr>
      <w:tr w14:paraId="324BE96C">
        <w:tblPrEx>
          <w:tblCellMar>
            <w:top w:w="0" w:type="dxa"/>
            <w:left w:w="108" w:type="dxa"/>
            <w:bottom w:w="0" w:type="dxa"/>
            <w:right w:w="108" w:type="dxa"/>
          </w:tblCellMar>
        </w:tblPrEx>
        <w:trPr>
          <w:trHeight w:val="56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9CA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1</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D3A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高清半球600W</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4F2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8CD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47A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809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180</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81E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159.07</w:t>
            </w:r>
          </w:p>
        </w:tc>
      </w:tr>
      <w:tr w14:paraId="7138500A">
        <w:tblPrEx>
          <w:tblCellMar>
            <w:top w:w="0" w:type="dxa"/>
            <w:left w:w="108" w:type="dxa"/>
            <w:bottom w:w="0" w:type="dxa"/>
            <w:right w:w="108" w:type="dxa"/>
          </w:tblCellMar>
        </w:tblPrEx>
        <w:trPr>
          <w:trHeight w:val="312"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C38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2</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104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高清枪机600W</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F20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76BE">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24D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D44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180</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27A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428.26</w:t>
            </w:r>
          </w:p>
        </w:tc>
      </w:tr>
      <w:tr w14:paraId="430C6185">
        <w:tblPrEx>
          <w:tblCellMar>
            <w:top w:w="0" w:type="dxa"/>
            <w:left w:w="108" w:type="dxa"/>
            <w:bottom w:w="0" w:type="dxa"/>
            <w:right w:w="108" w:type="dxa"/>
          </w:tblCellMar>
        </w:tblPrEx>
        <w:trPr>
          <w:trHeight w:val="312"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4AD7">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3</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208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全彩广角摄像机</w:t>
            </w:r>
            <w:r>
              <w:rPr>
                <w:rFonts w:hint="eastAsia" w:ascii="宋体" w:hAnsi="宋体" w:eastAsia="宋体" w:cs="宋体"/>
                <w:color w:val="auto"/>
                <w:kern w:val="2"/>
                <w:sz w:val="24"/>
                <w:szCs w:val="24"/>
                <w:highlight w:val="none"/>
                <w:lang w:val="en-US" w:eastAsia="zh-CN" w:bidi="ar-SA"/>
              </w:rPr>
              <w:t>1600W</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301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CE9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A7C2">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893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180</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794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w:t>
            </w:r>
          </w:p>
        </w:tc>
      </w:tr>
      <w:tr w14:paraId="6BCE9808">
        <w:tblPrEx>
          <w:tblCellMar>
            <w:top w:w="0" w:type="dxa"/>
            <w:left w:w="108" w:type="dxa"/>
            <w:bottom w:w="0" w:type="dxa"/>
            <w:right w:w="108" w:type="dxa"/>
          </w:tblCellMar>
        </w:tblPrEx>
        <w:trPr>
          <w:trHeight w:val="312"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A35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Hans" w:bidi="ar-SA"/>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426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合计/TB</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9A0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AB4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D3F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259E">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1F1F">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622.33</w:t>
            </w:r>
          </w:p>
        </w:tc>
      </w:tr>
    </w:tbl>
    <w:p w14:paraId="181C5B2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部署一台接入能力不低于200路，盘位不低于36个的网络硬盘录像机用作视频存储设备，对安全防范区域进行180*24小时录像，本次网络硬盘录像机配置不少于36块20T硬盘。录像视频流设计要求：高清半球、枪机按6Mbps码流，全彩广角摄像机按16Mbps码流。</w:t>
      </w:r>
    </w:p>
    <w:p w14:paraId="794473AC">
      <w:pPr>
        <w:keepNext w:val="0"/>
        <w:keepLines w:val="0"/>
        <w:pageBreakBefore w:val="0"/>
        <w:kinsoku/>
        <w:wordWrap/>
        <w:overflowPunct/>
        <w:topLinePunct w:val="0"/>
        <w:autoSpaceDE/>
        <w:autoSpaceDN/>
        <w:bidi w:val="0"/>
        <w:spacing w:line="520" w:lineRule="exact"/>
        <w:ind w:firstLine="482" w:firstLineChars="200"/>
        <w:rPr>
          <w:rFonts w:hint="eastAsia" w:ascii="宋体" w:hAnsi="宋体" w:eastAsia="宋体" w:cs="宋体"/>
          <w:b/>
          <w:bCs/>
          <w:color w:val="auto"/>
          <w:kern w:val="2"/>
          <w:sz w:val="24"/>
          <w:szCs w:val="24"/>
          <w:highlight w:val="none"/>
          <w:lang w:val="en-US" w:eastAsia="zh-Hans" w:bidi="ar-SA"/>
        </w:rPr>
      </w:pPr>
      <w:r>
        <w:rPr>
          <w:rFonts w:hint="eastAsia" w:ascii="宋体" w:hAnsi="宋体" w:eastAsia="宋体" w:cs="宋体"/>
          <w:b/>
          <w:bCs/>
          <w:color w:val="auto"/>
          <w:kern w:val="2"/>
          <w:sz w:val="24"/>
          <w:szCs w:val="24"/>
          <w:highlight w:val="none"/>
          <w:lang w:val="en-US" w:eastAsia="zh-Hans" w:bidi="ar-SA"/>
        </w:rPr>
        <w:t>门禁系统</w:t>
      </w:r>
    </w:p>
    <w:p w14:paraId="5D7E9E5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28" w:name="_Toc122943173"/>
      <w:bookmarkStart w:id="129" w:name="_Toc15729"/>
      <w:r>
        <w:rPr>
          <w:rFonts w:hint="eastAsia" w:ascii="宋体" w:hAnsi="宋体" w:eastAsia="宋体" w:cs="宋体"/>
          <w:color w:val="auto"/>
          <w:kern w:val="2"/>
          <w:sz w:val="24"/>
          <w:szCs w:val="24"/>
          <w:highlight w:val="none"/>
          <w:lang w:val="en-US" w:eastAsia="zh-CN" w:bidi="ar-SA"/>
        </w:rPr>
        <w:t>系统概述</w:t>
      </w:r>
    </w:p>
    <w:p w14:paraId="0F1AD1E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本次门禁系统</w:t>
      </w:r>
      <w:r>
        <w:rPr>
          <w:rFonts w:hint="eastAsia" w:ascii="宋体" w:hAnsi="宋体" w:eastAsia="宋体" w:cs="宋体"/>
          <w:color w:val="auto"/>
          <w:kern w:val="2"/>
          <w:sz w:val="24"/>
          <w:szCs w:val="24"/>
          <w:highlight w:val="none"/>
          <w:lang w:val="en-US" w:eastAsia="zh-CN" w:bidi="ar-SA"/>
        </w:rPr>
        <w:t>按照相关标准进行设计，</w:t>
      </w:r>
      <w:r>
        <w:rPr>
          <w:rFonts w:hint="eastAsia" w:ascii="宋体" w:hAnsi="宋体" w:eastAsia="宋体" w:cs="宋体"/>
          <w:color w:val="auto"/>
          <w:kern w:val="2"/>
          <w:sz w:val="24"/>
          <w:szCs w:val="24"/>
          <w:highlight w:val="none"/>
          <w:lang w:val="en-US" w:eastAsia="zh-Hans" w:bidi="ar-SA"/>
        </w:rPr>
        <w:t>为有效</w:t>
      </w:r>
      <w:r>
        <w:rPr>
          <w:rFonts w:hint="eastAsia" w:ascii="宋体" w:hAnsi="宋体" w:eastAsia="宋体" w:cs="宋体"/>
          <w:color w:val="auto"/>
          <w:kern w:val="2"/>
          <w:sz w:val="24"/>
          <w:szCs w:val="24"/>
          <w:highlight w:val="none"/>
          <w:lang w:val="en-US" w:eastAsia="zh-CN" w:bidi="ar-SA"/>
        </w:rPr>
        <w:t>地</w:t>
      </w:r>
      <w:r>
        <w:rPr>
          <w:rFonts w:hint="eastAsia" w:ascii="宋体" w:hAnsi="宋体" w:eastAsia="宋体" w:cs="宋体"/>
          <w:color w:val="auto"/>
          <w:kern w:val="2"/>
          <w:sz w:val="24"/>
          <w:szCs w:val="24"/>
          <w:highlight w:val="none"/>
          <w:lang w:val="en-US" w:eastAsia="zh-Hans" w:bidi="ar-SA"/>
        </w:rPr>
        <w:t>控制人员的出入及职工考勤，并记录所有出入的详细情况。具体包含发卡、出入授权、实时监控、出入查询及打印报表等；支持网络统一管理。</w:t>
      </w:r>
    </w:p>
    <w:p w14:paraId="1929D1C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系统设计</w:t>
      </w:r>
    </w:p>
    <w:p w14:paraId="2A8BF63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系统需具备人脸识别、卡片、手机APP、人脸识别+卡片等开门方式。</w:t>
      </w:r>
    </w:p>
    <w:p w14:paraId="23AD10B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系统后台可精准</w:t>
      </w:r>
      <w:r>
        <w:rPr>
          <w:rFonts w:hint="eastAsia" w:ascii="宋体" w:hAnsi="宋体" w:eastAsia="宋体" w:cs="宋体"/>
          <w:color w:val="auto"/>
          <w:kern w:val="2"/>
          <w:sz w:val="24"/>
          <w:szCs w:val="24"/>
          <w:highlight w:val="none"/>
          <w:lang w:val="en-US" w:eastAsia="zh-CN" w:bidi="ar-SA"/>
        </w:rPr>
        <w:t>地</w:t>
      </w:r>
      <w:r>
        <w:rPr>
          <w:rFonts w:hint="eastAsia" w:ascii="宋体" w:hAnsi="宋体" w:eastAsia="宋体" w:cs="宋体"/>
          <w:color w:val="auto"/>
          <w:kern w:val="2"/>
          <w:sz w:val="24"/>
          <w:szCs w:val="24"/>
          <w:highlight w:val="none"/>
          <w:lang w:val="en-US" w:eastAsia="zh-Hans" w:bidi="ar-SA"/>
        </w:rPr>
        <w:t>精确到任何成员在任何时间点上，对任何房门的通行权限及通行方式</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后勤管理员可在突发事件时追溯记录。</w:t>
      </w:r>
    </w:p>
    <w:p w14:paraId="64A339F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门禁消息：后台管理员在安全中心设置房门安全消息推送，可设置非法卡刷卡安全提醒，门超时未关安全提醒，非法闯入安全提醒，反胁迫安全提醒，火警，防盗紧急事件安全提醒；</w:t>
      </w:r>
    </w:p>
    <w:p w14:paraId="785A753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管理员安全信息：当管理员发生添加、删除、变更时，系统会推送安全信息至其他管理员APP中。</w:t>
      </w:r>
    </w:p>
    <w:p w14:paraId="2A1AACD5">
      <w:pPr>
        <w:keepNext w:val="0"/>
        <w:keepLines w:val="0"/>
        <w:pageBreakBefore w:val="0"/>
        <w:kinsoku/>
        <w:wordWrap/>
        <w:overflowPunct/>
        <w:topLinePunct w:val="0"/>
        <w:autoSpaceDE/>
        <w:autoSpaceDN/>
        <w:bidi w:val="0"/>
        <w:spacing w:line="520" w:lineRule="exact"/>
        <w:ind w:firstLine="482" w:firstLineChars="200"/>
        <w:rPr>
          <w:rFonts w:hint="eastAsia" w:ascii="宋体" w:hAnsi="宋体" w:eastAsia="宋体" w:cs="宋体"/>
          <w:b/>
          <w:bCs/>
          <w:color w:val="auto"/>
          <w:kern w:val="2"/>
          <w:sz w:val="24"/>
          <w:szCs w:val="24"/>
          <w:highlight w:val="none"/>
          <w:lang w:val="en-US" w:eastAsia="zh-Hans" w:bidi="ar-SA"/>
        </w:rPr>
      </w:pPr>
      <w:r>
        <w:rPr>
          <w:rFonts w:hint="eastAsia" w:ascii="宋体" w:hAnsi="宋体" w:eastAsia="宋体" w:cs="宋体"/>
          <w:b/>
          <w:bCs/>
          <w:color w:val="auto"/>
          <w:kern w:val="2"/>
          <w:sz w:val="24"/>
          <w:szCs w:val="24"/>
          <w:highlight w:val="none"/>
          <w:lang w:val="en-US" w:eastAsia="zh-Hans" w:bidi="ar-SA"/>
        </w:rPr>
        <w:t>公共广播系统</w:t>
      </w:r>
      <w:bookmarkEnd w:id="128"/>
      <w:bookmarkEnd w:id="129"/>
    </w:p>
    <w:p w14:paraId="59E02C6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系统概述</w:t>
      </w:r>
    </w:p>
    <w:p w14:paraId="1C94E6F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本项目公共广播系统</w:t>
      </w:r>
      <w:r>
        <w:rPr>
          <w:rFonts w:hint="eastAsia" w:ascii="宋体" w:hAnsi="宋体" w:eastAsia="宋体" w:cs="宋体"/>
          <w:color w:val="auto"/>
          <w:kern w:val="2"/>
          <w:sz w:val="24"/>
          <w:szCs w:val="24"/>
          <w:highlight w:val="none"/>
          <w:lang w:val="en-US" w:eastAsia="zh-CN" w:bidi="ar-SA"/>
        </w:rPr>
        <w:t>按照《公共广播系统工程技术规范》GB50526-2010标准和《厅堂、体育场馆扩声系统设计规范》GBT28049-2011标准进行设计，方案设计</w:t>
      </w:r>
      <w:r>
        <w:rPr>
          <w:rFonts w:hint="eastAsia" w:ascii="宋体" w:hAnsi="宋体" w:eastAsia="宋体" w:cs="宋体"/>
          <w:color w:val="auto"/>
          <w:kern w:val="2"/>
          <w:sz w:val="24"/>
          <w:szCs w:val="24"/>
          <w:highlight w:val="none"/>
          <w:lang w:val="en-US" w:eastAsia="zh-Hans" w:bidi="ar-SA"/>
        </w:rPr>
        <w:t>提供</w:t>
      </w:r>
      <w:r>
        <w:rPr>
          <w:rFonts w:hint="eastAsia" w:ascii="宋体" w:hAnsi="宋体" w:eastAsia="宋体" w:cs="宋体"/>
          <w:color w:val="auto"/>
          <w:kern w:val="2"/>
          <w:sz w:val="24"/>
          <w:szCs w:val="24"/>
          <w:highlight w:val="none"/>
          <w:lang w:val="en-US" w:eastAsia="zh-CN" w:bidi="ar-SA"/>
        </w:rPr>
        <w:t>数据大厦</w:t>
      </w:r>
      <w:r>
        <w:rPr>
          <w:rFonts w:hint="eastAsia" w:ascii="宋体" w:hAnsi="宋体" w:eastAsia="宋体" w:cs="宋体"/>
          <w:color w:val="auto"/>
          <w:kern w:val="2"/>
          <w:sz w:val="24"/>
          <w:szCs w:val="24"/>
          <w:highlight w:val="none"/>
          <w:lang w:val="en-US" w:eastAsia="zh-Hans" w:bidi="ar-SA"/>
        </w:rPr>
        <w:t>1-3层的广播功能</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在火灾等紧急情况时提供报警信号或进行紧急广播。</w:t>
      </w:r>
      <w:r>
        <w:rPr>
          <w:rFonts w:hint="eastAsia" w:ascii="宋体" w:hAnsi="宋体" w:eastAsia="宋体" w:cs="宋体"/>
          <w:color w:val="auto"/>
          <w:kern w:val="2"/>
          <w:sz w:val="24"/>
          <w:szCs w:val="24"/>
          <w:highlight w:val="none"/>
          <w:lang w:val="en-US" w:eastAsia="zh-CN" w:bidi="ar-SA"/>
        </w:rPr>
        <w:t>智慧城市运行管理中心</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智慧城市</w:t>
      </w:r>
      <w:r>
        <w:rPr>
          <w:rFonts w:hint="eastAsia" w:ascii="宋体" w:hAnsi="宋体" w:eastAsia="宋体" w:cs="宋体"/>
          <w:color w:val="auto"/>
          <w:kern w:val="2"/>
          <w:sz w:val="24"/>
          <w:szCs w:val="24"/>
          <w:highlight w:val="none"/>
          <w:lang w:val="en-US" w:eastAsia="zh-Hans" w:bidi="ar-SA"/>
        </w:rPr>
        <w:t>展示中心设置独立分区与分控中心，与大楼消防系统进行联动。</w:t>
      </w:r>
    </w:p>
    <w:p w14:paraId="3083C38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展厅需要独立扩音设备，能够</w:t>
      </w:r>
      <w:r>
        <w:rPr>
          <w:rFonts w:hint="eastAsia" w:ascii="宋体" w:hAnsi="宋体" w:eastAsia="宋体" w:cs="宋体"/>
          <w:color w:val="auto"/>
          <w:kern w:val="2"/>
          <w:sz w:val="24"/>
          <w:szCs w:val="24"/>
          <w:highlight w:val="none"/>
          <w:lang w:val="en-US" w:eastAsia="zh-CN" w:bidi="ar-SA"/>
        </w:rPr>
        <w:t>共</w:t>
      </w:r>
      <w:r>
        <w:rPr>
          <w:rFonts w:hint="eastAsia" w:ascii="宋体" w:hAnsi="宋体" w:eastAsia="宋体" w:cs="宋体"/>
          <w:color w:val="auto"/>
          <w:kern w:val="2"/>
          <w:sz w:val="24"/>
          <w:szCs w:val="24"/>
          <w:highlight w:val="none"/>
          <w:lang w:val="en-US" w:eastAsia="zh-Hans" w:bidi="ar-SA"/>
        </w:rPr>
        <w:t>用。</w:t>
      </w:r>
    </w:p>
    <w:p w14:paraId="7C826C1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1）控制中心</w:t>
      </w:r>
    </w:p>
    <w:p w14:paraId="773AF85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公共广播系统的总控制室设在网络机房；控制中心设备包括：主控中心、音源设备、功率放大器、监听音箱、报警矩阵等。</w:t>
      </w:r>
    </w:p>
    <w:p w14:paraId="6888B1E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2）前端部分</w:t>
      </w:r>
    </w:p>
    <w:p w14:paraId="01038B9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前端喇叭根据安装环境，选择安装吸顶式音箱。</w:t>
      </w:r>
    </w:p>
    <w:p w14:paraId="5683672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bookmarkStart w:id="130" w:name="_Toc353913564"/>
      <w:bookmarkStart w:id="131" w:name="_Toc313545812"/>
      <w:r>
        <w:rPr>
          <w:rFonts w:hint="eastAsia" w:ascii="宋体" w:hAnsi="宋体" w:eastAsia="宋体" w:cs="宋体"/>
          <w:color w:val="auto"/>
          <w:kern w:val="2"/>
          <w:sz w:val="24"/>
          <w:szCs w:val="24"/>
          <w:highlight w:val="none"/>
          <w:lang w:val="en-US" w:eastAsia="zh-Hans" w:bidi="ar-SA"/>
        </w:rPr>
        <w:t>系统组成</w:t>
      </w:r>
    </w:p>
    <w:p w14:paraId="59C1BDB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本次公共广播系统由网络广播控制中心主机、网络广播控制中心软件、网络呼叫站、网络报警矩阵、网络监听音箱、网络功放、吸顶喇叭组成。</w:t>
      </w:r>
    </w:p>
    <w:p w14:paraId="219A462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系统基本功能</w:t>
      </w:r>
      <w:bookmarkEnd w:id="130"/>
      <w:bookmarkEnd w:id="131"/>
    </w:p>
    <w:p w14:paraId="742209B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1、背景音乐播放：公共广播播放背景音乐；在不同区域播放不同内容；</w:t>
      </w:r>
    </w:p>
    <w:p w14:paraId="35B4767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2、业务语言广播：公共广播可通过寻呼</w:t>
      </w:r>
      <w:r>
        <w:rPr>
          <w:rFonts w:hint="eastAsia" w:ascii="宋体" w:hAnsi="宋体" w:eastAsia="宋体" w:cs="宋体"/>
          <w:color w:val="auto"/>
          <w:kern w:val="2"/>
          <w:sz w:val="24"/>
          <w:szCs w:val="24"/>
          <w:highlight w:val="none"/>
          <w:lang w:val="en-US" w:eastAsia="zh-CN" w:bidi="ar-SA"/>
        </w:rPr>
        <w:t>话筒向城运</w:t>
      </w:r>
      <w:r>
        <w:rPr>
          <w:rFonts w:hint="eastAsia" w:ascii="宋体" w:hAnsi="宋体" w:eastAsia="宋体" w:cs="宋体"/>
          <w:color w:val="auto"/>
          <w:kern w:val="2"/>
          <w:sz w:val="24"/>
          <w:szCs w:val="24"/>
          <w:highlight w:val="none"/>
          <w:lang w:val="en-US" w:eastAsia="zh-Hans" w:bidi="ar-SA"/>
        </w:rPr>
        <w:t>中心、</w:t>
      </w:r>
      <w:r>
        <w:rPr>
          <w:rFonts w:hint="eastAsia" w:ascii="宋体" w:hAnsi="宋体" w:eastAsia="宋体" w:cs="宋体"/>
          <w:color w:val="auto"/>
          <w:kern w:val="2"/>
          <w:sz w:val="24"/>
          <w:szCs w:val="24"/>
          <w:highlight w:val="none"/>
          <w:lang w:val="en-US" w:eastAsia="zh-CN" w:bidi="ar-SA"/>
        </w:rPr>
        <w:t>展示中心</w:t>
      </w:r>
      <w:r>
        <w:rPr>
          <w:rFonts w:hint="eastAsia" w:ascii="宋体" w:hAnsi="宋体" w:eastAsia="宋体" w:cs="宋体"/>
          <w:color w:val="auto"/>
          <w:kern w:val="2"/>
          <w:sz w:val="24"/>
          <w:szCs w:val="24"/>
          <w:highlight w:val="none"/>
          <w:lang w:val="en-US" w:eastAsia="zh-Hans" w:bidi="ar-SA"/>
        </w:rPr>
        <w:t>各个区域内播放通知、呼叫、插播语音信息；</w:t>
      </w:r>
    </w:p>
    <w:p w14:paraId="6C19B3F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3、应急广播：在发生重大自然灾害、突发事件、公共卫生与社会安全等突发公共危机时，提供迅速快捷的讯息传输。</w:t>
      </w:r>
    </w:p>
    <w:p w14:paraId="0639406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建设内容</w:t>
      </w:r>
    </w:p>
    <w:p w14:paraId="1ACF352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在网络机房中配置一台网络广播控制中心主机，作为公共广播控制中心，具有系统管理、用户管理、终端管理、分组管理、故障查询、任务管理等多项功能；同时配置一台网络呼叫站，用于业务语音广播。</w:t>
      </w:r>
    </w:p>
    <w:p w14:paraId="47222C4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在一层</w:t>
      </w:r>
      <w:r>
        <w:rPr>
          <w:rFonts w:hint="eastAsia" w:ascii="宋体" w:hAnsi="宋体" w:eastAsia="宋体" w:cs="宋体"/>
          <w:color w:val="auto"/>
          <w:kern w:val="2"/>
          <w:sz w:val="24"/>
          <w:szCs w:val="24"/>
          <w:highlight w:val="none"/>
          <w:lang w:val="en-US" w:eastAsia="zh-CN" w:bidi="ar-SA"/>
        </w:rPr>
        <w:t>智慧城市运行管理中心</w:t>
      </w:r>
      <w:r>
        <w:rPr>
          <w:rFonts w:hint="eastAsia" w:ascii="宋体" w:hAnsi="宋体" w:eastAsia="宋体" w:cs="宋体"/>
          <w:color w:val="auto"/>
          <w:kern w:val="2"/>
          <w:sz w:val="24"/>
          <w:szCs w:val="24"/>
          <w:highlight w:val="none"/>
          <w:lang w:val="en-US" w:eastAsia="zh-Hans" w:bidi="ar-SA"/>
        </w:rPr>
        <w:t>及办公区域配置20只吸顶喇叭，均匀分布于每个区域，配套一台网络功放，实现扩声需求。在一层展示中心区域配置</w:t>
      </w:r>
      <w:r>
        <w:rPr>
          <w:rFonts w:hint="eastAsia" w:ascii="宋体" w:hAnsi="宋体" w:eastAsia="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Hans" w:bidi="ar-SA"/>
        </w:rPr>
        <w:t>只吸顶喇叭，均匀分布于每个区域，配套一台网络功放，实现扩声需求。</w:t>
      </w:r>
    </w:p>
    <w:p w14:paraId="78DAE8A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二层</w:t>
      </w:r>
      <w:r>
        <w:rPr>
          <w:rFonts w:hint="eastAsia" w:ascii="宋体" w:hAnsi="宋体" w:eastAsia="宋体" w:cs="宋体"/>
          <w:color w:val="auto"/>
          <w:kern w:val="2"/>
          <w:sz w:val="24"/>
          <w:szCs w:val="24"/>
          <w:highlight w:val="none"/>
          <w:lang w:val="en-US" w:eastAsia="zh-CN" w:bidi="ar-SA"/>
        </w:rPr>
        <w:t>和</w:t>
      </w:r>
      <w:r>
        <w:rPr>
          <w:rFonts w:hint="eastAsia" w:ascii="宋体" w:hAnsi="宋体" w:eastAsia="宋体" w:cs="宋体"/>
          <w:color w:val="auto"/>
          <w:kern w:val="2"/>
          <w:sz w:val="24"/>
          <w:szCs w:val="24"/>
          <w:highlight w:val="none"/>
          <w:lang w:val="en-US" w:eastAsia="zh-Hans" w:bidi="ar-SA"/>
        </w:rPr>
        <w:t>三层</w:t>
      </w:r>
      <w:r>
        <w:rPr>
          <w:rFonts w:hint="eastAsia" w:ascii="宋体" w:hAnsi="宋体" w:eastAsia="宋体" w:cs="宋体"/>
          <w:color w:val="auto"/>
          <w:kern w:val="2"/>
          <w:sz w:val="24"/>
          <w:szCs w:val="24"/>
          <w:highlight w:val="none"/>
          <w:lang w:val="en-US" w:eastAsia="zh-CN" w:bidi="ar-SA"/>
        </w:rPr>
        <w:t>各配置</w:t>
      </w:r>
      <w:r>
        <w:rPr>
          <w:rFonts w:hint="eastAsia" w:ascii="宋体" w:hAnsi="宋体" w:eastAsia="宋体" w:cs="宋体"/>
          <w:color w:val="auto"/>
          <w:kern w:val="2"/>
          <w:sz w:val="24"/>
          <w:szCs w:val="24"/>
          <w:highlight w:val="none"/>
          <w:lang w:val="en-US" w:eastAsia="zh-Hans" w:bidi="ar-SA"/>
        </w:rPr>
        <w:t>20只吸顶喇叭，均匀分布于每个区域，</w:t>
      </w:r>
      <w:r>
        <w:rPr>
          <w:rFonts w:hint="eastAsia" w:ascii="宋体" w:hAnsi="宋体" w:eastAsia="宋体" w:cs="宋体"/>
          <w:color w:val="auto"/>
          <w:kern w:val="2"/>
          <w:sz w:val="24"/>
          <w:szCs w:val="24"/>
          <w:highlight w:val="none"/>
          <w:lang w:val="en-US" w:eastAsia="zh-CN" w:bidi="ar-SA"/>
        </w:rPr>
        <w:t>每层</w:t>
      </w:r>
      <w:r>
        <w:rPr>
          <w:rFonts w:hint="eastAsia" w:ascii="宋体" w:hAnsi="宋体" w:eastAsia="宋体" w:cs="宋体"/>
          <w:color w:val="auto"/>
          <w:kern w:val="2"/>
          <w:sz w:val="24"/>
          <w:szCs w:val="24"/>
          <w:highlight w:val="none"/>
          <w:lang w:val="en-US" w:eastAsia="zh-Hans" w:bidi="ar-SA"/>
        </w:rPr>
        <w:t>配套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Hans" w:bidi="ar-SA"/>
        </w:rPr>
        <w:t>台网络功放，实现扩声需求</w:t>
      </w:r>
      <w:r>
        <w:rPr>
          <w:rFonts w:hint="eastAsia" w:ascii="宋体" w:hAnsi="宋体" w:eastAsia="宋体" w:cs="宋体"/>
          <w:color w:val="auto"/>
          <w:kern w:val="2"/>
          <w:sz w:val="24"/>
          <w:szCs w:val="24"/>
          <w:highlight w:val="none"/>
          <w:lang w:val="en-US" w:eastAsia="zh-CN" w:bidi="ar-SA"/>
        </w:rPr>
        <w:t>。</w:t>
      </w:r>
    </w:p>
    <w:p w14:paraId="310A6894">
      <w:pPr>
        <w:keepNext w:val="0"/>
        <w:keepLines w:val="0"/>
        <w:pageBreakBefore w:val="0"/>
        <w:kinsoku/>
        <w:wordWrap/>
        <w:overflowPunct/>
        <w:topLinePunct w:val="0"/>
        <w:autoSpaceDE/>
        <w:autoSpaceDN/>
        <w:bidi w:val="0"/>
        <w:spacing w:line="52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机房工程</w:t>
      </w:r>
    </w:p>
    <w:p w14:paraId="56E51C0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机房概述</w:t>
      </w:r>
    </w:p>
    <w:p w14:paraId="260B489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bookmarkStart w:id="132" w:name="_Hlk135160629"/>
      <w:r>
        <w:rPr>
          <w:rFonts w:hint="eastAsia" w:ascii="宋体" w:hAnsi="宋体" w:eastAsia="宋体" w:cs="宋体"/>
          <w:color w:val="auto"/>
          <w:kern w:val="2"/>
          <w:sz w:val="24"/>
          <w:szCs w:val="24"/>
          <w:highlight w:val="none"/>
          <w:lang w:val="en-US" w:eastAsia="zh-Hans" w:bidi="ar-SA"/>
        </w:rPr>
        <w:t>本次</w:t>
      </w:r>
      <w:r>
        <w:rPr>
          <w:rFonts w:hint="eastAsia" w:ascii="宋体" w:hAnsi="宋体" w:eastAsia="宋体" w:cs="宋体"/>
          <w:color w:val="auto"/>
          <w:kern w:val="2"/>
          <w:sz w:val="24"/>
          <w:szCs w:val="24"/>
          <w:highlight w:val="none"/>
          <w:lang w:val="en-US" w:eastAsia="zh-CN" w:bidi="ar-SA"/>
        </w:rPr>
        <w:t>机房工程按《建筑物电子信息系统防雷技术规范》GB50343-2012和《安全防范工程技术规范》GB50348-2018标准进行设计，</w:t>
      </w:r>
      <w:r>
        <w:rPr>
          <w:rFonts w:hint="eastAsia" w:ascii="宋体" w:hAnsi="宋体" w:eastAsia="宋体" w:cs="宋体"/>
          <w:color w:val="auto"/>
          <w:kern w:val="2"/>
          <w:sz w:val="24"/>
          <w:szCs w:val="24"/>
          <w:highlight w:val="none"/>
          <w:lang w:val="en-US" w:eastAsia="zh-Hans" w:bidi="ar-SA"/>
        </w:rPr>
        <w:t>项目建设UPS机房与网络机房。UPS机房面积为48㎡，网络机房面积为</w:t>
      </w:r>
      <w:r>
        <w:rPr>
          <w:rFonts w:hint="eastAsia" w:ascii="宋体" w:hAnsi="宋体" w:eastAsia="宋体" w:cs="宋体"/>
          <w:color w:val="auto"/>
          <w:kern w:val="2"/>
          <w:sz w:val="24"/>
          <w:szCs w:val="24"/>
          <w:highlight w:val="none"/>
          <w:lang w:val="en-US" w:eastAsia="zh-CN" w:bidi="ar-SA"/>
        </w:rPr>
        <w:t>56</w:t>
      </w:r>
      <w:r>
        <w:rPr>
          <w:rFonts w:hint="eastAsia" w:ascii="宋体" w:hAnsi="宋体" w:eastAsia="宋体" w:cs="宋体"/>
          <w:color w:val="auto"/>
          <w:kern w:val="2"/>
          <w:sz w:val="24"/>
          <w:szCs w:val="24"/>
          <w:highlight w:val="none"/>
          <w:lang w:val="en-US" w:eastAsia="zh-Hans" w:bidi="ar-SA"/>
        </w:rPr>
        <w:t>㎡（其中机房面积</w:t>
      </w:r>
      <w:r>
        <w:rPr>
          <w:rFonts w:hint="eastAsia" w:ascii="宋体" w:hAnsi="宋体" w:eastAsia="宋体" w:cs="宋体"/>
          <w:color w:val="auto"/>
          <w:kern w:val="2"/>
          <w:sz w:val="24"/>
          <w:szCs w:val="24"/>
          <w:highlight w:val="none"/>
          <w:lang w:val="en-US" w:eastAsia="zh-CN" w:bidi="ar-SA"/>
        </w:rPr>
        <w:t>42</w:t>
      </w:r>
      <w:r>
        <w:rPr>
          <w:rFonts w:hint="eastAsia" w:ascii="宋体" w:hAnsi="宋体" w:eastAsia="宋体" w:cs="宋体"/>
          <w:color w:val="auto"/>
          <w:kern w:val="2"/>
          <w:sz w:val="24"/>
          <w:szCs w:val="24"/>
          <w:highlight w:val="none"/>
          <w:lang w:val="en-US" w:eastAsia="zh-Hans" w:bidi="ar-SA"/>
        </w:rPr>
        <w:t>㎡，控制室</w:t>
      </w: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参照</w:t>
      </w:r>
      <w:r>
        <w:rPr>
          <w:rFonts w:hint="eastAsia" w:ascii="宋体" w:hAnsi="宋体" w:eastAsia="宋体" w:cs="宋体"/>
          <w:color w:val="auto"/>
          <w:kern w:val="2"/>
          <w:sz w:val="24"/>
          <w:szCs w:val="24"/>
          <w:highlight w:val="none"/>
          <w:lang w:val="en-US" w:eastAsia="zh-Hans" w:bidi="ar-SA"/>
        </w:rPr>
        <w:t>《数据中心设计规范》（GB50174-2017）中B类标准，UPS</w:t>
      </w:r>
      <w:r>
        <w:rPr>
          <w:rFonts w:hint="eastAsia" w:ascii="宋体" w:hAnsi="宋体" w:eastAsia="宋体" w:cs="宋体"/>
          <w:color w:val="auto"/>
          <w:kern w:val="2"/>
          <w:sz w:val="24"/>
          <w:szCs w:val="24"/>
          <w:highlight w:val="none"/>
          <w:lang w:val="en-US" w:eastAsia="zh-CN" w:bidi="ar-SA"/>
        </w:rPr>
        <w:t>供电时间不低于4小时，</w:t>
      </w:r>
      <w:r>
        <w:rPr>
          <w:rFonts w:hint="eastAsia" w:ascii="宋体" w:hAnsi="宋体" w:eastAsia="宋体" w:cs="宋体"/>
          <w:color w:val="auto"/>
          <w:kern w:val="2"/>
          <w:sz w:val="24"/>
          <w:szCs w:val="24"/>
          <w:highlight w:val="none"/>
          <w:lang w:val="en-US" w:eastAsia="zh-Hans" w:bidi="ar-SA"/>
        </w:rPr>
        <w:t>UPS配套电池组在市电断电的情况下为UPS提供电源，保证</w:t>
      </w:r>
      <w:r>
        <w:rPr>
          <w:rFonts w:hint="eastAsia" w:ascii="宋体" w:hAnsi="宋体" w:eastAsia="宋体" w:cs="宋体"/>
          <w:color w:val="auto"/>
          <w:kern w:val="2"/>
          <w:sz w:val="24"/>
          <w:szCs w:val="24"/>
          <w:highlight w:val="none"/>
          <w:lang w:val="en-US" w:eastAsia="zh-CN" w:bidi="ar-SA"/>
        </w:rPr>
        <w:t>智慧城市运行管理中心</w:t>
      </w:r>
      <w:r>
        <w:rPr>
          <w:rFonts w:hint="eastAsia" w:ascii="宋体" w:hAnsi="宋体" w:eastAsia="宋体" w:cs="宋体"/>
          <w:color w:val="auto"/>
          <w:kern w:val="2"/>
          <w:sz w:val="24"/>
          <w:szCs w:val="24"/>
          <w:highlight w:val="none"/>
          <w:lang w:val="en-US" w:eastAsia="zh-Hans" w:bidi="ar-SA"/>
        </w:rPr>
        <w:t>大屏、展示中心大屏、网络机房、</w:t>
      </w:r>
      <w:r>
        <w:rPr>
          <w:rFonts w:hint="eastAsia" w:ascii="宋体" w:hAnsi="宋体" w:eastAsia="宋体" w:cs="宋体"/>
          <w:color w:val="auto"/>
          <w:kern w:val="2"/>
          <w:sz w:val="24"/>
          <w:szCs w:val="24"/>
          <w:highlight w:val="none"/>
          <w:lang w:val="en-US" w:eastAsia="zh-CN" w:bidi="ar-SA"/>
        </w:rPr>
        <w:t>指挥调度室</w:t>
      </w:r>
      <w:r>
        <w:rPr>
          <w:rFonts w:hint="eastAsia" w:ascii="宋体" w:hAnsi="宋体" w:eastAsia="宋体" w:cs="宋体"/>
          <w:color w:val="auto"/>
          <w:kern w:val="2"/>
          <w:sz w:val="24"/>
          <w:szCs w:val="24"/>
          <w:highlight w:val="none"/>
          <w:lang w:val="en-US" w:eastAsia="zh-Hans" w:bidi="ar-SA"/>
        </w:rPr>
        <w:t>无纸化系统在市电中断的情况下仍能正常工作。</w:t>
      </w:r>
    </w:p>
    <w:bookmarkEnd w:id="132"/>
    <w:p w14:paraId="580BBBB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33" w:name="_Hlk132964747"/>
      <w:r>
        <w:rPr>
          <w:rFonts w:hint="eastAsia" w:ascii="宋体" w:hAnsi="宋体" w:eastAsia="宋体" w:cs="宋体"/>
          <w:color w:val="auto"/>
          <w:kern w:val="2"/>
          <w:sz w:val="24"/>
          <w:szCs w:val="24"/>
          <w:highlight w:val="none"/>
          <w:lang w:val="en-US" w:eastAsia="zh-CN" w:bidi="ar-SA"/>
        </w:rPr>
        <w:t>UPS机房</w:t>
      </w:r>
    </w:p>
    <w:p w14:paraId="086696F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系统设计</w:t>
      </w:r>
    </w:p>
    <w:p w14:paraId="46CE0C6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本次方案建设2台</w:t>
      </w:r>
      <w:r>
        <w:rPr>
          <w:rFonts w:hint="eastAsia" w:ascii="宋体" w:hAnsi="宋体" w:eastAsia="宋体" w:cs="宋体"/>
          <w:color w:val="auto"/>
          <w:kern w:val="2"/>
          <w:sz w:val="24"/>
          <w:szCs w:val="24"/>
          <w:highlight w:val="none"/>
          <w:lang w:val="en-US" w:eastAsia="zh-CN" w:bidi="ar-SA"/>
        </w:rPr>
        <w:t>200KVA模块化</w:t>
      </w:r>
      <w:r>
        <w:rPr>
          <w:rFonts w:hint="eastAsia" w:ascii="宋体" w:hAnsi="宋体" w:eastAsia="宋体" w:cs="宋体"/>
          <w:color w:val="auto"/>
          <w:kern w:val="2"/>
          <w:sz w:val="24"/>
          <w:szCs w:val="24"/>
          <w:highlight w:val="none"/>
          <w:lang w:val="en-US" w:eastAsia="zh-Hans" w:bidi="ar-SA"/>
        </w:rPr>
        <w:t>UPS主机，单机配置200kVA，分别配置4台50kVA模块，提供UPS输入配电开关、UPS旁路开关及外部维修旁路的交流输入。本次UPS供电采用80</w:t>
      </w:r>
      <w:r>
        <w:rPr>
          <w:rFonts w:hint="eastAsia" w:ascii="宋体" w:hAnsi="宋体" w:eastAsia="宋体" w:cs="宋体"/>
          <w:color w:val="auto"/>
          <w:kern w:val="2"/>
          <w:sz w:val="24"/>
          <w:szCs w:val="24"/>
          <w:highlight w:val="none"/>
          <w:lang w:val="en-US" w:eastAsia="zh-CN" w:bidi="ar-SA"/>
        </w:rPr>
        <w:t>节</w:t>
      </w:r>
      <w:r>
        <w:rPr>
          <w:rFonts w:hint="eastAsia" w:ascii="宋体" w:hAnsi="宋体" w:eastAsia="宋体" w:cs="宋体"/>
          <w:color w:val="auto"/>
          <w:kern w:val="2"/>
          <w:sz w:val="24"/>
          <w:szCs w:val="24"/>
          <w:highlight w:val="none"/>
          <w:lang w:val="en-US" w:eastAsia="zh-Hans" w:bidi="ar-SA"/>
        </w:rPr>
        <w:t>12V200AH铅酸电池，采用2路UPS电源（</w:t>
      </w:r>
      <w:r>
        <w:rPr>
          <w:rFonts w:hint="eastAsia" w:ascii="宋体" w:hAnsi="宋体" w:eastAsia="宋体" w:cs="宋体"/>
          <w:color w:val="auto"/>
          <w:kern w:val="2"/>
          <w:sz w:val="24"/>
          <w:szCs w:val="24"/>
          <w:highlight w:val="none"/>
          <w:lang w:val="en-US" w:eastAsia="zh-CN" w:bidi="ar-SA"/>
        </w:rPr>
        <w:t>N+1</w:t>
      </w:r>
      <w:r>
        <w:rPr>
          <w:rFonts w:hint="eastAsia" w:ascii="宋体" w:hAnsi="宋体" w:eastAsia="宋体" w:cs="宋体"/>
          <w:color w:val="auto"/>
          <w:kern w:val="2"/>
          <w:sz w:val="24"/>
          <w:szCs w:val="24"/>
          <w:highlight w:val="none"/>
          <w:lang w:val="en-US" w:eastAsia="zh-Hans" w:bidi="ar-SA"/>
        </w:rPr>
        <w:t>模式）。</w:t>
      </w:r>
    </w:p>
    <w:p w14:paraId="3DFB262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容量设计</w:t>
      </w:r>
    </w:p>
    <w:p w14:paraId="7AD5E0B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本次部署UPS为本项目IT设备及相关设备提供双路UPS供电。</w:t>
      </w:r>
    </w:p>
    <w:p w14:paraId="4ED9633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网络机房共部署1</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Hans" w:bidi="ar-SA"/>
        </w:rPr>
        <w:t>台IT服务器机柜，本次考虑UPS为</w:t>
      </w:r>
      <w:r>
        <w:rPr>
          <w:rFonts w:hint="eastAsia" w:ascii="宋体" w:hAnsi="宋体" w:eastAsia="宋体" w:cs="宋体"/>
          <w:color w:val="auto"/>
          <w:kern w:val="2"/>
          <w:sz w:val="24"/>
          <w:szCs w:val="24"/>
          <w:highlight w:val="none"/>
          <w:lang w:val="en-US" w:eastAsia="zh-CN" w:bidi="ar-SA"/>
        </w:rPr>
        <w:t>智慧城市运行管理中心</w:t>
      </w:r>
      <w:r>
        <w:rPr>
          <w:rFonts w:hint="eastAsia" w:ascii="宋体" w:hAnsi="宋体" w:eastAsia="宋体" w:cs="宋体"/>
          <w:color w:val="auto"/>
          <w:kern w:val="2"/>
          <w:sz w:val="24"/>
          <w:szCs w:val="24"/>
          <w:highlight w:val="none"/>
          <w:lang w:val="en-US" w:eastAsia="zh-Hans" w:bidi="ar-SA"/>
        </w:rPr>
        <w:t>大屏、</w:t>
      </w:r>
      <w:r>
        <w:rPr>
          <w:rFonts w:hint="eastAsia" w:ascii="宋体" w:hAnsi="宋体" w:eastAsia="宋体" w:cs="宋体"/>
          <w:color w:val="auto"/>
          <w:kern w:val="2"/>
          <w:sz w:val="24"/>
          <w:szCs w:val="24"/>
          <w:highlight w:val="none"/>
          <w:lang w:val="en-US" w:eastAsia="zh-CN" w:bidi="ar-SA"/>
        </w:rPr>
        <w:t>展示中心</w:t>
      </w:r>
      <w:r>
        <w:rPr>
          <w:rFonts w:hint="eastAsia" w:ascii="宋体" w:hAnsi="宋体" w:eastAsia="宋体" w:cs="宋体"/>
          <w:color w:val="auto"/>
          <w:kern w:val="2"/>
          <w:sz w:val="24"/>
          <w:szCs w:val="24"/>
          <w:highlight w:val="none"/>
          <w:lang w:val="en-US" w:eastAsia="zh-Hans" w:bidi="ar-SA"/>
        </w:rPr>
        <w:t>大屏、网络机房、</w:t>
      </w:r>
      <w:r>
        <w:rPr>
          <w:rFonts w:hint="eastAsia" w:ascii="宋体" w:hAnsi="宋体" w:eastAsia="宋体" w:cs="宋体"/>
          <w:color w:val="auto"/>
          <w:kern w:val="2"/>
          <w:sz w:val="24"/>
          <w:szCs w:val="24"/>
          <w:highlight w:val="none"/>
          <w:lang w:val="en-US" w:eastAsia="zh-CN" w:bidi="ar-SA"/>
        </w:rPr>
        <w:t>指挥调度室</w:t>
      </w:r>
      <w:r>
        <w:rPr>
          <w:rFonts w:hint="eastAsia" w:ascii="宋体" w:hAnsi="宋体" w:eastAsia="宋体" w:cs="宋体"/>
          <w:color w:val="auto"/>
          <w:kern w:val="2"/>
          <w:sz w:val="24"/>
          <w:szCs w:val="24"/>
          <w:highlight w:val="none"/>
          <w:lang w:val="en-US" w:eastAsia="zh-Hans" w:bidi="ar-SA"/>
        </w:rPr>
        <w:t>无纸化系统提供不间断电源，选择2台整机容量为200kVAUPS。</w:t>
      </w:r>
    </w:p>
    <w:p w14:paraId="3978188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蓄电池设计</w:t>
      </w:r>
    </w:p>
    <w:p w14:paraId="7545235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w:t>
      </w:r>
      <w:r>
        <w:rPr>
          <w:rFonts w:hint="eastAsia" w:ascii="宋体" w:hAnsi="宋体" w:eastAsia="宋体" w:cs="宋体"/>
          <w:color w:val="auto"/>
          <w:kern w:val="2"/>
          <w:sz w:val="24"/>
          <w:szCs w:val="24"/>
          <w:highlight w:val="none"/>
          <w:lang w:val="en-US" w:eastAsia="zh-CN" w:bidi="ar-SA"/>
        </w:rPr>
        <w:t>参</w:t>
      </w:r>
      <w:r>
        <w:rPr>
          <w:rFonts w:hint="eastAsia" w:ascii="宋体" w:hAnsi="宋体" w:eastAsia="宋体" w:cs="宋体"/>
          <w:color w:val="auto"/>
          <w:kern w:val="2"/>
          <w:sz w:val="24"/>
          <w:szCs w:val="24"/>
          <w:highlight w:val="none"/>
          <w:lang w:val="en-US" w:eastAsia="zh-Hans" w:bidi="ar-SA"/>
        </w:rPr>
        <w:t>照B类机房标准，需保证4小时供电。UPS配套电池组在市电断电的情况下为UPS提供电源，保证</w:t>
      </w:r>
      <w:r>
        <w:rPr>
          <w:rFonts w:hint="eastAsia" w:ascii="宋体" w:hAnsi="宋体" w:eastAsia="宋体" w:cs="宋体"/>
          <w:color w:val="auto"/>
          <w:kern w:val="2"/>
          <w:sz w:val="24"/>
          <w:szCs w:val="24"/>
          <w:highlight w:val="none"/>
          <w:lang w:val="en-US" w:eastAsia="zh-CN" w:bidi="ar-SA"/>
        </w:rPr>
        <w:t>智慧城市运行管理中心</w:t>
      </w:r>
      <w:r>
        <w:rPr>
          <w:rFonts w:hint="eastAsia" w:ascii="宋体" w:hAnsi="宋体" w:eastAsia="宋体" w:cs="宋体"/>
          <w:color w:val="auto"/>
          <w:kern w:val="2"/>
          <w:sz w:val="24"/>
          <w:szCs w:val="24"/>
          <w:highlight w:val="none"/>
          <w:lang w:val="en-US" w:eastAsia="zh-Hans" w:bidi="ar-SA"/>
        </w:rPr>
        <w:t>大屏、展示中心大屏、网络机房、</w:t>
      </w:r>
      <w:r>
        <w:rPr>
          <w:rFonts w:hint="eastAsia" w:ascii="宋体" w:hAnsi="宋体" w:eastAsia="宋体" w:cs="宋体"/>
          <w:color w:val="auto"/>
          <w:kern w:val="2"/>
          <w:sz w:val="24"/>
          <w:szCs w:val="24"/>
          <w:highlight w:val="none"/>
          <w:lang w:val="en-US" w:eastAsia="zh-CN" w:bidi="ar-SA"/>
        </w:rPr>
        <w:t>指挥调度室</w:t>
      </w:r>
      <w:r>
        <w:rPr>
          <w:rFonts w:hint="eastAsia" w:ascii="宋体" w:hAnsi="宋体" w:eastAsia="宋体" w:cs="宋体"/>
          <w:color w:val="auto"/>
          <w:kern w:val="2"/>
          <w:sz w:val="24"/>
          <w:szCs w:val="24"/>
          <w:highlight w:val="none"/>
          <w:lang w:val="en-US" w:eastAsia="zh-Hans" w:bidi="ar-SA"/>
        </w:rPr>
        <w:t>无纸化系统在市电中断的情况下仍能正常工作。</w:t>
      </w:r>
    </w:p>
    <w:p w14:paraId="547DDFA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本方案蓄电池将采用电池架安装的形式，配套</w:t>
      </w:r>
      <w:r>
        <w:rPr>
          <w:rFonts w:hint="eastAsia" w:ascii="宋体" w:hAnsi="宋体" w:eastAsia="宋体" w:cs="宋体"/>
          <w:color w:val="auto"/>
          <w:kern w:val="2"/>
          <w:sz w:val="24"/>
          <w:szCs w:val="24"/>
          <w:highlight w:val="none"/>
          <w:lang w:val="en-US" w:eastAsia="zh-CN" w:bidi="ar-SA"/>
        </w:rPr>
        <w:t>防漏液托盘</w:t>
      </w:r>
      <w:r>
        <w:rPr>
          <w:rFonts w:hint="eastAsia" w:ascii="宋体" w:hAnsi="宋体" w:eastAsia="宋体" w:cs="宋体"/>
          <w:color w:val="auto"/>
          <w:kern w:val="2"/>
          <w:sz w:val="24"/>
          <w:szCs w:val="24"/>
          <w:highlight w:val="none"/>
          <w:lang w:val="en-US" w:eastAsia="zh-Hans" w:bidi="ar-SA"/>
        </w:rPr>
        <w:t>。部署在UPS机房，为安全考虑，蓄电池下方做承重处理。</w:t>
      </w:r>
    </w:p>
    <w:bookmarkEnd w:id="133"/>
    <w:p w14:paraId="46F0F5C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网络机房</w:t>
      </w:r>
    </w:p>
    <w:p w14:paraId="0613495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本项目网络机房</w:t>
      </w:r>
      <w:r>
        <w:rPr>
          <w:rFonts w:hint="eastAsia" w:ascii="宋体" w:hAnsi="宋体" w:eastAsia="宋体" w:cs="宋体"/>
          <w:color w:val="auto"/>
          <w:kern w:val="2"/>
          <w:sz w:val="24"/>
          <w:szCs w:val="24"/>
          <w:highlight w:val="none"/>
          <w:lang w:val="en-US" w:eastAsia="zh-CN" w:bidi="ar-SA"/>
        </w:rPr>
        <w:t>参照《</w:t>
      </w:r>
      <w:r>
        <w:rPr>
          <w:rFonts w:hint="eastAsia" w:ascii="宋体" w:hAnsi="宋体" w:eastAsia="宋体" w:cs="宋体"/>
          <w:color w:val="auto"/>
          <w:kern w:val="2"/>
          <w:sz w:val="24"/>
          <w:szCs w:val="24"/>
          <w:highlight w:val="none"/>
          <w:lang w:val="en-US" w:eastAsia="zh-Hans" w:bidi="ar-SA"/>
        </w:rPr>
        <w:t>数据中心设计规范》（GB50174-2017）B级机房标准</w:t>
      </w:r>
      <w:r>
        <w:rPr>
          <w:rFonts w:hint="eastAsia" w:ascii="宋体" w:hAnsi="宋体" w:eastAsia="宋体" w:cs="宋体"/>
          <w:color w:val="auto"/>
          <w:kern w:val="2"/>
          <w:sz w:val="24"/>
          <w:szCs w:val="24"/>
          <w:highlight w:val="none"/>
          <w:lang w:val="en-US" w:eastAsia="zh-CN" w:bidi="ar-SA"/>
        </w:rPr>
        <w:t>，配置12台</w:t>
      </w:r>
      <w:r>
        <w:rPr>
          <w:rFonts w:hint="eastAsia" w:ascii="宋体" w:hAnsi="宋体" w:eastAsia="宋体" w:cs="宋体"/>
          <w:color w:val="auto"/>
          <w:kern w:val="2"/>
          <w:sz w:val="24"/>
          <w:szCs w:val="24"/>
          <w:highlight w:val="none"/>
          <w:lang w:val="en-US" w:eastAsia="zh-Hans" w:bidi="ar-SA"/>
        </w:rPr>
        <w:t>600mm*1200mm*2000mm</w:t>
      </w:r>
      <w:r>
        <w:rPr>
          <w:rFonts w:hint="eastAsia" w:ascii="宋体" w:hAnsi="宋体" w:eastAsia="宋体" w:cs="宋体"/>
          <w:color w:val="auto"/>
          <w:kern w:val="2"/>
          <w:sz w:val="24"/>
          <w:szCs w:val="24"/>
          <w:highlight w:val="none"/>
          <w:lang w:val="en-US" w:eastAsia="zh-CN" w:bidi="ar-SA"/>
        </w:rPr>
        <w:t>黑色机柜，开门方式为前单后双</w:t>
      </w:r>
      <w:r>
        <w:rPr>
          <w:rFonts w:hint="eastAsia" w:ascii="宋体" w:hAnsi="宋体" w:eastAsia="宋体" w:cs="宋体"/>
          <w:color w:val="auto"/>
          <w:kern w:val="2"/>
          <w:sz w:val="24"/>
          <w:szCs w:val="24"/>
          <w:highlight w:val="none"/>
          <w:lang w:val="en-US" w:eastAsia="zh-Hans" w:bidi="ar-SA"/>
        </w:rPr>
        <w:t>，</w:t>
      </w:r>
      <w:r>
        <w:rPr>
          <w:rFonts w:hint="eastAsia" w:ascii="宋体" w:hAnsi="宋体" w:eastAsia="宋体" w:cs="宋体"/>
          <w:color w:val="auto"/>
          <w:kern w:val="2"/>
          <w:sz w:val="24"/>
          <w:szCs w:val="24"/>
          <w:highlight w:val="none"/>
          <w:lang w:val="en-US" w:eastAsia="zh-CN" w:bidi="ar-SA"/>
        </w:rPr>
        <w:t>提供相应数量的托盘，</w:t>
      </w:r>
      <w:r>
        <w:rPr>
          <w:rFonts w:hint="eastAsia" w:ascii="宋体" w:hAnsi="宋体" w:eastAsia="宋体" w:cs="宋体"/>
          <w:color w:val="auto"/>
          <w:kern w:val="2"/>
          <w:sz w:val="24"/>
          <w:szCs w:val="24"/>
          <w:highlight w:val="none"/>
          <w:lang w:val="en-US" w:eastAsia="zh-Hans" w:bidi="ar-SA"/>
        </w:rPr>
        <w:t>所有机柜颜色</w:t>
      </w:r>
      <w:r>
        <w:rPr>
          <w:rFonts w:hint="eastAsia" w:ascii="宋体" w:hAnsi="宋体" w:eastAsia="宋体" w:cs="宋体"/>
          <w:color w:val="auto"/>
          <w:kern w:val="2"/>
          <w:sz w:val="24"/>
          <w:szCs w:val="24"/>
          <w:highlight w:val="none"/>
          <w:lang w:val="en-US" w:eastAsia="zh-CN" w:bidi="ar-SA"/>
        </w:rPr>
        <w:t>、规格</w:t>
      </w:r>
      <w:r>
        <w:rPr>
          <w:rFonts w:hint="eastAsia" w:ascii="宋体" w:hAnsi="宋体" w:eastAsia="宋体" w:cs="宋体"/>
          <w:color w:val="auto"/>
          <w:kern w:val="2"/>
          <w:sz w:val="24"/>
          <w:szCs w:val="24"/>
          <w:highlight w:val="none"/>
          <w:lang w:val="en-US" w:eastAsia="zh-Hans" w:bidi="ar-SA"/>
        </w:rPr>
        <w:t>统一，机柜内要求提供2路UPS电源（2N模式）</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配置2套不低于32APDU，输出插口根据具体设备确定</w:t>
      </w:r>
      <w:r>
        <w:rPr>
          <w:rFonts w:hint="eastAsia" w:ascii="宋体" w:hAnsi="宋体" w:eastAsia="宋体" w:cs="宋体"/>
          <w:color w:val="auto"/>
          <w:kern w:val="2"/>
          <w:sz w:val="24"/>
          <w:szCs w:val="24"/>
          <w:highlight w:val="none"/>
          <w:lang w:val="en-US" w:eastAsia="zh-CN" w:bidi="ar-SA"/>
        </w:rPr>
        <w:t>。</w:t>
      </w:r>
    </w:p>
    <w:p w14:paraId="23F2429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机房装饰装修</w:t>
      </w:r>
    </w:p>
    <w:p w14:paraId="2356FDE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机房的装饰设计参照《中心机房设计规范GB50174-2017》，满足机房洁净度和特殊介质的存放要求。</w:t>
      </w:r>
    </w:p>
    <w:p w14:paraId="3532C18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机房地面宜刷防尘漆，地面敷设保温棉，保温棉采用铝箔饰面。铺设防静电地板，地板高度不宜小于500mm。</w:t>
      </w:r>
      <w:bookmarkStart w:id="134" w:name="_Hlk132787533"/>
      <w:r>
        <w:rPr>
          <w:rFonts w:hint="eastAsia" w:ascii="宋体" w:hAnsi="宋体" w:eastAsia="宋体" w:cs="宋体"/>
          <w:color w:val="auto"/>
          <w:kern w:val="2"/>
          <w:sz w:val="24"/>
          <w:szCs w:val="24"/>
          <w:highlight w:val="none"/>
          <w:lang w:val="en-US" w:eastAsia="zh-Hans" w:bidi="ar-SA"/>
        </w:rPr>
        <w:t>机房顶面宜刷防尘漆，宜敷设保温棉，宜铺设铝板吊顶，机房净高不小3m。机房墙面宜敷设保温棉并外饰彩钢板</w:t>
      </w:r>
      <w:bookmarkEnd w:id="134"/>
      <w:r>
        <w:rPr>
          <w:rFonts w:hint="eastAsia" w:ascii="宋体" w:hAnsi="宋体" w:eastAsia="宋体" w:cs="宋体"/>
          <w:color w:val="auto"/>
          <w:kern w:val="2"/>
          <w:sz w:val="24"/>
          <w:szCs w:val="24"/>
          <w:highlight w:val="none"/>
          <w:lang w:val="en-US" w:eastAsia="zh-Hans" w:bidi="ar-SA"/>
        </w:rPr>
        <w:t>。</w:t>
      </w:r>
    </w:p>
    <w:p w14:paraId="3AE185A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地面</w:t>
      </w:r>
    </w:p>
    <w:p w14:paraId="010ABFC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1)</w:t>
      </w:r>
      <w:r>
        <w:rPr>
          <w:rFonts w:hint="eastAsia" w:ascii="宋体" w:hAnsi="宋体" w:eastAsia="宋体" w:cs="宋体"/>
          <w:color w:val="auto"/>
          <w:kern w:val="2"/>
          <w:sz w:val="24"/>
          <w:szCs w:val="24"/>
          <w:highlight w:val="none"/>
          <w:lang w:val="en-US" w:eastAsia="zh-Hans" w:bidi="ar-SA"/>
        </w:rPr>
        <w:tab/>
      </w:r>
      <w:r>
        <w:rPr>
          <w:rFonts w:hint="eastAsia" w:ascii="宋体" w:hAnsi="宋体" w:eastAsia="宋体" w:cs="宋体"/>
          <w:color w:val="auto"/>
          <w:kern w:val="2"/>
          <w:sz w:val="24"/>
          <w:szCs w:val="24"/>
          <w:highlight w:val="none"/>
          <w:lang w:val="en-US" w:eastAsia="zh-Hans" w:bidi="ar-SA"/>
        </w:rPr>
        <w:t>地面设计：</w:t>
      </w:r>
    </w:p>
    <w:p w14:paraId="40D22AC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本次设计选用陶瓷面防静电地板，所有区域铺设的防静电地板均做等电位连接，整个地板通过导线连成一个整体。</w:t>
      </w:r>
    </w:p>
    <w:p w14:paraId="4CF038F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2)</w:t>
      </w:r>
      <w:r>
        <w:rPr>
          <w:rFonts w:hint="eastAsia" w:ascii="宋体" w:hAnsi="宋体" w:eastAsia="宋体" w:cs="宋体"/>
          <w:color w:val="auto"/>
          <w:kern w:val="2"/>
          <w:sz w:val="24"/>
          <w:szCs w:val="24"/>
          <w:highlight w:val="none"/>
          <w:lang w:val="en-US" w:eastAsia="zh-Hans" w:bidi="ar-SA"/>
        </w:rPr>
        <w:tab/>
      </w:r>
      <w:r>
        <w:rPr>
          <w:rFonts w:hint="eastAsia" w:ascii="宋体" w:hAnsi="宋体" w:eastAsia="宋体" w:cs="宋体"/>
          <w:color w:val="auto"/>
          <w:kern w:val="2"/>
          <w:sz w:val="24"/>
          <w:szCs w:val="24"/>
          <w:highlight w:val="none"/>
          <w:lang w:val="en-US" w:eastAsia="zh-Hans" w:bidi="ar-SA"/>
        </w:rPr>
        <w:t>材料选择：本次机房地板采用最新材质600*600陶瓷面防静电地板，机房地面刷防尘漆，地板高度不小于500mm，符合《中心机房设计规范GB50174-2017》标准。</w:t>
      </w:r>
    </w:p>
    <w:p w14:paraId="23157E7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内墙、柱面</w:t>
      </w:r>
    </w:p>
    <w:p w14:paraId="5D5C2ED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按照《电子信息系统机房设计规范GB50174-2017》要求，机房内墙壁做到表面平整、光滑、不起尘、避免眩光，减少凹凸面，机房墙面敷设保温棉并外饰彩钢板。</w:t>
      </w:r>
    </w:p>
    <w:p w14:paraId="1303D8E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顶面</w:t>
      </w:r>
    </w:p>
    <w:p w14:paraId="5DCB1FE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按照《中心机房设计规范GB50174-2017》要求，机房顶面刷防尘漆，敷设保温棉。吊顶采用微孔铝制活动天花板，便于机房吊顶上的设备安装及维护。</w:t>
      </w:r>
    </w:p>
    <w:p w14:paraId="5DA951B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机房门</w:t>
      </w:r>
    </w:p>
    <w:p w14:paraId="1448582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网络机房采用宽度为1500mm的甲级钢制双开防火门；UPS机房采用宽度为1500mm的甲级钢制双开防火门。</w:t>
      </w:r>
    </w:p>
    <w:p w14:paraId="642DF47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灾害防护</w:t>
      </w:r>
    </w:p>
    <w:p w14:paraId="4640805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按照《电子计算机场地通用规范》GB/T2887-2011，机房供电设备用房的楼板荷重应依设备重量而定，一般应≥1000Kg/㎡。根据国家标准规定，机房中心处噪音应≤65db。机房的洁净程度标准为：A级，每升含尘量≤18000粒</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粒度≥0.5微米</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。整个机房区的地面及顶面做防尘、清洁处理，避免灰尘的产生及吸附；在机房内设置新风系统。</w:t>
      </w:r>
    </w:p>
    <w:p w14:paraId="073FC3C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场地防水：</w:t>
      </w:r>
    </w:p>
    <w:p w14:paraId="1E0D348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1)</w:t>
      </w:r>
      <w:r>
        <w:rPr>
          <w:rFonts w:hint="eastAsia" w:ascii="宋体" w:hAnsi="宋体" w:eastAsia="宋体" w:cs="宋体"/>
          <w:color w:val="auto"/>
          <w:kern w:val="2"/>
          <w:sz w:val="24"/>
          <w:szCs w:val="24"/>
          <w:highlight w:val="none"/>
          <w:lang w:val="en-US" w:eastAsia="zh-Hans" w:bidi="ar-SA"/>
        </w:rPr>
        <w:tab/>
      </w:r>
      <w:r>
        <w:rPr>
          <w:rFonts w:hint="eastAsia" w:ascii="宋体" w:hAnsi="宋体" w:eastAsia="宋体" w:cs="宋体"/>
          <w:color w:val="auto"/>
          <w:kern w:val="2"/>
          <w:sz w:val="24"/>
          <w:szCs w:val="24"/>
          <w:highlight w:val="none"/>
          <w:lang w:val="en-US" w:eastAsia="zh-Hans" w:bidi="ar-SA"/>
        </w:rPr>
        <w:t>在机房出入口处和空调送风前端、沿地板下做一周50mm的挡水堰，防止机房分区外的水进入机房区；</w:t>
      </w:r>
    </w:p>
    <w:p w14:paraId="674D746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与机房无关的给排水管道不得穿过机房，列间空调设备用水，暗敷给排水干管，暗装引入支管。管道穿过机房墙壁和楼板处，设置套管，管道与套管之间采取可靠的密封措施；机房内的给排水管道采用难燃烧材料；空调采用双阀门供水，便于水管维修（预留供水管道）。</w:t>
      </w:r>
    </w:p>
    <w:p w14:paraId="0705EC2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3)</w:t>
      </w:r>
      <w:r>
        <w:rPr>
          <w:rFonts w:hint="eastAsia" w:ascii="宋体" w:hAnsi="宋体" w:eastAsia="宋体" w:cs="宋体"/>
          <w:color w:val="auto"/>
          <w:kern w:val="2"/>
          <w:sz w:val="24"/>
          <w:szCs w:val="24"/>
          <w:highlight w:val="none"/>
          <w:lang w:val="en-US" w:eastAsia="zh-Hans" w:bidi="ar-SA"/>
        </w:rPr>
        <w:tab/>
      </w:r>
      <w:r>
        <w:rPr>
          <w:rFonts w:hint="eastAsia" w:ascii="宋体" w:hAnsi="宋体" w:eastAsia="宋体" w:cs="宋体"/>
          <w:color w:val="auto"/>
          <w:kern w:val="2"/>
          <w:sz w:val="24"/>
          <w:szCs w:val="24"/>
          <w:highlight w:val="none"/>
          <w:lang w:val="en-US" w:eastAsia="zh-Hans" w:bidi="ar-SA"/>
        </w:rPr>
        <w:t>机房内所有电缆、电线采用穿管线槽处理，管/槽内的穿线不得有暴露，所有强弱电线管/线槽均采用架空处理。</w:t>
      </w:r>
    </w:p>
    <w:p w14:paraId="0EA2ABA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4)</w:t>
      </w:r>
      <w:r>
        <w:rPr>
          <w:rFonts w:hint="eastAsia" w:ascii="宋体" w:hAnsi="宋体" w:eastAsia="宋体" w:cs="宋体"/>
          <w:color w:val="auto"/>
          <w:kern w:val="2"/>
          <w:sz w:val="24"/>
          <w:szCs w:val="24"/>
          <w:highlight w:val="none"/>
          <w:lang w:val="en-US" w:eastAsia="zh-Hans" w:bidi="ar-SA"/>
        </w:rPr>
        <w:tab/>
      </w:r>
      <w:r>
        <w:rPr>
          <w:rFonts w:hint="eastAsia" w:ascii="宋体" w:hAnsi="宋体" w:eastAsia="宋体" w:cs="宋体"/>
          <w:color w:val="auto"/>
          <w:kern w:val="2"/>
          <w:sz w:val="24"/>
          <w:szCs w:val="24"/>
          <w:highlight w:val="none"/>
          <w:lang w:val="en-US" w:eastAsia="zh-Hans" w:bidi="ar-SA"/>
        </w:rPr>
        <w:t>机房内所有金属管槽、软管、接线盒等进行可靠接地，防止电磁干扰。</w:t>
      </w:r>
    </w:p>
    <w:p w14:paraId="61D8CFC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机房电气系统</w:t>
      </w:r>
    </w:p>
    <w:p w14:paraId="4DBBBC1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科学合理的供配电系统是保证计算机设备安全运行的先决条件。因此，机房的建设必须建立一个可靠、科学、综合性强的供配电系统。</w:t>
      </w:r>
    </w:p>
    <w:p w14:paraId="550EB26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电气系统设计</w:t>
      </w:r>
    </w:p>
    <w:p w14:paraId="6DEE4A7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机房供电系统</w:t>
      </w:r>
      <w:r>
        <w:rPr>
          <w:rFonts w:hint="eastAsia" w:ascii="宋体" w:hAnsi="宋体" w:eastAsia="宋体" w:cs="宋体"/>
          <w:color w:val="auto"/>
          <w:kern w:val="2"/>
          <w:sz w:val="24"/>
          <w:szCs w:val="24"/>
          <w:highlight w:val="none"/>
          <w:lang w:val="en-US" w:eastAsia="zh-CN" w:bidi="ar-SA"/>
        </w:rPr>
        <w:t>采用双路UPS供电</w:t>
      </w:r>
      <w:r>
        <w:rPr>
          <w:rFonts w:hint="eastAsia" w:ascii="宋体" w:hAnsi="宋体" w:eastAsia="宋体" w:cs="宋体"/>
          <w:color w:val="auto"/>
          <w:kern w:val="2"/>
          <w:sz w:val="24"/>
          <w:szCs w:val="24"/>
          <w:highlight w:val="none"/>
          <w:lang w:val="en-US" w:eastAsia="zh-Hans" w:bidi="ar-SA"/>
        </w:rPr>
        <w:t>。</w:t>
      </w:r>
    </w:p>
    <w:p w14:paraId="0745DC2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照明配置</w:t>
      </w:r>
    </w:p>
    <w:p w14:paraId="3CCA2D4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按照标准值300～500lx设计，显色指数不小于80lx。本次机房照明灯具采用规格为600mm*600mmLED格栅灯。</w:t>
      </w:r>
    </w:p>
    <w:p w14:paraId="11198C1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配电线路设计</w:t>
      </w:r>
    </w:p>
    <w:p w14:paraId="07F876E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采用放射式配电方式，直接分配至各用电设备。机柜设备电力电缆采用下走线铺设，其他区域电力电缆均采用金属线管铺设；辅助设备维修用电插座安装在高于地面300mm的墙壁上。机柜设备线缆采用阻燃铜芯软电缆（ZCYJV）；市电、照明铺设线路采用穿金属镀锌</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管/槽</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敷设；照明、市电维修、新风设备线缆采用阻燃铜芯线（ZCBV）；UPS输入输出线缆、精密空调线缆采用阻燃铜芯软线（ZCYJV）。</w:t>
      </w:r>
    </w:p>
    <w:p w14:paraId="52C9B10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防雷接地设计</w:t>
      </w:r>
    </w:p>
    <w:p w14:paraId="61586DD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本次防雷系统设计主要针对机房部分，按照三级电源防雷系统进行设计，考虑因雷击对计算机及相关设备造成的损坏，需进行合理的等电位连接，提高整体机房的耐雷电冲击水平。</w:t>
      </w:r>
    </w:p>
    <w:p w14:paraId="34E4196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电源</w:t>
      </w:r>
      <w:r>
        <w:rPr>
          <w:rFonts w:hint="eastAsia" w:ascii="宋体" w:hAnsi="宋体" w:eastAsia="宋体" w:cs="宋体"/>
          <w:color w:val="auto"/>
          <w:kern w:val="2"/>
          <w:sz w:val="24"/>
          <w:szCs w:val="24"/>
          <w:highlight w:val="none"/>
          <w:lang w:val="en-US" w:eastAsia="zh-CN" w:bidi="ar-SA"/>
        </w:rPr>
        <w:t>三级</w:t>
      </w:r>
      <w:r>
        <w:rPr>
          <w:rFonts w:hint="eastAsia" w:ascii="宋体" w:hAnsi="宋体" w:eastAsia="宋体" w:cs="宋体"/>
          <w:color w:val="auto"/>
          <w:kern w:val="2"/>
          <w:sz w:val="24"/>
          <w:szCs w:val="24"/>
          <w:highlight w:val="none"/>
          <w:lang w:val="en-US" w:eastAsia="zh-Hans" w:bidi="ar-SA"/>
        </w:rPr>
        <w:t>防雷：在UPS主机的输出端加装三相电源防雷器。防雷模块通流容量为40KA，响应时间＜20ns。</w:t>
      </w:r>
    </w:p>
    <w:p w14:paraId="38FAFE7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接地系统：采用的导线需完全符合消防安全要求，室内导线全部采用新型阻燃电线、电缆。为防止漏电和防电磁干扰，所有金属线槽、金属线管必须全部连成一体并可靠接地。</w:t>
      </w:r>
    </w:p>
    <w:p w14:paraId="36CB3C17">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接地电阻不应大于1Ω，需检测现有接地桩，若检测不合格，做降阻处理，指标合格后方可使用；接地引线采用BVR50mm²铜芯线由室外接地桩引入机房；在机房设备区内用30mm*3mm的铜排等电位连接母排；在机房分区内用40mm*40mm*4mm的镀锌角钢各做一组等电位连接带。</w:t>
      </w:r>
    </w:p>
    <w:p w14:paraId="078178A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网络机房的地线系统中交流工作接地、安全保护接地的接地电阻不应大于4Ω；防雷接地，按现行国家标准《建筑物防雷设计规范》GB50057-2010</w:t>
      </w:r>
      <w:r>
        <w:rPr>
          <w:rFonts w:hint="eastAsia" w:ascii="宋体" w:hAnsi="宋体" w:eastAsia="宋体" w:cs="宋体"/>
          <w:color w:val="auto"/>
          <w:kern w:val="2"/>
          <w:sz w:val="24"/>
          <w:szCs w:val="24"/>
          <w:highlight w:val="none"/>
          <w:lang w:val="en-US" w:eastAsia="zh-CN" w:bidi="ar-SA"/>
        </w:rPr>
        <w:t>实施</w:t>
      </w:r>
      <w:r>
        <w:rPr>
          <w:rFonts w:hint="eastAsia" w:ascii="宋体" w:hAnsi="宋体" w:eastAsia="宋体" w:cs="宋体"/>
          <w:color w:val="auto"/>
          <w:kern w:val="2"/>
          <w:sz w:val="24"/>
          <w:szCs w:val="24"/>
          <w:highlight w:val="none"/>
          <w:lang w:val="en-US" w:eastAsia="zh-Hans" w:bidi="ar-SA"/>
        </w:rPr>
        <w:t>。</w:t>
      </w:r>
    </w:p>
    <w:p w14:paraId="55873B6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空调新风系统</w:t>
      </w:r>
    </w:p>
    <w:p w14:paraId="01FCB5C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网络机房机柜内的精密仪器（服务器、交换机、存储设备等）采用</w:t>
      </w:r>
      <w:r>
        <w:rPr>
          <w:rFonts w:hint="eastAsia" w:ascii="宋体" w:hAnsi="宋体" w:eastAsia="宋体" w:cs="宋体"/>
          <w:color w:val="auto"/>
          <w:kern w:val="2"/>
          <w:sz w:val="24"/>
          <w:szCs w:val="24"/>
          <w:highlight w:val="none"/>
          <w:lang w:val="en-US" w:eastAsia="zh-CN" w:bidi="ar-SA"/>
        </w:rPr>
        <w:t>下</w:t>
      </w:r>
      <w:r>
        <w:rPr>
          <w:rFonts w:hint="eastAsia" w:ascii="宋体" w:hAnsi="宋体" w:eastAsia="宋体" w:cs="宋体"/>
          <w:color w:val="auto"/>
          <w:kern w:val="2"/>
          <w:sz w:val="24"/>
          <w:szCs w:val="24"/>
          <w:highlight w:val="none"/>
          <w:lang w:val="en-US" w:eastAsia="zh-Hans" w:bidi="ar-SA"/>
        </w:rPr>
        <w:t>送风精密空调进行制冷</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UPS机房采用精密空调进行制冷</w:t>
      </w:r>
      <w:r>
        <w:rPr>
          <w:rFonts w:hint="eastAsia" w:ascii="宋体" w:hAnsi="宋体" w:eastAsia="宋体" w:cs="宋体"/>
          <w:color w:val="auto"/>
          <w:kern w:val="2"/>
          <w:sz w:val="24"/>
          <w:szCs w:val="24"/>
          <w:highlight w:val="none"/>
          <w:lang w:val="en-US" w:eastAsia="zh-CN" w:bidi="ar-SA"/>
        </w:rPr>
        <w:t>，网络机房和UPS机房均</w:t>
      </w:r>
      <w:r>
        <w:rPr>
          <w:rFonts w:hint="eastAsia" w:ascii="宋体" w:hAnsi="宋体" w:eastAsia="宋体" w:cs="宋体"/>
          <w:color w:val="auto"/>
          <w:kern w:val="2"/>
          <w:sz w:val="24"/>
          <w:szCs w:val="24"/>
          <w:highlight w:val="none"/>
          <w:lang w:val="en-US" w:eastAsia="zh-Hans" w:bidi="ar-SA"/>
        </w:rPr>
        <w:t>配置新风机。</w:t>
      </w:r>
    </w:p>
    <w:p w14:paraId="235E64AF">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综合布线系统</w:t>
      </w:r>
    </w:p>
    <w:p w14:paraId="452D912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综合布线系统应满足《数据中心基础设施施工及验收规范》（GB50462-2015）和《综合布线系统工程验收规范》（GB/T50312-2016）相关规范要求</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网络机房采用强电下走线，弱电上走线的布线方式，在机柜下方安装强电桥架，并布置铜排进行接地；在机房顶部安装弱电桥架，实现光纤网线的有序管理。</w:t>
      </w:r>
    </w:p>
    <w:p w14:paraId="28353A2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机房消防灭火系统</w:t>
      </w:r>
    </w:p>
    <w:p w14:paraId="167E3F3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本次在UPS机房和网络机房消防系统采用七氟丙烷气体自动灭火系统。</w:t>
      </w:r>
    </w:p>
    <w:p w14:paraId="6607DFD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动力环境监测系统</w:t>
      </w:r>
    </w:p>
    <w:p w14:paraId="2FE709D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系统概述</w:t>
      </w:r>
    </w:p>
    <w:p w14:paraId="6716EF8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滁州市网络交换中心动力环境监测系统建于2016年12月，设备质保已到期，目前已运行超过7年，因厂家停止升级和维护，为保障市网络交换中心和智慧城市运行管理中心网络机房关键基础设施安全稳定运行，</w:t>
      </w:r>
      <w:r>
        <w:rPr>
          <w:rFonts w:hint="eastAsia" w:ascii="宋体" w:hAnsi="宋体" w:eastAsia="宋体" w:cs="宋体"/>
          <w:color w:val="auto"/>
          <w:kern w:val="2"/>
          <w:sz w:val="24"/>
          <w:szCs w:val="24"/>
          <w:highlight w:val="none"/>
          <w:lang w:val="en-US" w:eastAsia="zh-Hans" w:bidi="ar-SA"/>
        </w:rPr>
        <w:t>本次</w:t>
      </w:r>
      <w:r>
        <w:rPr>
          <w:rFonts w:hint="eastAsia" w:ascii="宋体" w:hAnsi="宋体" w:eastAsia="宋体" w:cs="宋体"/>
          <w:color w:val="auto"/>
          <w:kern w:val="2"/>
          <w:sz w:val="24"/>
          <w:szCs w:val="24"/>
          <w:highlight w:val="none"/>
          <w:lang w:val="en-US" w:eastAsia="zh-CN" w:bidi="ar-SA"/>
        </w:rPr>
        <w:t>将新建一套动力环境检测系统，</w:t>
      </w:r>
      <w:r>
        <w:rPr>
          <w:rFonts w:hint="eastAsia" w:ascii="宋体" w:hAnsi="宋体" w:eastAsia="宋体" w:cs="宋体"/>
          <w:color w:val="auto"/>
          <w:kern w:val="2"/>
          <w:sz w:val="24"/>
          <w:szCs w:val="24"/>
          <w:highlight w:val="none"/>
          <w:lang w:val="en-US" w:eastAsia="zh-Hans" w:bidi="ar-SA"/>
        </w:rPr>
        <w:t>建设范围覆盖UPS机房、网络机房、市网络交换中心。根据最新B级机房要求，UPS机房、网络机房配备高清视频监控系统（视频存储不小于180天），要求对机房各区域实现全天候无盲区监控，机房监控接入本项目视频监控系统平台</w:t>
      </w:r>
      <w:r>
        <w:rPr>
          <w:rFonts w:hint="eastAsia" w:ascii="宋体" w:hAnsi="宋体" w:eastAsia="宋体" w:cs="宋体"/>
          <w:color w:val="auto"/>
          <w:kern w:val="2"/>
          <w:sz w:val="24"/>
          <w:szCs w:val="24"/>
          <w:highlight w:val="none"/>
          <w:lang w:val="en-US" w:eastAsia="zh-CN" w:bidi="ar-SA"/>
        </w:rPr>
        <w:t>，对市网络交换中心已建的视频监控要接入动环系统</w:t>
      </w:r>
      <w:r>
        <w:rPr>
          <w:rFonts w:hint="eastAsia" w:ascii="宋体" w:hAnsi="宋体" w:eastAsia="宋体" w:cs="宋体"/>
          <w:color w:val="auto"/>
          <w:kern w:val="2"/>
          <w:sz w:val="24"/>
          <w:szCs w:val="24"/>
          <w:highlight w:val="none"/>
          <w:lang w:val="en-US" w:eastAsia="zh-Hans" w:bidi="ar-SA"/>
        </w:rPr>
        <w:t>。</w:t>
      </w:r>
    </w:p>
    <w:p w14:paraId="39F982C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机房出入口设置门禁系统，具备本地和远程开门功能，机房未经授权不允许擅自进入。机房内配置动力环境监控系统，监测对象包括机房门禁、监控、市电、UPS、电池、机柜、精密空调、机房温湿度、空调漏水等，监控数据推送至运维管理系统。</w:t>
      </w:r>
    </w:p>
    <w:p w14:paraId="7037F56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35" w:name="_Toc27238"/>
      <w:r>
        <w:rPr>
          <w:rFonts w:hint="eastAsia" w:ascii="宋体" w:hAnsi="宋体" w:eastAsia="宋体" w:cs="宋体"/>
          <w:color w:val="auto"/>
          <w:kern w:val="2"/>
          <w:sz w:val="24"/>
          <w:szCs w:val="24"/>
          <w:highlight w:val="none"/>
          <w:lang w:val="en-US" w:eastAsia="zh-CN" w:bidi="ar-SA"/>
        </w:rPr>
        <w:t>基础设施设备</w:t>
      </w:r>
      <w:bookmarkEnd w:id="135"/>
      <w:r>
        <w:rPr>
          <w:rFonts w:hint="eastAsia" w:ascii="宋体" w:hAnsi="宋体" w:eastAsia="宋体" w:cs="宋体"/>
          <w:color w:val="auto"/>
          <w:kern w:val="2"/>
          <w:sz w:val="24"/>
          <w:szCs w:val="24"/>
          <w:highlight w:val="none"/>
          <w:lang w:val="en-US" w:eastAsia="zh-CN" w:bidi="ar-SA"/>
        </w:rPr>
        <w:t>监测</w:t>
      </w:r>
    </w:p>
    <w:p w14:paraId="6298567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36" w:name="_Toc30953"/>
      <w:r>
        <w:rPr>
          <w:rFonts w:hint="eastAsia" w:ascii="宋体" w:hAnsi="宋体" w:eastAsia="宋体" w:cs="宋体"/>
          <w:color w:val="auto"/>
          <w:kern w:val="2"/>
          <w:sz w:val="24"/>
          <w:szCs w:val="24"/>
          <w:highlight w:val="none"/>
          <w:lang w:val="en-US" w:eastAsia="zh-CN" w:bidi="ar-SA"/>
        </w:rPr>
        <w:t>配电柜监测</w:t>
      </w:r>
      <w:bookmarkEnd w:id="136"/>
    </w:p>
    <w:p w14:paraId="225882AB">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实现方式：在机房配电</w:t>
      </w:r>
      <w:r>
        <w:rPr>
          <w:rFonts w:hint="eastAsia" w:ascii="宋体" w:hAnsi="宋体" w:eastAsia="宋体" w:cs="宋体"/>
          <w:color w:val="auto"/>
          <w:kern w:val="2"/>
          <w:sz w:val="24"/>
          <w:szCs w:val="24"/>
          <w:highlight w:val="none"/>
          <w:lang w:val="en-US" w:eastAsia="zh-CN" w:bidi="ar-SA"/>
        </w:rPr>
        <w:t>柜</w:t>
      </w:r>
      <w:r>
        <w:rPr>
          <w:rFonts w:hint="eastAsia" w:ascii="宋体" w:hAnsi="宋体" w:eastAsia="宋体" w:cs="宋体"/>
          <w:color w:val="auto"/>
          <w:kern w:val="2"/>
          <w:sz w:val="24"/>
          <w:szCs w:val="24"/>
          <w:highlight w:val="none"/>
          <w:lang w:val="en-US" w:eastAsia="zh-Hans" w:bidi="ar-SA"/>
        </w:rPr>
        <w:t>上安装电量仪，通过电量仪的</w:t>
      </w:r>
      <w:r>
        <w:rPr>
          <w:rFonts w:hint="eastAsia" w:ascii="宋体" w:hAnsi="宋体" w:eastAsia="宋体" w:cs="宋体"/>
          <w:color w:val="auto"/>
          <w:kern w:val="2"/>
          <w:sz w:val="24"/>
          <w:szCs w:val="24"/>
          <w:highlight w:val="none"/>
          <w:lang w:val="en-US" w:eastAsia="zh-CN" w:bidi="ar-SA"/>
        </w:rPr>
        <w:t>智能</w:t>
      </w:r>
      <w:r>
        <w:rPr>
          <w:rFonts w:hint="eastAsia" w:ascii="宋体" w:hAnsi="宋体" w:eastAsia="宋体" w:cs="宋体"/>
          <w:color w:val="auto"/>
          <w:kern w:val="2"/>
          <w:sz w:val="24"/>
          <w:szCs w:val="24"/>
          <w:highlight w:val="none"/>
          <w:lang w:val="en-US" w:eastAsia="zh-Hans" w:bidi="ar-SA"/>
        </w:rPr>
        <w:t>通讯接口，采用Modbus/SNMP通讯协议，接入对应的现场采集设备。市</w:t>
      </w:r>
      <w:r>
        <w:rPr>
          <w:rFonts w:hint="eastAsia" w:ascii="宋体" w:hAnsi="宋体" w:eastAsia="宋体" w:cs="宋体"/>
          <w:color w:val="auto"/>
          <w:kern w:val="2"/>
          <w:sz w:val="24"/>
          <w:szCs w:val="24"/>
          <w:highlight w:val="none"/>
          <w:lang w:val="en-US" w:eastAsia="zh-CN" w:bidi="ar-SA"/>
        </w:rPr>
        <w:t>网络交换中心</w:t>
      </w:r>
      <w:r>
        <w:rPr>
          <w:rFonts w:hint="eastAsia" w:ascii="宋体" w:hAnsi="宋体" w:eastAsia="宋体" w:cs="宋体"/>
          <w:color w:val="auto"/>
          <w:kern w:val="2"/>
          <w:sz w:val="24"/>
          <w:szCs w:val="24"/>
          <w:highlight w:val="none"/>
          <w:lang w:val="en-US" w:eastAsia="zh-Hans" w:bidi="ar-SA"/>
        </w:rPr>
        <w:t>机房市电柜已有电量仪通过其智能协议接入现场采集设备。</w:t>
      </w:r>
    </w:p>
    <w:p w14:paraId="4D19326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监测内容：列头柜和配电柜主回路的各种参数，如电压、电流、频率、有功功率、功率因数、无功功率、视在功率、有功电度、无功电度等；监视各级开关的状态。</w:t>
      </w:r>
    </w:p>
    <w:p w14:paraId="207CF80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37" w:name="_Toc14920"/>
      <w:r>
        <w:rPr>
          <w:rFonts w:hint="eastAsia" w:ascii="宋体" w:hAnsi="宋体" w:eastAsia="宋体" w:cs="宋体"/>
          <w:color w:val="auto"/>
          <w:kern w:val="2"/>
          <w:sz w:val="24"/>
          <w:szCs w:val="24"/>
          <w:highlight w:val="none"/>
          <w:lang w:val="en-US" w:eastAsia="zh-CN" w:bidi="ar-SA"/>
        </w:rPr>
        <w:t>UPS监测</w:t>
      </w:r>
      <w:bookmarkEnd w:id="137"/>
    </w:p>
    <w:p w14:paraId="1CD6CD1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实现方式：通过UPS设备的</w:t>
      </w:r>
      <w:r>
        <w:rPr>
          <w:rFonts w:hint="eastAsia" w:ascii="宋体" w:hAnsi="宋体" w:eastAsia="宋体" w:cs="宋体"/>
          <w:color w:val="auto"/>
          <w:kern w:val="2"/>
          <w:sz w:val="24"/>
          <w:szCs w:val="24"/>
          <w:highlight w:val="none"/>
          <w:lang w:val="en-US" w:eastAsia="zh-CN" w:bidi="ar-SA"/>
        </w:rPr>
        <w:t>智能</w:t>
      </w:r>
      <w:r>
        <w:rPr>
          <w:rFonts w:hint="eastAsia" w:ascii="宋体" w:hAnsi="宋体" w:eastAsia="宋体" w:cs="宋体"/>
          <w:color w:val="auto"/>
          <w:kern w:val="2"/>
          <w:sz w:val="24"/>
          <w:szCs w:val="24"/>
          <w:highlight w:val="none"/>
          <w:lang w:val="en-US" w:eastAsia="zh-Hans" w:bidi="ar-SA"/>
        </w:rPr>
        <w:t>通讯接口，采用Modbus通讯协议，接入对应的现场采集设备。</w:t>
      </w:r>
    </w:p>
    <w:p w14:paraId="462EA7D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监测内容：在提供UPS通讯协议的情况下，监测协议提供的所有参数和状态，在无通讯协议的情况下，可增加</w:t>
      </w:r>
      <w:r>
        <w:rPr>
          <w:rFonts w:hint="eastAsia" w:ascii="宋体" w:hAnsi="宋体" w:eastAsia="宋体" w:cs="宋体"/>
          <w:color w:val="auto"/>
          <w:kern w:val="2"/>
          <w:sz w:val="24"/>
          <w:szCs w:val="24"/>
          <w:highlight w:val="none"/>
          <w:lang w:val="en-US" w:eastAsia="zh-CN" w:bidi="ar-SA"/>
        </w:rPr>
        <w:t>其他辅助</w:t>
      </w:r>
      <w:r>
        <w:rPr>
          <w:rFonts w:hint="eastAsia" w:ascii="宋体" w:hAnsi="宋体" w:eastAsia="宋体" w:cs="宋体"/>
          <w:color w:val="auto"/>
          <w:kern w:val="2"/>
          <w:sz w:val="24"/>
          <w:szCs w:val="24"/>
          <w:highlight w:val="none"/>
          <w:lang w:val="en-US" w:eastAsia="zh-Hans" w:bidi="ar-SA"/>
        </w:rPr>
        <w:t>设备</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如电量仪等</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Hans" w:bidi="ar-SA"/>
        </w:rPr>
        <w:t>来监测。包括输入输出电压、电流、频率、功率、蓄电池组的电压、后备时间、温度等；包括整流器、逆变器、电池、旁路、负载等部件的状态。</w:t>
      </w:r>
    </w:p>
    <w:p w14:paraId="50C0F81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38" w:name="_Toc13896"/>
      <w:bookmarkStart w:id="139" w:name="_Toc8292"/>
      <w:r>
        <w:rPr>
          <w:rFonts w:hint="eastAsia" w:ascii="宋体" w:hAnsi="宋体" w:eastAsia="宋体" w:cs="宋体"/>
          <w:color w:val="auto"/>
          <w:kern w:val="2"/>
          <w:sz w:val="24"/>
          <w:szCs w:val="24"/>
          <w:highlight w:val="none"/>
          <w:lang w:val="en-US" w:eastAsia="zh-CN" w:bidi="ar-SA"/>
        </w:rPr>
        <w:t>蓄电池监测</w:t>
      </w:r>
      <w:bookmarkEnd w:id="138"/>
    </w:p>
    <w:p w14:paraId="2B483A99">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实现方式：对UPS机房蓄电池进行监控，通过在每节电池上安装采集模块，通过</w:t>
      </w:r>
      <w:r>
        <w:rPr>
          <w:rFonts w:hint="eastAsia" w:ascii="宋体" w:hAnsi="宋体" w:eastAsia="宋体" w:cs="宋体"/>
          <w:color w:val="auto"/>
          <w:kern w:val="2"/>
          <w:sz w:val="24"/>
          <w:szCs w:val="24"/>
          <w:highlight w:val="none"/>
          <w:lang w:val="en-US" w:eastAsia="zh-CN" w:bidi="ar-SA"/>
        </w:rPr>
        <w:t>智能</w:t>
      </w:r>
      <w:r>
        <w:rPr>
          <w:rFonts w:hint="eastAsia" w:ascii="宋体" w:hAnsi="宋体" w:eastAsia="宋体" w:cs="宋体"/>
          <w:color w:val="auto"/>
          <w:kern w:val="2"/>
          <w:sz w:val="24"/>
          <w:szCs w:val="24"/>
          <w:highlight w:val="none"/>
          <w:lang w:val="en-US" w:eastAsia="zh-Hans" w:bidi="ar-SA"/>
        </w:rPr>
        <w:t>通讯接口传输至电池监控主机，采用Modbus通讯协议，接入对应的现场采集设备。</w:t>
      </w:r>
    </w:p>
    <w:p w14:paraId="0F0F714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监测内容：通过安装在蓄电池专用监测模块，监测蓄电池组的总电压、总电流、蓄电池单体电压、单颗电池内阻等数值。</w:t>
      </w:r>
    </w:p>
    <w:p w14:paraId="403816D3">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精密空调监测</w:t>
      </w:r>
      <w:bookmarkEnd w:id="139"/>
    </w:p>
    <w:p w14:paraId="6E45D50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实现方式：通过空调设备</w:t>
      </w:r>
      <w:r>
        <w:rPr>
          <w:rFonts w:hint="eastAsia" w:ascii="宋体" w:hAnsi="宋体" w:eastAsia="宋体" w:cs="宋体"/>
          <w:color w:val="auto"/>
          <w:kern w:val="2"/>
          <w:sz w:val="24"/>
          <w:szCs w:val="24"/>
          <w:highlight w:val="none"/>
          <w:lang w:val="en-US" w:eastAsia="zh-CN" w:bidi="ar-SA"/>
        </w:rPr>
        <w:t>的智能</w:t>
      </w:r>
      <w:r>
        <w:rPr>
          <w:rFonts w:hint="eastAsia" w:ascii="宋体" w:hAnsi="宋体" w:eastAsia="宋体" w:cs="宋体"/>
          <w:color w:val="auto"/>
          <w:kern w:val="2"/>
          <w:sz w:val="24"/>
          <w:szCs w:val="24"/>
          <w:highlight w:val="none"/>
          <w:lang w:val="en-US" w:eastAsia="zh-Hans" w:bidi="ar-SA"/>
        </w:rPr>
        <w:t>通讯接口，采用Modbus通讯协议，接入对应的现场采集设备。</w:t>
      </w:r>
    </w:p>
    <w:p w14:paraId="49FF5D0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测内容：根据相关的通讯协议，实时监测精密空调的回风温度、回风湿度等参数；监测工作状态包括压缩机状态、风机状态、加热器状态、抽湿器状态等各种工作状态；显示和记录各种参数变化曲线，控制空调的启停、调节温度和湿度等。</w:t>
      </w:r>
    </w:p>
    <w:p w14:paraId="7DB9BC4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0" w:name="_Toc23700"/>
      <w:r>
        <w:rPr>
          <w:rFonts w:hint="eastAsia" w:ascii="宋体" w:hAnsi="宋体" w:eastAsia="宋体" w:cs="宋体"/>
          <w:color w:val="auto"/>
          <w:kern w:val="2"/>
          <w:sz w:val="24"/>
          <w:szCs w:val="24"/>
          <w:highlight w:val="none"/>
          <w:lang w:val="en-US" w:eastAsia="zh-CN" w:bidi="ar-SA"/>
        </w:rPr>
        <w:t>温湿度监测</w:t>
      </w:r>
      <w:bookmarkEnd w:id="140"/>
    </w:p>
    <w:p w14:paraId="43D54F11">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实现方式：根据机房面积和布置，通过提供的</w:t>
      </w:r>
      <w:r>
        <w:rPr>
          <w:rFonts w:hint="eastAsia" w:ascii="宋体" w:hAnsi="宋体" w:eastAsia="宋体" w:cs="宋体"/>
          <w:color w:val="auto"/>
          <w:kern w:val="2"/>
          <w:sz w:val="24"/>
          <w:szCs w:val="24"/>
          <w:highlight w:val="none"/>
          <w:lang w:val="en-US" w:eastAsia="zh-CN" w:bidi="ar-SA"/>
        </w:rPr>
        <w:t>智能</w:t>
      </w:r>
      <w:r>
        <w:rPr>
          <w:rFonts w:hint="eastAsia" w:ascii="宋体" w:hAnsi="宋体" w:eastAsia="宋体" w:cs="宋体"/>
          <w:color w:val="auto"/>
          <w:kern w:val="2"/>
          <w:sz w:val="24"/>
          <w:szCs w:val="24"/>
          <w:highlight w:val="none"/>
          <w:lang w:val="en-US" w:eastAsia="zh-Hans" w:bidi="ar-SA"/>
        </w:rPr>
        <w:t>通讯接口，采用Modbus通讯协议，接入对应的现场采集设备。</w:t>
      </w:r>
    </w:p>
    <w:p w14:paraId="1083B72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监控内容：机房现场环境温度、湿度。</w:t>
      </w:r>
    </w:p>
    <w:p w14:paraId="57B7EC7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1" w:name="_Toc21737"/>
      <w:r>
        <w:rPr>
          <w:rFonts w:hint="eastAsia" w:ascii="宋体" w:hAnsi="宋体" w:eastAsia="宋体" w:cs="宋体"/>
          <w:color w:val="auto"/>
          <w:kern w:val="2"/>
          <w:sz w:val="24"/>
          <w:szCs w:val="24"/>
          <w:highlight w:val="none"/>
          <w:lang w:val="en-US" w:eastAsia="zh-CN" w:bidi="ar-SA"/>
        </w:rPr>
        <w:t>漏水监测</w:t>
      </w:r>
      <w:bookmarkEnd w:id="141"/>
    </w:p>
    <w:p w14:paraId="28EE439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实现方式：通过区域式漏水控制器提供的信号，直接接入对应的现场采集设备。</w:t>
      </w:r>
    </w:p>
    <w:p w14:paraId="7B6812BA">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监控内容：漏水状态，漏水位置，监控机房精密空调附近漏水情况，每台空调设置一条漏水感应绳。</w:t>
      </w:r>
    </w:p>
    <w:p w14:paraId="7F791F8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2" w:name="_Toc21217"/>
      <w:r>
        <w:rPr>
          <w:rFonts w:hint="eastAsia" w:ascii="宋体" w:hAnsi="宋体" w:eastAsia="宋体" w:cs="宋体"/>
          <w:color w:val="auto"/>
          <w:kern w:val="2"/>
          <w:sz w:val="24"/>
          <w:szCs w:val="24"/>
          <w:highlight w:val="none"/>
          <w:lang w:val="en-US" w:eastAsia="zh-CN" w:bidi="ar-SA"/>
        </w:rPr>
        <w:t>消防监测</w:t>
      </w:r>
      <w:bookmarkEnd w:id="142"/>
    </w:p>
    <w:p w14:paraId="7D25E5E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实现方式：通过电子报警主机提供的开关量接口，接入对应的现场采集设备。</w:t>
      </w:r>
    </w:p>
    <w:p w14:paraId="22BB1DE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监测内容：机房气体消防的工作状态。</w:t>
      </w:r>
    </w:p>
    <w:p w14:paraId="3936D2F2">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3" w:name="_Toc11922"/>
      <w:r>
        <w:rPr>
          <w:rFonts w:hint="eastAsia" w:ascii="宋体" w:hAnsi="宋体" w:eastAsia="宋体" w:cs="宋体"/>
          <w:color w:val="auto"/>
          <w:kern w:val="2"/>
          <w:sz w:val="24"/>
          <w:szCs w:val="24"/>
          <w:highlight w:val="none"/>
          <w:lang w:val="en-US" w:eastAsia="zh-CN" w:bidi="ar-SA"/>
        </w:rPr>
        <w:t>视频监测</w:t>
      </w:r>
      <w:bookmarkEnd w:id="143"/>
    </w:p>
    <w:p w14:paraId="7A69C53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实现方式：通过TCP/IP的方式，将数据传输对应平台。</w:t>
      </w:r>
    </w:p>
    <w:p w14:paraId="0528810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监控内容：视频监控数据接入到机房动环监控系统，通过远程动环监控终端软件，对机房实时视频查看，平台控制。</w:t>
      </w:r>
    </w:p>
    <w:p w14:paraId="6FBB676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4" w:name="_Toc19430"/>
      <w:r>
        <w:rPr>
          <w:rFonts w:hint="eastAsia" w:ascii="宋体" w:hAnsi="宋体" w:eastAsia="宋体" w:cs="宋体"/>
          <w:color w:val="auto"/>
          <w:kern w:val="2"/>
          <w:sz w:val="24"/>
          <w:szCs w:val="24"/>
          <w:highlight w:val="none"/>
          <w:lang w:val="en-US" w:eastAsia="zh-CN" w:bidi="ar-SA"/>
        </w:rPr>
        <w:t>门禁监测</w:t>
      </w:r>
      <w:bookmarkEnd w:id="144"/>
    </w:p>
    <w:p w14:paraId="6A08FE7E">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实现方式：通过人脸门禁一体机与交换机的连接，通过TCP/IP协议上传数据，实时展示门状态信息。</w:t>
      </w:r>
    </w:p>
    <w:p w14:paraId="0891B8BC">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监控内容：判断是否有人非法入侵；包括正常开门，非法开门等信息；刷卡开门、门禁授权管理，对门禁开关状态进行监控。</w:t>
      </w:r>
    </w:p>
    <w:p w14:paraId="099021F5">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5" w:name="_Toc25054"/>
      <w:r>
        <w:rPr>
          <w:rFonts w:hint="eastAsia" w:ascii="宋体" w:hAnsi="宋体" w:eastAsia="宋体" w:cs="宋体"/>
          <w:color w:val="auto"/>
          <w:kern w:val="2"/>
          <w:sz w:val="24"/>
          <w:szCs w:val="24"/>
          <w:highlight w:val="none"/>
          <w:lang w:val="en-US" w:eastAsia="zh-CN" w:bidi="ar-SA"/>
        </w:rPr>
        <w:t>告警管理</w:t>
      </w:r>
      <w:bookmarkEnd w:id="145"/>
    </w:p>
    <w:p w14:paraId="03F186B0">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本次告警管理具备短信、电话等方式，实现所有资源告警信息汇总与查询管理，设备告警需分级显示，分别展现告警级别和设备告警次数。</w:t>
      </w:r>
    </w:p>
    <w:p w14:paraId="0A2F5F5D">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6" w:name="_Toc23198"/>
      <w:r>
        <w:rPr>
          <w:rFonts w:hint="eastAsia" w:ascii="宋体" w:hAnsi="宋体" w:eastAsia="宋体" w:cs="宋体"/>
          <w:color w:val="auto"/>
          <w:kern w:val="2"/>
          <w:sz w:val="24"/>
          <w:szCs w:val="24"/>
          <w:highlight w:val="none"/>
          <w:lang w:val="en-US" w:eastAsia="zh-CN" w:bidi="ar-SA"/>
        </w:rPr>
        <w:t>报表管理</w:t>
      </w:r>
      <w:bookmarkEnd w:id="146"/>
    </w:p>
    <w:p w14:paraId="18F07EB8">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报表管理模块将动环信息资源和IT资源数据进行报表格式输出，针对不同类型报表、不同时间段报表及时查询和导出。对所监控的资源设备进行数据汇总并以报表</w:t>
      </w:r>
      <w:r>
        <w:rPr>
          <w:rFonts w:hint="eastAsia" w:ascii="宋体" w:hAnsi="宋体" w:eastAsia="宋体" w:cs="宋体"/>
          <w:color w:val="auto"/>
          <w:kern w:val="2"/>
          <w:sz w:val="24"/>
          <w:szCs w:val="24"/>
          <w:highlight w:val="none"/>
          <w:lang w:val="en-US" w:eastAsia="zh-CN" w:bidi="ar-SA"/>
        </w:rPr>
        <w:t>形式</w:t>
      </w:r>
      <w:r>
        <w:rPr>
          <w:rFonts w:hint="eastAsia" w:ascii="宋体" w:hAnsi="宋体" w:eastAsia="宋体" w:cs="宋体"/>
          <w:color w:val="auto"/>
          <w:kern w:val="2"/>
          <w:sz w:val="24"/>
          <w:szCs w:val="24"/>
          <w:highlight w:val="none"/>
          <w:lang w:val="en-US" w:eastAsia="zh-Hans" w:bidi="ar-SA"/>
        </w:rPr>
        <w:t>输出；报表管理应</w:t>
      </w:r>
      <w:r>
        <w:rPr>
          <w:rFonts w:hint="eastAsia" w:ascii="宋体" w:hAnsi="宋体" w:eastAsia="宋体" w:cs="宋体"/>
          <w:color w:val="auto"/>
          <w:kern w:val="2"/>
          <w:sz w:val="24"/>
          <w:szCs w:val="24"/>
          <w:highlight w:val="none"/>
          <w:lang w:val="en-US" w:eastAsia="zh-CN" w:bidi="ar-SA"/>
        </w:rPr>
        <w:t>具备</w:t>
      </w:r>
      <w:r>
        <w:rPr>
          <w:rFonts w:hint="eastAsia" w:ascii="宋体" w:hAnsi="宋体" w:eastAsia="宋体" w:cs="宋体"/>
          <w:color w:val="auto"/>
          <w:kern w:val="2"/>
          <w:sz w:val="24"/>
          <w:szCs w:val="24"/>
          <w:highlight w:val="none"/>
          <w:lang w:val="en-US" w:eastAsia="zh-Hans" w:bidi="ar-SA"/>
        </w:rPr>
        <w:t>查询功能，具备EXCEL、WORD、PDF三种格式导出。</w:t>
      </w:r>
    </w:p>
    <w:p w14:paraId="7931A486">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CN" w:bidi="ar-SA"/>
        </w:rPr>
      </w:pPr>
      <w:bookmarkStart w:id="147" w:name="_Toc21577"/>
      <w:r>
        <w:rPr>
          <w:rFonts w:hint="eastAsia" w:ascii="宋体" w:hAnsi="宋体" w:eastAsia="宋体" w:cs="宋体"/>
          <w:color w:val="auto"/>
          <w:kern w:val="2"/>
          <w:sz w:val="24"/>
          <w:szCs w:val="24"/>
          <w:highlight w:val="none"/>
          <w:lang w:val="en-US" w:eastAsia="zh-CN" w:bidi="ar-SA"/>
        </w:rPr>
        <w:t>系统管理</w:t>
      </w:r>
      <w:bookmarkEnd w:id="147"/>
    </w:p>
    <w:p w14:paraId="302E81F4">
      <w:pPr>
        <w:keepNext w:val="0"/>
        <w:keepLines w:val="0"/>
        <w:pageBreakBefore w:val="0"/>
        <w:kinsoku/>
        <w:wordWrap/>
        <w:overflowPunct/>
        <w:topLinePunct w:val="0"/>
        <w:autoSpaceDE/>
        <w:autoSpaceDN/>
        <w:bidi w:val="0"/>
        <w:spacing w:line="520" w:lineRule="exact"/>
        <w:ind w:firstLine="480" w:firstLineChars="20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系统具备用户权限级别管理，根据用户的不同需求自由组合权限，由用户自定义完成；具备用户操作日志记录功能；具备登录后自动注销功能。</w:t>
      </w:r>
    </w:p>
    <w:p w14:paraId="41DCB217">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4.2.2</w:t>
      </w:r>
      <w:bookmarkStart w:id="148" w:name="_Toc15991"/>
      <w:r>
        <w:rPr>
          <w:rFonts w:hint="eastAsia" w:ascii="宋体" w:hAnsi="宋体" w:eastAsia="宋体" w:cs="宋体"/>
          <w:bCs/>
          <w:color w:val="auto"/>
          <w:sz w:val="24"/>
          <w:szCs w:val="24"/>
          <w:highlight w:val="none"/>
          <w:lang w:val="en-US" w:eastAsia="zh-CN"/>
        </w:rPr>
        <w:t>智慧城市运行管理中心标准化建设</w:t>
      </w:r>
      <w:bookmarkEnd w:id="148"/>
    </w:p>
    <w:p w14:paraId="4022443E">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滁州市智慧城市运行管理中心标准化建设应参照《智慧城市 运营中心 第1部分：总体要求》GB/T 40656.1-2021，应具有可视化、信息服务、数据整合、事件及指令控制、指令传送、城市档案、影响及系统发展、使用体验等功能，基础设施应符合国家及相关行业标准，指挥中心大厅、机房应符合 GB/T 2887-2011 和GB/T 9361-2011 的要求。</w:t>
      </w:r>
      <w:r>
        <w:rPr>
          <w:rFonts w:hint="eastAsia" w:ascii="宋体" w:hAnsi="宋体" w:eastAsia="宋体" w:cs="宋体"/>
          <w:bCs/>
          <w:color w:val="auto"/>
          <w:sz w:val="24"/>
          <w:szCs w:val="24"/>
          <w:highlight w:val="none"/>
          <w:lang w:val="en-US" w:eastAsia="zh-Hans"/>
        </w:rPr>
        <w:t>为</w:t>
      </w:r>
      <w:r>
        <w:rPr>
          <w:rFonts w:hint="eastAsia" w:ascii="宋体" w:hAnsi="宋体" w:eastAsia="宋体" w:cs="宋体"/>
          <w:bCs/>
          <w:color w:val="auto"/>
          <w:sz w:val="24"/>
          <w:szCs w:val="24"/>
          <w:highlight w:val="none"/>
          <w:lang w:val="en-US" w:eastAsia="zh-CN"/>
        </w:rPr>
        <w:t>确保智慧城市运行管理中心能</w:t>
      </w:r>
      <w:r>
        <w:rPr>
          <w:rFonts w:hint="eastAsia" w:ascii="宋体" w:hAnsi="宋体" w:eastAsia="宋体" w:cs="宋体"/>
          <w:bCs/>
          <w:color w:val="auto"/>
          <w:sz w:val="24"/>
          <w:szCs w:val="24"/>
          <w:highlight w:val="none"/>
          <w:lang w:val="en-US" w:eastAsia="zh-Hans"/>
        </w:rPr>
        <w:t>提供舒适、节能、</w:t>
      </w:r>
      <w:r>
        <w:rPr>
          <w:rFonts w:hint="eastAsia" w:ascii="宋体" w:hAnsi="宋体" w:eastAsia="宋体" w:cs="宋体"/>
          <w:bCs/>
          <w:color w:val="auto"/>
          <w:sz w:val="24"/>
          <w:szCs w:val="24"/>
          <w:highlight w:val="none"/>
          <w:lang w:val="en-US" w:eastAsia="zh-CN"/>
        </w:rPr>
        <w:t>低碳、</w:t>
      </w:r>
      <w:r>
        <w:rPr>
          <w:rFonts w:hint="eastAsia" w:ascii="宋体" w:hAnsi="宋体" w:eastAsia="宋体" w:cs="宋体"/>
          <w:bCs/>
          <w:color w:val="auto"/>
          <w:sz w:val="24"/>
          <w:szCs w:val="24"/>
          <w:highlight w:val="none"/>
          <w:lang w:val="en-US" w:eastAsia="zh-Hans"/>
        </w:rPr>
        <w:t>环保的工作环境</w:t>
      </w:r>
      <w:r>
        <w:rPr>
          <w:rFonts w:hint="eastAsia" w:ascii="宋体" w:hAnsi="宋体" w:eastAsia="宋体" w:cs="宋体"/>
          <w:bCs/>
          <w:color w:val="auto"/>
          <w:sz w:val="24"/>
          <w:szCs w:val="24"/>
          <w:highlight w:val="none"/>
          <w:lang w:val="en-US" w:eastAsia="zh-CN"/>
        </w:rPr>
        <w:t>，本次装修遵守以下要求：</w:t>
      </w:r>
    </w:p>
    <w:p w14:paraId="6C0F8090">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Hans"/>
        </w:rPr>
        <w:t>布局科学合理富有特色，兼备展示和指挥运营管理</w:t>
      </w:r>
      <w:r>
        <w:rPr>
          <w:rFonts w:hint="eastAsia" w:ascii="宋体" w:hAnsi="宋体" w:eastAsia="宋体" w:cs="宋体"/>
          <w:bCs/>
          <w:color w:val="auto"/>
          <w:sz w:val="24"/>
          <w:szCs w:val="24"/>
          <w:highlight w:val="none"/>
          <w:lang w:val="en-US" w:eastAsia="zh-CN"/>
        </w:rPr>
        <w:t>，座席调度区</w:t>
      </w:r>
      <w:r>
        <w:rPr>
          <w:rFonts w:hint="eastAsia" w:ascii="宋体" w:hAnsi="宋体" w:eastAsia="宋体" w:cs="宋体"/>
          <w:bCs/>
          <w:color w:val="auto"/>
          <w:sz w:val="24"/>
          <w:szCs w:val="24"/>
          <w:highlight w:val="none"/>
          <w:lang w:val="en-US" w:eastAsia="zh-Hans"/>
        </w:rPr>
        <w:t>、会议</w:t>
      </w:r>
      <w:r>
        <w:rPr>
          <w:rFonts w:hint="eastAsia" w:ascii="宋体" w:hAnsi="宋体" w:eastAsia="宋体" w:cs="宋体"/>
          <w:bCs/>
          <w:color w:val="auto"/>
          <w:sz w:val="24"/>
          <w:szCs w:val="24"/>
          <w:highlight w:val="none"/>
          <w:lang w:val="en-US" w:eastAsia="zh-CN"/>
        </w:rPr>
        <w:t>指挥区</w:t>
      </w:r>
      <w:r>
        <w:rPr>
          <w:rFonts w:hint="eastAsia"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CN"/>
        </w:rPr>
        <w:t>屏幕显示</w:t>
      </w:r>
      <w:r>
        <w:rPr>
          <w:rFonts w:hint="eastAsia" w:ascii="宋体" w:hAnsi="宋体" w:eastAsia="宋体" w:cs="宋体"/>
          <w:bCs/>
          <w:color w:val="auto"/>
          <w:sz w:val="24"/>
          <w:szCs w:val="24"/>
          <w:highlight w:val="none"/>
          <w:lang w:val="en-US" w:eastAsia="zh-Hans"/>
        </w:rPr>
        <w:t>区等区域的位置和面积</w:t>
      </w:r>
      <w:r>
        <w:rPr>
          <w:rFonts w:hint="eastAsia" w:ascii="宋体" w:hAnsi="宋体" w:eastAsia="宋体" w:cs="宋体"/>
          <w:bCs/>
          <w:color w:val="auto"/>
          <w:sz w:val="24"/>
          <w:szCs w:val="24"/>
          <w:highlight w:val="none"/>
          <w:lang w:val="en-US" w:eastAsia="zh-CN"/>
        </w:rPr>
        <w:t>要最大化利用空间，</w:t>
      </w:r>
      <w:r>
        <w:rPr>
          <w:rFonts w:hint="eastAsia" w:ascii="宋体" w:hAnsi="宋体" w:eastAsia="宋体" w:cs="宋体"/>
          <w:bCs/>
          <w:color w:val="auto"/>
          <w:sz w:val="24"/>
          <w:szCs w:val="24"/>
          <w:highlight w:val="none"/>
          <w:lang w:val="en-US" w:eastAsia="zh-Hans"/>
        </w:rPr>
        <w:t>办公区域与展示区域相结合，使整个中心既能展示城市运行管理的成果，又能进行实时的指挥和运营管理。</w:t>
      </w:r>
    </w:p>
    <w:p w14:paraId="73AA2309">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操作台</w:t>
      </w:r>
      <w:r>
        <w:rPr>
          <w:rFonts w:hint="eastAsia" w:ascii="宋体" w:hAnsi="宋体" w:eastAsia="宋体" w:cs="宋体"/>
          <w:bCs/>
          <w:color w:val="auto"/>
          <w:sz w:val="24"/>
          <w:szCs w:val="24"/>
          <w:highlight w:val="none"/>
          <w:lang w:val="en-US" w:eastAsia="zh-Hans"/>
        </w:rPr>
        <w:t>设施齐全，充分考虑人体工程学原理，提高工作人员的舒适度</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配备</w:t>
      </w:r>
      <w:r>
        <w:rPr>
          <w:rFonts w:hint="eastAsia" w:ascii="宋体" w:hAnsi="宋体" w:eastAsia="宋体" w:cs="宋体"/>
          <w:bCs/>
          <w:color w:val="auto"/>
          <w:sz w:val="24"/>
          <w:szCs w:val="24"/>
          <w:highlight w:val="none"/>
          <w:lang w:val="en-US" w:eastAsia="zh-CN"/>
        </w:rPr>
        <w:t>座席主机、带鱼屏显示器（含键鼠）、显示器支臂、电源PDU、座椅等，操作台含键盘托盘，主机托盘、侧板嵌入条形屏，整体风格和智慧城市运行管理中心一致，中标人施工前需向采购人提供样品参考。</w:t>
      </w:r>
    </w:p>
    <w:p w14:paraId="5615CAD0">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智慧城市运行管理中心大厅</w:t>
      </w:r>
      <w:r>
        <w:rPr>
          <w:rFonts w:hint="eastAsia" w:ascii="宋体" w:hAnsi="宋体" w:eastAsia="宋体" w:cs="宋体"/>
          <w:bCs/>
          <w:color w:val="auto"/>
          <w:sz w:val="24"/>
          <w:szCs w:val="24"/>
          <w:highlight w:val="none"/>
          <w:lang w:val="en-US" w:eastAsia="zh-Hans"/>
        </w:rPr>
        <w:t>光线温和明亮，保证</w:t>
      </w:r>
      <w:r>
        <w:rPr>
          <w:rFonts w:hint="eastAsia" w:ascii="宋体" w:hAnsi="宋体" w:eastAsia="宋体" w:cs="宋体"/>
          <w:bCs/>
          <w:color w:val="auto"/>
          <w:sz w:val="24"/>
          <w:szCs w:val="24"/>
          <w:highlight w:val="none"/>
          <w:lang w:val="en-US" w:eastAsia="zh-CN"/>
        </w:rPr>
        <w:t>操作员</w:t>
      </w:r>
      <w:r>
        <w:rPr>
          <w:rFonts w:hint="eastAsia" w:ascii="宋体" w:hAnsi="宋体" w:eastAsia="宋体" w:cs="宋体"/>
          <w:bCs/>
          <w:color w:val="auto"/>
          <w:sz w:val="24"/>
          <w:szCs w:val="24"/>
          <w:highlight w:val="none"/>
          <w:lang w:val="en-US" w:eastAsia="zh-Hans"/>
        </w:rPr>
        <w:t>的舒适度和工作效率，避免</w:t>
      </w:r>
      <w:r>
        <w:rPr>
          <w:rFonts w:hint="eastAsia" w:ascii="宋体" w:hAnsi="宋体" w:eastAsia="宋体" w:cs="宋体"/>
          <w:bCs/>
          <w:color w:val="auto"/>
          <w:sz w:val="24"/>
          <w:szCs w:val="24"/>
          <w:highlight w:val="none"/>
          <w:lang w:val="en-US" w:eastAsia="zh-CN"/>
        </w:rPr>
        <w:t>发生</w:t>
      </w:r>
      <w:r>
        <w:rPr>
          <w:rFonts w:hint="eastAsia" w:ascii="宋体" w:hAnsi="宋体" w:eastAsia="宋体" w:cs="宋体"/>
          <w:bCs/>
          <w:color w:val="auto"/>
          <w:sz w:val="24"/>
          <w:szCs w:val="24"/>
          <w:highlight w:val="none"/>
          <w:lang w:val="en-US" w:eastAsia="zh-Hans"/>
        </w:rPr>
        <w:t>反光情况。采用吸音材料和合适的隔音措施，降低噪音对</w:t>
      </w:r>
      <w:r>
        <w:rPr>
          <w:rFonts w:hint="eastAsia" w:ascii="宋体" w:hAnsi="宋体" w:eastAsia="宋体" w:cs="宋体"/>
          <w:bCs/>
          <w:color w:val="auto"/>
          <w:sz w:val="24"/>
          <w:szCs w:val="24"/>
          <w:highlight w:val="none"/>
          <w:lang w:val="en-US" w:eastAsia="zh-CN"/>
        </w:rPr>
        <w:t>操作员</w:t>
      </w:r>
      <w:r>
        <w:rPr>
          <w:rFonts w:hint="eastAsia" w:ascii="宋体" w:hAnsi="宋体" w:eastAsia="宋体" w:cs="宋体"/>
          <w:bCs/>
          <w:color w:val="auto"/>
          <w:sz w:val="24"/>
          <w:szCs w:val="24"/>
          <w:highlight w:val="none"/>
          <w:lang w:val="en-US" w:eastAsia="zh-Hans"/>
        </w:rPr>
        <w:t>的干扰，提供良好的声学环境。</w:t>
      </w:r>
    </w:p>
    <w:p w14:paraId="36C201E1">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Hans"/>
        </w:rPr>
        <w:t>.地面采用防静电架空地板上铺设塑胶地板（防滑耐磨耐脏静音）</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墙面采用微孔铝板蓝白两款</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顶面使用白色微孔铝板。</w:t>
      </w:r>
    </w:p>
    <w:p w14:paraId="44DFEFB6">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CN"/>
        </w:rPr>
        <w:t>指挥调度室要能将城市运行管理中心大厅的显示信号、音频信号、视频会议等能力接入进来，实现数据共享和协同联动</w:t>
      </w:r>
      <w:r>
        <w:rPr>
          <w:rFonts w:hint="eastAsia"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CN"/>
        </w:rPr>
        <w:t>同时，指挥调度室面向城运中心大厅的窗户及玻璃隔断需采用无框玻璃，具备智能电控调光能力，通电变透明，断电变磨砂，保证指挥调度室的采光和私密性。</w:t>
      </w:r>
    </w:p>
    <w:p w14:paraId="565FB7FD">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Hans"/>
        </w:rPr>
        <w:t>.建设过程中</w:t>
      </w:r>
      <w:r>
        <w:rPr>
          <w:rFonts w:hint="eastAsia" w:ascii="宋体" w:hAnsi="宋体" w:eastAsia="宋体" w:cs="宋体"/>
          <w:bCs/>
          <w:color w:val="auto"/>
          <w:sz w:val="24"/>
          <w:szCs w:val="24"/>
          <w:highlight w:val="none"/>
          <w:lang w:val="en-US" w:eastAsia="zh-CN"/>
        </w:rPr>
        <w:t>要</w:t>
      </w:r>
      <w:r>
        <w:rPr>
          <w:rFonts w:hint="eastAsia" w:ascii="宋体" w:hAnsi="宋体" w:eastAsia="宋体" w:cs="宋体"/>
          <w:bCs/>
          <w:color w:val="auto"/>
          <w:sz w:val="24"/>
          <w:szCs w:val="24"/>
          <w:highlight w:val="none"/>
          <w:lang w:val="en-US" w:eastAsia="zh-Hans"/>
        </w:rPr>
        <w:t>充分考虑环保因素。采用高效节能的照明系统和空调设备，降低</w:t>
      </w:r>
      <w:r>
        <w:rPr>
          <w:rFonts w:hint="eastAsia" w:ascii="宋体" w:hAnsi="宋体" w:eastAsia="宋体" w:cs="宋体"/>
          <w:bCs/>
          <w:color w:val="auto"/>
          <w:sz w:val="24"/>
          <w:szCs w:val="24"/>
          <w:highlight w:val="none"/>
          <w:lang w:val="en-US" w:eastAsia="zh-CN"/>
        </w:rPr>
        <w:t>能耗</w:t>
      </w:r>
      <w:r>
        <w:rPr>
          <w:rFonts w:hint="eastAsia" w:ascii="宋体" w:hAnsi="宋体" w:eastAsia="宋体" w:cs="宋体"/>
          <w:bCs/>
          <w:color w:val="auto"/>
          <w:sz w:val="24"/>
          <w:szCs w:val="24"/>
          <w:highlight w:val="none"/>
          <w:lang w:val="en-US" w:eastAsia="zh-Hans"/>
        </w:rPr>
        <w:t>。选择环保材料装修和家具，减少</w:t>
      </w:r>
      <w:r>
        <w:rPr>
          <w:rFonts w:hint="eastAsia" w:ascii="宋体" w:hAnsi="宋体" w:eastAsia="宋体" w:cs="宋体"/>
          <w:bCs/>
          <w:color w:val="auto"/>
          <w:sz w:val="24"/>
          <w:szCs w:val="24"/>
          <w:highlight w:val="none"/>
          <w:lang w:val="en-US" w:eastAsia="zh-CN"/>
        </w:rPr>
        <w:t>对人体的损害和环境污染</w:t>
      </w:r>
      <w:r>
        <w:rPr>
          <w:rFonts w:hint="eastAsia" w:ascii="宋体" w:hAnsi="宋体" w:eastAsia="宋体" w:cs="宋体"/>
          <w:bCs/>
          <w:color w:val="auto"/>
          <w:sz w:val="24"/>
          <w:szCs w:val="24"/>
          <w:highlight w:val="none"/>
          <w:lang w:val="en-US" w:eastAsia="zh-Hans"/>
        </w:rPr>
        <w:t>。</w:t>
      </w:r>
    </w:p>
    <w:p w14:paraId="086C81CB">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操作台</w:t>
      </w:r>
    </w:p>
    <w:p w14:paraId="40DCBE65">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操作台应整体采用冷轧钢、不锈钢、铝合金工艺制作，具有一定的厚度、硬度和抗变形能力。外部应采用环保材质的高密度板、实木颗粒板、防火板、抗倍特板进行喷塑、喷漆表面处理，满足一定的厚度和承重性能。内部应采用机架式结构，配有导轨托盘、线缆管理、静音散热等系统，保证各类设备稳固和散热，各种线缆隐藏有序、科学美观、规范管理，减少强弱电线缆相互干扰，台面应符合人体工程学的设计，整体台面高度、显示距离及倾斜角度、设备操作及调试等方面进行多角度、多层次的考虑以达到最优操作感受，减少疲劳度</w:t>
      </w:r>
      <w:r>
        <w:rPr>
          <w:rFonts w:hint="eastAsia" w:ascii="宋体" w:hAnsi="宋体" w:eastAsia="宋体" w:cs="宋体"/>
          <w:bCs/>
          <w:color w:val="auto"/>
          <w:sz w:val="24"/>
          <w:szCs w:val="24"/>
          <w:highlight w:val="none"/>
          <w:lang w:val="en-US" w:eastAsia="zh-Hans"/>
        </w:rPr>
        <w:t>。</w:t>
      </w:r>
    </w:p>
    <w:p w14:paraId="779D4B1D">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墙顶地材料</w:t>
      </w:r>
    </w:p>
    <w:p w14:paraId="519DE00D">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Hans"/>
        </w:rPr>
        <w:t>1.美学价值：运用各种装饰材料，</w:t>
      </w:r>
      <w:r>
        <w:rPr>
          <w:rFonts w:hint="eastAsia" w:ascii="宋体" w:hAnsi="宋体" w:eastAsia="宋体" w:cs="宋体"/>
          <w:bCs/>
          <w:color w:val="auto"/>
          <w:sz w:val="24"/>
          <w:szCs w:val="24"/>
          <w:highlight w:val="none"/>
          <w:lang w:val="en-US" w:eastAsia="zh-CN"/>
        </w:rPr>
        <w:t>使</w:t>
      </w:r>
      <w:r>
        <w:rPr>
          <w:rFonts w:hint="eastAsia" w:ascii="宋体" w:hAnsi="宋体" w:eastAsia="宋体" w:cs="宋体"/>
          <w:bCs/>
          <w:color w:val="auto"/>
          <w:sz w:val="24"/>
          <w:szCs w:val="24"/>
          <w:highlight w:val="none"/>
          <w:lang w:val="en-US" w:eastAsia="zh-Hans"/>
        </w:rPr>
        <w:t>视觉效果丰富多彩、富有层次感。</w:t>
      </w:r>
    </w:p>
    <w:p w14:paraId="7B8B6430">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Hans"/>
        </w:rPr>
        <w:t>.实用性：地面材料需要耐磨、防滑、易清洁；墙面材料需要防潮、防火、环保等。选择合适的装饰材料，可以确保装饰的实用性和耐久性。</w:t>
      </w:r>
    </w:p>
    <w:p w14:paraId="6A45D415">
      <w:pPr>
        <w:spacing w:line="360" w:lineRule="auto"/>
        <w:ind w:firstLine="437"/>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Hans"/>
        </w:rPr>
        <w:t>.环保性：选择环保、可再生的装饰材料。</w:t>
      </w:r>
    </w:p>
    <w:p w14:paraId="5F77CB57">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4.2.3</w:t>
      </w:r>
      <w:bookmarkStart w:id="149" w:name="_Toc26436"/>
      <w:r>
        <w:rPr>
          <w:rFonts w:hint="eastAsia" w:ascii="宋体" w:hAnsi="宋体" w:eastAsia="宋体" w:cs="宋体"/>
          <w:bCs/>
          <w:color w:val="auto"/>
          <w:sz w:val="24"/>
          <w:szCs w:val="24"/>
          <w:highlight w:val="none"/>
          <w:lang w:val="en-US" w:eastAsia="zh-Hans"/>
        </w:rPr>
        <w:t>智慧城市展示</w:t>
      </w:r>
      <w:r>
        <w:rPr>
          <w:rFonts w:hint="eastAsia" w:ascii="宋体" w:hAnsi="宋体" w:eastAsia="宋体" w:cs="宋体"/>
          <w:bCs/>
          <w:color w:val="auto"/>
          <w:sz w:val="24"/>
          <w:szCs w:val="24"/>
          <w:highlight w:val="none"/>
          <w:lang w:val="en-US" w:eastAsia="zh-CN"/>
        </w:rPr>
        <w:t>中心标准化建设</w:t>
      </w:r>
      <w:bookmarkEnd w:id="149"/>
    </w:p>
    <w:p w14:paraId="035F1698">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围绕“智山慧水，醉美滁州”的主题，以新一代的信息技术为基础，通过提炼相关政策文件核心元素，横向考察国内优秀智慧城市展厅，结合滁州实际情况，将展厅分为“前厅”“序厅”“数说滁州”“数字政府”“数字经济”“数字社会”和“数字亭城”共七个篇章，集中展示政府数字化、经济数字化、社会数字化和相关前沿技术领域的发展和现状。展厅布展设计要厉行节约，本着集约化原则，布展内容可结合实际需要进行动态调整和编辑。</w:t>
      </w:r>
    </w:p>
    <w:p w14:paraId="4FBCFA8A">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智慧城市展示中心面积11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0㎡，设计风格为“未来时代科技风”，通过设计7个主题展区【前厅、序厅、数说滁州、数字政府、数字经济、数字社会、</w:t>
      </w:r>
      <w:r>
        <w:rPr>
          <w:rFonts w:hint="eastAsia" w:ascii="宋体" w:hAnsi="宋体" w:eastAsia="宋体" w:cs="宋体"/>
          <w:sz w:val="24"/>
          <w:szCs w:val="24"/>
          <w:highlight w:val="none"/>
          <w:lang w:val="en-US" w:eastAsia="zh-CN"/>
        </w:rPr>
        <w:t>数字亭城</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集中</w:t>
      </w:r>
      <w:r>
        <w:rPr>
          <w:rFonts w:hint="eastAsia" w:ascii="宋体" w:hAnsi="宋体" w:eastAsia="宋体" w:cs="宋体"/>
          <w:sz w:val="24"/>
          <w:szCs w:val="24"/>
          <w:highlight w:val="none"/>
        </w:rPr>
        <w:t>展示我市在探索数字化发展新模式、打造市域高质量发展方面的</w:t>
      </w:r>
      <w:r>
        <w:rPr>
          <w:rFonts w:hint="eastAsia" w:ascii="宋体" w:hAnsi="宋体" w:eastAsia="宋体" w:cs="宋体"/>
          <w:sz w:val="24"/>
          <w:szCs w:val="24"/>
          <w:highlight w:val="none"/>
          <w:lang w:val="en-US" w:eastAsia="zh-CN"/>
        </w:rPr>
        <w:t>新</w:t>
      </w:r>
      <w:r>
        <w:rPr>
          <w:rFonts w:hint="eastAsia" w:ascii="宋体" w:hAnsi="宋体" w:eastAsia="宋体" w:cs="宋体"/>
          <w:sz w:val="24"/>
          <w:szCs w:val="24"/>
          <w:highlight w:val="none"/>
        </w:rPr>
        <w:t>成果。</w:t>
      </w:r>
      <w:r>
        <w:rPr>
          <w:rFonts w:hint="eastAsia" w:ascii="宋体" w:hAnsi="宋体" w:eastAsia="宋体" w:cs="宋体"/>
          <w:sz w:val="24"/>
          <w:szCs w:val="24"/>
          <w:highlight w:val="none"/>
          <w:lang w:val="en-US" w:eastAsia="zh-CN"/>
        </w:rPr>
        <w:t>具体采购需求内容如下：</w:t>
      </w:r>
    </w:p>
    <w:p w14:paraId="1B27A2F6">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一、前厅</w:t>
      </w:r>
    </w:p>
    <w:p w14:paraId="56D0DFC5">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设置</w:t>
      </w:r>
      <w:r>
        <w:rPr>
          <w:rFonts w:hint="eastAsia" w:ascii="宋体" w:hAnsi="宋体" w:eastAsia="宋体" w:cs="宋体"/>
          <w:sz w:val="24"/>
          <w:szCs w:val="24"/>
          <w:highlight w:val="none"/>
        </w:rPr>
        <w:t>背景墙和引导台。背景墙显示“政务服务一网通办”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“社会治理一网统管”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“政府运行一网协同”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“城市状态一网感知”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“城市数据一网共享”。引导台提供展厅讲解，方便参观者更好地了解展厅的内容和布局，还可以提供预约参观、活动咨询等服务。</w:t>
      </w:r>
    </w:p>
    <w:p w14:paraId="3BB8358D">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二、序厅</w:t>
      </w:r>
    </w:p>
    <w:p w14:paraId="105457F7">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设置</w:t>
      </w:r>
      <w:r>
        <w:rPr>
          <w:rFonts w:hint="eastAsia" w:ascii="宋体" w:hAnsi="宋体" w:eastAsia="宋体" w:cs="宋体"/>
          <w:sz w:val="24"/>
          <w:szCs w:val="24"/>
          <w:highlight w:val="none"/>
        </w:rPr>
        <w:t>一块34㎡的LED曲面屏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播放滁州市智慧城市宣传片，顶部</w:t>
      </w:r>
      <w:r>
        <w:rPr>
          <w:rFonts w:hint="eastAsia" w:ascii="宋体" w:hAnsi="宋体" w:eastAsia="宋体" w:cs="宋体"/>
          <w:sz w:val="24"/>
          <w:szCs w:val="24"/>
          <w:highlight w:val="none"/>
          <w:lang w:val="en-US" w:eastAsia="zh-CN"/>
        </w:rPr>
        <w:t>布置</w:t>
      </w:r>
      <w:r>
        <w:rPr>
          <w:rFonts w:hint="eastAsia" w:ascii="宋体" w:hAnsi="宋体" w:eastAsia="宋体" w:cs="宋体"/>
          <w:sz w:val="24"/>
          <w:szCs w:val="24"/>
          <w:highlight w:val="none"/>
        </w:rPr>
        <w:t>长条形LED屏与曲面屏连接，宣传智慧城市建设的主题，让参观者在进入正厅前对滁州市智慧城市建设有更加深刻的了解。</w:t>
      </w:r>
    </w:p>
    <w:p w14:paraId="23C4FA2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三、数说滁州</w:t>
      </w:r>
    </w:p>
    <w:p w14:paraId="130091EB">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包含“领导人重要讲话”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“序言”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“数说滁州”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“数字中国”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“数字安徽”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“数字滁州”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“数字基础建设”和“成果墙”等内容。通过数字维度展示滁州历史、智慧城市规划和建设成果，让参观者更深入地了解滁州市智慧城市的建设情况</w:t>
      </w:r>
      <w:r>
        <w:rPr>
          <w:rFonts w:hint="eastAsia" w:ascii="宋体" w:hAnsi="宋体" w:eastAsia="宋体" w:cs="宋体"/>
          <w:sz w:val="24"/>
          <w:szCs w:val="24"/>
          <w:highlight w:val="none"/>
          <w:lang w:eastAsia="zh-CN"/>
        </w:rPr>
        <w:t>。</w:t>
      </w:r>
    </w:p>
    <w:p w14:paraId="42CA0C28">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（1）领导人重要讲话（LED屏）</w:t>
      </w:r>
    </w:p>
    <w:p w14:paraId="7B53678F">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此项主要引用国家领导人对数字中国，智慧城市建设的重要论述。如：习近平总书记2020年3月31日在杭州城市大脑运营指挥中心说：“通过大数据、云计算、人工智能等手段推进城市治理现代化，大城市也可以变得更‘聪明’。从信息化到智能化再到智慧化，是建设智慧城市的必由之路，前景广阔。”</w:t>
      </w:r>
    </w:p>
    <w:p w14:paraId="111C1B9C">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（2）序言（灯箱或亚克力板）</w:t>
      </w:r>
    </w:p>
    <w:p w14:paraId="4D50DDF4">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按采购人要求定制，展示内容如：</w:t>
      </w:r>
      <w:r>
        <w:rPr>
          <w:rFonts w:hint="eastAsia" w:ascii="宋体" w:hAnsi="宋体" w:eastAsia="宋体" w:cs="宋体"/>
          <w:sz w:val="24"/>
          <w:szCs w:val="24"/>
          <w:highlight w:val="none"/>
        </w:rPr>
        <w:t>滁州，地处皖东江淮之间，是安徽东向发展的桥头堡，长三角企业进军中西部的前沿阵地。在5G、物联网、大数据、云计算、人工智能等新一代信息技术迅猛发展的时代，滁州顺应城市数字化转型发展的时代潮流，推进新型智慧城市建设，重塑数字时代的城市竞争力与吸引力，深度融入南京都市圈、合肥都市圈和长三角区域城市一体化发展新格局，建设“智山慧水 醉美滁州”。</w:t>
      </w:r>
    </w:p>
    <w:p w14:paraId="3A95ECED">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（3）数说滁州（触控屏）</w:t>
      </w:r>
    </w:p>
    <w:p w14:paraId="5B5863D1">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采用触控屏作为展示窗口，</w:t>
      </w:r>
      <w:r>
        <w:rPr>
          <w:rFonts w:hint="eastAsia" w:ascii="宋体" w:hAnsi="宋体" w:eastAsia="宋体" w:cs="宋体"/>
          <w:sz w:val="24"/>
          <w:szCs w:val="24"/>
          <w:highlight w:val="none"/>
        </w:rPr>
        <w:t>该展项为书架造型内嵌显示屏，通过参考上海杨浦区人民城市建设规划馆，书架放置部分实体书，左侧小屏幕显示虚拟书，右侧大屏幕显示滁州全域地图，分别介绍滁州全市和8个县市区的概貌、经济发展、信息化建设、智慧城市建设整体情况、成效和做法等内容。</w:t>
      </w:r>
    </w:p>
    <w:p w14:paraId="7B9C7736">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（4）数字中国（触控屏）</w:t>
      </w:r>
    </w:p>
    <w:p w14:paraId="44E4054F">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采用触控屏作为展示窗口，展示内容：</w:t>
      </w:r>
      <w:r>
        <w:rPr>
          <w:rFonts w:hint="eastAsia" w:ascii="宋体" w:hAnsi="宋体" w:eastAsia="宋体" w:cs="宋体"/>
          <w:sz w:val="24"/>
          <w:szCs w:val="24"/>
          <w:highlight w:val="none"/>
        </w:rPr>
        <w:t>对国家出台的有关数据资源、新型智慧城市建设、社会治理、数字政务等相关政策文件进行解读。如《数字中国建设整体布局规划》《“数据要素×”三年行动计划（2024—2026年）》《深化智慧城市发展 推进城市全域数字化转型的指导意见》等。</w:t>
      </w:r>
    </w:p>
    <w:p w14:paraId="39346DED">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（5）数字安徽（触控屏）</w:t>
      </w:r>
    </w:p>
    <w:p w14:paraId="189F9A69">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采用触控屏作为展示窗口，展示内容：</w:t>
      </w:r>
      <w:r>
        <w:rPr>
          <w:rFonts w:hint="eastAsia" w:ascii="宋体" w:hAnsi="宋体" w:eastAsia="宋体" w:cs="宋体"/>
          <w:sz w:val="24"/>
          <w:szCs w:val="24"/>
          <w:highlight w:val="none"/>
        </w:rPr>
        <w:t>对安徽省推进数字化建设的相关规划和政策进行解读，如推进“三大转变”“四大工程”、《“数字安徽”建设总体方案》《安徽省数字基础设施建设发展三年行动方案（2023—2025年）》等。</w:t>
      </w:r>
    </w:p>
    <w:p w14:paraId="1511078E">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（6）数字滁州（触控屏）</w:t>
      </w:r>
    </w:p>
    <w:p w14:paraId="12C864BE">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采用触控屏作为展示窗口，展示内容：</w:t>
      </w:r>
      <w:r>
        <w:rPr>
          <w:rFonts w:hint="eastAsia" w:ascii="宋体" w:hAnsi="宋体" w:eastAsia="宋体" w:cs="宋体"/>
          <w:sz w:val="24"/>
          <w:szCs w:val="24"/>
          <w:highlight w:val="none"/>
        </w:rPr>
        <w:t>对滁州市在推进数字滁州建设过程中发布的规划文件及建设概况等进行介绍，政策文件如首席数据官制度试点，规划文件如《滁州市新型智慧城市总体规划（2019—2025年）（修编版）》等。</w:t>
      </w:r>
    </w:p>
    <w:p w14:paraId="2C17331D">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（7）数字基础建设（触控屏）</w:t>
      </w:r>
    </w:p>
    <w:p w14:paraId="7D90343A">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采用触控屏作为展示窗口，展示内容：</w:t>
      </w:r>
      <w:r>
        <w:rPr>
          <w:rFonts w:hint="eastAsia" w:ascii="宋体" w:hAnsi="宋体" w:eastAsia="宋体" w:cs="宋体"/>
          <w:sz w:val="24"/>
          <w:szCs w:val="24"/>
          <w:highlight w:val="none"/>
        </w:rPr>
        <w:t>主要介绍滁州的数字基础设施建设成果，包含滁州市5G产业规划，一朵云、一张网、一底座等相关内容。</w:t>
      </w:r>
    </w:p>
    <w:p w14:paraId="15600FCB">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（8）成果墙（液晶屏</w:t>
      </w:r>
      <w:r>
        <w:rPr>
          <w:rFonts w:hint="eastAsia" w:ascii="宋体" w:hAnsi="宋体" w:eastAsia="宋体" w:cs="宋体"/>
          <w:sz w:val="24"/>
          <w:szCs w:val="24"/>
          <w:highlight w:val="none"/>
          <w:lang w:val="en-US" w:eastAsia="zh-CN"/>
        </w:rPr>
        <w:t>或灯箱</w:t>
      </w:r>
      <w:r>
        <w:rPr>
          <w:rFonts w:hint="eastAsia" w:ascii="宋体" w:hAnsi="宋体" w:eastAsia="宋体" w:cs="宋体"/>
          <w:sz w:val="24"/>
          <w:szCs w:val="24"/>
          <w:highlight w:val="none"/>
        </w:rPr>
        <w:t>）</w:t>
      </w:r>
    </w:p>
    <w:p w14:paraId="433D8B1D">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该项作为展示窗口，展示内容：</w:t>
      </w:r>
      <w:r>
        <w:rPr>
          <w:rFonts w:hint="eastAsia" w:ascii="宋体" w:hAnsi="宋体" w:eastAsia="宋体" w:cs="宋体"/>
          <w:sz w:val="24"/>
          <w:szCs w:val="24"/>
          <w:highlight w:val="none"/>
        </w:rPr>
        <w:t>主要展示我市在数字滁州建设方面的获奖荣誉，例如成立“数字滁州”建设工作领导小组、城市大脑发布会、水源地保护等各试点奖项荣誉证书。</w:t>
      </w:r>
    </w:p>
    <w:p w14:paraId="0CAB7BF0">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四、数字政府</w:t>
      </w:r>
    </w:p>
    <w:p w14:paraId="351F6E33">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包含“互联网+政务服务”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“皖事通、皖企通、皖政通三端展示”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“城市大脑展示”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“一网统管展示”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“城市生命线展示”和“森林防火指挥展示”等内容，展示政府部门在数字化建设方面所做的工作和取得的成果。</w:t>
      </w:r>
    </w:p>
    <w:p w14:paraId="4572DF5C">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（1）一网通办展示（互联网+政务服务）（触控屏）</w:t>
      </w:r>
    </w:p>
    <w:p w14:paraId="51CE970A">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主要展示365天“不打烊”服务，7×24小时服务，契税“掌上办”、“办不成事”反映窗口，“亭满意”营商环境。</w:t>
      </w:r>
    </w:p>
    <w:p w14:paraId="49EC3DE2">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（2）皖事通、皖企通、皖政通三端展示（触控屏）</w:t>
      </w:r>
    </w:p>
    <w:p w14:paraId="0107A1D9">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通过墙面内嵌三个仿手机屏幕展示“皖事通”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“皖企通”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“皖政通”相关内容。</w:t>
      </w:r>
    </w:p>
    <w:p w14:paraId="1022B19F">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（3）“城市大脑”展示（触控屏）</w:t>
      </w:r>
    </w:p>
    <w:p w14:paraId="54D3FA1B">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主要展示城市大脑数据中台、智慧中台、业务中台和数字孪生平台的建设情况。</w:t>
      </w:r>
    </w:p>
    <w:p w14:paraId="51F9F899">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（4）一体化数据基础平台滁州市节点展示（触控屏）</w:t>
      </w:r>
    </w:p>
    <w:p w14:paraId="71BDA590">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主要展示一体化数据基础平台中云管、数管、用管相关建设情况。</w:t>
      </w:r>
    </w:p>
    <w:p w14:paraId="49FBFEBE">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（5）一网统管展示（触控屏）</w:t>
      </w:r>
    </w:p>
    <w:p w14:paraId="2844FEC5">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主要展示网格化服务管理平台的相关介绍及建设情况。</w:t>
      </w:r>
    </w:p>
    <w:p w14:paraId="34D458FB">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（6）城市生命线展示（触控屏）</w:t>
      </w:r>
    </w:p>
    <w:p w14:paraId="6B793BB4">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主要展示城市生命线平台的相关介绍及建设情况。</w:t>
      </w:r>
    </w:p>
    <w:p w14:paraId="7ED625B3">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（7）森林防火指挥展示（触控屏）</w:t>
      </w:r>
    </w:p>
    <w:p w14:paraId="79FBBA01">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主要展示森林防火指挥平台的相关介绍及建设情况。</w:t>
      </w:r>
    </w:p>
    <w:p w14:paraId="30694D91">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五、数字经济</w:t>
      </w:r>
    </w:p>
    <w:p w14:paraId="2425253F">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包含“滁州市八大产业链”和“展台区”两个版块。通过展示滁州市在数字经济领域的重要企业、重要平台和重要产品，展示滁州市在数字经济领域数字化转型的应用和发展成果。</w:t>
      </w:r>
    </w:p>
    <w:p w14:paraId="2E22F9F3">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（1）滁州市八大产业链概况（屏幕+展板）</w:t>
      </w:r>
    </w:p>
    <w:p w14:paraId="69F73932">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围绕光伏、半导体、汽车及装备制造、新能源电池、医疗器械、智能家电、新型化工、健康食品八大产业链，结合滁州实际，突出“新三样”（先进光伏和新型储能产业、动力电池产业、新能源汽车产业）建设情况，展示平台或宣传片。</w:t>
      </w:r>
    </w:p>
    <w:p w14:paraId="569A56C4">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（2）展台区</w:t>
      </w:r>
    </w:p>
    <w:p w14:paraId="6EA88107">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围绕数字经济分为数字产业化和产业数字化展台，各展台结合滁州产业现状动态更新，建设过程中将结合滁州市八大产业链进行深入调研，最终确定展示内容。</w:t>
      </w:r>
    </w:p>
    <w:p w14:paraId="007D0AB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六、数字社会</w:t>
      </w:r>
    </w:p>
    <w:p w14:paraId="3C34D560">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含但不限于“智慧亭城”“数字乡村”“智慧文旅”“智慧医疗”“智慧农业”“智慧环保”“智慧政务”和“智慧就业”。展示数字化转型在社会不同领域的应用，让参观者了解数字技术在社会生活中的广泛应用和影响，同时该区域可为不同部门提供展示空间，布展内容可结合各部门实际进行动态编辑。</w:t>
      </w:r>
    </w:p>
    <w:p w14:paraId="70DA7325">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（1）智慧亭城（畅想亭城）</w:t>
      </w:r>
    </w:p>
    <w:p w14:paraId="6A954303">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使用物体识别互动桌和显示屏进行多媒体互动，围绕七个强市（动能强劲的科技强市、智能绿色的制造强市、高质高效的农业强市、山水秀美的生态强市、英才荟萃的人才强市、人民满意的教育强市、繁荣兴盛的文化强市）的建设目标，介绍数字化技术在不同领域的应用。</w:t>
      </w:r>
    </w:p>
    <w:p w14:paraId="278E86E2">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（2）数字乡村</w:t>
      </w:r>
    </w:p>
    <w:p w14:paraId="2CC539B9">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南谯区章广镇“智慧小镇”简介和建设情况。</w:t>
      </w:r>
    </w:p>
    <w:p w14:paraId="47953440">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（3）智慧文旅</w:t>
      </w:r>
    </w:p>
    <w:p w14:paraId="771FC7D3">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滁州智慧文旅综合管理服务平台简介和建设情况。</w:t>
      </w:r>
    </w:p>
    <w:p w14:paraId="08B420C8">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（4）智慧医疗</w:t>
      </w:r>
    </w:p>
    <w:p w14:paraId="68C35E07">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滁州市全民健康信息平台简介和建设情况。</w:t>
      </w:r>
    </w:p>
    <w:p w14:paraId="47FDDC53">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（5）智慧农业</w:t>
      </w:r>
    </w:p>
    <w:p w14:paraId="5AD4D49D">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天长市国家现代农业产业园简介和建设情况。</w:t>
      </w:r>
    </w:p>
    <w:p w14:paraId="2039E577">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（6）智慧环保</w:t>
      </w:r>
    </w:p>
    <w:p w14:paraId="077DD59D">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饮用水源地保护简介和建设情况。</w:t>
      </w:r>
    </w:p>
    <w:p w14:paraId="043198D2">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（7）智慧政务</w:t>
      </w:r>
    </w:p>
    <w:p w14:paraId="0A07DD35">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以“高效办成一件事”中部分事项进行全流程演示。</w:t>
      </w:r>
    </w:p>
    <w:p w14:paraId="3D0B66DE">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（8）智慧就业</w:t>
      </w:r>
    </w:p>
    <w:p w14:paraId="76E9156B">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滁州市数字人才服务平台简介和建设情况。</w:t>
      </w:r>
    </w:p>
    <w:p w14:paraId="4DC0A82D">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七、数字亭城</w:t>
      </w:r>
    </w:p>
    <w:p w14:paraId="415CF5DD">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包含“亭城数字印象”“亭城留影机”“跨越江淮分水岭·领略最美滁州风景道”和“安全科普”等内容。为公众提供一个科普传播的平台，提升市民的数字技术意识和数字修养。</w:t>
      </w:r>
    </w:p>
    <w:p w14:paraId="50D75764">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（1）跨越江淮分水岭·领略醉美风景道</w:t>
      </w:r>
    </w:p>
    <w:p w14:paraId="6DF966C7">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展项是一款骑行类的能量单车。是将参观者置身于数字化呈现的江淮分水岭·风景道中进行自由骑行，通过3D精细建模，配合三面屏幕及室内单车设备，实现边骑行边切换视角，将滁州市风景名胜融入彩虹路，作为沿途风景。</w:t>
      </w:r>
    </w:p>
    <w:p w14:paraId="1329EE49">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（2）安全科普</w:t>
      </w:r>
    </w:p>
    <w:p w14:paraId="49FA0F1A">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展项设置两台触摸一体机，一台用作安全密码体验，参观者可以在屏幕上输入一段密码，系统会展示该密码被黑客破解所需时间，提升公众的密码安全意识。另一台播放滁州市安全运营（监测）平台，展示滁州市电子政务外网安全运行状态。</w:t>
      </w:r>
    </w:p>
    <w:p w14:paraId="4BE58285">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（3）亭城数字印象</w:t>
      </w:r>
    </w:p>
    <w:p w14:paraId="3CFDA260">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展项是一款互动展示墙。当参观者触摸屏幕时，滁州市人文历史和发展成果的图片信息呈现在面前，随机选择一张打开，图片会被突显放大，增强参观者了解滁州的好奇心，通过互动的方式能够更好地展示滁州印象。</w:t>
      </w:r>
    </w:p>
    <w:p w14:paraId="0A019126">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（4）亭城留影机</w:t>
      </w:r>
    </w:p>
    <w:p w14:paraId="07609CA6">
      <w:pPr>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该展项是一款在线留言墙。参观者可以在显示屏上签名、发表观后感、合理建议等，还可以配合摄像头记录下参观者的脸部特征并查询浏览。留言墙会自动循环播放之前的留言和信息，为参观者提供新颖的打卡和分享方式。</w:t>
      </w:r>
    </w:p>
    <w:p w14:paraId="3B0B3E01">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4.2.4</w:t>
      </w:r>
      <w:bookmarkStart w:id="150" w:name="_Toc15805"/>
      <w:r>
        <w:rPr>
          <w:rFonts w:hint="eastAsia" w:ascii="宋体" w:hAnsi="宋体" w:eastAsia="宋体" w:cs="宋体"/>
          <w:bCs/>
          <w:color w:val="auto"/>
          <w:sz w:val="24"/>
          <w:szCs w:val="24"/>
          <w:highlight w:val="none"/>
          <w:lang w:val="en-US" w:eastAsia="zh-CN"/>
        </w:rPr>
        <w:t>数据大厦1-3层配套附属用房标准化建设</w:t>
      </w:r>
      <w:bookmarkEnd w:id="150"/>
    </w:p>
    <w:p w14:paraId="640299FB">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配套附属用房套内面积严格按照《党政机关办公用房建设标准》（发改投资〔2014〕2674号）和《安徽党政机关、事业单位办公及业务用房建设项目管理办法（暂行）》的标准执行，使用的建材须符合《绿色建筑和绿色建材政府采购需求标准》。</w:t>
      </w:r>
    </w:p>
    <w:p w14:paraId="65E2F4F7">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本次配套附属用房装修遵守以下几项原则：</w:t>
      </w:r>
    </w:p>
    <w:p w14:paraId="6FAE181C">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1.办公空间的布局符合部门和工作需要；</w:t>
      </w:r>
    </w:p>
    <w:p w14:paraId="1DC9C6DC">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2.办公配套设施齐全，包括办公桌、椅子、文件柜等，整体风格为“现代简约风”；</w:t>
      </w:r>
    </w:p>
    <w:p w14:paraId="3E8B8202">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3.办公空间设计合理，具备良好的通风系统和充足的自然光线；</w:t>
      </w:r>
    </w:p>
    <w:p w14:paraId="102C74F0">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4.符合环保和可持续发展的原则，选择环保、绿色低碳材料。</w:t>
      </w:r>
    </w:p>
    <w:p w14:paraId="2BDE53CE">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地面面积采用800*800防滑地砖，过道墙面采用1200*600陶瓷薄板，内部采用白色环保乳胶漆涂料，会议室等空间顶面使用白色石膏板吊顶，办公区使用负离子健康板吊顶，具体用材以深化设计方案为准。</w:t>
      </w:r>
    </w:p>
    <w:p w14:paraId="2E4E15FB">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环境照明</w:t>
      </w:r>
    </w:p>
    <w:p w14:paraId="30411B3A">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灯光的布局按照《环境照明设计规范》GB50034-2024标准，并参考以下几点原则：</w:t>
      </w:r>
    </w:p>
    <w:p w14:paraId="22313600">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1.采用新型LED光源照明，达到“环保、节能”的效果；</w:t>
      </w:r>
    </w:p>
    <w:p w14:paraId="4069C728">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2.合理布置灯管和筒灯，保证平均照度达到300LUX；</w:t>
      </w:r>
    </w:p>
    <w:p w14:paraId="6EF18CC5">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3.在大屏前横向布置内藏式筒灯照明，保证观看效果；</w:t>
      </w:r>
    </w:p>
    <w:p w14:paraId="13A8005E">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4.灯光控制编组采用横向方式，通过中控系统控制开关，当大屏演示时，前排灯光可自动关闭；</w:t>
      </w:r>
    </w:p>
    <w:p w14:paraId="3BBE0CA8">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5.大厅后方会议指挥区采用三基色灯管，使摄像时人脸部光线柔和，颜色自然。</w:t>
      </w:r>
    </w:p>
    <w:p w14:paraId="52BD67AA">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w:t>
      </w:r>
      <w:bookmarkStart w:id="151" w:name="_Toc16354"/>
      <w:r>
        <w:rPr>
          <w:rFonts w:hint="eastAsia" w:ascii="宋体" w:hAnsi="宋体" w:eastAsia="宋体" w:cs="宋体"/>
          <w:bCs/>
          <w:color w:val="auto"/>
          <w:sz w:val="24"/>
          <w:szCs w:val="24"/>
          <w:highlight w:val="none"/>
          <w:lang w:val="en-US" w:eastAsia="zh-CN"/>
        </w:rPr>
        <w:t>项目服务要求</w:t>
      </w:r>
      <w:bookmarkEnd w:id="151"/>
    </w:p>
    <w:p w14:paraId="600AFB0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4.3.1</w:t>
      </w:r>
      <w:bookmarkStart w:id="152" w:name="_Toc52"/>
      <w:r>
        <w:rPr>
          <w:rFonts w:hint="eastAsia" w:ascii="宋体" w:hAnsi="宋体" w:eastAsia="宋体" w:cs="宋体"/>
          <w:bCs/>
          <w:color w:val="auto"/>
          <w:sz w:val="24"/>
          <w:szCs w:val="24"/>
          <w:highlight w:val="none"/>
          <w:lang w:val="en-US" w:eastAsia="zh-CN"/>
        </w:rPr>
        <w:t>建设要求</w:t>
      </w:r>
      <w:bookmarkEnd w:id="152"/>
    </w:p>
    <w:p w14:paraId="4B368882">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1、工期要求</w:t>
      </w:r>
    </w:p>
    <w:p w14:paraId="338D2E8A">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建设工期需在2024年12月中旬前完成。完成招标文件所规定的所有建设任务，并达到项目验收条件。本项目建设工期紧、任务重、要求投标人具有足够的人员和较强的技术保障能力，及时解决项目建设中遇到的各种问题。</w:t>
      </w:r>
    </w:p>
    <w:p w14:paraId="1A4C600A">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2、施工要求</w:t>
      </w:r>
    </w:p>
    <w:p w14:paraId="2C53FA49">
      <w:pPr>
        <w:spacing w:line="360" w:lineRule="auto"/>
        <w:ind w:firstLine="437"/>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由于大楼整体毛坯交付，部分区域须进行改造，包含但不限于1F西侧绿植拆除及改造、1-4F西北侧楼梯间改造、1-3F茶水间改造、门体改造、消防喷淋改造等，中标人在中标后须基于《滁州市智慧城市运行管理中心和智慧城市展示中心项目建设方案》及相关施工图纸，对现场进行自行勘察并评估，开展深化设计，并在合同签订后1个月内完成深化设计方案、实施方案和相关图纸（含施工图纸和效果图）编制，经采购方审核通过后，办理好施工必要的手续，方可进行项目施工（装饰装修相关材料在施工前须送样并确认）。</w:t>
      </w:r>
    </w:p>
    <w:p w14:paraId="118C183D">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中标人须在建设期内严格按照采购方的采购需求完成建设内容。</w:t>
      </w:r>
    </w:p>
    <w:p w14:paraId="32D68166">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投标人在中标后，要求参与本项目的所有施工人员签订安全承诺书，定期检查和确认安全措施的情况，并定期开展项目安全培训和安全检查，确保施工现场的各项安全。</w:t>
      </w:r>
    </w:p>
    <w:p w14:paraId="1883AFEE">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中标人在项目实施过程中的用工行为，必须严格按照《保障农民工工资支付条例》(国务院令 第 724号)、《安徽省人民政府办公厅关于全面治理拖欠农民工工资问题的实施意见》(皖政办〔2016〕22 号)以及《贯彻落实&lt;工程建设领域农民工工资专用账户管理暂行办法&gt;的通知》(皖人社发 〔2022〕5号)、《安徽省工程建设领域农民工工资保证金实施办法》皖人社发 〔2022〕 8号)等文件精神的有关规定，依法与招用的农民工签订劳动合同，并按规定及时足额支付工资。</w:t>
      </w:r>
    </w:p>
    <w:p w14:paraId="7E5B4FB1">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3、项目人员要求</w:t>
      </w:r>
    </w:p>
    <w:p w14:paraId="16267355">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中标人须为本项目建立一个完善和稳定的管理组织机构。在投标文件中须提供详细的项目实施专业团队人员；项目实施期间，除施工人员外，需安排不少于10人驻场的实施管理团队，</w:t>
      </w:r>
      <w:r>
        <w:rPr>
          <w:rFonts w:hint="eastAsia" w:ascii="宋体" w:hAnsi="宋体" w:eastAsia="宋体" w:cs="宋体"/>
          <w:b/>
          <w:bCs w:val="0"/>
          <w:color w:val="auto"/>
          <w:sz w:val="24"/>
          <w:szCs w:val="24"/>
          <w:highlight w:val="none"/>
          <w:lang w:val="en-US" w:eastAsia="zh-CN"/>
        </w:rPr>
        <w:t>人员须在项目现场驻点办公</w:t>
      </w:r>
      <w:r>
        <w:rPr>
          <w:rFonts w:hint="eastAsia" w:ascii="宋体" w:hAnsi="宋体" w:eastAsia="宋体" w:cs="宋体"/>
          <w:bCs/>
          <w:color w:val="auto"/>
          <w:sz w:val="24"/>
          <w:szCs w:val="24"/>
          <w:highlight w:val="none"/>
          <w:lang w:val="en-US" w:eastAsia="zh-CN"/>
        </w:rPr>
        <w:t>，并服从招标单位的统一安排（参与考勤），</w:t>
      </w:r>
      <w:r>
        <w:rPr>
          <w:rFonts w:hint="eastAsia" w:ascii="宋体" w:hAnsi="宋体" w:eastAsia="宋体" w:cs="宋体"/>
          <w:b/>
          <w:bCs w:val="0"/>
          <w:color w:val="auto"/>
          <w:sz w:val="24"/>
          <w:szCs w:val="24"/>
          <w:highlight w:val="none"/>
          <w:lang w:val="en-US" w:eastAsia="zh-CN"/>
        </w:rPr>
        <w:t>人员须具有相应的工作经验和相关证书</w:t>
      </w:r>
      <w:r>
        <w:rPr>
          <w:rFonts w:hint="eastAsia" w:ascii="宋体" w:hAnsi="宋体" w:eastAsia="宋体" w:cs="宋体"/>
          <w:bCs/>
          <w:color w:val="auto"/>
          <w:sz w:val="24"/>
          <w:szCs w:val="24"/>
          <w:highlight w:val="none"/>
          <w:lang w:val="en-US" w:eastAsia="zh-CN"/>
        </w:rPr>
        <w:t>，实施过程应保留完整工作记录，并形成整套工作台账资料。在项目通过验收前，未经采购方同意，不得更换项目经理和技术负责人。如有特殊原因须更换实施人员，须提前15天书面征得采购方同意后，安排满足招投标需求的同等档次人员担任，并做好相关移交工作。如采购方要求投标人更换项目实施人员，投标人应按照采购方要求进行更换。投标人应仔细测算项目人力成本，确保项目按期完工。</w:t>
      </w:r>
    </w:p>
    <w:p w14:paraId="3C25AAAD">
      <w:pPr>
        <w:spacing w:line="360" w:lineRule="auto"/>
        <w:ind w:firstLine="437"/>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中标人在项目建设期间，必须严格按照招投标文件的约定安排符合条件的实施人员进场开展项目实施工作，若中标人安排的实施人员与其投标文件中计划的实施人员不一致，视为不满足实施条件，须调整至与投标文件一致，如在合同签订后30个日历天内仍不具备实施条件的，将上报至相关部门进行处置。</w:t>
      </w:r>
    </w:p>
    <w:p w14:paraId="2D9D324A">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4、办公场地及要求</w:t>
      </w:r>
    </w:p>
    <w:p w14:paraId="6C09928D">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中标人需在施工现场附近自行安排办公场所，随时对施工现场进行巡查；中标人自备用于项目建设实施过程中的相关设备。</w:t>
      </w:r>
    </w:p>
    <w:p w14:paraId="01AFB61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5、责任要求</w:t>
      </w:r>
    </w:p>
    <w:p w14:paraId="3B012CFE">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中标人需按照采购方的时间、质量等方面的要求，保质保量地完成各项工作，采购方有权依据项目未完成情况对中标人进行相应的处罚，中标人需承担由此而产生的损失。</w:t>
      </w:r>
    </w:p>
    <w:p w14:paraId="71702FB6">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4.3.2</w:t>
      </w:r>
      <w:bookmarkStart w:id="153" w:name="_Toc9383"/>
      <w:r>
        <w:rPr>
          <w:rFonts w:hint="eastAsia" w:ascii="宋体" w:hAnsi="宋体" w:eastAsia="宋体" w:cs="宋体"/>
          <w:bCs/>
          <w:color w:val="auto"/>
          <w:sz w:val="24"/>
          <w:szCs w:val="24"/>
          <w:highlight w:val="none"/>
          <w:lang w:val="en-US" w:eastAsia="zh-CN"/>
        </w:rPr>
        <w:t>培训要求</w:t>
      </w:r>
      <w:bookmarkEnd w:id="153"/>
    </w:p>
    <w:p w14:paraId="73CC8A9F">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应向采购方提供免费培训，直至采购方相关操作人员完全熟练掌握。培训方式应包括点对点、小课堂等多种形式的培训。中标人须针对不同的培训对象在投标文件中提出全面、详细的培训方案，提供智慧城市运行管理中心和智慧城市展示中心所建设智能化系统操作使用方面的专业培训。</w:t>
      </w:r>
    </w:p>
    <w:p w14:paraId="336C1F74">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中标人派出的培训教员应具备丰富的教学经验，所有的培训教员应以中文授课，中标人应为所有被培训人员提供培训资料，按约定合理地安排培训时间。</w:t>
      </w:r>
    </w:p>
    <w:p w14:paraId="6E6BDA5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培训人员：采购方参加培训人员按照本项目交付内容的培训要求安排。经培训后的培训人员应能独立地、熟练地完成系统软件、设备日常使用及管理维护工作，并能及时排除常见故障。</w:t>
      </w:r>
    </w:p>
    <w:p w14:paraId="0D51023B">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4.3.3验收要求</w:t>
      </w:r>
    </w:p>
    <w:p w14:paraId="75AC04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中标人完成项目的全部建设内容后向采购人提验收申请，经采购人同意后并组织专家进行评审，评审通过视为验收合格。</w:t>
      </w:r>
    </w:p>
    <w:p w14:paraId="28553AA8">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1、验收流程</w:t>
      </w:r>
    </w:p>
    <w:p w14:paraId="78D682F7">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项目满足验收条件，验收资料齐全，通过第三方检测，达到项目建设要求，中标人向监理及采购方提出项目验收申请，由监理和采购方组织项目验收。</w:t>
      </w:r>
    </w:p>
    <w:p w14:paraId="7F32DCE4">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2、验收文档</w:t>
      </w:r>
    </w:p>
    <w:p w14:paraId="65FF3ED0">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验收时需提交相关文档，包含但不限于：</w:t>
      </w:r>
    </w:p>
    <w:p w14:paraId="3CD33912">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实施方案</w:t>
      </w:r>
    </w:p>
    <w:p w14:paraId="5E6F131B">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深化设计方案</w:t>
      </w:r>
    </w:p>
    <w:p w14:paraId="53AA29DA">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最终效果图及施工图图纸</w:t>
      </w:r>
    </w:p>
    <w:p w14:paraId="40A41AEF">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竣工材料</w:t>
      </w:r>
    </w:p>
    <w:p w14:paraId="6F25FEB9">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项目周报和月报</w:t>
      </w:r>
    </w:p>
    <w:p w14:paraId="05341922">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项目工程联系单</w:t>
      </w:r>
    </w:p>
    <w:p w14:paraId="5D80A757">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项目变更材料</w:t>
      </w:r>
    </w:p>
    <w:p w14:paraId="2916DD54">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符合需求标准的绿色包装、绿色运输的相关材料</w:t>
      </w:r>
    </w:p>
    <w:p w14:paraId="51341186">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材料、半成品、五金配件、构件和组件合格证、性能检测报告、进场复验报告、隐蔽工程施工记录</w:t>
      </w:r>
    </w:p>
    <w:p w14:paraId="27D65E8A">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施工记录</w:t>
      </w:r>
    </w:p>
    <w:p w14:paraId="7F697D9C">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用户使用手册</w:t>
      </w:r>
    </w:p>
    <w:p w14:paraId="0703F056">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培训文档</w:t>
      </w:r>
    </w:p>
    <w:p w14:paraId="77C3429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安装及运维手册</w:t>
      </w:r>
    </w:p>
    <w:p w14:paraId="4A5FAEE5">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网络拓扑图</w:t>
      </w:r>
    </w:p>
    <w:p w14:paraId="36EEB11B">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弱电工程竣工图</w:t>
      </w:r>
    </w:p>
    <w:p w14:paraId="67101E2F">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第三方检测报告</w:t>
      </w:r>
    </w:p>
    <w:p w14:paraId="1E449E10">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采购人认为需要提供的其它内容</w:t>
      </w:r>
    </w:p>
    <w:p w14:paraId="6271C06B">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4.3.4</w:t>
      </w:r>
      <w:bookmarkStart w:id="154" w:name="_Toc6381"/>
      <w:r>
        <w:rPr>
          <w:rFonts w:hint="eastAsia" w:ascii="宋体" w:hAnsi="宋体" w:eastAsia="宋体" w:cs="宋体"/>
          <w:bCs/>
          <w:color w:val="auto"/>
          <w:sz w:val="24"/>
          <w:szCs w:val="24"/>
          <w:highlight w:val="none"/>
          <w:lang w:val="en-US" w:eastAsia="zh-CN"/>
        </w:rPr>
        <w:t>运营服务（含运维）要求</w:t>
      </w:r>
      <w:bookmarkEnd w:id="154"/>
    </w:p>
    <w:p w14:paraId="6A568DA9">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18"/>
          <w:highlight w:val="none"/>
          <w:u w:val="none"/>
          <w:lang w:val="en-US" w:eastAsia="zh-CN"/>
        </w:rPr>
        <w:t>项目运维（质保）周期自验收合格之日起至少3年。(本项目部分系统、服务、硬件产品的运维(或质保)期限以货物需求中的服务要求和评分方法中的中标人质保承诺为准)</w:t>
      </w:r>
      <w:r>
        <w:rPr>
          <w:rFonts w:hint="eastAsia" w:ascii="宋体" w:hAnsi="宋体" w:eastAsia="宋体" w:cs="宋体"/>
          <w:bCs/>
          <w:color w:val="auto"/>
          <w:sz w:val="24"/>
          <w:szCs w:val="24"/>
          <w:highlight w:val="none"/>
          <w:u w:val="none"/>
          <w:lang w:val="en-US" w:eastAsia="zh-CN"/>
        </w:rPr>
        <w:t>。</w:t>
      </w:r>
      <w:r>
        <w:rPr>
          <w:rFonts w:hint="eastAsia" w:ascii="宋体" w:hAnsi="宋体" w:eastAsia="宋体" w:cs="宋体"/>
          <w:bCs/>
          <w:color w:val="auto"/>
          <w:sz w:val="24"/>
          <w:szCs w:val="24"/>
          <w:highlight w:val="none"/>
          <w:lang w:val="en-US" w:eastAsia="zh-CN"/>
        </w:rPr>
        <w:t>中标人为本项目提供充足的备品备件服务，特别是涉及系统稳定的关键设备，保证一旦出现硬件故障，在质保期内可及时更换，保证系统安全、可靠、稳定运行。</w:t>
      </w:r>
    </w:p>
    <w:p w14:paraId="41AC79F4">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承诺为本项目建立一个完善和稳定的运维保障队伍，项目运营期间，要求提供不少于1人的专业化驻点运维保障服务，负责智能化系统的管理和运维，驻点人员要求具有综合布线系统、计算机网络系统、显示系统、分布式坐席管理系统、音视频系统、融合通信系统、会议系统、安防监控系统、门禁系统、机房工程等智能化相关专业知识，须经采购方考核合格后方能驻场服务，并服从采购方的安排，并设置A/B岗，确保城运中心在岗值守保障服务，主要服务内容包括：</w:t>
      </w:r>
    </w:p>
    <w:p w14:paraId="427FF4C7">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（1）运维服务流程：针对本项目建设内容，规划设计合理可行的运维服务流程。</w:t>
      </w:r>
    </w:p>
    <w:p w14:paraId="699B5392">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故障等级限时服务：在接到用户故障报告后，响应时间不超过1小时，按照不同的故障等级，全局性故障恢复系统正常运行时间不超过2小时，系统性故障恢复系统正常运行时间不超过4小时，功能性故障恢复系统正常运行时间不超过8小时，以保证用户的正常使用。</w:t>
      </w:r>
    </w:p>
    <w:p w14:paraId="2F9FF192">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（3）故障分析、解决方案和计划：在出现故障时，需客观合理地分析故障原因，提出解决方案，制定解决计划，并形成文字材料进行文档管理。</w:t>
      </w:r>
    </w:p>
    <w:p w14:paraId="783C07B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服务方式：7*24小时及时响应服务；5*8小时的驻场服务；节假日值班值守服务，重要活动保障服务，提供系统《巡检维护手册》，规范对系统的日、周、月巡检维护流程，做好常态化巡检维护和记录；提供《使用手册》，方便用户掌握系统的所有功能；提供定期或不定期的技术交流与技术培训，便于用户掌握系统的使用和维护。</w:t>
      </w:r>
    </w:p>
    <w:p w14:paraId="6FDBEFB8">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（5）按照相关安全要求，针对运维保障工作相关方，建立完善安全保密措施，签署保密协议，采用最小化授权原则，保障场所隐私安全。</w:t>
      </w:r>
    </w:p>
    <w:p w14:paraId="64324123">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（6）制定应急响应预案，定期开展培训和演练。</w:t>
      </w:r>
    </w:p>
    <w:p w14:paraId="74F13564">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4.4相关要求</w:t>
      </w:r>
    </w:p>
    <w:p w14:paraId="36DF0988">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（一）货物的生产、安装、维修、检验、验收等按照以下原则执行：有国家标准的执行国家标准；无国家标准的执行行业标准；无行业标准的执行地方标准；无地方标准的执行企业标准。</w:t>
      </w:r>
    </w:p>
    <w:p w14:paraId="53B16FFD">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0F52DBA9">
      <w:pPr>
        <w:spacing w:line="360" w:lineRule="auto"/>
        <w:ind w:firstLine="43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4443BD7C">
      <w:pPr>
        <w:rPr>
          <w:rFonts w:hint="eastAsia" w:ascii="宋体" w:hAnsi="宋体" w:eastAsia="宋体" w:cs="宋体"/>
          <w:b/>
          <w:color w:val="auto"/>
          <w:sz w:val="28"/>
          <w:highlight w:val="none"/>
        </w:rPr>
      </w:pPr>
      <w:bookmarkStart w:id="155" w:name="_Toc16417"/>
      <w:r>
        <w:rPr>
          <w:rFonts w:hint="eastAsia" w:ascii="宋体" w:hAnsi="宋体" w:eastAsia="宋体" w:cs="宋体"/>
          <w:b/>
          <w:color w:val="auto"/>
          <w:sz w:val="28"/>
          <w:highlight w:val="none"/>
        </w:rPr>
        <w:br w:type="page"/>
      </w:r>
    </w:p>
    <w:p w14:paraId="3D08BA5B">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第四章  评标方法和标准（综合评分法）</w:t>
      </w:r>
      <w:bookmarkEnd w:id="155"/>
    </w:p>
    <w:p w14:paraId="57392E2E">
      <w:pPr>
        <w:spacing w:line="360" w:lineRule="auto"/>
        <w:ind w:firstLine="437"/>
        <w:outlineLvl w:val="1"/>
        <w:rPr>
          <w:rFonts w:hint="eastAsia" w:ascii="宋体" w:hAnsi="宋体" w:eastAsia="宋体" w:cs="宋体"/>
          <w:b/>
          <w:color w:val="auto"/>
          <w:sz w:val="24"/>
          <w:highlight w:val="none"/>
        </w:rPr>
      </w:pPr>
      <w:bookmarkStart w:id="156" w:name="_Toc1246"/>
      <w:bookmarkStart w:id="157" w:name="_Toc11823"/>
      <w:r>
        <w:rPr>
          <w:rFonts w:hint="eastAsia" w:ascii="宋体" w:hAnsi="宋体" w:eastAsia="宋体" w:cs="宋体"/>
          <w:b/>
          <w:color w:val="auto"/>
          <w:sz w:val="24"/>
          <w:highlight w:val="none"/>
        </w:rPr>
        <w:t>一、总则</w:t>
      </w:r>
      <w:bookmarkEnd w:id="156"/>
      <w:bookmarkEnd w:id="157"/>
    </w:p>
    <w:p w14:paraId="64FD86F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266BB862">
      <w:pPr>
        <w:spacing w:line="360" w:lineRule="auto"/>
        <w:ind w:firstLine="437"/>
        <w:outlineLvl w:val="1"/>
        <w:rPr>
          <w:rFonts w:hint="eastAsia" w:ascii="宋体" w:hAnsi="宋体" w:eastAsia="宋体" w:cs="宋体"/>
          <w:b/>
          <w:color w:val="auto"/>
          <w:sz w:val="24"/>
          <w:highlight w:val="none"/>
        </w:rPr>
      </w:pPr>
      <w:bookmarkStart w:id="158" w:name="_Toc13117"/>
      <w:bookmarkStart w:id="159" w:name="_Toc31871"/>
      <w:r>
        <w:rPr>
          <w:rFonts w:hint="eastAsia" w:ascii="宋体" w:hAnsi="宋体" w:eastAsia="宋体" w:cs="宋体"/>
          <w:b/>
          <w:color w:val="auto"/>
          <w:sz w:val="24"/>
          <w:highlight w:val="none"/>
        </w:rPr>
        <w:t>二、评标方法</w:t>
      </w:r>
      <w:bookmarkEnd w:id="158"/>
      <w:bookmarkEnd w:id="159"/>
    </w:p>
    <w:p w14:paraId="34FC15F0">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3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51"/>
        <w:gridCol w:w="4561"/>
        <w:gridCol w:w="1889"/>
      </w:tblGrid>
      <w:tr w14:paraId="2920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9494EC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28C8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158EE2B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784CD650">
            <w:pPr>
              <w:pStyle w:val="52"/>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603" w:type="pct"/>
            <w:tcBorders>
              <w:bottom w:val="single" w:color="auto" w:sz="4" w:space="0"/>
            </w:tcBorders>
            <w:vAlign w:val="center"/>
          </w:tcPr>
          <w:p w14:paraId="1359EFEA">
            <w:pPr>
              <w:adjustRightInd w:val="0"/>
              <w:snapToGrid w:val="0"/>
              <w:spacing w:line="360" w:lineRule="auto"/>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76" w:type="pct"/>
            <w:tcBorders>
              <w:bottom w:val="single" w:color="auto" w:sz="4" w:space="0"/>
            </w:tcBorders>
            <w:vAlign w:val="center"/>
          </w:tcPr>
          <w:p w14:paraId="77A0157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4241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15C35464">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0830C0AE">
            <w:pPr>
              <w:spacing w:after="50" w:line="360" w:lineRule="auto"/>
              <w:ind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highlight w:val="none"/>
              </w:rPr>
              <w:t>营业执照等证明</w:t>
            </w:r>
            <w:r>
              <w:rPr>
                <w:rFonts w:hint="eastAsia" w:ascii="宋体" w:hAnsi="宋体" w:eastAsia="宋体" w:cs="宋体"/>
                <w:spacing w:val="-3"/>
                <w:sz w:val="24"/>
                <w:szCs w:val="24"/>
                <w:highlight w:val="none"/>
              </w:rPr>
              <w:t>文件</w:t>
            </w:r>
          </w:p>
        </w:tc>
        <w:tc>
          <w:tcPr>
            <w:tcW w:w="2603" w:type="pct"/>
            <w:tcBorders>
              <w:bottom w:val="single" w:color="auto" w:sz="4" w:space="0"/>
            </w:tcBorders>
            <w:vAlign w:val="center"/>
          </w:tcPr>
          <w:p w14:paraId="61BD4152">
            <w:pPr>
              <w:spacing w:after="50" w:line="360" w:lineRule="auto"/>
              <w:ind w:right="-1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供有效的营业执照；</w:t>
            </w:r>
          </w:p>
          <w:p w14:paraId="04C07EE4">
            <w:pPr>
              <w:spacing w:after="50" w:line="360" w:lineRule="auto"/>
              <w:ind w:right="-1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供有效的事业单位法人证书；</w:t>
            </w:r>
          </w:p>
          <w:p w14:paraId="22E0BD7E">
            <w:pPr>
              <w:spacing w:after="50" w:line="360" w:lineRule="auto"/>
              <w:ind w:right="-1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登记证书等证明文件；</w:t>
            </w:r>
          </w:p>
          <w:p w14:paraId="7EB71AAC">
            <w:pPr>
              <w:spacing w:after="50" w:line="360" w:lineRule="auto"/>
              <w:ind w:right="-1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供有效的个体工商户营业执照；</w:t>
            </w:r>
          </w:p>
          <w:p w14:paraId="1099A662">
            <w:pPr>
              <w:spacing w:after="50" w:line="360" w:lineRule="auto"/>
              <w:ind w:right="-10" w:rightChars="0"/>
              <w:jc w:val="left"/>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供有效的自然人身份证明。</w:t>
            </w:r>
          </w:p>
        </w:tc>
        <w:tc>
          <w:tcPr>
            <w:tcW w:w="1076" w:type="pct"/>
            <w:vAlign w:val="center"/>
          </w:tcPr>
          <w:p w14:paraId="5442E886">
            <w:pPr>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6C2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755AF455">
            <w:pPr>
              <w:adjustRightInd w:val="0"/>
              <w:snapToGrid w:val="0"/>
              <w:spacing w:line="360" w:lineRule="auto"/>
              <w:ind w:right="-1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942" w:type="pct"/>
            <w:tcBorders>
              <w:bottom w:val="single" w:color="auto" w:sz="4" w:space="0"/>
            </w:tcBorders>
            <w:vAlign w:val="center"/>
          </w:tcPr>
          <w:p w14:paraId="3B8E5E97">
            <w:pPr>
              <w:spacing w:after="50" w:line="360" w:lineRule="auto"/>
              <w:ind w:right="-10" w:rightChars="0"/>
              <w:jc w:val="center"/>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603" w:type="pct"/>
            <w:tcBorders>
              <w:bottom w:val="single" w:color="auto" w:sz="4" w:space="0"/>
            </w:tcBorders>
            <w:vAlign w:val="center"/>
          </w:tcPr>
          <w:p w14:paraId="52D9A0E9">
            <w:pPr>
              <w:spacing w:after="50" w:line="360" w:lineRule="auto"/>
              <w:ind w:right="-10" w:rightChars="0"/>
              <w:jc w:val="left"/>
              <w:rPr>
                <w:rFonts w:hint="eastAsia" w:ascii="宋体" w:hAnsi="宋体" w:eastAsia="宋体" w:cs="宋体"/>
                <w:color w:val="auto"/>
                <w:sz w:val="24"/>
                <w:szCs w:val="28"/>
                <w:highlight w:val="none"/>
              </w:rPr>
            </w:pP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6" w:type="pct"/>
            <w:vAlign w:val="center"/>
          </w:tcPr>
          <w:p w14:paraId="62430830">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0428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665BAE92">
            <w:pPr>
              <w:adjustRightInd w:val="0"/>
              <w:snapToGrid w:val="0"/>
              <w:spacing w:line="360" w:lineRule="auto"/>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942" w:type="pct"/>
            <w:vAlign w:val="center"/>
          </w:tcPr>
          <w:p w14:paraId="12C61C9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vAlign w:val="center"/>
          </w:tcPr>
          <w:p w14:paraId="173140A0">
            <w:pPr>
              <w:spacing w:after="50" w:line="360" w:lineRule="auto"/>
              <w:ind w:right="-10" w:rightChars="0"/>
              <w:jc w:val="left"/>
              <w:rPr>
                <w:rFonts w:hint="eastAsia" w:ascii="宋体" w:hAnsi="宋体" w:eastAsia="宋体" w:cs="宋体"/>
                <w:highlight w:val="none"/>
              </w:rPr>
            </w:pPr>
            <w:r>
              <w:rPr>
                <w:rFonts w:hint="eastAsia" w:ascii="宋体" w:hAnsi="宋体" w:eastAsia="宋体" w:cs="宋体"/>
                <w:sz w:val="24"/>
                <w:szCs w:val="24"/>
                <w:highlight w:val="none"/>
                <w:lang w:val="zh-CN" w:eastAsia="zh-CN"/>
              </w:rPr>
              <w:t>投标人不得存在</w:t>
            </w:r>
            <w:r>
              <w:rPr>
                <w:rFonts w:hint="eastAsia" w:ascii="宋体" w:hAnsi="宋体" w:eastAsia="宋体" w:cs="宋体"/>
                <w:sz w:val="24"/>
                <w:szCs w:val="24"/>
                <w:highlight w:val="none"/>
                <w:lang w:val="en-US" w:eastAsia="zh-CN"/>
              </w:rPr>
              <w:t>投标邀请第4条信誉要求和</w:t>
            </w:r>
            <w:r>
              <w:rPr>
                <w:rFonts w:hint="eastAsia" w:ascii="宋体" w:hAnsi="宋体" w:eastAsia="宋体" w:cs="宋体"/>
                <w:sz w:val="24"/>
                <w:szCs w:val="24"/>
                <w:highlight w:val="none"/>
                <w:lang w:val="zh-CN" w:eastAsia="zh-CN"/>
              </w:rPr>
              <w:t>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76" w:type="pct"/>
            <w:vAlign w:val="center"/>
          </w:tcPr>
          <w:p w14:paraId="699E9ACE">
            <w:pPr>
              <w:spacing w:line="360" w:lineRule="auto"/>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44B1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4AC67CE2">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0"/>
                <w:highlight w:val="none"/>
                <w:lang w:val="en-US" w:eastAsia="zh-CN"/>
              </w:rPr>
              <w:t>4</w:t>
            </w:r>
          </w:p>
        </w:tc>
        <w:tc>
          <w:tcPr>
            <w:tcW w:w="1651" w:type="dxa"/>
            <w:vAlign w:val="center"/>
          </w:tcPr>
          <w:p w14:paraId="216874BB">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color w:val="auto"/>
                <w:sz w:val="24"/>
                <w:szCs w:val="24"/>
                <w:highlight w:val="none"/>
              </w:rPr>
            </w:pPr>
            <w:r>
              <w:rPr>
                <w:rFonts w:hint="eastAsia" w:ascii="宋体" w:hAnsi="宋体" w:eastAsia="宋体" w:cs="宋体"/>
                <w:spacing w:val="10"/>
                <w:sz w:val="24"/>
                <w:szCs w:val="24"/>
                <w:highlight w:val="none"/>
              </w:rPr>
              <w:t>其它落实政府采</w:t>
            </w:r>
            <w:r>
              <w:rPr>
                <w:rFonts w:hint="eastAsia" w:ascii="宋体" w:hAnsi="宋体" w:eastAsia="宋体" w:cs="宋体"/>
                <w:spacing w:val="11"/>
                <w:sz w:val="24"/>
                <w:szCs w:val="24"/>
                <w:highlight w:val="none"/>
              </w:rPr>
              <w:t>购政策的资格要</w:t>
            </w:r>
            <w:r>
              <w:rPr>
                <w:rFonts w:hint="eastAsia" w:ascii="宋体" w:hAnsi="宋体" w:eastAsia="宋体" w:cs="宋体"/>
                <w:sz w:val="24"/>
                <w:szCs w:val="24"/>
                <w:highlight w:val="none"/>
              </w:rPr>
              <w:t>求</w:t>
            </w:r>
          </w:p>
        </w:tc>
        <w:tc>
          <w:tcPr>
            <w:tcW w:w="4561" w:type="dxa"/>
            <w:vAlign w:val="center"/>
          </w:tcPr>
          <w:p w14:paraId="4D3BC7CB">
            <w:pPr>
              <w:keepNext w:val="0"/>
              <w:keepLines w:val="0"/>
              <w:suppressLineNumbers w:val="0"/>
              <w:spacing w:before="0" w:beforeAutospacing="0" w:after="50" w:afterAutospacing="0" w:line="360" w:lineRule="auto"/>
              <w:ind w:left="0" w:leftChars="0" w:right="-10" w:rightChars="0"/>
              <w:jc w:val="both"/>
              <w:rPr>
                <w:rFonts w:hint="eastAsia" w:ascii="宋体" w:hAnsi="宋体" w:eastAsia="宋体" w:cs="宋体"/>
                <w:sz w:val="24"/>
                <w:szCs w:val="24"/>
                <w:highlight w:val="none"/>
                <w:lang w:val="zh-CN" w:eastAsia="zh-CN"/>
              </w:rPr>
            </w:pPr>
            <w:r>
              <w:rPr>
                <w:rFonts w:hint="eastAsia" w:ascii="宋体" w:hAnsi="宋体" w:eastAsia="宋体" w:cs="宋体"/>
                <w:spacing w:val="-2"/>
                <w:sz w:val="24"/>
                <w:szCs w:val="24"/>
                <w:highlight w:val="none"/>
              </w:rPr>
              <w:t>如有，见第一章《投标邀请》</w:t>
            </w:r>
          </w:p>
        </w:tc>
        <w:tc>
          <w:tcPr>
            <w:tcW w:w="1889" w:type="dxa"/>
            <w:vAlign w:val="center"/>
          </w:tcPr>
          <w:p w14:paraId="44CA6BFD">
            <w:pPr>
              <w:keepNext w:val="0"/>
              <w:keepLines w:val="0"/>
              <w:suppressLineNumbers w:val="0"/>
              <w:spacing w:before="0" w:beforeAutospacing="0" w:after="50" w:afterAutospacing="0" w:line="360" w:lineRule="auto"/>
              <w:ind w:left="0" w:leftChars="0" w:right="-10" w:rightChars="0"/>
              <w:jc w:val="both"/>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7E00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0F2D84E7">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0"/>
                <w:highlight w:val="none"/>
                <w:lang w:val="en-US" w:eastAsia="zh-CN"/>
              </w:rPr>
              <w:t>5</w:t>
            </w:r>
          </w:p>
        </w:tc>
        <w:tc>
          <w:tcPr>
            <w:tcW w:w="1651" w:type="dxa"/>
            <w:vAlign w:val="center"/>
          </w:tcPr>
          <w:p w14:paraId="7E60C20F">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其他特定资格要求</w:t>
            </w:r>
          </w:p>
        </w:tc>
        <w:tc>
          <w:tcPr>
            <w:tcW w:w="4561" w:type="dxa"/>
            <w:vAlign w:val="center"/>
          </w:tcPr>
          <w:p w14:paraId="673E3218">
            <w:pPr>
              <w:keepNext w:val="0"/>
              <w:keepLines w:val="0"/>
              <w:suppressLineNumbers w:val="0"/>
              <w:spacing w:before="0" w:beforeAutospacing="0" w:after="50" w:afterAutospacing="0" w:line="360" w:lineRule="auto"/>
              <w:ind w:left="0" w:leftChars="0" w:right="-10" w:rightChars="0"/>
              <w:jc w:val="both"/>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见第一章《投标邀请》</w:t>
            </w:r>
          </w:p>
        </w:tc>
        <w:tc>
          <w:tcPr>
            <w:tcW w:w="1889" w:type="dxa"/>
            <w:vAlign w:val="center"/>
          </w:tcPr>
          <w:p w14:paraId="73A2B562">
            <w:pPr>
              <w:keepNext w:val="0"/>
              <w:keepLines w:val="0"/>
              <w:suppressLineNumbers w:val="0"/>
              <w:spacing w:before="0" w:beforeAutospacing="0" w:after="50" w:afterAutospacing="0" w:line="360" w:lineRule="auto"/>
              <w:ind w:left="0" w:leftChars="0" w:right="-10" w:right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146CB127">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497C21CA">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4391D9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24CE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C00430C">
            <w:pPr>
              <w:adjustRightInd w:val="0"/>
              <w:snapToGrid w:val="0"/>
              <w:spacing w:line="360" w:lineRule="auto"/>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33E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74BB6964">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24D07FF5">
            <w:pPr>
              <w:pStyle w:val="52"/>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1EED27EE">
            <w:pPr>
              <w:adjustRightInd w:val="0"/>
              <w:snapToGrid w:val="0"/>
              <w:spacing w:line="360" w:lineRule="auto"/>
              <w:ind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5585B32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0FB1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BB1C08D">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3E9B63ED">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302F91CD">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3350074C">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087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2029C2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28214CB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330565E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77776F42">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F1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892D967">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7DB29FD6">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228D6BC8">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429D6723">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59C2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4852E6A">
            <w:pPr>
              <w:spacing w:after="50" w:line="360" w:lineRule="auto"/>
              <w:ind w:right="-10" w:rightChars="0"/>
              <w:jc w:val="center"/>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lang w:val="en-US" w:eastAsia="zh-CN"/>
              </w:rPr>
              <w:t>4</w:t>
            </w:r>
          </w:p>
        </w:tc>
        <w:tc>
          <w:tcPr>
            <w:tcW w:w="2117" w:type="dxa"/>
            <w:vAlign w:val="center"/>
          </w:tcPr>
          <w:p w14:paraId="78D361EC">
            <w:pPr>
              <w:spacing w:after="50" w:line="360" w:lineRule="auto"/>
              <w:ind w:right="-10" w:right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诚信投标承诺书</w:t>
            </w:r>
          </w:p>
        </w:tc>
        <w:tc>
          <w:tcPr>
            <w:tcW w:w="3128" w:type="dxa"/>
            <w:vAlign w:val="center"/>
          </w:tcPr>
          <w:p w14:paraId="373CC6FA">
            <w:pPr>
              <w:spacing w:after="50" w:line="360" w:lineRule="auto"/>
              <w:ind w:right="-10" w:right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2511" w:type="dxa"/>
            <w:vAlign w:val="center"/>
          </w:tcPr>
          <w:p w14:paraId="321326B8">
            <w:pPr>
              <w:spacing w:after="50" w:line="360" w:lineRule="auto"/>
              <w:ind w:right="-10" w:rightChars="0"/>
              <w:jc w:val="center"/>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详见第六章投标文件格式</w:t>
            </w:r>
            <w:r>
              <w:rPr>
                <w:rFonts w:hint="eastAsia" w:ascii="宋体" w:hAnsi="宋体" w:eastAsia="宋体" w:cs="宋体"/>
                <w:color w:val="auto"/>
                <w:sz w:val="24"/>
                <w:szCs w:val="28"/>
                <w:highlight w:val="none"/>
                <w:lang w:eastAsia="zh-CN"/>
              </w:rPr>
              <w:t>。</w:t>
            </w:r>
          </w:p>
        </w:tc>
      </w:tr>
      <w:tr w14:paraId="7B3D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3724532">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092B67DF">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45C2BF0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2" w:type="pct"/>
            <w:vAlign w:val="center"/>
          </w:tcPr>
          <w:p w14:paraId="6C469EB7">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192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6E58624">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013E8AD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3430" w:type="dxa"/>
            <w:vAlign w:val="center"/>
          </w:tcPr>
          <w:p w14:paraId="08691674">
            <w:pPr>
              <w:spacing w:after="50" w:line="360" w:lineRule="auto"/>
              <w:ind w:right="-10" w:right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2" w:type="pct"/>
            <w:vAlign w:val="center"/>
          </w:tcPr>
          <w:p w14:paraId="082C60F8">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EDA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7992CD6">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2" w:type="pct"/>
            <w:vAlign w:val="center"/>
          </w:tcPr>
          <w:p w14:paraId="204AA91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3430" w:type="dxa"/>
            <w:vAlign w:val="center"/>
          </w:tcPr>
          <w:p w14:paraId="35439ADB">
            <w:pPr>
              <w:spacing w:after="50" w:line="360" w:lineRule="auto"/>
              <w:ind w:right="-10" w:rightChars="0"/>
              <w:jc w:val="center"/>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符合招标文件采购需求中货物技术参数</w:t>
            </w:r>
            <w:r>
              <w:rPr>
                <w:rFonts w:hint="eastAsia" w:ascii="宋体" w:hAnsi="宋体" w:eastAsia="宋体" w:cs="宋体"/>
                <w:color w:val="auto"/>
                <w:sz w:val="24"/>
                <w:szCs w:val="28"/>
                <w:highlight w:val="none"/>
                <w:lang w:val="en-US" w:eastAsia="zh-CN"/>
              </w:rPr>
              <w:t>等实质性要求（按评分标准执行）</w:t>
            </w:r>
          </w:p>
        </w:tc>
        <w:tc>
          <w:tcPr>
            <w:tcW w:w="1472" w:type="pct"/>
            <w:vAlign w:val="center"/>
          </w:tcPr>
          <w:p w14:paraId="5938A093">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F6F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5042470">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242" w:type="pct"/>
            <w:vAlign w:val="center"/>
          </w:tcPr>
          <w:p w14:paraId="62763AB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3430" w:type="dxa"/>
            <w:vAlign w:val="center"/>
          </w:tcPr>
          <w:p w14:paraId="4D7A7182">
            <w:pPr>
              <w:spacing w:after="50" w:line="360" w:lineRule="auto"/>
              <w:ind w:right="-10" w:right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实质性要求</w:t>
            </w:r>
          </w:p>
        </w:tc>
        <w:tc>
          <w:tcPr>
            <w:tcW w:w="1472" w:type="pct"/>
            <w:vAlign w:val="center"/>
          </w:tcPr>
          <w:p w14:paraId="1AF96A97">
            <w:pPr>
              <w:adjustRightInd w:val="0"/>
              <w:snapToGrid w:val="0"/>
              <w:spacing w:line="360" w:lineRule="auto"/>
              <w:ind w:right="-10"/>
              <w:jc w:val="center"/>
              <w:rPr>
                <w:rFonts w:hint="eastAsia" w:ascii="宋体" w:hAnsi="宋体" w:eastAsia="宋体" w:cs="宋体"/>
                <w:color w:val="auto"/>
                <w:sz w:val="24"/>
                <w:highlight w:val="none"/>
              </w:rPr>
            </w:pPr>
          </w:p>
        </w:tc>
      </w:tr>
    </w:tbl>
    <w:p w14:paraId="30968304">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619DD8D0">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523CAFE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5E0302B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%。具体评分细则如下：</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255"/>
        <w:gridCol w:w="4540"/>
        <w:gridCol w:w="1273"/>
      </w:tblGrid>
      <w:tr w14:paraId="7F5F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pct"/>
            <w:tcBorders>
              <w:top w:val="single" w:color="auto" w:sz="4" w:space="0"/>
              <w:left w:val="single" w:color="auto" w:sz="4" w:space="0"/>
              <w:bottom w:val="single" w:color="auto" w:sz="4" w:space="0"/>
              <w:right w:val="single" w:color="auto" w:sz="4" w:space="0"/>
            </w:tcBorders>
            <w:vAlign w:val="center"/>
          </w:tcPr>
          <w:p w14:paraId="78524BB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736" w:type="pct"/>
            <w:tcBorders>
              <w:top w:val="single" w:color="auto" w:sz="4" w:space="0"/>
              <w:left w:val="single" w:color="auto" w:sz="4" w:space="0"/>
              <w:bottom w:val="single" w:color="auto" w:sz="4" w:space="0"/>
              <w:right w:val="single" w:color="auto" w:sz="4" w:space="0"/>
            </w:tcBorders>
            <w:vAlign w:val="center"/>
          </w:tcPr>
          <w:p w14:paraId="33BF160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2663" w:type="pct"/>
            <w:tcBorders>
              <w:top w:val="single" w:color="auto" w:sz="4" w:space="0"/>
              <w:left w:val="single" w:color="auto" w:sz="4" w:space="0"/>
              <w:bottom w:val="single" w:color="auto" w:sz="4" w:space="0"/>
              <w:right w:val="single" w:color="auto" w:sz="4" w:space="0"/>
            </w:tcBorders>
            <w:vAlign w:val="center"/>
          </w:tcPr>
          <w:p w14:paraId="2C163F8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46" w:type="pct"/>
            <w:tcBorders>
              <w:top w:val="single" w:color="auto" w:sz="4" w:space="0"/>
              <w:left w:val="single" w:color="auto" w:sz="4" w:space="0"/>
              <w:bottom w:val="single" w:color="auto" w:sz="4" w:space="0"/>
              <w:right w:val="single" w:color="auto" w:sz="4" w:space="0"/>
            </w:tcBorders>
            <w:vAlign w:val="center"/>
          </w:tcPr>
          <w:p w14:paraId="7922B64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14:paraId="40BA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vMerge w:val="restart"/>
            <w:tcBorders>
              <w:top w:val="single" w:color="auto" w:sz="4" w:space="0"/>
              <w:left w:val="single" w:color="auto" w:sz="4" w:space="0"/>
              <w:right w:val="single" w:color="auto" w:sz="4" w:space="0"/>
            </w:tcBorders>
            <w:vAlign w:val="center"/>
          </w:tcPr>
          <w:p w14:paraId="3957078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技术资信分</w:t>
            </w:r>
          </w:p>
          <w:p w14:paraId="0FF34026">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c>
          <w:tcPr>
            <w:tcW w:w="736" w:type="pct"/>
            <w:tcBorders>
              <w:top w:val="single" w:color="auto" w:sz="4" w:space="0"/>
              <w:left w:val="single" w:color="auto" w:sz="4" w:space="0"/>
              <w:bottom w:val="single" w:color="auto" w:sz="4" w:space="0"/>
              <w:right w:val="single" w:color="auto" w:sz="4" w:space="0"/>
            </w:tcBorders>
            <w:vAlign w:val="center"/>
          </w:tcPr>
          <w:p w14:paraId="5B41CFF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产品技术参数</w:t>
            </w:r>
          </w:p>
        </w:tc>
        <w:tc>
          <w:tcPr>
            <w:tcW w:w="2663" w:type="pct"/>
            <w:tcBorders>
              <w:top w:val="single" w:color="auto" w:sz="4" w:space="0"/>
              <w:left w:val="single" w:color="auto" w:sz="4" w:space="0"/>
              <w:bottom w:val="single" w:color="auto" w:sz="4" w:space="0"/>
              <w:right w:val="single" w:color="auto" w:sz="4" w:space="0"/>
            </w:tcBorders>
            <w:vAlign w:val="center"/>
          </w:tcPr>
          <w:p w14:paraId="47FB7BC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投标人所提供设备参数，</w:t>
            </w:r>
            <w:r>
              <w:rPr>
                <w:rFonts w:hint="eastAsia" w:ascii="宋体" w:hAnsi="宋体" w:eastAsia="宋体" w:cs="宋体"/>
                <w:color w:val="auto"/>
                <w:sz w:val="24"/>
                <w:szCs w:val="24"/>
                <w:highlight w:val="none"/>
                <w:lang w:val="en-US" w:eastAsia="zh-CN"/>
              </w:rPr>
              <w:t>对应</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文件中采购清单及技术参数要求进行评分：</w:t>
            </w:r>
          </w:p>
          <w:p w14:paraId="3DC4AC6A">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1.带“★”项为重要技术指标，必须</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满足，否则</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无效标处理。</w:t>
            </w:r>
          </w:p>
          <w:p w14:paraId="44FCFD1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color w:val="auto"/>
                <w:sz w:val="24"/>
                <w:szCs w:val="24"/>
                <w:highlight w:val="none"/>
              </w:rPr>
              <w:t>”项，每满足或优于一项指标，得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val="en-US" w:eastAsia="zh-CN"/>
              </w:rPr>
              <w:t>满分15</w:t>
            </w:r>
            <w:r>
              <w:rPr>
                <w:rFonts w:hint="eastAsia" w:ascii="宋体" w:hAnsi="宋体" w:eastAsia="宋体" w:cs="宋体"/>
                <w:color w:val="auto"/>
                <w:sz w:val="24"/>
                <w:szCs w:val="24"/>
                <w:highlight w:val="none"/>
              </w:rPr>
              <w:t>分。</w:t>
            </w:r>
          </w:p>
          <w:p w14:paraId="2006C67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3.非打“★”项、“</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”项的其它指标，投标文件中无需列明，投标文件中提供</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lang w:val="en-US" w:eastAsia="zh-CN"/>
              </w:rPr>
              <w:t>参数</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承诺函的</w:t>
            </w:r>
            <w:r>
              <w:rPr>
                <w:rFonts w:hint="eastAsia" w:ascii="宋体" w:hAnsi="宋体" w:eastAsia="宋体" w:cs="宋体"/>
                <w:color w:val="auto"/>
                <w:sz w:val="24"/>
                <w:szCs w:val="24"/>
                <w:highlight w:val="none"/>
                <w:lang w:val="en-US" w:eastAsia="zh-CN"/>
              </w:rPr>
              <w:t>(格式自拟），得1分，未全部响应或未提供的不得分。但在合同签订后将作为履约验收的依据。</w:t>
            </w:r>
          </w:p>
          <w:p w14:paraId="75A11290">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5571BDF">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）投标供应商必须如实地在</w:t>
            </w:r>
            <w:r>
              <w:rPr>
                <w:rFonts w:hint="eastAsia" w:ascii="宋体" w:hAnsi="宋体" w:eastAsia="宋体" w:cs="宋体"/>
                <w:color w:val="auto"/>
                <w:sz w:val="24"/>
                <w:szCs w:val="24"/>
                <w:highlight w:val="none"/>
                <w:lang w:val="en-US" w:eastAsia="zh-CN"/>
              </w:rPr>
              <w:t>技术响应</w:t>
            </w:r>
            <w:r>
              <w:rPr>
                <w:rFonts w:hint="eastAsia" w:ascii="宋体" w:hAnsi="宋体" w:eastAsia="宋体" w:cs="宋体"/>
                <w:color w:val="auto"/>
                <w:sz w:val="24"/>
                <w:szCs w:val="24"/>
                <w:highlight w:val="none"/>
                <w:lang w:eastAsia="zh-CN"/>
              </w:rPr>
              <w:t>表中逐条标明</w:t>
            </w:r>
            <w:r>
              <w:rPr>
                <w:rFonts w:hint="eastAsia" w:ascii="宋体" w:hAnsi="宋体" w:eastAsia="宋体" w:cs="宋体"/>
                <w:color w:val="auto"/>
                <w:sz w:val="24"/>
                <w:szCs w:val="24"/>
                <w:highlight w:val="none"/>
                <w:lang w:val="en-US" w:eastAsia="zh-CN"/>
              </w:rPr>
              <w:t>偏离说明</w:t>
            </w:r>
            <w:r>
              <w:rPr>
                <w:rFonts w:hint="eastAsia" w:ascii="宋体" w:hAnsi="宋体" w:eastAsia="宋体" w:cs="宋体"/>
                <w:color w:val="auto"/>
                <w:sz w:val="24"/>
                <w:szCs w:val="24"/>
                <w:highlight w:val="none"/>
                <w:lang w:eastAsia="zh-CN"/>
              </w:rPr>
              <w:t>，并对其真实性负责；</w:t>
            </w:r>
            <w:r>
              <w:rPr>
                <w:rFonts w:hint="eastAsia" w:ascii="宋体" w:hAnsi="宋体" w:eastAsia="宋体" w:cs="宋体"/>
                <w:color w:val="auto"/>
                <w:sz w:val="24"/>
                <w:szCs w:val="24"/>
                <w:highlight w:val="none"/>
                <w:lang w:val="en-US" w:eastAsia="zh-CN"/>
              </w:rPr>
              <w:t>若招标文件规定的技术参数及要求中注明投标文件中须提供相关证明材料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未按要求提供的</w:t>
            </w:r>
            <w:r>
              <w:rPr>
                <w:rFonts w:hint="eastAsia" w:ascii="宋体" w:hAnsi="宋体" w:eastAsia="宋体" w:cs="宋体"/>
                <w:color w:val="auto"/>
                <w:sz w:val="24"/>
                <w:szCs w:val="24"/>
                <w:highlight w:val="none"/>
                <w:lang w:eastAsia="zh-CN"/>
              </w:rPr>
              <w:t>或提供的材料不满足要求的，</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eastAsia="zh-CN"/>
              </w:rPr>
              <w:t>视为负偏离；</w:t>
            </w:r>
          </w:p>
          <w:p w14:paraId="1665DEBC">
            <w:pPr>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如某项标识中包含多条技术参数或要求，则该项标识所含内容均需满足或优于招标文件要求，否则视为负偏离。</w:t>
            </w:r>
          </w:p>
        </w:tc>
        <w:tc>
          <w:tcPr>
            <w:tcW w:w="746" w:type="pct"/>
            <w:tcBorders>
              <w:top w:val="single" w:color="auto" w:sz="4" w:space="0"/>
              <w:left w:val="single" w:color="auto" w:sz="4" w:space="0"/>
              <w:bottom w:val="single" w:color="auto" w:sz="4" w:space="0"/>
              <w:right w:val="single" w:color="auto" w:sz="4" w:space="0"/>
            </w:tcBorders>
            <w:vAlign w:val="center"/>
          </w:tcPr>
          <w:p w14:paraId="072EDFE1">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0-16分</w:t>
            </w:r>
          </w:p>
        </w:tc>
      </w:tr>
      <w:tr w14:paraId="3165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4DCDE766">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05239BA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实施能力</w:t>
            </w:r>
          </w:p>
        </w:tc>
        <w:tc>
          <w:tcPr>
            <w:tcW w:w="2663" w:type="pct"/>
            <w:tcBorders>
              <w:top w:val="single" w:color="auto" w:sz="4" w:space="0"/>
              <w:left w:val="single" w:color="auto" w:sz="4" w:space="0"/>
              <w:bottom w:val="single" w:color="auto" w:sz="4" w:space="0"/>
              <w:right w:val="single" w:color="auto" w:sz="4" w:space="0"/>
            </w:tcBorders>
            <w:vAlign w:val="center"/>
          </w:tcPr>
          <w:p w14:paraId="4F6ED3D1">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1、投标人根据其智能化集成实施能力，在投标文件中提供其智能化集成实施能力的自评价材料，由评标委员会进行综合评审。</w:t>
            </w:r>
          </w:p>
          <w:p w14:paraId="03BBF50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①投标人提供的材料丰富，对本项目涉及的智能化系统有针对性且能体现投标人的智能化集成实施能力水平的得3分；</w:t>
            </w:r>
          </w:p>
          <w:p w14:paraId="50949C3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②投标人提供的材料丰富，能体现投标人的智能化集成实施能力水平的得2分；</w:t>
            </w:r>
          </w:p>
          <w:p w14:paraId="4EBB045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③投标人提供的材料简单，能体现投标人的智能化集成实施能力水平的得1分；</w:t>
            </w:r>
          </w:p>
          <w:p w14:paraId="4B93A97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④提供的材料与本项目无关或未提供的不得分。</w:t>
            </w:r>
          </w:p>
        </w:tc>
        <w:tc>
          <w:tcPr>
            <w:tcW w:w="746" w:type="pct"/>
            <w:tcBorders>
              <w:left w:val="single" w:color="auto" w:sz="4" w:space="0"/>
              <w:bottom w:val="single" w:color="auto" w:sz="4" w:space="0"/>
              <w:right w:val="single" w:color="auto" w:sz="4" w:space="0"/>
            </w:tcBorders>
            <w:vAlign w:val="center"/>
          </w:tcPr>
          <w:p w14:paraId="52260F6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0-3分</w:t>
            </w:r>
          </w:p>
        </w:tc>
      </w:tr>
      <w:tr w14:paraId="78DC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71B4DF79">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7BCB9FC7">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实施方案</w:t>
            </w:r>
          </w:p>
        </w:tc>
        <w:tc>
          <w:tcPr>
            <w:tcW w:w="2663" w:type="pct"/>
            <w:tcBorders>
              <w:top w:val="single" w:color="auto" w:sz="4" w:space="0"/>
              <w:left w:val="single" w:color="auto" w:sz="4" w:space="0"/>
              <w:bottom w:val="single" w:color="auto" w:sz="4" w:space="0"/>
              <w:right w:val="single" w:color="auto" w:sz="4" w:space="0"/>
            </w:tcBorders>
            <w:vAlign w:val="center"/>
          </w:tcPr>
          <w:p w14:paraId="4FB8AC44">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招标文件采购需求、施工图纸和设计布局图，在投标文件中提供本项目实施方案（包括但不限于项目背景和目标、需求分析和规划、设计原则和标准、智能化系统实施、装饰装修实施、城市运行统一门户软件开发及接口对接方案、施工计划与项目管理、项目监督、测试与培训、交付与验收、维护和支持、项目评估与闭环等情况），由评标委员会进行综合评审。</w:t>
            </w:r>
          </w:p>
          <w:p w14:paraId="26EDCB2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①方案详尽完整，措施详细，目标明确，具有针对性和实用性的得5分；</w:t>
            </w:r>
          </w:p>
          <w:p w14:paraId="4949F0D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②方案详尽完整，具有针对性和实用性的得4分；</w:t>
            </w:r>
          </w:p>
          <w:p w14:paraId="2F892C89">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③方案简单，具有针对性且符合实际情况的得3分；</w:t>
            </w:r>
          </w:p>
          <w:p w14:paraId="308E04A9">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④方案简单但满足实际需求的得2分；</w:t>
            </w:r>
          </w:p>
          <w:p w14:paraId="62D95142">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⑤方案不完整但满足实际需求的得1分；</w:t>
            </w:r>
          </w:p>
          <w:p w14:paraId="177B44AA">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⑥未提供的不得分。</w:t>
            </w:r>
          </w:p>
        </w:tc>
        <w:tc>
          <w:tcPr>
            <w:tcW w:w="746" w:type="pct"/>
            <w:tcBorders>
              <w:left w:val="single" w:color="auto" w:sz="4" w:space="0"/>
              <w:bottom w:val="single" w:color="auto" w:sz="4" w:space="0"/>
              <w:right w:val="single" w:color="auto" w:sz="4" w:space="0"/>
            </w:tcBorders>
            <w:vAlign w:val="center"/>
          </w:tcPr>
          <w:p w14:paraId="2438D3E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0-5分</w:t>
            </w:r>
          </w:p>
        </w:tc>
      </w:tr>
      <w:tr w14:paraId="4C5A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210C3857">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20084827">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声学技术方案</w:t>
            </w:r>
          </w:p>
        </w:tc>
        <w:tc>
          <w:tcPr>
            <w:tcW w:w="2663" w:type="pct"/>
            <w:tcBorders>
              <w:top w:val="single" w:color="auto" w:sz="4" w:space="0"/>
              <w:left w:val="single" w:color="auto" w:sz="4" w:space="0"/>
              <w:bottom w:val="single" w:color="auto" w:sz="4" w:space="0"/>
              <w:right w:val="single" w:color="auto" w:sz="4" w:space="0"/>
            </w:tcBorders>
            <w:vAlign w:val="center"/>
          </w:tcPr>
          <w:p w14:paraId="222E89D5">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投标人根据招标文件采购需求、施工图纸和设计布局图，结合对本项目的理解，在投标文件中提供针对城运中心和指挥调度室的声学技术方案，由评标委员会进行综合评审。</w:t>
            </w:r>
          </w:p>
          <w:p w14:paraId="1476974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提供城运中心和指挥调度室声学的混响时间数据图和EASE分析图（针对本项目所投扬声器/音箱的型号须录入EASE软件库，并提供软件截图证明材料），声学技术方案完全符合项目需求，具有合理、实用性的得4分；</w:t>
            </w:r>
          </w:p>
          <w:p w14:paraId="038A1C2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②提供城运中心和指挥调度室声学的混响时间数据图和EASE分析图（针对本项目所投扬声器/音箱的型号须录入EASE软件库，并提供软件截图证明材料），声学技术方案简单且符合项目需求的得3分；</w:t>
            </w:r>
          </w:p>
          <w:p w14:paraId="56B81DE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③提供城运中心和指挥调度室声学的混响时间数据图和EASE分析图（针对本项目所投扬声器/音箱的型号须录入EASE软件库），但未提供软件截图证明材料，声学技术方案简单且符合项目需求的得2分；</w:t>
            </w:r>
          </w:p>
          <w:p w14:paraId="43E97F8A">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④方案中未提供城运中心和指挥调度室声学的混响时间数据图和EASE分析图，或截图证明材料中的扬声器/音箱的型号与所投产品不一致的不得分。</w:t>
            </w:r>
          </w:p>
        </w:tc>
        <w:tc>
          <w:tcPr>
            <w:tcW w:w="746" w:type="pct"/>
            <w:tcBorders>
              <w:left w:val="single" w:color="auto" w:sz="4" w:space="0"/>
              <w:bottom w:val="single" w:color="auto" w:sz="4" w:space="0"/>
              <w:right w:val="single" w:color="auto" w:sz="4" w:space="0"/>
            </w:tcBorders>
            <w:vAlign w:val="center"/>
          </w:tcPr>
          <w:p w14:paraId="5745616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0-4分</w:t>
            </w:r>
          </w:p>
        </w:tc>
      </w:tr>
      <w:tr w14:paraId="71ED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42A9F204">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351C5B9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装饰装修设计能力</w:t>
            </w:r>
          </w:p>
        </w:tc>
        <w:tc>
          <w:tcPr>
            <w:tcW w:w="2663" w:type="pct"/>
            <w:tcBorders>
              <w:top w:val="single" w:color="auto" w:sz="4" w:space="0"/>
              <w:left w:val="single" w:color="auto" w:sz="4" w:space="0"/>
              <w:bottom w:val="single" w:color="auto" w:sz="4" w:space="0"/>
              <w:right w:val="single" w:color="auto" w:sz="4" w:space="0"/>
            </w:tcBorders>
            <w:vAlign w:val="center"/>
          </w:tcPr>
          <w:p w14:paraId="3DA170D7">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可自行对现场进行勘察，根据招标文件采购需求、施工图纸和设计布局图，结合对本项目的理解，在投标文件中提供针对本项目的城市运行管理中心和指挥调度室区域（每个区域至少3个不同视角（前方、后方和俯视）深化设计效果图，由评标委员会进行综合评审。</w:t>
            </w:r>
          </w:p>
          <w:p w14:paraId="6704C7F4">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①提供的效果图视角符合要求，能体现座席排布且与设计布局图符合的得4分</w:t>
            </w:r>
          </w:p>
          <w:p w14:paraId="12ACA2C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②提供的效果图视角符合要求，能体现座席排布但与设计布局图有差异的得2分</w:t>
            </w:r>
          </w:p>
          <w:p w14:paraId="3CE85E51">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③提供的效果图完全不符合设计布局图或不提供的不得分。</w:t>
            </w:r>
          </w:p>
        </w:tc>
        <w:tc>
          <w:tcPr>
            <w:tcW w:w="746" w:type="pct"/>
            <w:tcBorders>
              <w:left w:val="single" w:color="auto" w:sz="4" w:space="0"/>
              <w:bottom w:val="single" w:color="auto" w:sz="4" w:space="0"/>
              <w:right w:val="single" w:color="auto" w:sz="4" w:space="0"/>
            </w:tcBorders>
            <w:vAlign w:val="center"/>
          </w:tcPr>
          <w:p w14:paraId="007462F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p>
        </w:tc>
      </w:tr>
      <w:tr w14:paraId="38D3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5E5C2F7E">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4FD508F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国产化替代服务方案</w:t>
            </w:r>
          </w:p>
        </w:tc>
        <w:tc>
          <w:tcPr>
            <w:tcW w:w="2663" w:type="pct"/>
            <w:tcBorders>
              <w:top w:val="single" w:color="auto" w:sz="4" w:space="0"/>
              <w:left w:val="single" w:color="auto" w:sz="4" w:space="0"/>
              <w:bottom w:val="single" w:color="auto" w:sz="4" w:space="0"/>
              <w:right w:val="single" w:color="auto" w:sz="4" w:space="0"/>
            </w:tcBorders>
            <w:vAlign w:val="center"/>
          </w:tcPr>
          <w:p w14:paraId="66391274">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招标文件采购需求中融合通信系统、云桌面相关产品特性，在投标文件中提供的国产化替代服务方案（包括但不限于产品成熟度、兼容性与安全性、性能与可扩展性、供应链稳定性、创新性与技术前瞻性、服务支持等），由评标委员会进行综合评审。</w:t>
            </w:r>
          </w:p>
          <w:p w14:paraId="334377B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①方案内容丰富，技术具有实用性、兼容性、安全性，供应链稳定，有利于项目实施的得3分；</w:t>
            </w:r>
          </w:p>
          <w:p w14:paraId="01C04A9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②方案内容完整，供应链稳定，符合项目实施的得2分；</w:t>
            </w:r>
          </w:p>
          <w:p w14:paraId="0722D8A0">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③⽅案内容空洞但具有实用性的得1分；</w:t>
            </w:r>
          </w:p>
          <w:p w14:paraId="6BCB4411">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④方案与所投产品无针对性或未提供的不得分。</w:t>
            </w:r>
          </w:p>
        </w:tc>
        <w:tc>
          <w:tcPr>
            <w:tcW w:w="746" w:type="pct"/>
            <w:tcBorders>
              <w:left w:val="single" w:color="auto" w:sz="4" w:space="0"/>
              <w:bottom w:val="single" w:color="auto" w:sz="4" w:space="0"/>
              <w:right w:val="single" w:color="auto" w:sz="4" w:space="0"/>
            </w:tcBorders>
            <w:vAlign w:val="center"/>
          </w:tcPr>
          <w:p w14:paraId="0DF7D71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0-3分</w:t>
            </w:r>
          </w:p>
        </w:tc>
      </w:tr>
      <w:tr w14:paraId="2BA8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47936A3C">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7C672570">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主要产品成本控制方案</w:t>
            </w:r>
          </w:p>
        </w:tc>
        <w:tc>
          <w:tcPr>
            <w:tcW w:w="2663" w:type="pct"/>
            <w:tcBorders>
              <w:top w:val="single" w:color="auto" w:sz="4" w:space="0"/>
              <w:left w:val="single" w:color="auto" w:sz="4" w:space="0"/>
              <w:bottom w:val="single" w:color="auto" w:sz="4" w:space="0"/>
              <w:right w:val="single" w:color="auto" w:sz="4" w:space="0"/>
            </w:tcBorders>
            <w:vAlign w:val="center"/>
          </w:tcPr>
          <w:p w14:paraId="615976C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招标文件采购需求中显示系统、融合通信系统、计算机网络系统、视频会议系统、分布式座席管理系统相关产品特性，在投标文件中提供针对所投主要产品的使用成本控制方案（包括产品报价的完整性、合理性、性价比分析、应急替换、质量和服务等），由评标委员会进行综合评审。</w:t>
            </w:r>
          </w:p>
          <w:p w14:paraId="235E0415">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①方案内容全面详细且有针对性，使用成本控制合理，有完善的保障措施，建立和落实完整的成本控制方案的得5分；</w:t>
            </w:r>
          </w:p>
          <w:p w14:paraId="221F2612">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②方案内容完整且有针对性，使用成本控制合理，有保障措施，建立成本控制方案的得4分；</w:t>
            </w:r>
          </w:p>
          <w:p w14:paraId="6B45FEA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③方案内容完整，有保障措施，建立成本控制方案的得3分；</w:t>
            </w:r>
          </w:p>
          <w:p w14:paraId="212653E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④方案内容简单，有保障措施，建立成本控制方案的得2分；</w:t>
            </w:r>
          </w:p>
          <w:p w14:paraId="48E4469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⑤方案内容简单空洞，有保障措施的得1分；</w:t>
            </w:r>
          </w:p>
          <w:p w14:paraId="07650C9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⑥方案内容与所投产品无针对性或未提供的不得分。</w:t>
            </w:r>
          </w:p>
        </w:tc>
        <w:tc>
          <w:tcPr>
            <w:tcW w:w="746" w:type="pct"/>
            <w:tcBorders>
              <w:left w:val="single" w:color="auto" w:sz="4" w:space="0"/>
              <w:bottom w:val="single" w:color="auto" w:sz="4" w:space="0"/>
              <w:right w:val="single" w:color="auto" w:sz="4" w:space="0"/>
            </w:tcBorders>
            <w:vAlign w:val="center"/>
          </w:tcPr>
          <w:p w14:paraId="2126693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14:paraId="49B1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3331E350">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636E4377">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项目质量保障措施方案</w:t>
            </w:r>
          </w:p>
        </w:tc>
        <w:tc>
          <w:tcPr>
            <w:tcW w:w="2663" w:type="pct"/>
            <w:tcBorders>
              <w:top w:val="single" w:color="auto" w:sz="4" w:space="0"/>
              <w:left w:val="single" w:color="auto" w:sz="4" w:space="0"/>
              <w:bottom w:val="single" w:color="auto" w:sz="4" w:space="0"/>
              <w:right w:val="single" w:color="auto" w:sz="4" w:space="0"/>
            </w:tcBorders>
            <w:vAlign w:val="center"/>
          </w:tcPr>
          <w:p w14:paraId="3B643D12">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投标人提供针对本项目的质量保障措施，方案需包含但不限于实施过程的全面质量管理、加强产品检验制度和措施、质量检查与监督、产品进场管理、产品质量保证管理措施等。</w:t>
            </w:r>
          </w:p>
          <w:p w14:paraId="05BD9505">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①对本项目特点和难点理解准确，方案完整详细，具有可行性、实用性、针对性的得2分； </w:t>
            </w:r>
          </w:p>
          <w:p w14:paraId="6B192C9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②方案具有实用性，且有待改善的得1分；</w:t>
            </w:r>
          </w:p>
          <w:p w14:paraId="17E3EFF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③方案对本项目无针对性或未提供的不得分。</w:t>
            </w:r>
          </w:p>
        </w:tc>
        <w:tc>
          <w:tcPr>
            <w:tcW w:w="746" w:type="pct"/>
            <w:tcBorders>
              <w:left w:val="single" w:color="auto" w:sz="4" w:space="0"/>
              <w:bottom w:val="single" w:color="auto" w:sz="4" w:space="0"/>
              <w:right w:val="single" w:color="auto" w:sz="4" w:space="0"/>
            </w:tcBorders>
            <w:vAlign w:val="center"/>
          </w:tcPr>
          <w:p w14:paraId="76051D5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r>
      <w:tr w14:paraId="3423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49F4F837">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014127C8">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供货安装（调试）方案</w:t>
            </w:r>
          </w:p>
        </w:tc>
        <w:tc>
          <w:tcPr>
            <w:tcW w:w="2663" w:type="pct"/>
            <w:tcBorders>
              <w:top w:val="single" w:color="auto" w:sz="4" w:space="0"/>
              <w:left w:val="single" w:color="auto" w:sz="4" w:space="0"/>
              <w:bottom w:val="single" w:color="auto" w:sz="4" w:space="0"/>
              <w:right w:val="single" w:color="auto" w:sz="4" w:space="0"/>
            </w:tcBorders>
            <w:vAlign w:val="center"/>
          </w:tcPr>
          <w:p w14:paraId="40191792">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招标文件采购需求中显示系统和多媒体会议系统相关产品特性，在投标文件中提供针对所投主要产品的供货安装（调试）方案（包括但不限于供货运输保护、产品装卸保护、产品安装规范）由评标委员会进行综合评审。</w:t>
            </w:r>
          </w:p>
          <w:p w14:paraId="53CDCD6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①供货、安装实施方案包含供货运输过程中的产品保护措施方案、产品装卸过程中保护措施方案、安装过程专业人员操作规范制度完整详细，具有实用性、针对性的得2分；</w:t>
            </w:r>
          </w:p>
          <w:p w14:paraId="7038459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②供货、安装实施方案包含供货运输过程中的产品保护措施方案、产品装卸过程中保护措施方案、安装过程专业人员操作规范制度简洁，有待改善的得1分；</w:t>
            </w:r>
          </w:p>
          <w:p w14:paraId="676EB133">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③方案不符合要求或者未提供的不得分。</w:t>
            </w:r>
          </w:p>
        </w:tc>
        <w:tc>
          <w:tcPr>
            <w:tcW w:w="746" w:type="pct"/>
            <w:tcBorders>
              <w:left w:val="single" w:color="auto" w:sz="4" w:space="0"/>
              <w:bottom w:val="single" w:color="auto" w:sz="4" w:space="0"/>
              <w:right w:val="single" w:color="auto" w:sz="4" w:space="0"/>
            </w:tcBorders>
            <w:vAlign w:val="center"/>
          </w:tcPr>
          <w:p w14:paraId="5AFB4C4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r>
      <w:tr w14:paraId="07DB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3A3E9260">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3F0F994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售后服务与维保方案</w:t>
            </w:r>
          </w:p>
        </w:tc>
        <w:tc>
          <w:tcPr>
            <w:tcW w:w="2663" w:type="pct"/>
            <w:tcBorders>
              <w:top w:val="single" w:color="auto" w:sz="4" w:space="0"/>
              <w:left w:val="single" w:color="auto" w:sz="4" w:space="0"/>
              <w:bottom w:val="single" w:color="auto" w:sz="4" w:space="0"/>
              <w:right w:val="single" w:color="auto" w:sz="4" w:space="0"/>
            </w:tcBorders>
            <w:vAlign w:val="center"/>
          </w:tcPr>
          <w:p w14:paraId="2624301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根据投标人投标文件中提供的售后服务与维保方案（包括但不限于售后服务体系、维护保修内容与范围、故障解决方案、专业技术人员保障及服务电话等）情况，由评标委员会进行综合评审。</w:t>
            </w:r>
          </w:p>
          <w:p w14:paraId="1A0F0554">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①投标人具备全面详细完善的服务保障体系，全面售后服务面的服务内容、针对性的故障解决方案、具备专业技术人员保障和服务的得2分；</w:t>
            </w:r>
          </w:p>
          <w:p w14:paraId="63C1231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②投标人提供的服务保障体系、故障解决方案有待完善，专业技术人员保障和服务需要进一步提升的得1分；</w:t>
            </w:r>
          </w:p>
          <w:p w14:paraId="7A781115">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③方案不符合要求或者未提供的不得分。</w:t>
            </w:r>
          </w:p>
        </w:tc>
        <w:tc>
          <w:tcPr>
            <w:tcW w:w="746" w:type="pct"/>
            <w:tcBorders>
              <w:left w:val="single" w:color="auto" w:sz="4" w:space="0"/>
              <w:bottom w:val="single" w:color="auto" w:sz="4" w:space="0"/>
              <w:right w:val="single" w:color="auto" w:sz="4" w:space="0"/>
            </w:tcBorders>
            <w:vAlign w:val="center"/>
          </w:tcPr>
          <w:p w14:paraId="0F4654A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r>
      <w:tr w14:paraId="48A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7FC4501E">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32037F59">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质保承诺</w:t>
            </w:r>
          </w:p>
        </w:tc>
        <w:tc>
          <w:tcPr>
            <w:tcW w:w="2663" w:type="pct"/>
            <w:tcBorders>
              <w:top w:val="single" w:color="auto" w:sz="4" w:space="0"/>
              <w:left w:val="single" w:color="auto" w:sz="4" w:space="0"/>
              <w:bottom w:val="single" w:color="auto" w:sz="4" w:space="0"/>
              <w:right w:val="single" w:color="auto" w:sz="4" w:space="0"/>
            </w:tcBorders>
            <w:vAlign w:val="center"/>
          </w:tcPr>
          <w:p w14:paraId="034B9C30">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在满足招标文件免费质保期要求的基础上,投标人在投标文件中承诺其所投所有产品免费质保期每增加1年加1分（承诺增加不足1年</w:t>
            </w:r>
            <w:r>
              <w:rPr>
                <w:rFonts w:hint="eastAsia" w:ascii="宋体" w:hAnsi="宋体" w:eastAsia="宋体" w:cs="宋体"/>
                <w:color w:val="auto"/>
                <w:sz w:val="24"/>
                <w:highlight w:val="none"/>
                <w:lang w:val="en-US" w:eastAsia="zh-CN"/>
              </w:rPr>
              <w:t>或仅对部分产品增加免费质保期的不加分</w:t>
            </w:r>
            <w:r>
              <w:rPr>
                <w:rFonts w:hint="eastAsia" w:ascii="宋体" w:hAnsi="宋体" w:eastAsia="宋体" w:cs="宋体"/>
                <w:color w:val="auto"/>
                <w:sz w:val="24"/>
                <w:szCs w:val="24"/>
                <w:highlight w:val="none"/>
                <w:lang w:val="en-US" w:eastAsia="zh-CN"/>
              </w:rPr>
              <w:t>），本项满分2分。</w:t>
            </w:r>
          </w:p>
          <w:p w14:paraId="7F441FE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注：以投标响应表中承诺的免费质保期作为评审依据。</w:t>
            </w:r>
          </w:p>
        </w:tc>
        <w:tc>
          <w:tcPr>
            <w:tcW w:w="746" w:type="pct"/>
            <w:tcBorders>
              <w:left w:val="single" w:color="auto" w:sz="4" w:space="0"/>
              <w:bottom w:val="single" w:color="auto" w:sz="4" w:space="0"/>
              <w:right w:val="single" w:color="auto" w:sz="4" w:space="0"/>
            </w:tcBorders>
            <w:vAlign w:val="center"/>
          </w:tcPr>
          <w:p w14:paraId="7658F82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0-2分</w:t>
            </w:r>
          </w:p>
        </w:tc>
      </w:tr>
      <w:tr w14:paraId="0864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42015CD5">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58B0A61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业绩</w:t>
            </w:r>
          </w:p>
        </w:tc>
        <w:tc>
          <w:tcPr>
            <w:tcW w:w="2663" w:type="pct"/>
            <w:tcBorders>
              <w:top w:val="single" w:color="auto" w:sz="4" w:space="0"/>
              <w:left w:val="single" w:color="auto" w:sz="4" w:space="0"/>
              <w:bottom w:val="single" w:color="auto" w:sz="4" w:space="0"/>
              <w:right w:val="single" w:color="auto" w:sz="4" w:space="0"/>
            </w:tcBorders>
            <w:vAlign w:val="center"/>
          </w:tcPr>
          <w:p w14:paraId="2077BA90">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自2021年1月1日（以合同签订时间为准）至投标截止时间止，投标人提供1个智慧城市展示中心类或城市运营中心类或指挥调度中心类业绩（且该业绩包含装饰装修内容）的得2分，其他的不得分，本条满分2分。</w:t>
            </w:r>
          </w:p>
          <w:p w14:paraId="3FAF842F">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自2021年1月1日（以合同签订时间为准）至投标截止时间止，投标人提供1个智慧城市展示中心类或城市运营中心类或指挥调度中心类业绩（且该业绩同时包含融合通信系统和分布式座席管理系统内容）的得2分，其他的不得分，本条满分2分。</w:t>
            </w:r>
          </w:p>
          <w:p w14:paraId="590CE760">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注：①投标文件中须提供业绩合同扫描件，若合同反映不出业绩类型的还须另外提供经业主（合同甲方）盖章的证明材料扫描件。</w:t>
            </w:r>
          </w:p>
          <w:p w14:paraId="36CCE3B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投标人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446B090C">
            <w:pPr>
              <w:pStyle w:val="47"/>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③若投标人提供的一个项目合同中同时包含上述2项业绩得分内容的，仅视为提供一项业绩。</w:t>
            </w:r>
          </w:p>
        </w:tc>
        <w:tc>
          <w:tcPr>
            <w:tcW w:w="746" w:type="pct"/>
            <w:tcBorders>
              <w:left w:val="single" w:color="auto" w:sz="4" w:space="0"/>
              <w:bottom w:val="single" w:color="auto" w:sz="4" w:space="0"/>
              <w:right w:val="single" w:color="auto" w:sz="4" w:space="0"/>
            </w:tcBorders>
            <w:vAlign w:val="center"/>
          </w:tcPr>
          <w:p w14:paraId="0390A87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0-4分</w:t>
            </w:r>
          </w:p>
        </w:tc>
      </w:tr>
      <w:tr w14:paraId="5BBF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61FF6F32">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6DCA1888">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软件研发能力</w:t>
            </w:r>
          </w:p>
        </w:tc>
        <w:tc>
          <w:tcPr>
            <w:tcW w:w="2663" w:type="pct"/>
            <w:tcBorders>
              <w:top w:val="single" w:color="auto" w:sz="4" w:space="0"/>
              <w:left w:val="single" w:color="auto" w:sz="4" w:space="0"/>
              <w:bottom w:val="single" w:color="auto" w:sz="4" w:space="0"/>
              <w:right w:val="single" w:color="auto" w:sz="4" w:space="0"/>
            </w:tcBorders>
            <w:vAlign w:val="center"/>
          </w:tcPr>
          <w:p w14:paraId="179E8DAD">
            <w:pPr>
              <w:numPr>
                <w:ilvl w:val="0"/>
                <w:numId w:val="12"/>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投标人每提供1个城市运行体征类软件著作权证书得1分，其他的不得分，本条满分1分。</w:t>
            </w:r>
          </w:p>
          <w:p w14:paraId="52DB04F5">
            <w:pPr>
              <w:numPr>
                <w:ilvl w:val="0"/>
                <w:numId w:val="12"/>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投标人每提供1个指挥调度系统类软件著作权证书得1分，其他的不得分，本条满分1分。</w:t>
            </w:r>
          </w:p>
          <w:p w14:paraId="656659EC">
            <w:pPr>
              <w:numPr>
                <w:ilvl w:val="0"/>
                <w:numId w:val="12"/>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投标人每提供1个系统集成类软件著作权证书得1分，其他的不得分，本条满分1分。</w:t>
            </w:r>
          </w:p>
          <w:p w14:paraId="42E33A5A">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注:投标文件中须同时提供软件著作权证书扫描件及中国版权保护中心网站截图。</w:t>
            </w:r>
          </w:p>
        </w:tc>
        <w:tc>
          <w:tcPr>
            <w:tcW w:w="746" w:type="pct"/>
            <w:tcBorders>
              <w:left w:val="single" w:color="auto" w:sz="4" w:space="0"/>
              <w:bottom w:val="single" w:color="auto" w:sz="4" w:space="0"/>
              <w:right w:val="single" w:color="auto" w:sz="4" w:space="0"/>
            </w:tcBorders>
            <w:vAlign w:val="center"/>
          </w:tcPr>
          <w:p w14:paraId="11155B8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r>
      <w:tr w14:paraId="3413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vMerge w:val="continue"/>
            <w:tcBorders>
              <w:left w:val="single" w:color="auto" w:sz="4" w:space="0"/>
              <w:right w:val="single" w:color="auto" w:sz="4" w:space="0"/>
            </w:tcBorders>
            <w:vAlign w:val="center"/>
          </w:tcPr>
          <w:p w14:paraId="77ADAC7F">
            <w:pPr>
              <w:spacing w:line="360" w:lineRule="auto"/>
              <w:jc w:val="left"/>
              <w:rPr>
                <w:rFonts w:hint="eastAsia" w:ascii="宋体" w:hAnsi="宋体" w:eastAsia="宋体" w:cs="宋体"/>
                <w:sz w:val="24"/>
                <w:szCs w:val="24"/>
                <w:highlight w:val="none"/>
              </w:rPr>
            </w:pPr>
          </w:p>
        </w:tc>
        <w:tc>
          <w:tcPr>
            <w:tcW w:w="736" w:type="pct"/>
            <w:tcBorders>
              <w:left w:val="single" w:color="auto" w:sz="4" w:space="0"/>
              <w:bottom w:val="single" w:color="auto" w:sz="4" w:space="0"/>
              <w:right w:val="single" w:color="auto" w:sz="4" w:space="0"/>
            </w:tcBorders>
            <w:vAlign w:val="center"/>
          </w:tcPr>
          <w:p w14:paraId="2826A257">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kern w:val="0"/>
                <w:sz w:val="24"/>
                <w:szCs w:val="24"/>
                <w:highlight w:val="none"/>
                <w:lang w:val="en-US" w:eastAsia="zh-CN" w:bidi="ar"/>
                <w14:ligatures w14:val="none"/>
              </w:rPr>
              <w:t>人员配备</w:t>
            </w:r>
          </w:p>
        </w:tc>
        <w:tc>
          <w:tcPr>
            <w:tcW w:w="2663" w:type="pct"/>
            <w:tcBorders>
              <w:top w:val="single" w:color="auto" w:sz="4" w:space="0"/>
              <w:left w:val="single" w:color="auto" w:sz="4" w:space="0"/>
              <w:bottom w:val="single" w:color="auto" w:sz="4" w:space="0"/>
              <w:right w:val="single" w:color="auto" w:sz="4" w:space="0"/>
            </w:tcBorders>
            <w:vAlign w:val="center"/>
          </w:tcPr>
          <w:p w14:paraId="15D9DA08">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（1）拟派现场驻点的项目经理：</w:t>
            </w:r>
          </w:p>
          <w:p w14:paraId="10E87F52">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①信息系统项目管理师证书；</w:t>
            </w:r>
          </w:p>
          <w:p w14:paraId="05091E70">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②机电工程专业高级或以上职称证书；</w:t>
            </w:r>
          </w:p>
          <w:p w14:paraId="58725FCB">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上述证书每具有1个得1分，其他的不得分，本条满分2分。</w:t>
            </w:r>
          </w:p>
          <w:p w14:paraId="65D3B161">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（2）拟派现场驻点的技术负责人：</w:t>
            </w:r>
          </w:p>
          <w:p w14:paraId="15BF4705">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①机电工程专业中级或以上职称证书；</w:t>
            </w:r>
          </w:p>
          <w:p w14:paraId="15E41DFB">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②网络规划设计师证书；</w:t>
            </w:r>
          </w:p>
          <w:p w14:paraId="0F04889E">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③注册信息安全专业人员（CISP）；</w:t>
            </w:r>
          </w:p>
          <w:p w14:paraId="2F491065">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上述证书每具有1个得1分，其他的不得分，本条满分3分。</w:t>
            </w:r>
          </w:p>
          <w:p w14:paraId="410CD69F">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（3）拟配备的项目团队，团队成员（不含项目经理和技术负责人）中具有以下证书：</w:t>
            </w:r>
          </w:p>
          <w:p w14:paraId="00C5AD43">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①系统架构设计师证书；</w:t>
            </w:r>
          </w:p>
          <w:p w14:paraId="21505C4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②系统分析师证书；</w:t>
            </w:r>
          </w:p>
          <w:p w14:paraId="4153C1F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③网络工程师证书；</w:t>
            </w:r>
          </w:p>
          <w:p w14:paraId="1378704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④系统集成项目管理工程师证书；</w:t>
            </w:r>
          </w:p>
          <w:p w14:paraId="669E647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⑤安全防范类人员证书；</w:t>
            </w:r>
          </w:p>
          <w:p w14:paraId="6B6AF12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⑥机房规划设计工程师；</w:t>
            </w:r>
          </w:p>
          <w:p w14:paraId="58349337">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⑦音响类工程师证书；</w:t>
            </w:r>
          </w:p>
          <w:p w14:paraId="287D190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⑧智能建筑弱电高级工程师证书；</w:t>
            </w:r>
          </w:p>
          <w:p w14:paraId="0A6A007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⑨灯光照明高级证书；</w:t>
            </w:r>
          </w:p>
          <w:p w14:paraId="63DF516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⑩信创规划管理师或信创集成项目管理工程师。</w:t>
            </w:r>
          </w:p>
          <w:p w14:paraId="17F44A2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每提供一项得1分，其他的不得分，本项满分10分。</w:t>
            </w:r>
          </w:p>
          <w:p w14:paraId="4EE41F2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①投标文件中同时提供人员配备名单（格式自拟）、相应人员有效身份证（含正反页）、相应人员相关证书和上述人员须持有社保部门出具的本单位为其缴纳的投标前近三个月内任意一月的社保证明（含官网在线打印件）(或供应商提供承诺已为上述人员缴纳社保保险证明的承诺书（格式自拟）)。</w:t>
            </w:r>
          </w:p>
          <w:p w14:paraId="229EB221">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②评分第(3)项中若同一人具有多个证书或多人具有相同证书的仅按一个计分，不重复累计计分。</w:t>
            </w:r>
          </w:p>
          <w:p w14:paraId="3E2154C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中标人在签订合同前（在中标通知书发放后的7个工作日内）须按照其投标文件中的人员配备情况，提供进场人员的相关材料，通过审查后签订合同并进场实施。如提供虚假材料，将提交有关部门进行严肃处理。</w:t>
            </w:r>
          </w:p>
        </w:tc>
        <w:tc>
          <w:tcPr>
            <w:tcW w:w="746" w:type="pct"/>
            <w:tcBorders>
              <w:left w:val="single" w:color="auto" w:sz="4" w:space="0"/>
              <w:bottom w:val="single" w:color="auto" w:sz="4" w:space="0"/>
              <w:right w:val="single" w:color="auto" w:sz="4" w:space="0"/>
            </w:tcBorders>
            <w:vAlign w:val="center"/>
          </w:tcPr>
          <w:p w14:paraId="4B0053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0-15分</w:t>
            </w:r>
          </w:p>
        </w:tc>
      </w:tr>
      <w:tr w14:paraId="5C0D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tcBorders>
              <w:left w:val="single" w:color="auto" w:sz="4" w:space="0"/>
              <w:right w:val="single" w:color="auto" w:sz="4" w:space="0"/>
            </w:tcBorders>
            <w:vAlign w:val="center"/>
          </w:tcPr>
          <w:p w14:paraId="645D5E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2C02182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c>
          <w:tcPr>
            <w:tcW w:w="4146" w:type="pct"/>
            <w:gridSpan w:val="3"/>
            <w:tcBorders>
              <w:top w:val="single" w:color="auto" w:sz="4" w:space="0"/>
              <w:left w:val="single" w:color="auto" w:sz="4" w:space="0"/>
              <w:bottom w:val="single" w:color="auto" w:sz="4" w:space="0"/>
              <w:right w:val="single" w:color="auto" w:sz="4" w:space="0"/>
            </w:tcBorders>
            <w:vAlign w:val="center"/>
          </w:tcPr>
          <w:p w14:paraId="45B0C1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价格分统一采用低价优先法，即满足招标文件要求且投标价格最低的投标报价为评标基准价，其价格分为满分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分。其他投标人的价格分统一按照下列公式计算：</w:t>
            </w:r>
          </w:p>
          <w:p w14:paraId="2B8A5501">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％×100</w:t>
            </w:r>
          </w:p>
        </w:tc>
      </w:tr>
    </w:tbl>
    <w:p w14:paraId="2331D4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1128F9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42C55165">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（2）将投标人的技术资信分加上根据上述标准计算出的价格分，即为该投标人的综合总得分</w:t>
      </w:r>
      <w:r>
        <w:rPr>
          <w:rFonts w:hint="eastAsia" w:ascii="宋体" w:hAnsi="宋体" w:eastAsia="宋体" w:cs="宋体"/>
          <w:color w:val="auto"/>
          <w:sz w:val="24"/>
          <w:highlight w:val="none"/>
          <w:lang w:eastAsia="zh-CN"/>
        </w:rPr>
        <w:t>。</w:t>
      </w:r>
    </w:p>
    <w:p w14:paraId="16991190">
      <w:pPr>
        <w:spacing w:line="360" w:lineRule="auto"/>
        <w:ind w:firstLine="437"/>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lang w:eastAsia="zh-CN"/>
        </w:rPr>
        <w:t>无效投标条款</w:t>
      </w:r>
    </w:p>
    <w:p w14:paraId="73DF2DB8">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3.1投标文件有下列情形之一的,其投标文件拒收:</w:t>
      </w:r>
    </w:p>
    <w:p w14:paraId="389223A8">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 未在开标截止时间前通过网上招标投标系统递交有效电子投标文件的，开标系统不予接收，投标将被拒绝。</w:t>
      </w:r>
    </w:p>
    <w:p w14:paraId="2EEC9174">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524D2C96">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3.2投标人有下列情形之一的,资格审查后其投标作无效投标处理：</w:t>
      </w:r>
    </w:p>
    <w:p w14:paraId="7D58D7D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(1)投标人为本项目提供招标代理服务的；</w:t>
      </w:r>
    </w:p>
    <w:p w14:paraId="77BDC284">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(2)投标人与在本项目代理机构存在相互任职或工作的；</w:t>
      </w:r>
    </w:p>
    <w:p w14:paraId="50D5EB7A">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(3)招标公告写明专门面向中小企业采购，投标人提供的货物非中小企业制造的；</w:t>
      </w:r>
    </w:p>
    <w:p w14:paraId="3D85F6C2">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(4)要求供应商以联合体形式参加采购活动，投标人非联合体或者联合协议中中小企业合同金额未达到应当达到的比例；</w:t>
      </w:r>
    </w:p>
    <w:p w14:paraId="36FCA03D">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(5)要求获得采购合同的供应商向中小企业分包，投标人未提供分包意向协议或者分包意向协议中中小企业合同金额未达到应当达到的比例；</w:t>
      </w:r>
    </w:p>
    <w:p w14:paraId="2CB1167B">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(6)评标专家无法查看并检验电子投标文件中相关资料的；</w:t>
      </w:r>
    </w:p>
    <w:p w14:paraId="40C6C92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(7)联合体投标未提交联合体协议的；</w:t>
      </w:r>
    </w:p>
    <w:p w14:paraId="09AB97EF">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(8)责令停产停业的；</w:t>
      </w:r>
    </w:p>
    <w:p w14:paraId="35EA2C58">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(9)暂停或者取消参与政府采购项目资格的；</w:t>
      </w:r>
    </w:p>
    <w:p w14:paraId="59575BB6">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(10)投标人单位负责人为同一人或者存在（直接）控股、管理关系的不同单位的；</w:t>
      </w:r>
    </w:p>
    <w:p w14:paraId="14852719">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(11)投标人基本资格条件和特定资格条件中有一项及以上不符合要求的；</w:t>
      </w:r>
    </w:p>
    <w:p w14:paraId="33EDA13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0DAD519">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(13)其它情形，经评标委员会委提出按无效投标处理，并经公共资源交易监督部门核准的；</w:t>
      </w:r>
    </w:p>
    <w:p w14:paraId="5BA1C5CA">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(14)投标人投标MAC地址或投标人联系人或联系电话相同的，由评标委员会否决其投标，并报告监管部门作不良行为处理和进一步调查；</w:t>
      </w:r>
    </w:p>
    <w:p w14:paraId="1574C8D9">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(15)投标人单方面出现其他投标人材料的；</w:t>
      </w:r>
    </w:p>
    <w:p w14:paraId="7DC67FB9">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(16)招标公告未写明允许采购进口产品，投标人所投产品为进口产品的；</w:t>
      </w:r>
    </w:p>
    <w:p w14:paraId="31BAFBA5">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(17)招标文件规定的其它无效投标情形。</w:t>
      </w:r>
    </w:p>
    <w:p w14:paraId="4CE32B19">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3.3 投标人有下列情形之一的,符合性审查后其投标按无效投标处理：</w:t>
      </w:r>
    </w:p>
    <w:p w14:paraId="7CA5CDD0">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(1)投标文件签字、盖章不全，经评标委员会一致认定对开评标内容有实质性影响并经公共资源交易监督部门核准的；</w:t>
      </w:r>
    </w:p>
    <w:p w14:paraId="232749EE">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(2)未按规定的格式填写导致实质性内容不全以及实质上不响应，或者关键字迹模糊、无法辨认; 经公共资源交易监督部门核准的；</w:t>
      </w:r>
    </w:p>
    <w:p w14:paraId="039ECC92">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(3)同一投标人提交两个以上不同的投标文件或者投标报价，但招标文件规定提交备选方案的除外；</w:t>
      </w:r>
    </w:p>
    <w:p w14:paraId="0BD616BB">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(4)投标文件没有对招标文件的实质性要求和条件作出响应;</w:t>
      </w:r>
    </w:p>
    <w:p w14:paraId="508C46DB">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(5)投标报价超出规定的投标限价或公布的采购预算的或投标人的投标报价各项单价高于招标文件给定的单价最高限价；</w:t>
      </w:r>
    </w:p>
    <w:p w14:paraId="43048E20">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(6)不按评标委员会要求澄清、说明或补正的，或者评标委员会根据招标文件的规定对投标文件的计算错误进行修正后，投标人不接受修正的投标报价的。</w:t>
      </w:r>
    </w:p>
    <w:p w14:paraId="23BA2966">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(7)其它情形，经评标委员会委提出按无效投标处理，并经公共资源交易监督部门核准的；</w:t>
      </w:r>
    </w:p>
    <w:p w14:paraId="77310E98">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(8)投标文件含有采购人不能接受的附加条件的；</w:t>
      </w:r>
    </w:p>
    <w:p w14:paraId="48A3A36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(9)招标文件规定的其它无效投标情形。</w:t>
      </w:r>
    </w:p>
    <w:p w14:paraId="63C40EB7">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 投标人有下列情形之一的, 详细评审后其投标按无效投标处理：</w:t>
      </w:r>
    </w:p>
    <w:p w14:paraId="59EE41F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(1)投标产品不符合必须强制执行的国家标准的；</w:t>
      </w:r>
    </w:p>
    <w:p w14:paraId="2A53ABBC">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(2)投标人有串通投标、弄虚作假、行贿等违法行为；</w:t>
      </w:r>
    </w:p>
    <w:p w14:paraId="6714A12E">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(3)投标文件含有违反国家法律、法规的内容，或附有采购人不能接受的条件的；</w:t>
      </w:r>
    </w:p>
    <w:p w14:paraId="7523162D">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(4)报价明显低于其他投标人，且不能证明报价合理性的投标无效；</w:t>
      </w:r>
    </w:p>
    <w:p w14:paraId="601352F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(5)拒不确认评标委员会评审修正的投标无效；</w:t>
      </w:r>
    </w:p>
    <w:p w14:paraId="56E535E0">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(6)其它情形，经评标委员会委提出按无效投标处理，并经公共资源交易监督部门核准的；</w:t>
      </w:r>
    </w:p>
    <w:p w14:paraId="304A7344">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(7)招标文件规定的其它无效投标情形。</w:t>
      </w:r>
    </w:p>
    <w:p w14:paraId="7EA87C18">
      <w:pPr>
        <w:spacing w:line="360" w:lineRule="auto"/>
        <w:ind w:firstLine="435"/>
        <w:rPr>
          <w:rFonts w:hint="eastAsia" w:ascii="宋体" w:hAnsi="宋体" w:eastAsia="宋体" w:cs="宋体"/>
          <w:color w:val="auto"/>
          <w:sz w:val="24"/>
          <w:highlight w:val="none"/>
          <w:lang w:eastAsia="zh-CN"/>
        </w:rPr>
      </w:pPr>
    </w:p>
    <w:p w14:paraId="1B1CDA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4DA056A">
      <w:pPr>
        <w:spacing w:line="360" w:lineRule="auto"/>
        <w:jc w:val="center"/>
        <w:outlineLvl w:val="0"/>
        <w:rPr>
          <w:rFonts w:hint="eastAsia" w:ascii="宋体" w:hAnsi="宋体" w:eastAsia="宋体" w:cs="宋体"/>
          <w:b/>
          <w:color w:val="auto"/>
          <w:sz w:val="28"/>
          <w:highlight w:val="none"/>
          <w:lang w:eastAsia="zh-CN"/>
        </w:rPr>
      </w:pPr>
      <w:bookmarkStart w:id="160" w:name="_Toc4682"/>
      <w:bookmarkStart w:id="161" w:name="_Toc22492"/>
      <w:r>
        <w:rPr>
          <w:rFonts w:hint="eastAsia" w:ascii="宋体" w:hAnsi="宋体" w:eastAsia="宋体" w:cs="宋体"/>
          <w:b/>
          <w:color w:val="auto"/>
          <w:sz w:val="28"/>
          <w:highlight w:val="none"/>
        </w:rPr>
        <w:t>第五章  政府采购合同</w:t>
      </w:r>
      <w:bookmarkEnd w:id="160"/>
    </w:p>
    <w:p w14:paraId="657FF359">
      <w:pPr>
        <w:pStyle w:val="13"/>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581141F2">
      <w:pPr>
        <w:pStyle w:val="13"/>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768F6CC7">
      <w:pPr>
        <w:pStyle w:val="13"/>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968E3D3">
      <w:pPr>
        <w:pStyle w:val="13"/>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72679B93">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B7CD628">
      <w:pPr>
        <w:pStyle w:val="13"/>
        <w:rPr>
          <w:rFonts w:hint="eastAsia" w:ascii="宋体" w:hAnsi="宋体" w:eastAsia="宋体" w:cs="宋体"/>
          <w:b/>
          <w:bCs/>
          <w:spacing w:val="-20"/>
          <w:kern w:val="44"/>
          <w:sz w:val="24"/>
          <w:szCs w:val="24"/>
          <w:highlight w:val="none"/>
        </w:rPr>
      </w:pPr>
    </w:p>
    <w:p w14:paraId="593958F9">
      <w:pPr>
        <w:pStyle w:val="13"/>
        <w:rPr>
          <w:rFonts w:hint="eastAsia" w:ascii="宋体" w:hAnsi="宋体" w:eastAsia="宋体" w:cs="宋体"/>
          <w:b/>
          <w:bCs/>
          <w:spacing w:val="-20"/>
          <w:kern w:val="44"/>
          <w:sz w:val="24"/>
          <w:szCs w:val="24"/>
          <w:highlight w:val="none"/>
        </w:rPr>
      </w:pPr>
    </w:p>
    <w:p w14:paraId="09D44059">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F556791">
      <w:pPr>
        <w:pStyle w:val="13"/>
        <w:pageBreakBefore w:val="0"/>
        <w:kinsoku/>
        <w:wordWrap/>
        <w:overflowPunct/>
        <w:topLinePunct w:val="0"/>
        <w:bidi w:val="0"/>
        <w:spacing w:line="360" w:lineRule="auto"/>
        <w:textAlignment w:val="auto"/>
        <w:rPr>
          <w:rFonts w:hint="eastAsia" w:ascii="宋体" w:hAnsi="宋体" w:eastAsia="宋体" w:cs="宋体"/>
          <w:highlight w:val="none"/>
        </w:rPr>
      </w:pPr>
    </w:p>
    <w:p w14:paraId="7F617186">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2DDE5BD0">
      <w:pPr>
        <w:pageBreakBefore w:val="0"/>
        <w:kinsoku/>
        <w:wordWrap/>
        <w:overflowPunct/>
        <w:topLinePunct w:val="0"/>
        <w:bidi w:val="0"/>
        <w:spacing w:line="360" w:lineRule="auto"/>
        <w:ind w:left="420" w:leftChars="200"/>
        <w:textAlignment w:val="auto"/>
        <w:rPr>
          <w:rFonts w:hint="eastAsia" w:ascii="宋体" w:hAnsi="宋体" w:eastAsia="宋体" w:cs="宋体"/>
          <w:i/>
          <w:i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lang w:val="en-US" w:eastAsia="zh-CN"/>
        </w:rPr>
        <w:t>滁州市智慧城市数字化设施购置安装项目</w:t>
      </w:r>
    </w:p>
    <w:p w14:paraId="03854321">
      <w:pPr>
        <w:pageBreakBefore w:val="0"/>
        <w:kinsoku/>
        <w:wordWrap/>
        <w:overflowPunct/>
        <w:topLinePunct w:val="0"/>
        <w:bidi w:val="0"/>
        <w:spacing w:line="360" w:lineRule="auto"/>
        <w:ind w:left="420" w:leftChars="200"/>
        <w:textAlignment w:val="auto"/>
        <w:rPr>
          <w:rFonts w:hint="eastAsia" w:ascii="宋体" w:hAnsi="宋体" w:eastAsia="宋体" w:cs="宋体"/>
          <w:highlight w:val="none"/>
        </w:rPr>
      </w:pPr>
      <w:r>
        <w:rPr>
          <w:rFonts w:hint="eastAsia" w:ascii="宋体" w:hAnsi="宋体" w:eastAsia="宋体" w:cs="宋体"/>
          <w:sz w:val="24"/>
          <w:szCs w:val="24"/>
          <w:highlight w:val="none"/>
        </w:rPr>
        <w:t>项目编号：</w:t>
      </w:r>
      <w:r>
        <w:rPr>
          <w:rFonts w:hint="default" w:ascii="宋体" w:hAnsi="宋体" w:eastAsia="宋体" w:cs="宋体"/>
          <w:sz w:val="24"/>
          <w:szCs w:val="24"/>
          <w:highlight w:val="none"/>
          <w:u w:val="single"/>
          <w:lang w:val="en-US" w:eastAsia="zh-CN"/>
        </w:rPr>
        <w:t>czsjcg202406-126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115E4332">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合同编号：</w:t>
      </w:r>
      <w:r>
        <w:rPr>
          <w:rFonts w:hint="default" w:ascii="宋体" w:hAnsi="宋体" w:eastAsia="宋体" w:cs="宋体"/>
          <w:sz w:val="24"/>
          <w:szCs w:val="24"/>
          <w:highlight w:val="none"/>
          <w:u w:val="single"/>
          <w:lang w:val="en-US" w:eastAsia="zh-CN"/>
        </w:rPr>
        <w:t>czsjcg202406-126</w:t>
      </w:r>
    </w:p>
    <w:p w14:paraId="1B0413E8">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滁州市数据资源管理局</w:t>
      </w:r>
    </w:p>
    <w:p w14:paraId="6E6D89CB">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color w:val="000000" w:themeColor="text1"/>
          <w:sz w:val="24"/>
          <w:szCs w:val="24"/>
          <w:highlight w:val="none"/>
          <w14:textFill>
            <w14:solidFill>
              <w14:schemeClr w14:val="tx1"/>
            </w14:solidFill>
          </w14:textFill>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6ABA794B">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5B5220B8">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517FCCE1">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0AFEB6C">
      <w:pPr>
        <w:pageBreakBefore w:val="0"/>
        <w:kinsoku/>
        <w:wordWrap/>
        <w:overflowPunct/>
        <w:topLinePunct w:val="0"/>
        <w:bidi w:val="0"/>
        <w:spacing w:line="360" w:lineRule="auto"/>
        <w:jc w:val="center"/>
        <w:textAlignment w:val="auto"/>
        <w:outlineLvl w:val="1"/>
        <w:rPr>
          <w:rFonts w:hint="eastAsia" w:ascii="宋体" w:hAnsi="宋体" w:eastAsia="宋体" w:cs="宋体"/>
          <w:b/>
          <w:color w:val="000000" w:themeColor="text1"/>
          <w:sz w:val="24"/>
          <w:szCs w:val="20"/>
          <w:highlight w:val="none"/>
          <w:lang w:eastAsia="zh-CN"/>
          <w14:textFill>
            <w14:solidFill>
              <w14:schemeClr w14:val="tx1"/>
            </w14:solidFill>
          </w14:textFill>
        </w:rPr>
      </w:pPr>
      <w:r>
        <w:rPr>
          <w:rFonts w:hint="eastAsia" w:ascii="宋体" w:hAnsi="宋体" w:eastAsia="宋体" w:cs="宋体"/>
          <w:b/>
          <w:color w:val="000000" w:themeColor="text1"/>
          <w:sz w:val="24"/>
          <w:szCs w:val="20"/>
          <w:highlight w:val="none"/>
          <w:lang w:eastAsia="zh-CN"/>
          <w14:textFill>
            <w14:solidFill>
              <w14:schemeClr w14:val="tx1"/>
            </w14:solidFill>
          </w14:textFill>
        </w:rPr>
        <w:t>使</w:t>
      </w:r>
      <w:r>
        <w:rPr>
          <w:rFonts w:hint="eastAsia" w:ascii="宋体" w:hAnsi="宋体" w:eastAsia="宋体" w:cs="宋体"/>
          <w:b/>
          <w:color w:val="000000" w:themeColor="text1"/>
          <w:sz w:val="24"/>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0"/>
          <w:highlight w:val="none"/>
          <w:lang w:eastAsia="zh-CN"/>
          <w14:textFill>
            <w14:solidFill>
              <w14:schemeClr w14:val="tx1"/>
            </w14:solidFill>
          </w14:textFill>
        </w:rPr>
        <w:t>用</w:t>
      </w:r>
      <w:r>
        <w:rPr>
          <w:rFonts w:hint="eastAsia" w:ascii="宋体" w:hAnsi="宋体" w:eastAsia="宋体" w:cs="宋体"/>
          <w:b/>
          <w:color w:val="000000" w:themeColor="text1"/>
          <w:sz w:val="24"/>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0"/>
          <w:highlight w:val="none"/>
          <w:lang w:eastAsia="zh-CN"/>
          <w14:textFill>
            <w14:solidFill>
              <w14:schemeClr w14:val="tx1"/>
            </w14:solidFill>
          </w14:textFill>
        </w:rPr>
        <w:t>说</w:t>
      </w:r>
      <w:r>
        <w:rPr>
          <w:rFonts w:hint="eastAsia" w:ascii="宋体" w:hAnsi="宋体" w:eastAsia="宋体" w:cs="宋体"/>
          <w:b/>
          <w:color w:val="000000" w:themeColor="text1"/>
          <w:sz w:val="24"/>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0"/>
          <w:highlight w:val="none"/>
          <w:lang w:eastAsia="zh-CN"/>
          <w14:textFill>
            <w14:solidFill>
              <w14:schemeClr w14:val="tx1"/>
            </w14:solidFill>
          </w14:textFill>
        </w:rPr>
        <w:t>明</w:t>
      </w:r>
    </w:p>
    <w:p w14:paraId="7D191E6D">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CN"/>
        </w:rPr>
      </w:pPr>
    </w:p>
    <w:p w14:paraId="120D9005">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1.本合同标准文本适用于购买现成货物的采购项目，不包括需要供应商定制开发、创新研发的货物采购项目。</w:t>
      </w:r>
    </w:p>
    <w:p w14:paraId="2FDE2CAD">
      <w:pPr>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2.本合同标准文本为政府采购货物买卖合同编制提供参考，可以结合采购项目具体情况，对文本作必要的调整修订后使用。</w:t>
      </w:r>
    </w:p>
    <w:p w14:paraId="03CC31CB">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3.本合同标准文本各条款中，如涉及填写多家供应商、制造商，多种采购标的、分包主要内容等信息的，可根据采购项目具体情况添加信息项。</w:t>
      </w:r>
    </w:p>
    <w:p w14:paraId="763CE5D9">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836EC72">
      <w:pPr>
        <w:pageBreakBefore w:val="0"/>
        <w:kinsoku/>
        <w:wordWrap/>
        <w:overflowPunct/>
        <w:topLinePunct w:val="0"/>
        <w:bidi w:val="0"/>
        <w:spacing w:line="360" w:lineRule="auto"/>
        <w:jc w:val="center"/>
        <w:textAlignment w:val="auto"/>
        <w:outlineLvl w:val="1"/>
        <w:rPr>
          <w:rFonts w:hint="eastAsia" w:ascii="宋体" w:hAnsi="宋体" w:eastAsia="宋体" w:cs="宋体"/>
          <w:b/>
          <w:color w:val="000000" w:themeColor="text1"/>
          <w:sz w:val="24"/>
          <w:szCs w:val="20"/>
          <w:highlight w:val="none"/>
          <w14:textFill>
            <w14:solidFill>
              <w14:schemeClr w14:val="tx1"/>
            </w14:solidFill>
          </w14:textFill>
        </w:rPr>
      </w:pPr>
      <w:bookmarkStart w:id="162" w:name="_Toc22209"/>
      <w:r>
        <w:rPr>
          <w:rFonts w:hint="eastAsia" w:ascii="宋体" w:hAnsi="宋体" w:eastAsia="宋体" w:cs="宋体"/>
          <w:b/>
          <w:color w:val="000000" w:themeColor="text1"/>
          <w:sz w:val="24"/>
          <w:szCs w:val="20"/>
          <w:highlight w:val="none"/>
          <w14:textFill>
            <w14:solidFill>
              <w14:schemeClr w14:val="tx1"/>
            </w14:solidFill>
          </w14:textFill>
        </w:rPr>
        <w:t>第一节 政府采购合同协议书</w:t>
      </w:r>
      <w:bookmarkEnd w:id="162"/>
    </w:p>
    <w:p w14:paraId="03C41610">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highlight w:val="none"/>
        </w:rPr>
      </w:pPr>
    </w:p>
    <w:p w14:paraId="062A8CC4">
      <w:pPr>
        <w:pageBreakBefore w:val="0"/>
        <w:kinsoku/>
        <w:wordWrap/>
        <w:overflowPunct/>
        <w:topLinePunct w:val="0"/>
        <w:bidi w:val="0"/>
        <w:adjustRightInd w:val="0"/>
        <w:snapToGrid w:val="0"/>
        <w:spacing w:before="0" w:beforeLines="0" w:line="360" w:lineRule="auto"/>
        <w:ind w:left="4800" w:hanging="4800" w:hangingChars="20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val="en-US" w:eastAsia="zh-CN"/>
        </w:rPr>
        <w:t>滁州市数据资源管理局</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p w14:paraId="23B85BE6">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78BB4F77">
      <w:pPr>
        <w:pStyle w:val="14"/>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乙方的《投标文件》及《中标通知书》，甲乙双方同意签订本合同。具体情况及要求如下：     </w:t>
      </w:r>
    </w:p>
    <w:p w14:paraId="0F3E8BF0">
      <w:pPr>
        <w:pageBreakBefore w:val="0"/>
        <w:numPr>
          <w:ilvl w:val="0"/>
          <w:numId w:val="1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354880AC">
      <w:pPr>
        <w:pStyle w:val="14"/>
        <w:pageBreakBefore w:val="0"/>
        <w:numPr>
          <w:ilvl w:val="0"/>
          <w:numId w:val="14"/>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lang w:val="en-US" w:eastAsia="zh-CN"/>
        </w:rPr>
        <w:t>滁州市智慧城市数字化设施购置安装项目</w:t>
      </w:r>
    </w:p>
    <w:p w14:paraId="3372F91F">
      <w:pPr>
        <w:pStyle w:val="14"/>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         采购项目编号：</w:t>
      </w:r>
      <w:r>
        <w:rPr>
          <w:rFonts w:hint="default" w:ascii="宋体" w:hAnsi="宋体" w:eastAsia="宋体" w:cs="宋体"/>
          <w:sz w:val="24"/>
          <w:szCs w:val="24"/>
          <w:highlight w:val="none"/>
          <w:u w:val="single"/>
          <w:lang w:val="en-US" w:eastAsia="zh-CN"/>
        </w:rPr>
        <w:t>czsjcg202406-126</w:t>
      </w:r>
      <w:r>
        <w:rPr>
          <w:rFonts w:hint="eastAsia" w:ascii="宋体" w:hAnsi="宋体" w:eastAsia="宋体" w:cs="宋体"/>
          <w:sz w:val="24"/>
          <w:szCs w:val="24"/>
          <w:highlight w:val="none"/>
          <w:u w:val="single"/>
          <w:lang w:val="en-US" w:eastAsia="zh-CN"/>
        </w:rPr>
        <w:t xml:space="preserve"> </w:t>
      </w:r>
    </w:p>
    <w:p w14:paraId="36D6EA10">
      <w:pPr>
        <w:pStyle w:val="14"/>
        <w:pageBreakBefore w:val="0"/>
        <w:numPr>
          <w:ilvl w:val="0"/>
          <w:numId w:val="14"/>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采购计划编号：</w:t>
      </w:r>
      <w:r>
        <w:rPr>
          <w:rFonts w:hint="eastAsia" w:ascii="宋体" w:hAnsi="宋体" w:eastAsia="宋体" w:cs="宋体"/>
          <w:sz w:val="24"/>
          <w:szCs w:val="24"/>
          <w:highlight w:val="none"/>
          <w:u w:val="single"/>
          <w:lang w:val="en-US" w:eastAsia="zh-CN"/>
        </w:rPr>
        <w:t>JC34110120240531号</w:t>
      </w:r>
    </w:p>
    <w:p w14:paraId="5B051446">
      <w:pPr>
        <w:pStyle w:val="14"/>
        <w:pageBreakBefore w:val="0"/>
        <w:numPr>
          <w:ilvl w:val="0"/>
          <w:numId w:val="14"/>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679C133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lang w:val="en-US" w:eastAsia="zh-CN"/>
        </w:rPr>
        <w:t>（台/套</w:t>
      </w:r>
      <w:r>
        <w:rPr>
          <w:rFonts w:hint="eastAsia" w:ascii="宋体" w:hAnsi="宋体" w:eastAsia="宋体" w:cs="宋体"/>
          <w:sz w:val="24"/>
          <w:szCs w:val="24"/>
          <w:highlight w:val="none"/>
          <w:lang w:val="en" w:eastAsia="zh-CN"/>
        </w:rPr>
        <w:t>/个/架/组等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详见货物需求、项目图纸及工程量清单等内容。</w:t>
      </w:r>
    </w:p>
    <w:p w14:paraId="623CE3D2">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none"/>
          <w:lang w:val="en"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w:t>
      </w:r>
    </w:p>
    <w:p w14:paraId="4A03EF24">
      <w:pPr>
        <w:pageBreakBefore w:val="0"/>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071293EF">
      <w:pPr>
        <w:pStyle w:val="79"/>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val="en" w:eastAsia="zh-CN"/>
        </w:rPr>
        <w:t>4</w:t>
      </w:r>
      <w:r>
        <w:rPr>
          <w:rFonts w:hint="eastAsia" w:ascii="宋体" w:hAnsi="宋体" w:eastAsia="宋体" w:cs="宋体"/>
          <w:iCs w:val="0"/>
          <w:sz w:val="24"/>
          <w:szCs w:val="24"/>
          <w:highlight w:val="none"/>
          <w:lang w:val="en-US" w:eastAsia="zh-CN"/>
        </w:rPr>
        <w:t>）政府采购组织形式：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政府集中采购</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val="en-US" w:eastAsia="zh-CN"/>
        </w:rPr>
        <w:t xml:space="preserve">部门集中采购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val="en-US" w:eastAsia="zh-CN"/>
        </w:rPr>
        <w:t>分散采购</w:t>
      </w:r>
    </w:p>
    <w:p w14:paraId="4AB6300F">
      <w:pPr>
        <w:pStyle w:val="79"/>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highlight w:val="none"/>
          <w:lang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val="en"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邀请招标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竞争性谈判</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竞争性磋商</w:t>
      </w:r>
    </w:p>
    <w:p w14:paraId="43D53EC8">
      <w:pPr>
        <w:pStyle w:val="79"/>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highlight w:val="none"/>
          <w:u w:val="single"/>
          <w:lang w:val="en-US"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询价</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单一来源</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框架协议</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其他：</w:t>
      </w:r>
      <w:r>
        <w:rPr>
          <w:rFonts w:hint="eastAsia" w:ascii="宋体" w:hAnsi="宋体" w:eastAsia="宋体" w:cs="宋体"/>
          <w:iCs w:val="0"/>
          <w:sz w:val="24"/>
          <w:szCs w:val="24"/>
          <w:highlight w:val="none"/>
          <w:u w:val="single"/>
          <w:lang w:val="en-US" w:eastAsia="zh-CN"/>
        </w:rPr>
        <w:t xml:space="preserve">          </w:t>
      </w:r>
    </w:p>
    <w:p w14:paraId="4C987CBA">
      <w:pPr>
        <w:pStyle w:val="79"/>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highlight w:val="none"/>
          <w:u w:val="none"/>
          <w:lang w:val="en-US" w:eastAsia="zh-CN"/>
        </w:rPr>
      </w:pPr>
      <w:r>
        <w:rPr>
          <w:rFonts w:hint="eastAsia" w:ascii="宋体" w:hAnsi="宋体" w:eastAsia="宋体" w:cs="宋体"/>
          <w:iCs w:val="0"/>
          <w:sz w:val="24"/>
          <w:szCs w:val="24"/>
          <w:highlight w:val="none"/>
          <w:u w:val="none"/>
          <w:lang w:val="en-US" w:eastAsia="zh-CN"/>
        </w:rPr>
        <w:t>（注：在框架协议采购的第二阶段，可选择使用该合同文本）</w:t>
      </w:r>
    </w:p>
    <w:p w14:paraId="50F4C444">
      <w:pPr>
        <w:pStyle w:val="79"/>
        <w:pageBreakBefore w:val="0"/>
        <w:numPr>
          <w:ilvl w:val="-1"/>
          <w:numId w:val="0"/>
        </w:numP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w w:val="100"/>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w w:val="100"/>
          <w:kern w:val="2"/>
          <w:sz w:val="24"/>
          <w:szCs w:val="24"/>
          <w:highlight w:val="none"/>
          <w:lang w:val="en-US" w:eastAsia="zh-CN" w:bidi="ar-SA"/>
        </w:rPr>
        <w:t>中标（成交）采购标的制造商是否为中小企业：</w:t>
      </w:r>
      <w:r>
        <w:rPr>
          <w:rFonts w:hint="eastAsia" w:ascii="宋体" w:hAnsi="宋体" w:eastAsia="宋体" w:cs="宋体"/>
          <w:w w:val="100"/>
          <w:kern w:val="2"/>
          <w:sz w:val="24"/>
          <w:szCs w:val="24"/>
          <w:highlight w:val="none"/>
          <w:lang w:val="en-US" w:eastAsia="zh-CN" w:bidi="ar-SA"/>
        </w:rPr>
        <w:sym w:font="Wingdings" w:char="00A8"/>
      </w:r>
      <w:r>
        <w:rPr>
          <w:rFonts w:hint="eastAsia" w:ascii="宋体" w:hAnsi="宋体" w:eastAsia="宋体" w:cs="宋体"/>
          <w:w w:val="100"/>
          <w:kern w:val="2"/>
          <w:sz w:val="24"/>
          <w:szCs w:val="24"/>
          <w:highlight w:val="none"/>
          <w:lang w:val="en-US" w:eastAsia="zh-CN" w:bidi="ar-SA"/>
        </w:rPr>
        <w:t xml:space="preserve">是      </w:t>
      </w:r>
      <w:r>
        <w:rPr>
          <w:rFonts w:hint="eastAsia" w:ascii="宋体" w:hAnsi="宋体" w:eastAsia="宋体" w:cs="宋体"/>
          <w:w w:val="100"/>
          <w:kern w:val="2"/>
          <w:sz w:val="24"/>
          <w:szCs w:val="24"/>
          <w:highlight w:val="none"/>
          <w:lang w:val="en-US" w:eastAsia="zh-CN" w:bidi="ar-SA"/>
        </w:rPr>
        <w:sym w:font="Wingdings" w:char="00A8"/>
      </w:r>
      <w:r>
        <w:rPr>
          <w:rFonts w:hint="eastAsia" w:ascii="宋体" w:hAnsi="宋体" w:eastAsia="宋体" w:cs="宋体"/>
          <w:w w:val="100"/>
          <w:kern w:val="2"/>
          <w:sz w:val="24"/>
          <w:szCs w:val="24"/>
          <w:highlight w:val="none"/>
          <w:lang w:val="en-US" w:eastAsia="zh-CN" w:bidi="ar-SA"/>
        </w:rPr>
        <w:t>否</w:t>
      </w:r>
    </w:p>
    <w:p w14:paraId="095F234B">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w w:val="100"/>
          <w:sz w:val="24"/>
          <w:szCs w:val="24"/>
          <w:highlight w:val="none"/>
          <w:lang w:val="en-US" w:eastAsia="zh-CN"/>
        </w:rPr>
        <w:t xml:space="preserve">        本合同</w:t>
      </w:r>
      <w:r>
        <w:rPr>
          <w:rFonts w:hint="eastAsia" w:ascii="宋体" w:hAnsi="宋体" w:eastAsia="宋体" w:cs="宋体"/>
          <w:w w:val="100"/>
          <w:sz w:val="24"/>
          <w:szCs w:val="24"/>
          <w:highlight w:val="none"/>
        </w:rPr>
        <w:t>是否</w:t>
      </w:r>
      <w:r>
        <w:rPr>
          <w:rFonts w:hint="eastAsia" w:ascii="宋体" w:hAnsi="宋体" w:eastAsia="宋体" w:cs="宋体"/>
          <w:w w:val="100"/>
          <w:sz w:val="24"/>
          <w:szCs w:val="24"/>
          <w:highlight w:val="none"/>
          <w:lang w:eastAsia="zh-CN"/>
        </w:rPr>
        <w:t>为专门面向</w:t>
      </w:r>
      <w:r>
        <w:rPr>
          <w:rFonts w:hint="eastAsia" w:ascii="宋体" w:hAnsi="宋体" w:eastAsia="宋体" w:cs="宋体"/>
          <w:w w:val="100"/>
          <w:sz w:val="24"/>
          <w:szCs w:val="24"/>
          <w:highlight w:val="none"/>
        </w:rPr>
        <w:t>中小企业</w:t>
      </w:r>
      <w:r>
        <w:rPr>
          <w:rFonts w:hint="eastAsia" w:ascii="宋体" w:hAnsi="宋体" w:eastAsia="宋体" w:cs="宋体"/>
          <w:w w:val="100"/>
          <w:sz w:val="24"/>
          <w:szCs w:val="24"/>
          <w:highlight w:val="none"/>
          <w:lang w:eastAsia="zh-CN"/>
        </w:rPr>
        <w:t>的采</w:t>
      </w:r>
      <w:r>
        <w:rPr>
          <w:rFonts w:hint="eastAsia" w:ascii="宋体" w:hAnsi="宋体" w:eastAsia="宋体" w:cs="宋体"/>
          <w:w w:val="100"/>
          <w:sz w:val="24"/>
          <w:szCs w:val="24"/>
          <w:highlight w:val="none"/>
          <w:shd w:val="clear"/>
          <w:lang w:eastAsia="zh-CN"/>
        </w:rPr>
        <w:t>购</w:t>
      </w:r>
      <w:r>
        <w:rPr>
          <w:rFonts w:hint="eastAsia" w:ascii="宋体" w:hAnsi="宋体" w:eastAsia="宋体" w:cs="宋体"/>
          <w:w w:val="100"/>
          <w:sz w:val="24"/>
          <w:szCs w:val="24"/>
          <w:highlight w:val="none"/>
          <w:shd w:val="clear"/>
        </w:rPr>
        <w:t>合同</w:t>
      </w:r>
      <w:r>
        <w:rPr>
          <w:rFonts w:hint="eastAsia" w:ascii="宋体" w:hAnsi="宋体" w:eastAsia="宋体" w:cs="宋体"/>
          <w:w w:val="100"/>
          <w:sz w:val="24"/>
          <w:szCs w:val="24"/>
          <w:highlight w:val="none"/>
          <w:shd w:val="clear"/>
          <w:lang w:eastAsia="zh-CN"/>
        </w:rPr>
        <w:t>（中小企业预留合同）</w:t>
      </w:r>
      <w:r>
        <w:rPr>
          <w:rFonts w:hint="eastAsia" w:ascii="宋体" w:hAnsi="宋体" w:eastAsia="宋体" w:cs="宋体"/>
          <w:sz w:val="24"/>
          <w:szCs w:val="24"/>
          <w:highlight w:val="none"/>
          <w:shd w:val="clear"/>
        </w:rPr>
        <w:t>：</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671B4E80">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lang w:val="en-US" w:eastAsia="zh-CN"/>
        </w:rPr>
        <w:t xml:space="preserve">        若本项目不专门面向中小企业采购，是否给予小微企业评审优惠：</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65042B03">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lang w:val="en-US" w:eastAsia="zh-CN"/>
        </w:rPr>
        <w:t xml:space="preserve">        中标（成交）采购标的制造商是否为残疾人福利性单位：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27356DE6">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中标（成交）采购标的制造商是否为监狱企业：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62750EF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eastAsia="zh-C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282DEA54">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分包主要内容：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CBE0D1F">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6C412C00">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485DD902">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highlight w:val="none"/>
        </w:rPr>
        <w:t>：</w:t>
      </w:r>
    </w:p>
    <w:p w14:paraId="37801D93">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大型企业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中型企业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小微型企业</w:t>
      </w:r>
      <w:r>
        <w:rPr>
          <w:rFonts w:hint="eastAsia" w:ascii="宋体" w:hAnsi="宋体" w:eastAsia="宋体" w:cs="宋体"/>
          <w:iCs/>
          <w:sz w:val="24"/>
          <w:szCs w:val="24"/>
          <w:highlight w:val="none"/>
          <w:lang w:val="en-US" w:eastAsia="zh-CN"/>
        </w:rPr>
        <w:t xml:space="preserve">  </w:t>
      </w:r>
    </w:p>
    <w:p w14:paraId="39F7F98B">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残疾人福利性单位</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监狱</w:t>
      </w:r>
      <w:r>
        <w:rPr>
          <w:rFonts w:hint="eastAsia" w:ascii="宋体" w:hAnsi="宋体" w:eastAsia="宋体" w:cs="宋体"/>
          <w:iCs/>
          <w:sz w:val="24"/>
          <w:szCs w:val="24"/>
          <w:highlight w:val="none"/>
        </w:rPr>
        <w:t>企业</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其他</w:t>
      </w:r>
    </w:p>
    <w:p w14:paraId="731C0074">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ABE0B18">
      <w:pPr>
        <w:pStyle w:val="79"/>
        <w:pageBreakBefore w:val="0"/>
        <w:tabs>
          <w:tab w:val="left" w:pos="1340"/>
        </w:tabs>
        <w:kinsoku/>
        <w:wordWrap/>
        <w:overflowPunct/>
        <w:topLinePunct w:val="0"/>
        <w:bidi w:val="0"/>
        <w:spacing w:beforeLines="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57239032">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none"/>
          <w:lang w:val="en" w:eastAsia="zh-CN"/>
        </w:rPr>
        <w:t>9</w:t>
      </w:r>
      <w:r>
        <w:rPr>
          <w:rFonts w:hint="eastAsia" w:ascii="宋体" w:hAnsi="宋体" w:eastAsia="宋体" w:cs="宋体"/>
          <w:b w:val="0"/>
          <w:bCs w:val="0"/>
          <w:sz w:val="24"/>
          <w:szCs w:val="24"/>
          <w:highlight w:val="none"/>
          <w:u w:val="none"/>
          <w:lang w:val="en-US" w:eastAsia="zh-CN"/>
        </w:rPr>
        <w:t>）是否涉及进口产品：</w:t>
      </w:r>
    </w:p>
    <w:p w14:paraId="3A9FA433">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，《政府采购品目分类目录》底级品目名称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金额：</w:t>
      </w:r>
      <w:r>
        <w:rPr>
          <w:rFonts w:hint="eastAsia" w:ascii="宋体" w:hAnsi="宋体" w:eastAsia="宋体" w:cs="宋体"/>
          <w:sz w:val="24"/>
          <w:szCs w:val="24"/>
          <w:highlight w:val="none"/>
          <w:u w:val="single"/>
          <w:lang w:val="en-US" w:eastAsia="zh-CN"/>
        </w:rPr>
        <w:t xml:space="preserve">        </w:t>
      </w:r>
    </w:p>
    <w:p w14:paraId="7BE1B1C5">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highlight w:val="none"/>
        </w:rPr>
      </w:pPr>
      <w:r>
        <w:rPr>
          <w:rFonts w:hint="eastAsia" w:ascii="宋体" w:hAnsi="宋体" w:eastAsia="宋体" w:cs="宋体"/>
          <w:sz w:val="24"/>
          <w:szCs w:val="24"/>
          <w:highlight w:val="none"/>
          <w:lang w:val="en-US" w:eastAsia="zh-CN"/>
        </w:rPr>
        <w:t xml:space="preserve">        国别：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val="0"/>
          <w:sz w:val="24"/>
          <w:szCs w:val="24"/>
          <w:highlight w:val="none"/>
        </w:rPr>
        <w:t xml:space="preserve">      </w:t>
      </w:r>
    </w:p>
    <w:p w14:paraId="6CC81086">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否</w:t>
      </w:r>
    </w:p>
    <w:p w14:paraId="6177E5F7">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（1</w:t>
      </w:r>
      <w:r>
        <w:rPr>
          <w:rFonts w:hint="eastAsia" w:ascii="宋体" w:hAnsi="宋体" w:eastAsia="宋体" w:cs="宋体"/>
          <w:b w:val="0"/>
          <w:bCs w:val="0"/>
          <w:sz w:val="24"/>
          <w:szCs w:val="24"/>
          <w:highlight w:val="none"/>
          <w:u w:val="none"/>
          <w:lang w:val="en" w:eastAsia="zh-CN"/>
        </w:rPr>
        <w:t>0</w:t>
      </w:r>
      <w:r>
        <w:rPr>
          <w:rFonts w:hint="eastAsia" w:ascii="宋体" w:hAnsi="宋体" w:eastAsia="宋体" w:cs="宋体"/>
          <w:b w:val="0"/>
          <w:bCs w:val="0"/>
          <w:sz w:val="24"/>
          <w:szCs w:val="24"/>
          <w:highlight w:val="none"/>
          <w:u w:val="none"/>
          <w:lang w:val="en-US" w:eastAsia="zh-CN"/>
        </w:rPr>
        <w:t>）是否涉及节能产品：</w:t>
      </w:r>
    </w:p>
    <w:p w14:paraId="2FE55B36">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，《节能产品政府采购品目清单》的底级品目名称：</w:t>
      </w:r>
      <w:r>
        <w:rPr>
          <w:rFonts w:hint="eastAsia" w:ascii="宋体" w:hAnsi="宋体" w:eastAsia="宋体" w:cs="宋体"/>
          <w:iCs w:val="0"/>
          <w:sz w:val="24"/>
          <w:szCs w:val="24"/>
          <w:highlight w:val="none"/>
          <w:u w:val="single"/>
          <w:lang w:val="en-US" w:eastAsia="zh-CN"/>
        </w:rPr>
        <w:t>详见货物需求</w:t>
      </w:r>
      <w:r>
        <w:rPr>
          <w:rFonts w:hint="eastAsia" w:ascii="宋体" w:hAnsi="宋体" w:eastAsia="宋体" w:cs="宋体"/>
          <w:iCs/>
          <w:sz w:val="24"/>
          <w:szCs w:val="24"/>
          <w:highlight w:val="none"/>
          <w:lang w:val="en-US" w:eastAsia="zh-CN"/>
        </w:rPr>
        <w:t xml:space="preserve">     </w:t>
      </w:r>
    </w:p>
    <w:p w14:paraId="202DAAF1">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77F2AB18">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highlight w:val="none"/>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1CD7668C">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是否涉及环境标志产品：</w:t>
      </w:r>
    </w:p>
    <w:p w14:paraId="0ADBE5F7">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highlight w:val="none"/>
          <w:lang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，《环境标志产品政府采购品目清单》的底级品目名称：</w:t>
      </w:r>
      <w:r>
        <w:rPr>
          <w:rFonts w:hint="eastAsia" w:ascii="宋体" w:hAnsi="宋体" w:eastAsia="宋体" w:cs="宋体"/>
          <w:iCs w:val="0"/>
          <w:sz w:val="24"/>
          <w:szCs w:val="24"/>
          <w:highlight w:val="none"/>
          <w:u w:val="single"/>
          <w:lang w:val="en-US" w:eastAsia="zh-CN"/>
        </w:rPr>
        <w:t>详见货物需求</w:t>
      </w:r>
      <w:r>
        <w:rPr>
          <w:rFonts w:hint="eastAsia" w:ascii="宋体" w:hAnsi="宋体" w:eastAsia="宋体" w:cs="宋体"/>
          <w:iCs/>
          <w:sz w:val="24"/>
          <w:szCs w:val="24"/>
          <w:highlight w:val="none"/>
          <w:lang w:val="en-US" w:eastAsia="zh-CN"/>
        </w:rPr>
        <w:t xml:space="preserve"> </w:t>
      </w:r>
    </w:p>
    <w:p w14:paraId="3590B5D0">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5DB8381D">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67E3FB61">
      <w:pPr>
        <w:pStyle w:val="79"/>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kern w:val="2"/>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b w:val="0"/>
          <w:bCs w:val="0"/>
          <w:kern w:val="2"/>
          <w:sz w:val="24"/>
          <w:szCs w:val="24"/>
          <w:highlight w:val="none"/>
          <w:u w:val="none"/>
          <w:lang w:val="en-US" w:eastAsia="zh-CN"/>
        </w:rPr>
        <w:t>是否涉及绿色产品：</w:t>
      </w:r>
      <w:r>
        <w:rPr>
          <w:rFonts w:hint="eastAsia" w:ascii="宋体" w:hAnsi="宋体" w:eastAsia="宋体" w:cs="宋体"/>
          <w:iCs w:val="0"/>
          <w:kern w:val="2"/>
          <w:sz w:val="24"/>
          <w:szCs w:val="24"/>
          <w:highlight w:val="none"/>
          <w:u w:val="none"/>
          <w:lang w:val="en-US" w:eastAsia="zh-CN"/>
        </w:rPr>
        <w:t xml:space="preserve"> </w:t>
      </w:r>
    </w:p>
    <w:p w14:paraId="1C245CC0">
      <w:pPr>
        <w:pStyle w:val="79"/>
        <w:pageBreakBefore w:val="0"/>
        <w:kinsoku/>
        <w:wordWrap/>
        <w:overflowPunct/>
        <w:topLinePunct w:val="0"/>
        <w:bidi w:val="0"/>
        <w:spacing w:beforeLines="0" w:line="360" w:lineRule="auto"/>
        <w:ind w:firstLine="420" w:firstLineChars="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FE"/>
      </w:r>
      <w:r>
        <w:rPr>
          <w:rFonts w:hint="eastAsia" w:ascii="宋体" w:hAnsi="宋体" w:eastAsia="宋体" w:cs="宋体"/>
          <w:iCs w:val="0"/>
          <w:kern w:val="2"/>
          <w:sz w:val="24"/>
          <w:szCs w:val="24"/>
          <w:highlight w:val="none"/>
          <w:u w:val="none"/>
        </w:rPr>
        <w:t>是</w:t>
      </w:r>
      <w:r>
        <w:rPr>
          <w:rFonts w:hint="eastAsia" w:ascii="宋体" w:hAnsi="宋体" w:eastAsia="宋体" w:cs="宋体"/>
          <w:iCs w:val="0"/>
          <w:kern w:val="2"/>
          <w:sz w:val="24"/>
          <w:szCs w:val="24"/>
          <w:highlight w:val="none"/>
          <w:u w:val="none"/>
          <w:lang w:eastAsia="zh-CN"/>
        </w:rPr>
        <w:t>，绿色产品政府采购相关政策确定的底级品目名称：</w:t>
      </w:r>
      <w:r>
        <w:rPr>
          <w:rFonts w:hint="eastAsia" w:ascii="宋体" w:hAnsi="宋体" w:eastAsia="宋体" w:cs="宋体"/>
          <w:iCs w:val="0"/>
          <w:sz w:val="24"/>
          <w:szCs w:val="24"/>
          <w:highlight w:val="none"/>
          <w:u w:val="single"/>
          <w:lang w:val="en-US" w:eastAsia="zh-CN"/>
        </w:rPr>
        <w:t>详见货物需求</w:t>
      </w:r>
    </w:p>
    <w:p w14:paraId="13DFD9E9">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66F830F9">
      <w:pPr>
        <w:pStyle w:val="79"/>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A8"/>
      </w:r>
      <w:r>
        <w:rPr>
          <w:rFonts w:hint="eastAsia" w:ascii="宋体" w:hAnsi="宋体" w:eastAsia="宋体" w:cs="宋体"/>
          <w:iCs w:val="0"/>
          <w:kern w:val="2"/>
          <w:sz w:val="24"/>
          <w:szCs w:val="24"/>
          <w:highlight w:val="none"/>
          <w:u w:val="none"/>
        </w:rPr>
        <w:t>否</w:t>
      </w:r>
    </w:p>
    <w:p w14:paraId="6DFFCFBC">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lang w:val="en" w:eastAsia="zh-CN"/>
        </w:rPr>
        <w:t>1</w:t>
      </w:r>
      <w:r>
        <w:rPr>
          <w:rFonts w:hint="eastAsia" w:ascii="宋体" w:hAnsi="宋体" w:eastAsia="宋体" w:cs="宋体"/>
          <w:sz w:val="24"/>
          <w:szCs w:val="24"/>
          <w:highlight w:val="none"/>
          <w:lang w:val="en-US" w:eastAsia="zh-CN"/>
        </w:rPr>
        <w:t>）涉及商品包装和快递包装的，是否参考</w:t>
      </w:r>
      <w:r>
        <w:rPr>
          <w:rFonts w:hint="eastAsia" w:ascii="宋体" w:hAnsi="宋体" w:eastAsia="宋体" w:cs="宋体"/>
          <w:sz w:val="24"/>
          <w:szCs w:val="24"/>
          <w:highlight w:val="none"/>
        </w:rPr>
        <w:t>《商品包装政府采购需求标准（试行）》、《快递包装政府采购需求标准（试行）》</w:t>
      </w:r>
      <w:r>
        <w:rPr>
          <w:rFonts w:hint="eastAsia" w:ascii="宋体" w:hAnsi="宋体" w:eastAsia="宋体" w:cs="宋体"/>
          <w:sz w:val="24"/>
          <w:szCs w:val="24"/>
          <w:highlight w:val="none"/>
          <w:lang w:eastAsia="zh-CN"/>
        </w:rPr>
        <w:t>明确产品及相关快递服务的具体包装要求：</w:t>
      </w:r>
    </w:p>
    <w:p w14:paraId="7AA6DC59">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rPr>
        <w:t xml:space="preserve">是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不涉及</w:t>
      </w:r>
    </w:p>
    <w:p w14:paraId="6987F227">
      <w:pPr>
        <w:pageBreakBefore w:val="0"/>
        <w:numPr>
          <w:ilvl w:val="0"/>
          <w:numId w:val="1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2D4516E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52E72424">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DFD264A">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分包金额</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923434C">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290618F">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（注：固定单价合同应填写单价和最高限价）</w:t>
      </w:r>
    </w:p>
    <w:p w14:paraId="5B691046">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10B8C0D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固定费率</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绩效激励</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其他</w:t>
      </w:r>
      <w:r>
        <w:rPr>
          <w:rFonts w:hint="eastAsia" w:ascii="宋体" w:hAnsi="宋体" w:eastAsia="宋体" w:cs="宋体"/>
          <w:sz w:val="24"/>
          <w:szCs w:val="24"/>
          <w:highlight w:val="none"/>
          <w:u w:val="single"/>
        </w:rPr>
        <w:t xml:space="preserve">       </w:t>
      </w:r>
    </w:p>
    <w:p w14:paraId="49F2519B">
      <w:pPr>
        <w:pStyle w:val="80"/>
        <w:pageBreakBefore w:val="0"/>
        <w:kinsoku/>
        <w:wordWrap/>
        <w:overflowPunct/>
        <w:topLinePunct w:val="0"/>
        <w:bidi w:val="0"/>
        <w:spacing w:beforeLines="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）付款方式（按项目实际勾选填写）：</w:t>
      </w:r>
    </w:p>
    <w:p w14:paraId="3073E500">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w:t>
      </w:r>
      <w:r>
        <w:rPr>
          <w:rFonts w:hint="eastAsia" w:ascii="宋体" w:hAnsi="宋体" w:eastAsia="宋体" w:cs="宋体"/>
          <w:sz w:val="24"/>
          <w:szCs w:val="24"/>
          <w:highlight w:val="none"/>
          <w:u w:val="single"/>
          <w:lang w:eastAsia="zh-CN"/>
        </w:rPr>
        <w:t>明确</w:t>
      </w:r>
      <w:r>
        <w:rPr>
          <w:rFonts w:hint="eastAsia" w:ascii="宋体" w:hAnsi="宋体" w:eastAsia="宋体" w:cs="宋体"/>
          <w:sz w:val="24"/>
          <w:szCs w:val="24"/>
          <w:highlight w:val="none"/>
          <w:u w:val="single"/>
        </w:rPr>
        <w:t>一次性支付合同款项</w:t>
      </w:r>
      <w:r>
        <w:rPr>
          <w:rFonts w:hint="eastAsia" w:ascii="宋体" w:hAnsi="宋体" w:eastAsia="宋体" w:cs="宋体"/>
          <w:sz w:val="24"/>
          <w:szCs w:val="24"/>
          <w:highlight w:val="none"/>
          <w:u w:val="single"/>
          <w:lang w:eastAsia="zh-CN"/>
        </w:rPr>
        <w:t>的条件</w:t>
      </w:r>
      <w:r>
        <w:rPr>
          <w:rFonts w:hint="eastAsia" w:ascii="宋体" w:hAnsi="宋体" w:eastAsia="宋体" w:cs="宋体"/>
          <w:sz w:val="24"/>
          <w:szCs w:val="24"/>
          <w:highlight w:val="none"/>
          <w:u w:val="single"/>
        </w:rPr>
        <w:t xml:space="preserve">）                    </w:t>
      </w:r>
    </w:p>
    <w:p w14:paraId="628EBB43">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分期付款：</w:t>
      </w:r>
      <w:r>
        <w:rPr>
          <w:rFonts w:hint="eastAsia" w:ascii="宋体" w:hAnsi="宋体" w:eastAsia="宋体" w:cs="宋体"/>
          <w:b w:val="0"/>
          <w:color w:val="auto"/>
          <w:sz w:val="24"/>
          <w:highlight w:val="none"/>
          <w:u w:val="single"/>
        </w:rPr>
        <w:t>合同签订生效并具备实施条件后5个工作日内</w:t>
      </w:r>
      <w:r>
        <w:rPr>
          <w:rFonts w:hint="eastAsia" w:ascii="宋体" w:hAnsi="宋体" w:eastAsia="宋体" w:cs="宋体"/>
          <w:b w:val="0"/>
          <w:color w:val="auto"/>
          <w:sz w:val="24"/>
          <w:highlight w:val="none"/>
          <w:u w:val="single"/>
          <w:lang w:val="en-US" w:eastAsia="zh-CN"/>
        </w:rPr>
        <w:t>支付合同价的40%预付款，供货及安装调试完成后付至合同价的50%，试运行合格后付至合同价的80%，验收合格后付至合同价的100%。</w:t>
      </w:r>
    </w:p>
    <w:p w14:paraId="4BAE3355">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其中涉及预付款的</w:t>
      </w:r>
      <w:r>
        <w:rPr>
          <w:rFonts w:hint="eastAsia" w:ascii="宋体" w:hAnsi="宋体" w:eastAsia="宋体" w:cs="宋体"/>
          <w:sz w:val="24"/>
          <w:szCs w:val="24"/>
          <w:highlight w:val="none"/>
        </w:rPr>
        <w:t>：</w:t>
      </w:r>
      <w:r>
        <w:rPr>
          <w:rFonts w:hint="eastAsia" w:ascii="宋体" w:hAnsi="宋体" w:eastAsia="宋体" w:cs="宋体"/>
          <w:b w:val="0"/>
          <w:color w:val="auto"/>
          <w:sz w:val="24"/>
          <w:highlight w:val="none"/>
          <w:u w:val="single"/>
        </w:rPr>
        <w:t>合同签订生效并具备实施条件后5个工作日内</w:t>
      </w:r>
      <w:r>
        <w:rPr>
          <w:rFonts w:hint="eastAsia" w:ascii="宋体" w:hAnsi="宋体" w:eastAsia="宋体" w:cs="宋体"/>
          <w:b w:val="0"/>
          <w:color w:val="auto"/>
          <w:sz w:val="24"/>
          <w:highlight w:val="none"/>
          <w:u w:val="single"/>
          <w:lang w:val="en-US" w:eastAsia="zh-CN"/>
        </w:rPr>
        <w:t>支付合同价的40%预付款</w:t>
      </w:r>
      <w:r>
        <w:rPr>
          <w:rFonts w:hint="eastAsia" w:ascii="宋体" w:hAnsi="宋体" w:eastAsia="宋体" w:cs="宋体"/>
          <w:sz w:val="24"/>
          <w:szCs w:val="24"/>
          <w:highlight w:val="none"/>
          <w:u w:val="single"/>
        </w:rPr>
        <w:t>（预付款支付前，中标人须提供同等金额的见索即付保函）</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 xml:space="preserve"> </w:t>
      </w:r>
    </w:p>
    <w:p w14:paraId="61570E36">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644E4F80">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1FA2E982">
      <w:pPr>
        <w:pageBreakBefore w:val="0"/>
        <w:numPr>
          <w:ilvl w:val="0"/>
          <w:numId w:val="1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54972DD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1685A4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lang w:val="en-US" w:eastAsia="zh-CN"/>
        </w:rPr>
        <w:t>甲方指定地点</w:t>
      </w:r>
    </w:p>
    <w:p w14:paraId="55D9266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否</w:t>
      </w:r>
    </w:p>
    <w:p w14:paraId="3AF638C1">
      <w:pPr>
        <w:pStyle w:val="79"/>
        <w:pageBreakBefore w:val="0"/>
        <w:kinsoku/>
        <w:wordWrap/>
        <w:overflowPunct/>
        <w:topLinePunct w:val="0"/>
        <w:bidi w:val="0"/>
        <w:spacing w:beforeLines="0" w:line="360" w:lineRule="auto"/>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sz w:val="24"/>
          <w:szCs w:val="24"/>
          <w:highlight w:val="none"/>
          <w:lang w:val="en-US" w:eastAsia="zh-CN"/>
        </w:rPr>
        <w:t xml:space="preserve">  收取履约保证金形式：</w:t>
      </w:r>
      <w:r>
        <w:rPr>
          <w:rFonts w:hint="eastAsia" w:ascii="宋体" w:hAnsi="宋体" w:eastAsia="宋体" w:cs="宋体"/>
          <w:sz w:val="24"/>
          <w:szCs w:val="24"/>
          <w:highlight w:val="none"/>
          <w:u w:val="single"/>
          <w:lang w:val="en-US" w:eastAsia="zh-CN"/>
        </w:rPr>
        <w:t>若乙方以保函（或保险）的形式递交履约担保，则</w:t>
      </w:r>
      <w:r>
        <w:rPr>
          <w:rFonts w:hint="eastAsia" w:ascii="宋体" w:hAnsi="宋体" w:eastAsia="宋体" w:cs="宋体"/>
          <w:kern w:val="2"/>
          <w:sz w:val="24"/>
          <w:szCs w:val="24"/>
          <w:highlight w:val="none"/>
          <w:u w:val="single"/>
          <w:lang w:val="en-US" w:eastAsia="zh-CN" w:bidi="ar-SA"/>
        </w:rPr>
        <w:t>乙方须对其提供的保函（或保险）合法性和有效性负责，因保函失效造成的损失均由乙方自行承担。</w:t>
      </w:r>
    </w:p>
    <w:p w14:paraId="27BC6525">
      <w:pPr>
        <w:pStyle w:val="79"/>
        <w:pageBreakBefore w:val="0"/>
        <w:kinsoku/>
        <w:wordWrap/>
        <w:overflowPunct/>
        <w:topLinePunct w:val="0"/>
        <w:bidi w:val="0"/>
        <w:spacing w:before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收取履约保证金金额：</w:t>
      </w:r>
      <w:r>
        <w:rPr>
          <w:rFonts w:hint="eastAsia" w:ascii="宋体" w:hAnsi="宋体" w:eastAsia="宋体" w:cs="宋体"/>
          <w:bCs/>
          <w:color w:val="auto"/>
          <w:kern w:val="0"/>
          <w:sz w:val="24"/>
          <w:szCs w:val="28"/>
          <w:highlight w:val="none"/>
          <w:u w:val="single"/>
        </w:rPr>
        <w:t>合同价的</w:t>
      </w:r>
      <w:r>
        <w:rPr>
          <w:rFonts w:hint="eastAsia" w:ascii="宋体" w:hAnsi="宋体" w:eastAsia="宋体" w:cs="宋体"/>
          <w:bCs/>
          <w:color w:val="auto"/>
          <w:kern w:val="0"/>
          <w:sz w:val="24"/>
          <w:szCs w:val="28"/>
          <w:highlight w:val="none"/>
          <w:u w:val="single"/>
          <w:lang w:val="en-US" w:eastAsia="zh-CN"/>
        </w:rPr>
        <w:t>2.5</w:t>
      </w:r>
      <w:r>
        <w:rPr>
          <w:rFonts w:hint="eastAsia" w:ascii="宋体" w:hAnsi="宋体" w:eastAsia="宋体" w:cs="宋体"/>
          <w:bCs/>
          <w:color w:val="auto"/>
          <w:kern w:val="0"/>
          <w:sz w:val="24"/>
          <w:szCs w:val="28"/>
          <w:highlight w:val="none"/>
          <w:u w:val="single"/>
        </w:rPr>
        <w:t>%</w:t>
      </w:r>
    </w:p>
    <w:p w14:paraId="1F76B200">
      <w:pPr>
        <w:pageBreakBefore w:val="0"/>
        <w:kinsoku/>
        <w:wordWrap/>
        <w:overflowPunct/>
        <w:topLinePunct w:val="0"/>
        <w:bidi w:val="0"/>
        <w:snapToGrid w:val="0"/>
        <w:spacing w:beforeLines="0" w:line="360" w:lineRule="auto"/>
        <w:ind w:firstLine="480" w:firstLineChars="200"/>
        <w:textAlignment w:val="auto"/>
        <w:rPr>
          <w:rFonts w:hint="eastAsia" w:ascii="宋体" w:hAnsi="宋体" w:eastAsia="宋体" w:cs="宋体"/>
          <w:bCs/>
          <w:color w:val="auto"/>
          <w:kern w:val="0"/>
          <w:sz w:val="24"/>
          <w:szCs w:val="28"/>
          <w:highlight w:val="none"/>
          <w:u w:val="single"/>
          <w:lang w:val="en-US" w:eastAsia="zh-CN" w:bidi="ar-SA"/>
        </w:rPr>
      </w:pPr>
      <w:r>
        <w:rPr>
          <w:rFonts w:hint="eastAsia" w:ascii="宋体" w:hAnsi="宋体" w:eastAsia="宋体" w:cs="宋体"/>
          <w:bCs/>
          <w:sz w:val="24"/>
          <w:szCs w:val="24"/>
          <w:highlight w:val="none"/>
          <w:u w:val="none"/>
          <w:lang w:val="en-US" w:eastAsia="zh-CN"/>
        </w:rPr>
        <w:t xml:space="preserve">    履约担保期限</w:t>
      </w:r>
      <w:r>
        <w:rPr>
          <w:rFonts w:hint="eastAsia" w:ascii="宋体" w:hAnsi="宋体" w:eastAsia="宋体" w:cs="宋体"/>
          <w:bCs/>
          <w:sz w:val="24"/>
          <w:szCs w:val="24"/>
          <w:highlight w:val="none"/>
          <w:u w:val="none"/>
          <w:lang w:eastAsia="zh-CN"/>
        </w:rPr>
        <w:t>：</w:t>
      </w:r>
      <w:r>
        <w:rPr>
          <w:rFonts w:hint="eastAsia" w:ascii="宋体" w:hAnsi="宋体" w:eastAsia="宋体" w:cs="宋体"/>
          <w:bCs/>
          <w:color w:val="auto"/>
          <w:kern w:val="0"/>
          <w:sz w:val="24"/>
          <w:szCs w:val="28"/>
          <w:highlight w:val="none"/>
          <w:u w:val="single"/>
          <w:lang w:val="en-US" w:eastAsia="zh-CN" w:bidi="ar-SA"/>
        </w:rPr>
        <w:t>有效期为自合同签订之日起至本项目验收合格之日止。</w:t>
      </w:r>
    </w:p>
    <w:p w14:paraId="2EEE624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7EFB122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风险处置措施和替代方案</w:t>
      </w:r>
      <w:r>
        <w:rPr>
          <w:rFonts w:hint="eastAsia" w:ascii="宋体" w:hAnsi="宋体" w:eastAsia="宋体" w:cs="宋体"/>
          <w:bCs/>
          <w:sz w:val="24"/>
          <w:szCs w:val="24"/>
          <w:highlight w:val="none"/>
        </w:rPr>
        <w:t>：</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z w:val="24"/>
          <w:szCs w:val="24"/>
          <w:highlight w:val="none"/>
          <w:u w:val="single"/>
        </w:rPr>
        <w:t xml:space="preserve">                                                </w:t>
      </w:r>
    </w:p>
    <w:p w14:paraId="545EF327">
      <w:pPr>
        <w:pageBreakBefore w:val="0"/>
        <w:numPr>
          <w:ilvl w:val="0"/>
          <w:numId w:val="1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32973BB9">
      <w:pPr>
        <w:pageBreakBefore w:val="0"/>
        <w:numPr>
          <w:ilvl w:val="0"/>
          <w:numId w:val="15"/>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66C9B091">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lang w:val="en-US" w:eastAsia="zh-CN"/>
        </w:rPr>
        <w:t>甲方及甲方邀请的专家</w:t>
      </w:r>
    </w:p>
    <w:p w14:paraId="15EE32AE">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是否邀请本项目的其他供应商</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4D87A22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27AF6A34">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01033D9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3F5A4402">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73117411">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val="en-US" w:eastAsia="zh-CN"/>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lang w:eastAsia="zh-CN"/>
        </w:rPr>
        <w:t>（应明确对被破坏的检测产品的处理方式）</w:t>
      </w:r>
    </w:p>
    <w:p w14:paraId="63128CFF">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6B824216">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lang w:val="en-US" w:eastAsia="zh-CN"/>
        </w:rPr>
        <w:t>/</w:t>
      </w:r>
    </w:p>
    <w:p w14:paraId="038AE4E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供应商提出验收申请之日起</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日内组织验收</w:t>
      </w:r>
      <w:r>
        <w:rPr>
          <w:rFonts w:hint="eastAsia" w:ascii="宋体" w:hAnsi="宋体" w:eastAsia="宋体" w:cs="宋体"/>
          <w:bCs/>
          <w:sz w:val="24"/>
          <w:szCs w:val="24"/>
          <w:highlight w:val="none"/>
          <w:u w:val="single"/>
          <w:lang w:val="en-US" w:eastAsia="zh-CN"/>
        </w:rPr>
        <w:t xml:space="preserve"> </w:t>
      </w:r>
    </w:p>
    <w:p w14:paraId="1F52C81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一次性验收         </w:t>
      </w:r>
    </w:p>
    <w:p w14:paraId="4142C1DB">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lang w:eastAsia="zh-CN"/>
        </w:rPr>
        <w:t>（应明确分期</w:t>
      </w:r>
      <w:r>
        <w:rPr>
          <w:rFonts w:hint="eastAsia" w:ascii="宋体" w:hAnsi="宋体" w:eastAsia="宋体" w:cs="宋体"/>
          <w:bCs/>
          <w:sz w:val="24"/>
          <w:szCs w:val="24"/>
          <w:highlight w:val="none"/>
          <w:u w:val="single"/>
          <w:lang w:val="en" w:eastAsia="zh-CN"/>
        </w:rPr>
        <w:t>/分项验收的工作安排</w:t>
      </w:r>
      <w:r>
        <w:rPr>
          <w:rFonts w:hint="eastAsia" w:ascii="宋体" w:hAnsi="宋体" w:eastAsia="宋体" w:cs="宋体"/>
          <w:bCs/>
          <w:sz w:val="24"/>
          <w:szCs w:val="24"/>
          <w:highlight w:val="none"/>
          <w:u w:val="singl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p>
    <w:p w14:paraId="33867EE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详见招标文件第三章采购需求相关内容</w:t>
      </w:r>
    </w:p>
    <w:p w14:paraId="42DE186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lang w:val="en-US" w:eastAsia="zh-CN"/>
        </w:rPr>
        <w:t>详见招标文件第三章采购需求相关内容</w:t>
      </w:r>
      <w:r>
        <w:rPr>
          <w:rFonts w:hint="eastAsia" w:ascii="宋体" w:hAnsi="宋体" w:eastAsia="宋体" w:cs="宋体"/>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highlight w:val="none"/>
          <w:u w:val="single"/>
        </w:rPr>
        <w:t xml:space="preserve">                                      </w:t>
      </w:r>
    </w:p>
    <w:p w14:paraId="18AC3A9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lang w:val="en-US" w:eastAsia="zh-CN"/>
        </w:rPr>
        <w:t>详见招标文件第三章采购需求相关内容</w:t>
      </w:r>
    </w:p>
    <w:p w14:paraId="355C67D8">
      <w:pPr>
        <w:pStyle w:val="79"/>
        <w:pageBreakBefore w:val="0"/>
        <w:kinsoku/>
        <w:wordWrap/>
        <w:overflowPunct/>
        <w:topLinePunct w:val="0"/>
        <w:bidi w:val="0"/>
        <w:spacing w:beforeLines="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none"/>
          <w:lang w:val="en-US" w:eastAsia="zh-CN"/>
        </w:rPr>
        <w:t>7</w:t>
      </w:r>
      <w:r>
        <w:rPr>
          <w:rFonts w:hint="eastAsia" w:ascii="宋体" w:hAnsi="宋体" w:eastAsia="宋体" w:cs="宋体"/>
          <w:bCs/>
          <w:sz w:val="24"/>
          <w:szCs w:val="24"/>
          <w:highlight w:val="none"/>
          <w:u w:val="none"/>
          <w:lang w:eastAsia="zh-CN"/>
        </w:rPr>
        <w:t>）是否以采购活动中供应商提供的样品作为参考：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593550B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lang w:val="en-US" w:eastAsia="zh-CN"/>
        </w:rPr>
        <w:t>详见招标文件第三章采购需求相关内容</w:t>
      </w:r>
    </w:p>
    <w:p w14:paraId="336D8089">
      <w:pPr>
        <w:pageBreakBefore w:val="0"/>
        <w:numPr>
          <w:ilvl w:val="0"/>
          <w:numId w:val="1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22AFD85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1DA0382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E62B8B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03FDA17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423F9E4E">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6FAF765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7801592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1E93157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60AE4A4D">
      <w:pPr>
        <w:pStyle w:val="79"/>
        <w:pageBreakBefore w:val="0"/>
        <w:kinsoku/>
        <w:wordWrap/>
        <w:overflowPunct/>
        <w:topLinePunct w:val="0"/>
        <w:bidi w:val="0"/>
        <w:spacing w:beforeLines="0"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31DF2AF4">
      <w:pPr>
        <w:pageBreakBefore w:val="0"/>
        <w:numPr>
          <w:ilvl w:val="0"/>
          <w:numId w:val="1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7191BD4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双方加盖印章之后             </w:t>
      </w:r>
      <w:r>
        <w:rPr>
          <w:rFonts w:hint="eastAsia" w:ascii="宋体" w:hAnsi="宋体" w:eastAsia="宋体" w:cs="宋体"/>
          <w:sz w:val="24"/>
          <w:szCs w:val="24"/>
          <w:highlight w:val="none"/>
        </w:rPr>
        <w:t>生效。</w:t>
      </w:r>
    </w:p>
    <w:p w14:paraId="4157E44A">
      <w:pPr>
        <w:pageBreakBefore w:val="0"/>
        <w:numPr>
          <w:ilvl w:val="0"/>
          <w:numId w:val="1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6E6478E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lang w:val="en-US" w:eastAsia="zh-CN"/>
        </w:rPr>
        <w:t>叁</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lang w:val="en-US" w:eastAsia="zh-CN"/>
        </w:rPr>
        <w:t>叁</w:t>
      </w:r>
      <w:r>
        <w:rPr>
          <w:rFonts w:hint="eastAsia" w:ascii="宋体" w:hAnsi="宋体" w:eastAsia="宋体" w:cs="宋体"/>
          <w:sz w:val="24"/>
          <w:szCs w:val="24"/>
          <w:highlight w:val="none"/>
        </w:rPr>
        <w:t>份，均具有同等法律效力。</w:t>
      </w:r>
    </w:p>
    <w:p w14:paraId="3F0217F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2C5DA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lang w:val="en-US" w:eastAsia="zh-CN"/>
        </w:rPr>
        <w:t>滁州市数据资源管理局</w:t>
      </w:r>
    </w:p>
    <w:p w14:paraId="69EC00B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附件：具体标</w:t>
      </w:r>
      <w:r>
        <w:rPr>
          <w:rFonts w:hint="eastAsia" w:ascii="宋体" w:hAnsi="宋体" w:eastAsia="宋体" w:cs="宋体"/>
          <w:sz w:val="24"/>
          <w:szCs w:val="24"/>
          <w:highlight w:val="none"/>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highlight w:val="none"/>
        </w:rPr>
        <w:t>等。</w:t>
      </w:r>
    </w:p>
    <w:p w14:paraId="38211B80">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9589E25">
      <w:pPr>
        <w:pStyle w:val="8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tbl>
      <w:tblPr>
        <w:tblStyle w:val="3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9"/>
        <w:gridCol w:w="2412"/>
        <w:gridCol w:w="1979"/>
        <w:gridCol w:w="2118"/>
      </w:tblGrid>
      <w:tr w14:paraId="25E5AC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43E9960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505C71B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53D2E5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D11858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EE2D90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56E3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59" w:type="pct"/>
            <w:tcBorders>
              <w:top w:val="single" w:color="auto" w:sz="2" w:space="0"/>
              <w:left w:val="single" w:color="auto" w:sz="2" w:space="0"/>
              <w:bottom w:val="single" w:color="auto" w:sz="2" w:space="0"/>
            </w:tcBorders>
            <w:vAlign w:val="center"/>
          </w:tcPr>
          <w:p w14:paraId="3D8365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92C30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774A46C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746D3BFE">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4BDEF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5802BA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A41CE8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4BE1919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454AA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577E92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3E430D8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BF6191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40139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506FA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D50B5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D672B2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滁州市龙蟠大道99号</w:t>
            </w:r>
          </w:p>
        </w:tc>
        <w:tc>
          <w:tcPr>
            <w:tcW w:w="1178" w:type="pct"/>
            <w:tcBorders>
              <w:top w:val="single" w:color="auto" w:sz="2" w:space="0"/>
              <w:left w:val="single" w:color="auto" w:sz="2" w:space="0"/>
              <w:bottom w:val="single" w:color="auto" w:sz="2" w:space="0"/>
              <w:right w:val="single" w:color="auto" w:sz="2" w:space="0"/>
            </w:tcBorders>
            <w:vAlign w:val="center"/>
          </w:tcPr>
          <w:p w14:paraId="71F945B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2EDD557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BA510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7F06A2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4D3ED6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冯玮</w:t>
            </w:r>
          </w:p>
        </w:tc>
        <w:tc>
          <w:tcPr>
            <w:tcW w:w="1178" w:type="pct"/>
            <w:tcBorders>
              <w:top w:val="single" w:color="auto" w:sz="2" w:space="0"/>
              <w:left w:val="single" w:color="auto" w:sz="2" w:space="0"/>
              <w:bottom w:val="single" w:color="auto" w:sz="2" w:space="0"/>
              <w:right w:val="single" w:color="auto" w:sz="2" w:space="0"/>
            </w:tcBorders>
            <w:vAlign w:val="center"/>
          </w:tcPr>
          <w:p w14:paraId="1CA82F6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272BF2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909A0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8BD45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7A3EF0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0550-3518563</w:t>
            </w:r>
          </w:p>
        </w:tc>
        <w:tc>
          <w:tcPr>
            <w:tcW w:w="1178" w:type="pct"/>
            <w:tcBorders>
              <w:top w:val="single" w:color="auto" w:sz="2" w:space="0"/>
              <w:left w:val="single" w:color="auto" w:sz="2" w:space="0"/>
              <w:bottom w:val="single" w:color="auto" w:sz="2" w:space="0"/>
              <w:right w:val="single" w:color="auto" w:sz="2" w:space="0"/>
            </w:tcBorders>
            <w:vAlign w:val="center"/>
          </w:tcPr>
          <w:p w14:paraId="01CC09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BDC7FA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8921F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9E801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BF640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滁州市龙蟠大道99号</w:t>
            </w:r>
          </w:p>
        </w:tc>
        <w:tc>
          <w:tcPr>
            <w:tcW w:w="1178" w:type="pct"/>
            <w:tcBorders>
              <w:top w:val="single" w:color="auto" w:sz="2" w:space="0"/>
              <w:left w:val="single" w:color="auto" w:sz="2" w:space="0"/>
              <w:bottom w:val="single" w:color="auto" w:sz="2" w:space="0"/>
              <w:right w:val="single" w:color="auto" w:sz="2" w:space="0"/>
            </w:tcBorders>
            <w:vAlign w:val="center"/>
          </w:tcPr>
          <w:p w14:paraId="0726C01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5D312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CEBB1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AC5967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29B39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239000</w:t>
            </w:r>
          </w:p>
        </w:tc>
        <w:tc>
          <w:tcPr>
            <w:tcW w:w="1178" w:type="pct"/>
            <w:tcBorders>
              <w:top w:val="single" w:color="auto" w:sz="2" w:space="0"/>
              <w:left w:val="single" w:color="auto" w:sz="2" w:space="0"/>
              <w:bottom w:val="single" w:color="auto" w:sz="2" w:space="0"/>
              <w:right w:val="single" w:color="auto" w:sz="2" w:space="0"/>
            </w:tcBorders>
            <w:vAlign w:val="center"/>
          </w:tcPr>
          <w:p w14:paraId="26C6CB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37260AC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ECDA9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30966A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14A0A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178" w:type="pct"/>
            <w:tcBorders>
              <w:top w:val="single" w:color="auto" w:sz="2" w:space="0"/>
              <w:left w:val="single" w:color="auto" w:sz="2" w:space="0"/>
              <w:bottom w:val="single" w:color="auto" w:sz="2" w:space="0"/>
              <w:right w:val="single" w:color="auto" w:sz="2" w:space="0"/>
            </w:tcBorders>
            <w:vAlign w:val="center"/>
          </w:tcPr>
          <w:p w14:paraId="10A0435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592205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A9E8B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3C39F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EE4EF0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11341100MB1912159H </w:t>
            </w:r>
          </w:p>
        </w:tc>
        <w:tc>
          <w:tcPr>
            <w:tcW w:w="1178" w:type="pct"/>
            <w:tcBorders>
              <w:top w:val="single" w:color="auto" w:sz="2" w:space="0"/>
              <w:left w:val="single" w:color="auto" w:sz="2" w:space="0"/>
              <w:bottom w:val="single" w:color="auto" w:sz="2" w:space="0"/>
              <w:right w:val="single" w:color="auto" w:sz="2" w:space="0"/>
            </w:tcBorders>
            <w:vAlign w:val="center"/>
          </w:tcPr>
          <w:p w14:paraId="2DB54DB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206723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924BB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6B9B60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58F79E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BE051F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2AA4851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DEB30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E7B5C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1A404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E621B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685D3FC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16F2F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01C0B5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5EB067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29E84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51F4077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500EE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3F45ACF">
            <w:pPr>
              <w:pStyle w:val="14"/>
              <w:pageBreakBefore w:val="0"/>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注：涉及联合体或其他合同主体的信息应按上表格式加列。</w:t>
            </w:r>
          </w:p>
        </w:tc>
      </w:tr>
    </w:tbl>
    <w:p w14:paraId="38887577">
      <w:pPr>
        <w:pStyle w:val="4"/>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br w:type="page"/>
      </w:r>
      <w:bookmarkStart w:id="163" w:name="_Toc27624"/>
      <w:r>
        <w:rPr>
          <w:rFonts w:hint="eastAsia" w:ascii="宋体" w:hAnsi="宋体" w:eastAsia="宋体" w:cs="宋体"/>
          <w:b/>
          <w:bCs w:val="0"/>
          <w:color w:val="000000" w:themeColor="text1"/>
          <w:kern w:val="2"/>
          <w:sz w:val="24"/>
          <w:szCs w:val="20"/>
          <w:highlight w:val="none"/>
          <w:lang w:val="en-US" w:eastAsia="zh-CN" w:bidi="ar-SA"/>
          <w14:textFill>
            <w14:solidFill>
              <w14:schemeClr w14:val="tx1"/>
            </w14:solidFill>
          </w14:textFill>
        </w:rPr>
        <w:t>第二节 政府采购合同通用条款</w:t>
      </w:r>
      <w:bookmarkEnd w:id="163"/>
    </w:p>
    <w:p w14:paraId="3247948E">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7B6898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4CE6D43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4116421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12AF18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宋体" w:hAnsi="宋体" w:eastAsia="宋体" w:cs="宋体"/>
          <w:color w:val="auto"/>
          <w:sz w:val="24"/>
          <w:szCs w:val="24"/>
          <w:highlight w:val="none"/>
        </w:rPr>
        <w:t>。</w:t>
      </w:r>
    </w:p>
    <w:p w14:paraId="39E4A63F">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EBE85E1">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themeColor="text1"/>
          <w:sz w:val="24"/>
          <w:szCs w:val="24"/>
          <w:highlight w:val="none"/>
          <w14:textFill>
            <w14:solidFill>
              <w14:schemeClr w14:val="tx1"/>
            </w14:solidFill>
          </w14:textFill>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4B244BA">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4B7CD59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28E2ADA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4"/>
          <w:szCs w:val="24"/>
          <w:highlight w:val="none"/>
          <w14:textFill>
            <w14:solidFill>
              <w14:schemeClr w14:val="tx1"/>
            </w14:solidFill>
          </w14:textFill>
        </w:rPr>
        <w:t>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7E135F4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）“分包”系指中标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38169437">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7158C1A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74FD2D96">
      <w:pPr>
        <w:pageBreakBefore w:val="0"/>
        <w:numPr>
          <w:ilvl w:val="0"/>
          <w:numId w:val="1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2483158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32F9B80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履行合同的时间、地点和方式</w:t>
      </w:r>
    </w:p>
    <w:p w14:paraId="120E87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2DD28991">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甲方的权利和义务</w:t>
      </w:r>
    </w:p>
    <w:p w14:paraId="55A2DB1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签署合同后，甲方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02A1A48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01F5AD3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15A9AB63">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视为验收通过。</w:t>
      </w:r>
    </w:p>
    <w:p w14:paraId="5C77C12F">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时向乙方支付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74F906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lang w:eastAsia="zh-CN"/>
          <w14:textFill>
            <w14:solidFill>
              <w14:schemeClr w14:val="tx1"/>
            </w14:solidFill>
          </w14:textFill>
        </w:rPr>
        <w:t>约定应</w:t>
      </w:r>
      <w:r>
        <w:rPr>
          <w:rFonts w:hint="eastAsia" w:ascii="宋体" w:hAnsi="宋体" w:eastAsia="宋体" w:cs="宋体"/>
          <w:color w:val="000000" w:themeColor="text1"/>
          <w:sz w:val="24"/>
          <w:szCs w:val="24"/>
          <w:highlight w:val="none"/>
          <w14:textFill>
            <w14:solidFill>
              <w14:schemeClr w14:val="tx1"/>
            </w14:solidFill>
          </w14:textFill>
        </w:rPr>
        <w:t>由甲方承担的其他义务和责任。</w:t>
      </w:r>
    </w:p>
    <w:p w14:paraId="16DF4A5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乙方的权利和义务</w:t>
      </w:r>
    </w:p>
    <w:p w14:paraId="6E75D59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签署合同后，乙方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w:t>
      </w:r>
    </w:p>
    <w:p w14:paraId="29C2B01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p>
    <w:p w14:paraId="573AF3D9">
      <w:pPr>
        <w:pStyle w:val="13"/>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z w:val="24"/>
          <w:szCs w:val="24"/>
          <w:highlight w:val="none"/>
          <w14:textFill>
            <w14:solidFill>
              <w14:schemeClr w14:val="tx1"/>
            </w14:solidFill>
          </w14:textFill>
        </w:rPr>
        <w:t>。</w:t>
      </w:r>
    </w:p>
    <w:p w14:paraId="04354202">
      <w:pPr>
        <w:pStyle w:val="13"/>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themeColor="text1"/>
          <w:sz w:val="24"/>
          <w:szCs w:val="24"/>
          <w:highlight w:val="none"/>
          <w14:textFill>
            <w14:solidFill>
              <w14:schemeClr w14:val="tx1"/>
            </w14:solidFill>
          </w14:textFill>
        </w:rPr>
        <w:t>由乙方承担的其他义务和责任。</w:t>
      </w:r>
    </w:p>
    <w:p w14:paraId="5B0EFB18">
      <w:pPr>
        <w:pageBreakBefore w:val="0"/>
        <w:numPr>
          <w:ilvl w:val="0"/>
          <w:numId w:val="17"/>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w:t>
      </w:r>
    </w:p>
    <w:p w14:paraId="580BD7D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1EE35F5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C0C1CE0">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20A428A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0001788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14:paraId="706BCED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3ADA57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7CA0FE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535EB57D">
      <w:pPr>
        <w:pStyle w:val="79"/>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1C0FDC0C">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p>
    <w:p w14:paraId="2450DB62">
      <w:pPr>
        <w:pStyle w:val="17"/>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42A82B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0090706A">
      <w:pPr>
        <w:pStyle w:val="17"/>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5600AE8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54802F9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1A2BC3C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61C43C3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25D78E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95476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7456A0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14:paraId="2F0C0C6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542331D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p>
    <w:p w14:paraId="24866CA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14:paraId="42C8CAF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highlight w:val="none"/>
        </w:rPr>
        <w:t>乙方保证在交付的货物上不存在抵押权等担保物权。</w:t>
      </w:r>
    </w:p>
    <w:p w14:paraId="213DC7F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14:paraId="7964748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p>
    <w:p w14:paraId="765FADD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164"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164"/>
      <w:r>
        <w:rPr>
          <w:rFonts w:hint="eastAsia" w:ascii="宋体" w:hAnsi="宋体" w:eastAsia="宋体" w:cs="宋体"/>
          <w:color w:val="auto"/>
          <w:sz w:val="24"/>
          <w:szCs w:val="24"/>
          <w:highlight w:val="none"/>
        </w:rPr>
        <w:t>。</w:t>
      </w:r>
    </w:p>
    <w:p w14:paraId="65AB195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39C83C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6DE00DEA">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55016EC2">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32CBB78D">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highlight w:val="none"/>
          <w:lang w:val="en-US" w:eastAsia="zh-CN"/>
        </w:rPr>
        <w:t>【政府采购合同专用条款】</w:t>
      </w:r>
      <w:r>
        <w:rPr>
          <w:rFonts w:hint="eastAsia" w:ascii="宋体" w:hAnsi="宋体" w:eastAsia="宋体" w:cs="宋体"/>
          <w:color w:val="auto"/>
          <w:sz w:val="24"/>
          <w:szCs w:val="24"/>
          <w:highlight w:val="none"/>
          <w:lang w:val="en-US" w:eastAsia="zh-CN"/>
        </w:rPr>
        <w:t>中约定。</w:t>
      </w:r>
    </w:p>
    <w:p w14:paraId="65C8F062">
      <w:pPr>
        <w:pStyle w:val="13"/>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32D0080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0A0B9AF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r>
        <w:rPr>
          <w:rFonts w:hint="eastAsia" w:ascii="宋体" w:hAnsi="宋体" w:eastAsia="宋体" w:cs="宋体"/>
          <w:color w:val="auto"/>
          <w:kern w:val="2"/>
          <w:sz w:val="24"/>
          <w:szCs w:val="24"/>
          <w:highlight w:val="none"/>
          <w:lang w:val="en-US" w:eastAsia="zh-CN" w:bidi="ar-SA"/>
        </w:rPr>
        <w:t>。</w:t>
      </w:r>
    </w:p>
    <w:p w14:paraId="03835B41">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3224AE9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642CF4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DCD48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2E8584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5F6AF86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2BC245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151ACF3A">
      <w:pPr>
        <w:pStyle w:val="79"/>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25996C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6034C0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5CB9EEF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40234AC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603660E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6C95B9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074A7F9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13C0DC1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6F0A1C9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0677F84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26EFD6C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6FB2183A">
      <w:pPr>
        <w:pageBreakBefore w:val="0"/>
        <w:numPr>
          <w:ilvl w:val="0"/>
          <w:numId w:val="18"/>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7746854B">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729CFB5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782DD7C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6BADC2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1012C3B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57A75E05">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393CB98E">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4002AE7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62959A5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231EAB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5B77B190">
      <w:pPr>
        <w:pStyle w:val="79"/>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6CF845B">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13A6F58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5FAF6D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39883F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06C5662A">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1C4567C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45F1709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7F69A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724C9B5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0B518F2A">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7DB20C09">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2FE0DFE7">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73A921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1527B2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5D94BB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69A2FB11">
      <w:pPr>
        <w:pStyle w:val="13"/>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D9FAD2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332196D8">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6CF39CE2">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557665D5">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18CAFBF6">
      <w:pPr>
        <w:pStyle w:val="79"/>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283B1C14">
      <w:pPr>
        <w:pStyle w:val="79"/>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733C5FA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925CC5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1AC4B469">
      <w:pPr>
        <w:pageBreakBefore w:val="0"/>
        <w:numPr>
          <w:ilvl w:val="0"/>
          <w:numId w:val="19"/>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34E3B33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3A7A1D7">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165" w:name="_Toc20313"/>
    </w:p>
    <w:p w14:paraId="4AF6F1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p w14:paraId="214A7D23">
      <w:pPr>
        <w:pStyle w:val="4"/>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val="0"/>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0"/>
          <w:highlight w:val="none"/>
          <w:lang w:val="en-US" w:eastAsia="zh-CN" w:bidi="ar-SA"/>
          <w14:textFill>
            <w14:solidFill>
              <w14:schemeClr w14:val="tx1"/>
            </w14:solidFill>
          </w14:textFill>
        </w:rPr>
        <w:t>第三节 政府采购合同专用条款</w:t>
      </w:r>
      <w:bookmarkEnd w:id="165"/>
    </w:p>
    <w:tbl>
      <w:tblPr>
        <w:tblStyle w:val="3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333A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05EC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96956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66EFCE4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联合体具体要求</w:t>
            </w:r>
          </w:p>
        </w:tc>
        <w:tc>
          <w:tcPr>
            <w:tcW w:w="5170" w:type="dxa"/>
            <w:vAlign w:val="center"/>
          </w:tcPr>
          <w:p w14:paraId="08B2F52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不接受联合体投标</w:t>
            </w:r>
          </w:p>
        </w:tc>
      </w:tr>
      <w:tr w14:paraId="67284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21E8C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F92C3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w:t>
            </w:r>
          </w:p>
        </w:tc>
        <w:tc>
          <w:tcPr>
            <w:tcW w:w="1742" w:type="dxa"/>
            <w:vAlign w:val="center"/>
          </w:tcPr>
          <w:p w14:paraId="6BAF3EB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其他术语解释</w:t>
            </w:r>
          </w:p>
        </w:tc>
        <w:tc>
          <w:tcPr>
            <w:tcW w:w="5170" w:type="dxa"/>
            <w:vAlign w:val="center"/>
          </w:tcPr>
          <w:p w14:paraId="261F514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r>
      <w:tr w14:paraId="66441B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D6DDC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347FE8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4.4款</w:t>
            </w:r>
          </w:p>
        </w:tc>
        <w:tc>
          <w:tcPr>
            <w:tcW w:w="1742" w:type="dxa"/>
            <w:vAlign w:val="center"/>
          </w:tcPr>
          <w:p w14:paraId="042D2AF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履约验收中甲方提出异议或作出说明的期限</w:t>
            </w:r>
          </w:p>
        </w:tc>
        <w:tc>
          <w:tcPr>
            <w:tcW w:w="5170" w:type="dxa"/>
            <w:vAlign w:val="center"/>
          </w:tcPr>
          <w:p w14:paraId="73A778C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5个工作日</w:t>
            </w:r>
          </w:p>
        </w:tc>
      </w:tr>
      <w:tr w14:paraId="0D18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3F82E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770083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4.6款</w:t>
            </w:r>
          </w:p>
        </w:tc>
        <w:tc>
          <w:tcPr>
            <w:tcW w:w="1742" w:type="dxa"/>
            <w:vAlign w:val="center"/>
          </w:tcPr>
          <w:p w14:paraId="4C3EEB4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约定甲方承担的其他义务和责任</w:t>
            </w:r>
          </w:p>
        </w:tc>
        <w:tc>
          <w:tcPr>
            <w:tcW w:w="5170" w:type="dxa"/>
            <w:vAlign w:val="center"/>
          </w:tcPr>
          <w:p w14:paraId="45EDFA6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(1)在合同生效后，非因产品质量问题，甲方要求退货的，应向乙方偿付合同总价款的5%，作为违约金，违约金不足以补偿损失的，乙方有权要求甲方补足。</w:t>
            </w:r>
          </w:p>
          <w:p w14:paraId="70F4A32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(2)甲方逾期付款的应按照逾期付款金额的每天万分之四支付逾期付款违约金。</w:t>
            </w:r>
          </w:p>
          <w:p w14:paraId="03C6A77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(3)甲方违反合同规定，无正当理由拒绝接收乙方交付的符合招标文件要求的合格标的物，应当承担乙方由此造成的损失。</w:t>
            </w:r>
          </w:p>
        </w:tc>
      </w:tr>
      <w:tr w14:paraId="24E104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DFFB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5989C478">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5.4款</w:t>
            </w:r>
          </w:p>
        </w:tc>
        <w:tc>
          <w:tcPr>
            <w:tcW w:w="1742" w:type="dxa"/>
            <w:vAlign w:val="center"/>
          </w:tcPr>
          <w:p w14:paraId="25340C4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约定乙方承担的其他义务和责任</w:t>
            </w:r>
          </w:p>
        </w:tc>
        <w:tc>
          <w:tcPr>
            <w:tcW w:w="5170" w:type="dxa"/>
            <w:vAlign w:val="center"/>
          </w:tcPr>
          <w:p w14:paraId="5D147A3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(1)乙方不能交货（逾期超过五天视为不能交货），或交货不合格从而影响甲方按期正常使用的，应向甲方偿付合同总价款5%的违约金，违约金不足以补偿损失的，甲方有权要求乙方补足。</w:t>
            </w:r>
          </w:p>
          <w:p w14:paraId="678765A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(2)乙方逾期交货的，应在发货前与甲方和政府采购管理部门协商，甲方仍需求的，乙方应立即发货并应按照逾期交货部分货款的每天万分之四支付逾期交货违约金，同时承担甲方因此遭致的损失费用。</w:t>
            </w:r>
          </w:p>
          <w:p w14:paraId="46F0B7A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lang w:val="en-US" w:eastAsia="zh-CN" w:bidi="ar-SA"/>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w:t>
            </w:r>
            <w:r>
              <w:rPr>
                <w:rFonts w:hint="eastAsia" w:ascii="宋体" w:hAnsi="宋体" w:eastAsia="宋体" w:cs="宋体"/>
                <w:kern w:val="2"/>
                <w:sz w:val="24"/>
                <w:szCs w:val="24"/>
                <w:highlight w:val="none"/>
                <w:u w:val="none"/>
                <w:lang w:val="en-US" w:eastAsia="zh-CN" w:bidi="ar-SA"/>
              </w:rPr>
              <w:t>担，如乙方不支付该费用，甲方有权向乙方追偿。</w:t>
            </w:r>
          </w:p>
          <w:p w14:paraId="51C6629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none"/>
                <w:lang w:val="en-US" w:eastAsia="zh-CN"/>
              </w:rPr>
              <w:t>（4）若乙方以保函（或保险）的形式递交履约担保，则</w:t>
            </w:r>
            <w:r>
              <w:rPr>
                <w:rFonts w:hint="eastAsia" w:ascii="宋体" w:hAnsi="宋体" w:eastAsia="宋体" w:cs="宋体"/>
                <w:kern w:val="2"/>
                <w:sz w:val="24"/>
                <w:szCs w:val="24"/>
                <w:highlight w:val="none"/>
                <w:u w:val="none"/>
                <w:lang w:val="en-US" w:eastAsia="zh-CN" w:bidi="ar-SA"/>
              </w:rPr>
              <w:t>乙方须对其提供的保函（或保险）合法性和有效性负责，因保函失效造成的损失均由乙方自行承担。</w:t>
            </w:r>
          </w:p>
        </w:tc>
      </w:tr>
      <w:tr w14:paraId="3C703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E63C2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7FF89F05">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6.1款</w:t>
            </w:r>
          </w:p>
        </w:tc>
        <w:tc>
          <w:tcPr>
            <w:tcW w:w="1742" w:type="dxa"/>
            <w:vAlign w:val="center"/>
          </w:tcPr>
          <w:p w14:paraId="3A5FCEF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履行合同义务的顺序</w:t>
            </w:r>
          </w:p>
        </w:tc>
        <w:tc>
          <w:tcPr>
            <w:tcW w:w="5170" w:type="dxa"/>
            <w:vAlign w:val="center"/>
          </w:tcPr>
          <w:p w14:paraId="59AF011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乙方按规定履行合同义务后，甲方再履行合同义务。</w:t>
            </w:r>
          </w:p>
        </w:tc>
      </w:tr>
      <w:tr w14:paraId="2EF808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7D8F87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F3B3DC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款</w:t>
            </w:r>
          </w:p>
        </w:tc>
        <w:tc>
          <w:tcPr>
            <w:tcW w:w="1742" w:type="dxa"/>
            <w:vAlign w:val="center"/>
          </w:tcPr>
          <w:p w14:paraId="7D6CAFC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包装</w:t>
            </w:r>
            <w:r>
              <w:rPr>
                <w:rFonts w:hint="eastAsia" w:ascii="宋体" w:hAnsi="宋体" w:eastAsia="宋体" w:cs="宋体"/>
                <w:sz w:val="24"/>
                <w:szCs w:val="24"/>
                <w:highlight w:val="none"/>
                <w:lang w:eastAsia="zh-CN"/>
              </w:rPr>
              <w:t>特殊要求</w:t>
            </w:r>
          </w:p>
        </w:tc>
        <w:tc>
          <w:tcPr>
            <w:tcW w:w="5170" w:type="dxa"/>
            <w:vAlign w:val="center"/>
          </w:tcPr>
          <w:p w14:paraId="6D79425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按照通用的方式包装，没有通用方式的，应当采取足以保护标的物的包装方式。</w:t>
            </w:r>
          </w:p>
        </w:tc>
      </w:tr>
      <w:tr w14:paraId="2BE8E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A6B4CA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742" w:type="dxa"/>
            <w:vAlign w:val="center"/>
          </w:tcPr>
          <w:p w14:paraId="476AC22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指定现场</w:t>
            </w:r>
          </w:p>
        </w:tc>
        <w:tc>
          <w:tcPr>
            <w:tcW w:w="5170" w:type="dxa"/>
            <w:vAlign w:val="center"/>
          </w:tcPr>
          <w:p w14:paraId="6B856C6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甲方指定地点</w:t>
            </w:r>
          </w:p>
        </w:tc>
      </w:tr>
      <w:tr w14:paraId="52F759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F14627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B11B2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vAlign w:val="center"/>
          </w:tcPr>
          <w:p w14:paraId="4FADC99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运输特殊要求</w:t>
            </w:r>
          </w:p>
        </w:tc>
        <w:tc>
          <w:tcPr>
            <w:tcW w:w="5170" w:type="dxa"/>
            <w:vAlign w:val="center"/>
          </w:tcPr>
          <w:p w14:paraId="1A734F7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按照通用的方式运输，没有通用方式的，应当采取足以保护标的物的运输方式。</w:t>
            </w:r>
          </w:p>
        </w:tc>
      </w:tr>
      <w:tr w14:paraId="0CACA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032957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21D4C6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款</w:t>
            </w:r>
          </w:p>
        </w:tc>
        <w:tc>
          <w:tcPr>
            <w:tcW w:w="1742" w:type="dxa"/>
            <w:vAlign w:val="center"/>
          </w:tcPr>
          <w:p w14:paraId="38BEC0C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保险要求</w:t>
            </w:r>
          </w:p>
        </w:tc>
        <w:tc>
          <w:tcPr>
            <w:tcW w:w="5170" w:type="dxa"/>
            <w:vAlign w:val="center"/>
          </w:tcPr>
          <w:p w14:paraId="214B05B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按规定购买保险</w:t>
            </w:r>
          </w:p>
        </w:tc>
      </w:tr>
      <w:tr w14:paraId="65BBF2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6431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CE82A6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.2（1）项</w:t>
            </w:r>
          </w:p>
        </w:tc>
        <w:tc>
          <w:tcPr>
            <w:tcW w:w="1742" w:type="dxa"/>
            <w:vAlign w:val="center"/>
          </w:tcPr>
          <w:p w14:paraId="2988490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170" w:type="dxa"/>
            <w:vAlign w:val="center"/>
          </w:tcPr>
          <w:p w14:paraId="040CD59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乙方书面承诺的期限</w:t>
            </w:r>
          </w:p>
        </w:tc>
      </w:tr>
      <w:tr w14:paraId="2C8AB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85C7F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0D78D1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.2（3）项</w:t>
            </w:r>
          </w:p>
        </w:tc>
        <w:tc>
          <w:tcPr>
            <w:tcW w:w="1742" w:type="dxa"/>
            <w:vAlign w:val="center"/>
          </w:tcPr>
          <w:p w14:paraId="1D6695C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货物质量缺陷</w:t>
            </w:r>
          </w:p>
          <w:p w14:paraId="14CFF9F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170" w:type="dxa"/>
            <w:vAlign w:val="center"/>
          </w:tcPr>
          <w:p w14:paraId="1D73A4F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24小时</w:t>
            </w:r>
          </w:p>
        </w:tc>
      </w:tr>
      <w:tr w14:paraId="33FDCE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4F8A66">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第二节</w:t>
            </w:r>
          </w:p>
          <w:p w14:paraId="1688D9D7">
            <w:pPr>
              <w:pStyle w:val="79"/>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第11.1款</w:t>
            </w:r>
          </w:p>
        </w:tc>
        <w:tc>
          <w:tcPr>
            <w:tcW w:w="1742" w:type="dxa"/>
            <w:vAlign w:val="center"/>
          </w:tcPr>
          <w:p w14:paraId="1E90EAED">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其他应当保密的信息</w:t>
            </w:r>
          </w:p>
        </w:tc>
        <w:tc>
          <w:tcPr>
            <w:tcW w:w="5170" w:type="dxa"/>
            <w:vAlign w:val="center"/>
          </w:tcPr>
          <w:p w14:paraId="3C2C58D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3196B0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562DFD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1806E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.2款</w:t>
            </w:r>
          </w:p>
        </w:tc>
        <w:tc>
          <w:tcPr>
            <w:tcW w:w="1742" w:type="dxa"/>
            <w:vAlign w:val="center"/>
          </w:tcPr>
          <w:p w14:paraId="44EC405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合同价款支付</w:t>
            </w:r>
            <w:r>
              <w:rPr>
                <w:rFonts w:hint="eastAsia" w:ascii="宋体" w:hAnsi="宋体" w:eastAsia="宋体" w:cs="宋体"/>
                <w:sz w:val="24"/>
                <w:szCs w:val="24"/>
                <w:highlight w:val="none"/>
                <w:lang w:eastAsia="zh-CN"/>
              </w:rPr>
              <w:t>时间</w:t>
            </w:r>
          </w:p>
        </w:tc>
        <w:tc>
          <w:tcPr>
            <w:tcW w:w="5170" w:type="dxa"/>
            <w:vAlign w:val="center"/>
          </w:tcPr>
          <w:p w14:paraId="52FFDC8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按第一节政府采购合同协议书相关内容执行</w:t>
            </w:r>
          </w:p>
        </w:tc>
      </w:tr>
      <w:tr w14:paraId="672A4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952457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30131C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款</w:t>
            </w:r>
          </w:p>
        </w:tc>
        <w:tc>
          <w:tcPr>
            <w:tcW w:w="1742" w:type="dxa"/>
            <w:vAlign w:val="center"/>
          </w:tcPr>
          <w:p w14:paraId="5AA3713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履约保证金不予退还的情形</w:t>
            </w:r>
          </w:p>
        </w:tc>
        <w:tc>
          <w:tcPr>
            <w:tcW w:w="5170" w:type="dxa"/>
            <w:vAlign w:val="center"/>
          </w:tcPr>
          <w:p w14:paraId="6EFF23E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按招标文件相关内容执行</w:t>
            </w:r>
          </w:p>
        </w:tc>
      </w:tr>
      <w:tr w14:paraId="2E0F2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BFC89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65150C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款</w:t>
            </w:r>
          </w:p>
        </w:tc>
        <w:tc>
          <w:tcPr>
            <w:tcW w:w="1742" w:type="dxa"/>
            <w:vAlign w:val="center"/>
          </w:tcPr>
          <w:p w14:paraId="3C17968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w:t>
            </w:r>
            <w:r>
              <w:rPr>
                <w:rFonts w:hint="eastAsia" w:ascii="宋体" w:hAnsi="宋体" w:eastAsia="宋体" w:cs="宋体"/>
                <w:sz w:val="24"/>
                <w:szCs w:val="24"/>
                <w:highlight w:val="none"/>
                <w:lang w:eastAsia="zh-CN"/>
              </w:rPr>
              <w:t>逾期退还的</w:t>
            </w:r>
            <w:r>
              <w:rPr>
                <w:rFonts w:hint="eastAsia" w:ascii="宋体" w:hAnsi="宋体" w:eastAsia="宋体" w:cs="宋体"/>
                <w:sz w:val="24"/>
                <w:szCs w:val="24"/>
                <w:highlight w:val="none"/>
              </w:rPr>
              <w:t>违约金</w:t>
            </w:r>
          </w:p>
        </w:tc>
        <w:tc>
          <w:tcPr>
            <w:tcW w:w="5170" w:type="dxa"/>
            <w:vAlign w:val="center"/>
          </w:tcPr>
          <w:p w14:paraId="5E26589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按招标文件相关内容执行</w:t>
            </w:r>
          </w:p>
        </w:tc>
      </w:tr>
      <w:tr w14:paraId="291450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82553A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58BF2A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w:t>
            </w:r>
          </w:p>
        </w:tc>
        <w:tc>
          <w:tcPr>
            <w:tcW w:w="1742" w:type="dxa"/>
            <w:vAlign w:val="center"/>
          </w:tcPr>
          <w:p w14:paraId="612BABC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运行监督、维修期限</w:t>
            </w:r>
          </w:p>
        </w:tc>
        <w:tc>
          <w:tcPr>
            <w:tcW w:w="5170" w:type="dxa"/>
            <w:vAlign w:val="center"/>
          </w:tcPr>
          <w:p w14:paraId="79F7B78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乙方书面承诺的质保期内</w:t>
            </w:r>
          </w:p>
        </w:tc>
      </w:tr>
      <w:tr w14:paraId="24DA1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BA35A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61712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w:t>
            </w:r>
          </w:p>
        </w:tc>
        <w:tc>
          <w:tcPr>
            <w:tcW w:w="1742" w:type="dxa"/>
            <w:vAlign w:val="center"/>
          </w:tcPr>
          <w:p w14:paraId="4B75E11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货物回收的约定</w:t>
            </w:r>
          </w:p>
        </w:tc>
        <w:tc>
          <w:tcPr>
            <w:tcW w:w="5170" w:type="dxa"/>
            <w:vAlign w:val="center"/>
          </w:tcPr>
          <w:p w14:paraId="475DA40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由乙方在规定时间内自行组织回收，相关费用自行承担，甲方不另行支付相关费用。</w:t>
            </w:r>
          </w:p>
        </w:tc>
      </w:tr>
      <w:tr w14:paraId="63EAB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0644C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383F0F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34530F5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170" w:type="dxa"/>
            <w:vAlign w:val="center"/>
          </w:tcPr>
          <w:p w14:paraId="6CFB86C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按甲方要求须提供的其他相关服务</w:t>
            </w:r>
          </w:p>
        </w:tc>
      </w:tr>
      <w:tr w14:paraId="149CC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C6883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37D02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1款</w:t>
            </w:r>
          </w:p>
        </w:tc>
        <w:tc>
          <w:tcPr>
            <w:tcW w:w="1742" w:type="dxa"/>
            <w:vAlign w:val="center"/>
          </w:tcPr>
          <w:p w14:paraId="0B8BA40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3371DDD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保修期内两次修理仍不能正常使用的的必须更换新设备</w:t>
            </w:r>
          </w:p>
        </w:tc>
      </w:tr>
      <w:tr w14:paraId="0A099A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B9EEA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8B9885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.2（2）项</w:t>
            </w:r>
          </w:p>
        </w:tc>
        <w:tc>
          <w:tcPr>
            <w:tcW w:w="1742" w:type="dxa"/>
            <w:vAlign w:val="center"/>
          </w:tcPr>
          <w:p w14:paraId="1F17E53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170" w:type="dxa"/>
            <w:vAlign w:val="center"/>
          </w:tcPr>
          <w:p w14:paraId="6567680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19BB936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tc>
      </w:tr>
      <w:tr w14:paraId="001A6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B6B7F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9D66EE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3款</w:t>
            </w:r>
          </w:p>
        </w:tc>
        <w:tc>
          <w:tcPr>
            <w:tcW w:w="1742" w:type="dxa"/>
            <w:vAlign w:val="center"/>
          </w:tcPr>
          <w:p w14:paraId="17ED282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170" w:type="dxa"/>
            <w:vAlign w:val="center"/>
          </w:tcPr>
          <w:p w14:paraId="3D5BE19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无</w:t>
            </w:r>
          </w:p>
        </w:tc>
      </w:tr>
      <w:tr w14:paraId="134DA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3A71B4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ED6F5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635BF8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170" w:type="dxa"/>
            <w:tcBorders>
              <w:left w:val="single" w:color="auto" w:sz="2" w:space="0"/>
              <w:bottom w:val="single" w:color="auto" w:sz="2" w:space="0"/>
            </w:tcBorders>
            <w:vAlign w:val="center"/>
          </w:tcPr>
          <w:p w14:paraId="5F807D8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合同一方不履行合同义务或者履行合同义务不符合约定的，应当承担继续履行、采取补救措施或者赔偿损失等违约责任。</w:t>
            </w:r>
          </w:p>
        </w:tc>
      </w:tr>
      <w:tr w14:paraId="57F201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10487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04640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8354CB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494642CF">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因本合同及合同有关事项发生的争议，按下列第</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u w:val="single"/>
                <w:lang w:eastAsia="zh-CN"/>
              </w:rPr>
              <w:t>（</w:t>
            </w:r>
            <w:r>
              <w:rPr>
                <w:rFonts w:hint="eastAsia" w:ascii="宋体" w:hAnsi="宋体" w:eastAsia="宋体" w:cs="宋体"/>
                <w:b w:val="0"/>
                <w:bCs w:val="0"/>
                <w:iCs/>
                <w:sz w:val="24"/>
                <w:szCs w:val="24"/>
                <w:highlight w:val="none"/>
                <w:u w:val="single"/>
                <w:lang w:val="en-US" w:eastAsia="zh-CN"/>
              </w:rPr>
              <w:t>1</w:t>
            </w:r>
            <w:r>
              <w:rPr>
                <w:rFonts w:hint="eastAsia" w:ascii="宋体" w:hAnsi="宋体" w:eastAsia="宋体" w:cs="宋体"/>
                <w:b w:val="0"/>
                <w:bCs w:val="0"/>
                <w:iCs/>
                <w:sz w:val="24"/>
                <w:szCs w:val="24"/>
                <w:highlight w:val="none"/>
                <w:u w:val="single"/>
                <w:lang w:eastAsia="zh-CN"/>
              </w:rPr>
              <w:t>）</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种方式解决：</w:t>
            </w:r>
          </w:p>
          <w:p w14:paraId="40381A37">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（1）向</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u w:val="single"/>
                <w:lang w:val="en-US" w:eastAsia="zh-CN"/>
              </w:rPr>
              <w:t>滁州</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仲裁委员会申请仲裁，仲裁地点为</w:t>
            </w:r>
            <w:r>
              <w:rPr>
                <w:rFonts w:hint="eastAsia" w:ascii="宋体" w:hAnsi="宋体" w:eastAsia="宋体" w:cs="宋体"/>
                <w:b w:val="0"/>
                <w:bCs w:val="0"/>
                <w:iCs/>
                <w:sz w:val="24"/>
                <w:szCs w:val="24"/>
                <w:highlight w:val="none"/>
                <w:u w:val="single"/>
              </w:rPr>
              <w:t xml:space="preserve">  滁州市 </w:t>
            </w:r>
            <w:r>
              <w:rPr>
                <w:rFonts w:hint="eastAsia" w:ascii="宋体" w:hAnsi="宋体" w:eastAsia="宋体" w:cs="宋体"/>
                <w:b w:val="0"/>
                <w:bCs w:val="0"/>
                <w:iCs/>
                <w:sz w:val="24"/>
                <w:szCs w:val="24"/>
                <w:highlight w:val="none"/>
              </w:rPr>
              <w:t>；</w:t>
            </w:r>
          </w:p>
          <w:p w14:paraId="2E2490CC">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sz w:val="24"/>
                <w:szCs w:val="24"/>
                <w:highlight w:val="none"/>
                <w:u w:val="single"/>
              </w:rPr>
            </w:pPr>
            <w:r>
              <w:rPr>
                <w:rFonts w:hint="eastAsia" w:ascii="宋体" w:hAnsi="宋体" w:eastAsia="宋体" w:cs="宋体"/>
                <w:b w:val="0"/>
                <w:bCs w:val="0"/>
                <w:iCs/>
                <w:sz w:val="24"/>
                <w:szCs w:val="24"/>
                <w:highlight w:val="none"/>
              </w:rPr>
              <w:t>（2）向</w:t>
            </w:r>
            <w:r>
              <w:rPr>
                <w:rFonts w:hint="eastAsia" w:ascii="宋体" w:hAnsi="宋体" w:eastAsia="宋体" w:cs="宋体"/>
                <w:b w:val="0"/>
                <w:bCs w:val="0"/>
                <w:iCs/>
                <w:sz w:val="24"/>
                <w:szCs w:val="24"/>
                <w:highlight w:val="none"/>
                <w:u w:val="single"/>
              </w:rPr>
              <w:t xml:space="preserve">  项目所在地  </w:t>
            </w:r>
            <w:r>
              <w:rPr>
                <w:rFonts w:hint="eastAsia" w:ascii="宋体" w:hAnsi="宋体" w:eastAsia="宋体" w:cs="宋体"/>
                <w:b w:val="0"/>
                <w:bCs w:val="0"/>
                <w:iCs/>
                <w:sz w:val="24"/>
                <w:szCs w:val="24"/>
                <w:highlight w:val="none"/>
              </w:rPr>
              <w:t>人民法院起诉。</w:t>
            </w:r>
          </w:p>
        </w:tc>
      </w:tr>
      <w:tr w14:paraId="39D48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7167DC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CBE14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第2</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款</w:t>
            </w:r>
          </w:p>
        </w:tc>
        <w:tc>
          <w:tcPr>
            <w:tcW w:w="1742" w:type="dxa"/>
            <w:vAlign w:val="center"/>
          </w:tcPr>
          <w:p w14:paraId="0C62EA2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78C8962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本合同未尽事宜应按《中华人民共和国政府采购法》、《中华人民共和国民法典》、《中华人民共和国产品质量法》之规定解释或签订补充协议</w:t>
            </w:r>
          </w:p>
        </w:tc>
      </w:tr>
    </w:tbl>
    <w:p w14:paraId="1108634A">
      <w:pPr>
        <w:rPr>
          <w:rFonts w:hint="eastAsia" w:ascii="宋体" w:hAnsi="宋体" w:eastAsia="宋体" w:cs="宋体"/>
          <w:highlight w:val="none"/>
        </w:rPr>
      </w:pPr>
    </w:p>
    <w:p w14:paraId="5B8D048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42426B6">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161"/>
    </w:p>
    <w:p w14:paraId="6FEE021F">
      <w:pPr>
        <w:spacing w:line="900" w:lineRule="exact"/>
        <w:jc w:val="center"/>
        <w:rPr>
          <w:rFonts w:hint="eastAsia" w:ascii="宋体" w:hAnsi="宋体" w:eastAsia="宋体" w:cs="宋体"/>
          <w:b/>
          <w:color w:val="auto"/>
          <w:sz w:val="72"/>
          <w:highlight w:val="none"/>
        </w:rPr>
      </w:pPr>
    </w:p>
    <w:p w14:paraId="5FEB91FC">
      <w:pPr>
        <w:spacing w:line="900" w:lineRule="exact"/>
        <w:jc w:val="center"/>
        <w:outlineLvl w:val="1"/>
        <w:rPr>
          <w:rFonts w:hint="eastAsia" w:ascii="宋体" w:hAnsi="宋体" w:eastAsia="宋体" w:cs="宋体"/>
          <w:b/>
          <w:color w:val="auto"/>
          <w:sz w:val="72"/>
          <w:highlight w:val="none"/>
        </w:rPr>
      </w:pPr>
      <w:bookmarkStart w:id="166" w:name="_Toc651"/>
      <w:r>
        <w:rPr>
          <w:rFonts w:hint="eastAsia" w:ascii="宋体" w:hAnsi="宋体" w:eastAsia="宋体" w:cs="宋体"/>
          <w:b/>
          <w:color w:val="auto"/>
          <w:sz w:val="72"/>
          <w:highlight w:val="none"/>
        </w:rPr>
        <w:t>投</w:t>
      </w:r>
      <w:bookmarkEnd w:id="166"/>
    </w:p>
    <w:p w14:paraId="593601A9">
      <w:pPr>
        <w:spacing w:line="900" w:lineRule="exact"/>
        <w:jc w:val="center"/>
        <w:rPr>
          <w:rFonts w:hint="eastAsia" w:ascii="宋体" w:hAnsi="宋体" w:eastAsia="宋体" w:cs="宋体"/>
          <w:b/>
          <w:color w:val="auto"/>
          <w:sz w:val="72"/>
          <w:highlight w:val="none"/>
        </w:rPr>
      </w:pPr>
    </w:p>
    <w:p w14:paraId="107104B2">
      <w:pPr>
        <w:spacing w:line="900" w:lineRule="exact"/>
        <w:jc w:val="center"/>
        <w:outlineLvl w:val="1"/>
        <w:rPr>
          <w:rFonts w:hint="eastAsia" w:ascii="宋体" w:hAnsi="宋体" w:eastAsia="宋体" w:cs="宋体"/>
          <w:b/>
          <w:color w:val="auto"/>
          <w:sz w:val="72"/>
          <w:highlight w:val="none"/>
        </w:rPr>
      </w:pPr>
      <w:bookmarkStart w:id="167" w:name="_Toc6148"/>
      <w:r>
        <w:rPr>
          <w:rFonts w:hint="eastAsia" w:ascii="宋体" w:hAnsi="宋体" w:eastAsia="宋体" w:cs="宋体"/>
          <w:b/>
          <w:color w:val="auto"/>
          <w:sz w:val="72"/>
          <w:highlight w:val="none"/>
        </w:rPr>
        <w:t>标</w:t>
      </w:r>
      <w:bookmarkEnd w:id="167"/>
    </w:p>
    <w:p w14:paraId="43EBC9B4">
      <w:pPr>
        <w:spacing w:line="900" w:lineRule="exact"/>
        <w:jc w:val="center"/>
        <w:rPr>
          <w:rFonts w:hint="eastAsia" w:ascii="宋体" w:hAnsi="宋体" w:eastAsia="宋体" w:cs="宋体"/>
          <w:b/>
          <w:color w:val="auto"/>
          <w:sz w:val="72"/>
          <w:highlight w:val="none"/>
        </w:rPr>
      </w:pPr>
    </w:p>
    <w:p w14:paraId="097EC245">
      <w:pPr>
        <w:spacing w:line="900" w:lineRule="exact"/>
        <w:jc w:val="center"/>
        <w:outlineLvl w:val="1"/>
        <w:rPr>
          <w:rFonts w:hint="eastAsia" w:ascii="宋体" w:hAnsi="宋体" w:eastAsia="宋体" w:cs="宋体"/>
          <w:b/>
          <w:color w:val="auto"/>
          <w:sz w:val="72"/>
          <w:highlight w:val="none"/>
        </w:rPr>
      </w:pPr>
      <w:bookmarkStart w:id="168" w:name="_Toc1338"/>
      <w:r>
        <w:rPr>
          <w:rFonts w:hint="eastAsia" w:ascii="宋体" w:hAnsi="宋体" w:eastAsia="宋体" w:cs="宋体"/>
          <w:b/>
          <w:color w:val="auto"/>
          <w:sz w:val="72"/>
          <w:highlight w:val="none"/>
        </w:rPr>
        <w:t>文</w:t>
      </w:r>
      <w:bookmarkEnd w:id="168"/>
    </w:p>
    <w:p w14:paraId="5F72EA5D">
      <w:pPr>
        <w:spacing w:line="900" w:lineRule="exact"/>
        <w:jc w:val="center"/>
        <w:rPr>
          <w:rFonts w:hint="eastAsia" w:ascii="宋体" w:hAnsi="宋体" w:eastAsia="宋体" w:cs="宋体"/>
          <w:b/>
          <w:color w:val="auto"/>
          <w:sz w:val="72"/>
          <w:highlight w:val="none"/>
        </w:rPr>
      </w:pPr>
    </w:p>
    <w:p w14:paraId="62251A5C">
      <w:pPr>
        <w:jc w:val="center"/>
        <w:outlineLvl w:val="1"/>
        <w:rPr>
          <w:rFonts w:hint="eastAsia" w:ascii="宋体" w:hAnsi="宋体" w:eastAsia="宋体" w:cs="宋体"/>
          <w:b/>
          <w:color w:val="auto"/>
          <w:sz w:val="72"/>
          <w:highlight w:val="none"/>
        </w:rPr>
      </w:pPr>
      <w:bookmarkStart w:id="169" w:name="_Toc10796"/>
      <w:r>
        <w:rPr>
          <w:rFonts w:hint="eastAsia" w:ascii="宋体" w:hAnsi="宋体" w:eastAsia="宋体" w:cs="宋体"/>
          <w:b/>
          <w:color w:val="auto"/>
          <w:sz w:val="72"/>
          <w:highlight w:val="none"/>
        </w:rPr>
        <w:t>件</w:t>
      </w:r>
      <w:bookmarkEnd w:id="169"/>
    </w:p>
    <w:p w14:paraId="1D82D0E9">
      <w:pPr>
        <w:spacing w:after="156" w:afterLines="50"/>
        <w:jc w:val="center"/>
        <w:rPr>
          <w:rFonts w:hint="eastAsia" w:ascii="宋体" w:hAnsi="宋体" w:eastAsia="宋体" w:cs="宋体"/>
          <w:b/>
          <w:color w:val="auto"/>
          <w:sz w:val="72"/>
          <w:highlight w:val="none"/>
        </w:rPr>
      </w:pPr>
    </w:p>
    <w:p w14:paraId="5F6CF253">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center"/>
        <w:textAlignment w:val="auto"/>
        <w:outlineLvl w:val="1"/>
        <w:rPr>
          <w:rFonts w:hint="eastAsia" w:ascii="宋体" w:hAnsi="宋体" w:eastAsia="宋体" w:cs="宋体"/>
          <w:color w:val="auto"/>
          <w:sz w:val="24"/>
          <w:szCs w:val="18"/>
          <w:highlight w:val="none"/>
          <w:lang w:val="en-US" w:eastAsia="zh-CN"/>
        </w:rPr>
      </w:pPr>
    </w:p>
    <w:p w14:paraId="3C95EE3B">
      <w:pPr>
        <w:spacing w:before="156" w:beforeLines="50" w:after="156" w:afterLines="50"/>
        <w:jc w:val="center"/>
        <w:outlineLvl w:val="9"/>
        <w:rPr>
          <w:rFonts w:hint="eastAsia" w:ascii="宋体" w:hAnsi="宋体" w:eastAsia="宋体" w:cs="宋体"/>
          <w:b/>
          <w:color w:val="auto"/>
          <w:sz w:val="32"/>
          <w:szCs w:val="32"/>
          <w:highlight w:val="none"/>
        </w:rPr>
      </w:pPr>
    </w:p>
    <w:p w14:paraId="734FE521">
      <w:pPr>
        <w:spacing w:after="156" w:afterLines="50" w:line="500" w:lineRule="exact"/>
        <w:jc w:val="center"/>
        <w:rPr>
          <w:rFonts w:hint="eastAsia" w:ascii="宋体" w:hAnsi="宋体" w:eastAsia="宋体" w:cs="宋体"/>
          <w:b/>
          <w:color w:val="auto"/>
          <w:sz w:val="28"/>
          <w:szCs w:val="28"/>
          <w:highlight w:val="none"/>
        </w:rPr>
      </w:pPr>
    </w:p>
    <w:p w14:paraId="18A58AC8">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F50A38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0AF8DC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5E955506">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bookmarkStart w:id="170" w:name="_Toc8037"/>
      <w:bookmarkStart w:id="171" w:name="_Toc9994"/>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170"/>
      <w:bookmarkEnd w:id="171"/>
    </w:p>
    <w:p w14:paraId="02EB4CFF">
      <w:pPr>
        <w:widowControl/>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D2D50F0">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2"/>
          <w:sz w:val="28"/>
          <w:szCs w:val="28"/>
          <w:highlight w:val="none"/>
        </w:rPr>
      </w:pPr>
      <w:bookmarkStart w:id="172" w:name="_Toc5555"/>
      <w:bookmarkStart w:id="173" w:name="_Toc28960"/>
      <w:r>
        <w:rPr>
          <w:rFonts w:hint="eastAsia" w:ascii="宋体" w:hAnsi="宋体" w:eastAsia="宋体" w:cs="宋体"/>
          <w:b/>
          <w:bCs w:val="0"/>
          <w:color w:val="000000"/>
          <w:kern w:val="2"/>
          <w:sz w:val="28"/>
          <w:szCs w:val="28"/>
          <w:highlight w:val="none"/>
          <w:lang w:val="en-US" w:eastAsia="zh-CN" w:bidi="ar"/>
        </w:rPr>
        <w:t>一、资信证明格式文件</w:t>
      </w:r>
    </w:p>
    <w:p w14:paraId="4A4E2910">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bidi="ar"/>
        </w:rPr>
        <w:t xml:space="preserve"> </w:t>
      </w:r>
    </w:p>
    <w:p w14:paraId="7B091BC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bidi="ar"/>
        </w:rPr>
        <w:t xml:space="preserve"> </w:t>
      </w:r>
    </w:p>
    <w:p w14:paraId="206AE3F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lang w:val="en-US" w:eastAsia="zh-CN" w:bidi="ar"/>
        </w:rPr>
      </w:pPr>
    </w:p>
    <w:p w14:paraId="64ABDC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lang w:val="en-US" w:eastAsia="zh-CN" w:bidi="ar"/>
        </w:rPr>
      </w:pPr>
    </w:p>
    <w:p w14:paraId="5C0ABE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资信证明文件</w:t>
      </w:r>
    </w:p>
    <w:p w14:paraId="01F7C8D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lang w:val="en-US" w:eastAsia="zh-CN" w:bidi="ar"/>
        </w:rPr>
      </w:pPr>
    </w:p>
    <w:p w14:paraId="5CFB909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lang w:val="en-US" w:eastAsia="zh-CN" w:bidi="ar"/>
        </w:rPr>
        <w:t>（投标文件一）</w:t>
      </w:r>
    </w:p>
    <w:p w14:paraId="74255B8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u w:val="single"/>
          <w:lang w:val="en-US" w:eastAsia="zh-CN" w:bidi="ar"/>
        </w:rPr>
      </w:pPr>
    </w:p>
    <w:p w14:paraId="1001094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u w:val="single"/>
          <w:lang w:val="en-US" w:eastAsia="zh-CN" w:bidi="ar"/>
        </w:rPr>
        <w:t xml:space="preserve">        </w:t>
      </w:r>
      <w:r>
        <w:rPr>
          <w:rFonts w:hint="eastAsia" w:ascii="宋体" w:hAnsi="宋体" w:eastAsia="宋体" w:cs="宋体"/>
          <w:color w:val="000000"/>
          <w:kern w:val="2"/>
          <w:sz w:val="32"/>
          <w:szCs w:val="32"/>
          <w:highlight w:val="none"/>
          <w:lang w:val="en-US" w:eastAsia="zh-CN" w:bidi="ar"/>
        </w:rPr>
        <w:t>项目</w:t>
      </w:r>
    </w:p>
    <w:p w14:paraId="74378CD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lang w:val="en-US" w:eastAsia="zh-CN" w:bidi="ar"/>
        </w:rPr>
      </w:pPr>
    </w:p>
    <w:p w14:paraId="6E07474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44"/>
          <w:szCs w:val="44"/>
          <w:highlight w:val="none"/>
        </w:rPr>
      </w:pPr>
      <w:r>
        <w:rPr>
          <w:rFonts w:hint="eastAsia" w:ascii="宋体" w:hAnsi="宋体" w:eastAsia="宋体" w:cs="宋体"/>
          <w:color w:val="000000"/>
          <w:kern w:val="2"/>
          <w:sz w:val="28"/>
          <w:szCs w:val="28"/>
          <w:highlight w:val="none"/>
          <w:lang w:val="en-US" w:eastAsia="zh-CN" w:bidi="ar"/>
        </w:rPr>
        <w:t>项目编号：</w:t>
      </w:r>
      <w:r>
        <w:rPr>
          <w:rFonts w:hint="eastAsia" w:ascii="宋体" w:hAnsi="宋体" w:eastAsia="宋体" w:cs="宋体"/>
          <w:color w:val="000000"/>
          <w:kern w:val="2"/>
          <w:sz w:val="28"/>
          <w:szCs w:val="28"/>
          <w:highlight w:val="none"/>
          <w:u w:val="single"/>
          <w:lang w:val="en-US" w:eastAsia="zh-CN" w:bidi="ar"/>
        </w:rPr>
        <w:t xml:space="preserve">     </w:t>
      </w:r>
    </w:p>
    <w:p w14:paraId="60A46AC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4D29AC9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2814412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78774FD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5B1FC8E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3B8EA51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lang w:val="en-US" w:eastAsia="zh-CN" w:bidi="ar"/>
        </w:rPr>
      </w:pPr>
      <w:r>
        <w:rPr>
          <w:rFonts w:hint="eastAsia" w:ascii="宋体" w:hAnsi="宋体" w:eastAsia="宋体" w:cs="宋体"/>
          <w:color w:val="000000"/>
          <w:kern w:val="2"/>
          <w:sz w:val="28"/>
          <w:szCs w:val="28"/>
          <w:highlight w:val="none"/>
          <w:lang w:val="en-US" w:eastAsia="zh-CN" w:bidi="ar"/>
        </w:rPr>
        <w:t xml:space="preserve"> </w:t>
      </w:r>
    </w:p>
    <w:p w14:paraId="0CC30FA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lang w:val="en-US" w:eastAsia="zh-CN" w:bidi="ar"/>
        </w:rPr>
      </w:pPr>
    </w:p>
    <w:p w14:paraId="68CD8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8"/>
          <w:szCs w:val="28"/>
          <w:highlight w:val="none"/>
          <w:u w:val="single"/>
        </w:rPr>
      </w:pPr>
      <w:r>
        <w:rPr>
          <w:rFonts w:hint="eastAsia" w:ascii="宋体" w:hAnsi="宋体" w:eastAsia="宋体" w:cs="宋体"/>
          <w:color w:val="000000"/>
          <w:kern w:val="2"/>
          <w:sz w:val="28"/>
          <w:szCs w:val="28"/>
          <w:highlight w:val="none"/>
          <w:lang w:val="en-US" w:eastAsia="zh-CN" w:bidi="ar"/>
        </w:rPr>
        <w:t>投标人：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4B354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法定代表人：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0D7ED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年</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月</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日</w:t>
      </w:r>
    </w:p>
    <w:p w14:paraId="27DDB11B">
      <w:pPr>
        <w:spacing w:after="156" w:afterLines="50" w:line="500" w:lineRule="exact"/>
        <w:jc w:val="both"/>
        <w:outlineLvl w:val="1"/>
        <w:rPr>
          <w:rFonts w:hint="eastAsia" w:ascii="宋体" w:hAnsi="宋体" w:eastAsia="宋体" w:cs="宋体"/>
          <w:b/>
          <w:color w:val="auto"/>
          <w:sz w:val="32"/>
          <w:highlight w:val="none"/>
        </w:rPr>
      </w:pPr>
    </w:p>
    <w:p w14:paraId="635B833A">
      <w:pPr>
        <w:widowControl/>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183931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36"/>
          <w:szCs w:val="36"/>
          <w:highlight w:val="none"/>
          <w:lang w:val="en-US" w:eastAsia="zh-CN" w:bidi="ar"/>
        </w:rPr>
        <w:t>目   录</w:t>
      </w:r>
    </w:p>
    <w:p w14:paraId="6BB8EFF1">
      <w:pPr>
        <w:keepNext w:val="0"/>
        <w:keepLines w:val="0"/>
        <w:widowControl w:val="0"/>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bidi="ar"/>
        </w:rPr>
        <w:t xml:space="preserve"> </w:t>
      </w:r>
    </w:p>
    <w:p w14:paraId="4BBC62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（1）投标人资格声明书（格式见附件）；</w:t>
      </w:r>
    </w:p>
    <w:p w14:paraId="08D7D4C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（2）授权书（格式见附件）；   </w:t>
      </w:r>
    </w:p>
    <w:p w14:paraId="1AD65C8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（3）投标人为企业（包括合伙企业）的，应提供有效的“营业执照”；</w:t>
      </w:r>
    </w:p>
    <w:p w14:paraId="6CF057E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投标人为事业单位的，应提供有效的“事业单位法人证书”；</w:t>
      </w:r>
    </w:p>
    <w:p w14:paraId="52A5E45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投标人是非企业机构的，应提供有效的“执业许可证”、“登记证书”等证明文件；</w:t>
      </w:r>
    </w:p>
    <w:p w14:paraId="0D7FD7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投标人是个体工商户的，应提供有效的“个体工商户营业执照”；</w:t>
      </w:r>
    </w:p>
    <w:p w14:paraId="4853853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投标人是自然人的，应提供有效的自然人身份证明；</w:t>
      </w:r>
    </w:p>
    <w:p w14:paraId="0E6F6B4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（4）特定资格要求评审的支持资料；</w:t>
      </w:r>
    </w:p>
    <w:p w14:paraId="0368013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（5）诚信投标承诺书（格式见附件）；</w:t>
      </w:r>
    </w:p>
    <w:p w14:paraId="2E8A2C1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（6）招标文件中要求的资信评审和资信评分的支持资料；</w:t>
      </w:r>
    </w:p>
    <w:p w14:paraId="3CCD036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（7）投标人认为需要提供的其他资信证明材料；</w:t>
      </w:r>
    </w:p>
    <w:p w14:paraId="44B1A42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8</w:t>
      </w:r>
      <w:r>
        <w:rPr>
          <w:rFonts w:hint="eastAsia" w:ascii="宋体" w:hAnsi="宋体" w:eastAsia="宋体" w:cs="宋体"/>
          <w:color w:val="000000"/>
          <w:kern w:val="2"/>
          <w:sz w:val="21"/>
          <w:szCs w:val="21"/>
          <w:highlight w:val="none"/>
        </w:rPr>
        <w:t>）其他（如有）。</w:t>
      </w:r>
    </w:p>
    <w:p w14:paraId="18C61B6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38F4C5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（1）投标人资格声明书</w:t>
      </w:r>
    </w:p>
    <w:p w14:paraId="6A368914">
      <w:pPr>
        <w:pStyle w:val="26"/>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致：</w:t>
      </w:r>
      <w:r>
        <w:rPr>
          <w:rFonts w:hint="eastAsia" w:ascii="宋体" w:hAnsi="宋体" w:eastAsia="宋体" w:cs="宋体"/>
          <w:b/>
          <w:bCs w:val="0"/>
          <w:kern w:val="2"/>
          <w:sz w:val="24"/>
          <w:szCs w:val="24"/>
          <w:highlight w:val="none"/>
          <w:u w:val="single"/>
          <w:lang w:val="en-US" w:eastAsia="zh-CN" w:bidi="ar"/>
        </w:rPr>
        <w:t>采购人</w:t>
      </w:r>
    </w:p>
    <w:p w14:paraId="0E237D5D">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在参与本次项目投标中，我单位承诺：</w:t>
      </w:r>
    </w:p>
    <w:p w14:paraId="71196B5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462FEB7C">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6CC9CBA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211C4921">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09F4D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7DCF19B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841"/>
        <w:gridCol w:w="2841"/>
      </w:tblGrid>
      <w:tr w14:paraId="0253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5BBD7841">
            <w:pPr>
              <w:keepNext w:val="0"/>
              <w:keepLines w:val="0"/>
              <w:widowControl/>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51DC15AC">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1D549A3A">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相互关系</w:t>
            </w:r>
          </w:p>
        </w:tc>
      </w:tr>
      <w:tr w14:paraId="3668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468818FF">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1</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756842EE">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5BC04151">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r>
      <w:tr w14:paraId="1466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11023496">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2</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25C63942">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5ED0AC1C">
            <w:pPr>
              <w:pStyle w:val="26"/>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r>
    </w:tbl>
    <w:p w14:paraId="79B58AD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本单位对上述声明的真实性负责。如有虚假，将依法承担相应责任。</w:t>
      </w:r>
    </w:p>
    <w:p w14:paraId="606F1C22">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宋体"/>
          <w:kern w:val="2"/>
          <w:sz w:val="24"/>
          <w:szCs w:val="24"/>
          <w:highlight w:val="none"/>
          <w:u w:val="single"/>
          <w:lang w:val="en-US" w:eastAsia="zh-CN" w:bidi="ar"/>
        </w:rPr>
        <w:t xml:space="preserve">             </w:t>
      </w:r>
    </w:p>
    <w:p w14:paraId="1EB3BD5C">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日          期：</w:t>
      </w:r>
      <w:r>
        <w:rPr>
          <w:rFonts w:hint="eastAsia" w:ascii="宋体" w:hAnsi="宋体" w:eastAsia="宋体" w:cs="宋体"/>
          <w:kern w:val="2"/>
          <w:sz w:val="24"/>
          <w:szCs w:val="24"/>
          <w:highlight w:val="none"/>
          <w:u w:val="single"/>
          <w:lang w:val="en-US" w:eastAsia="zh-CN" w:bidi="ar"/>
        </w:rPr>
        <w:t xml:space="preserve">             </w:t>
      </w:r>
    </w:p>
    <w:p w14:paraId="0E709B3B">
      <w:pP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br w:type="page"/>
      </w:r>
    </w:p>
    <w:p w14:paraId="5B0350A6">
      <w:pPr>
        <w:spacing w:line="360" w:lineRule="auto"/>
        <w:jc w:val="center"/>
        <w:outlineLvl w:val="1"/>
        <w:rPr>
          <w:rFonts w:hint="eastAsia" w:ascii="宋体" w:hAnsi="宋体" w:eastAsia="宋体" w:cs="宋体"/>
          <w:b/>
          <w:color w:val="auto"/>
          <w:sz w:val="24"/>
          <w:highlight w:val="none"/>
          <w:lang w:eastAsia="zh-CN"/>
        </w:rPr>
      </w:pPr>
    </w:p>
    <w:p w14:paraId="24E3743E">
      <w:pPr>
        <w:spacing w:line="360" w:lineRule="auto"/>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）授权书</w:t>
      </w:r>
    </w:p>
    <w:p w14:paraId="7E2D3FD6">
      <w:pPr>
        <w:pStyle w:val="26"/>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p>
    <w:p w14:paraId="470D99A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本授权书声明：</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（投标人名称）授权</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（投标人授权代表姓名）代表我方参加本项目</w:t>
      </w:r>
      <w:r>
        <w:rPr>
          <w:rFonts w:hint="eastAsia" w:ascii="宋体" w:hAnsi="宋体" w:eastAsia="宋体" w:cs="宋体"/>
          <w:bCs/>
          <w:kern w:val="2"/>
          <w:sz w:val="24"/>
          <w:szCs w:val="24"/>
          <w:highlight w:val="none"/>
          <w:lang w:val="en-US" w:eastAsia="zh-CN" w:bidi="ar"/>
        </w:rPr>
        <w:t>采购活动</w:t>
      </w:r>
      <w:r>
        <w:rPr>
          <w:rFonts w:hint="eastAsia" w:ascii="宋体" w:hAnsi="宋体" w:eastAsia="宋体" w:cs="宋体"/>
          <w:kern w:val="2"/>
          <w:sz w:val="24"/>
          <w:szCs w:val="24"/>
          <w:highlight w:val="none"/>
          <w:lang w:val="en-US" w:eastAsia="zh-CN"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0EA26E1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本授权书自出具之日起生效。</w:t>
      </w:r>
    </w:p>
    <w:p w14:paraId="0EFF1D5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授权代表身份证明扫描件：</w:t>
      </w:r>
    </w:p>
    <w:p w14:paraId="50851EB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C49A98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ADB386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4468A5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授权代表联系方式：</w:t>
      </w:r>
      <w:r>
        <w:rPr>
          <w:rFonts w:hint="eastAsia" w:ascii="宋体" w:hAnsi="宋体" w:eastAsia="宋体" w:cs="宋体"/>
          <w:kern w:val="2"/>
          <w:sz w:val="24"/>
          <w:szCs w:val="24"/>
          <w:highlight w:val="none"/>
          <w:u w:val="single"/>
          <w:lang w:val="en-US" w:eastAsia="zh-CN" w:bidi="ar"/>
        </w:rPr>
        <w:t xml:space="preserve">          （请填写手机号码）</w:t>
      </w:r>
    </w:p>
    <w:p w14:paraId="1249249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C55820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特此声明。</w:t>
      </w:r>
    </w:p>
    <w:p w14:paraId="73E6D79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6133409">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投标人电子签章：</w:t>
      </w:r>
      <w:r>
        <w:rPr>
          <w:rFonts w:hint="eastAsia" w:ascii="宋体" w:hAnsi="宋体" w:eastAsia="宋体" w:cs="宋体"/>
          <w:bCs/>
          <w:kern w:val="2"/>
          <w:sz w:val="24"/>
          <w:szCs w:val="24"/>
          <w:highlight w:val="none"/>
          <w:u w:val="single"/>
          <w:lang w:val="en-US" w:eastAsia="zh-CN" w:bidi="ar"/>
        </w:rPr>
        <w:t xml:space="preserve">                    </w:t>
      </w:r>
    </w:p>
    <w:p w14:paraId="1680E7CE">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日          期：</w:t>
      </w:r>
      <w:r>
        <w:rPr>
          <w:rFonts w:hint="eastAsia" w:ascii="宋体" w:hAnsi="宋体" w:eastAsia="宋体" w:cs="宋体"/>
          <w:b/>
          <w:bCs/>
          <w:kern w:val="2"/>
          <w:sz w:val="24"/>
          <w:szCs w:val="24"/>
          <w:highlight w:val="none"/>
          <w:u w:val="single"/>
          <w:lang w:val="en-US" w:eastAsia="zh-CN" w:bidi="ar"/>
        </w:rPr>
        <w:t xml:space="preserve">                    </w:t>
      </w:r>
    </w:p>
    <w:p w14:paraId="6A049A2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2B760C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DBF94B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w:t>
      </w:r>
    </w:p>
    <w:p w14:paraId="21C1E6B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1.本项目只允许有唯一的投标人授权代表，提供身份证明扫描件；</w:t>
      </w:r>
    </w:p>
    <w:p w14:paraId="1B41234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2.法定代表人参加投标的无需提供授权书，提供身份证明扫描件。</w:t>
      </w:r>
    </w:p>
    <w:p w14:paraId="30880066">
      <w:pPr>
        <w:pStyle w:val="26"/>
        <w:keepNext w:val="0"/>
        <w:keepLines w:val="0"/>
        <w:widowControl w:val="0"/>
        <w:suppressLineNumbers w:val="0"/>
        <w:spacing w:before="0" w:beforeAutospacing="1" w:after="120" w:afterAutospacing="0"/>
        <w:ind w:left="0" w:right="0"/>
        <w:jc w:val="both"/>
        <w:rPr>
          <w:rFonts w:hint="eastAsia" w:ascii="宋体" w:hAnsi="宋体" w:eastAsia="宋体" w:cs="宋体"/>
          <w:color w:val="000000"/>
          <w:kern w:val="0"/>
          <w:sz w:val="24"/>
          <w:szCs w:val="24"/>
          <w:highlight w:val="none"/>
        </w:rPr>
      </w:pPr>
    </w:p>
    <w:p w14:paraId="2CDB166E">
      <w:pP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br w:type="page"/>
      </w:r>
    </w:p>
    <w:p w14:paraId="51E5D35D">
      <w:pPr>
        <w:spacing w:line="360" w:lineRule="auto"/>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）诚信投标承诺书</w:t>
      </w:r>
    </w:p>
    <w:p w14:paraId="0077298A">
      <w:pPr>
        <w:keepNext w:val="0"/>
        <w:keepLines w:val="0"/>
        <w:widowControl w:val="0"/>
        <w:suppressLineNumbers w:val="0"/>
        <w:spacing w:before="0" w:beforeAutospacing="0" w:after="0" w:afterAutospacing="0" w:line="500" w:lineRule="exact"/>
        <w:ind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本人以企业法定代表人的身份郑重承诺：</w:t>
      </w:r>
    </w:p>
    <w:p w14:paraId="7C589FBD">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一、将遵循公开、公正和诚实信用的原则自愿参加</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项目的投标，所提供的一切材料都是真实、有效、合法的；</w:t>
      </w:r>
    </w:p>
    <w:p w14:paraId="6DAF13A2">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5F6706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三、不出借、转让资质证书，不让他人挂靠投标，不以他人名义投标或者以其他方式弄虚作假，骗取中标；</w:t>
      </w:r>
    </w:p>
    <w:p w14:paraId="4370D764">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四、不与其他投标人相互串通投标报价，不排挤其他投标人的公平竞争、损害招标人的合法权益；</w:t>
      </w:r>
    </w:p>
    <w:p w14:paraId="5A68CBFA">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五、不与招标人、招标代理机构或其他投标人串通投标，损害国家利益、社会公共利益或者他人的合法权益；</w:t>
      </w:r>
    </w:p>
    <w:p w14:paraId="548E6444">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3BE80717">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七、我公司没有下列情形：被滁州市县两级公管部门记入不良行为记录且在披露期内。</w:t>
      </w:r>
    </w:p>
    <w:p w14:paraId="7172917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八、严格遵守开标现场纪律，服从监管人员管理；</w:t>
      </w:r>
    </w:p>
    <w:p w14:paraId="136F0C9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九、保证中标后不转包，若有分包征得招标人同意；</w:t>
      </w:r>
    </w:p>
    <w:p w14:paraId="0BA06AE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十、保证中标之后，按照投标文件要求提供相关后续服务；</w:t>
      </w:r>
    </w:p>
    <w:p w14:paraId="273CDAE0">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十一、保证企业及所属相关人员在本次投标中无行贿等犯罪行为；</w:t>
      </w:r>
    </w:p>
    <w:p w14:paraId="263CDC63">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4B2E9D50">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以上内容我已仔细阅读，本公司若有违反承诺内容的行为，自愿接受取消投标或者中标资格、记入不良行为记录等有关处理，愿意承担法律责任，给招标人造成损失的，依法承担赔偿责任。</w:t>
      </w:r>
    </w:p>
    <w:p w14:paraId="17E2ED4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6A1C8D5">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开户银行：                      基本账户：</w:t>
      </w:r>
    </w:p>
    <w:p w14:paraId="5320269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投标单位（签章）：              法定代表人（签章）：</w:t>
      </w:r>
    </w:p>
    <w:p w14:paraId="501551FD">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DF1F60F">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kern w:val="2"/>
          <w:sz w:val="32"/>
          <w:szCs w:val="32"/>
          <w:highlight w:val="none"/>
        </w:rPr>
      </w:pPr>
      <w:r>
        <w:rPr>
          <w:rFonts w:hint="eastAsia" w:ascii="宋体" w:hAnsi="宋体" w:eastAsia="宋体" w:cs="宋体"/>
          <w:kern w:val="2"/>
          <w:sz w:val="21"/>
          <w:szCs w:val="21"/>
          <w:highlight w:val="none"/>
          <w:lang w:val="en-US" w:eastAsia="zh-CN" w:bidi="ar"/>
        </w:rPr>
        <w:t>日期：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年 </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月 </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244A4E5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03C2D75">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bidi="ar"/>
        </w:rPr>
        <w:t>二、技术标格式文件</w:t>
      </w:r>
    </w:p>
    <w:p w14:paraId="265FB8B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bidi="ar"/>
        </w:rPr>
        <w:t xml:space="preserve"> </w:t>
      </w:r>
    </w:p>
    <w:p w14:paraId="159EB6C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bidi="ar"/>
        </w:rPr>
        <w:t xml:space="preserve"> </w:t>
      </w:r>
    </w:p>
    <w:p w14:paraId="301A5B4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 xml:space="preserve"> </w:t>
      </w:r>
    </w:p>
    <w:p w14:paraId="76E9B3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技术标</w:t>
      </w:r>
    </w:p>
    <w:p w14:paraId="7A56C5E5">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lang w:val="en-US" w:eastAsia="zh-CN" w:bidi="ar"/>
        </w:rPr>
        <w:t>（投标文件二）</w:t>
      </w:r>
    </w:p>
    <w:p w14:paraId="1BB4025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u w:val="single"/>
        </w:rPr>
      </w:pPr>
    </w:p>
    <w:p w14:paraId="49EAED92">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u w:val="single"/>
          <w:lang w:val="en-US" w:eastAsia="zh-CN" w:bidi="ar"/>
        </w:rPr>
        <w:t xml:space="preserve">        </w:t>
      </w:r>
      <w:r>
        <w:rPr>
          <w:rFonts w:hint="eastAsia" w:ascii="宋体" w:hAnsi="宋体" w:eastAsia="宋体" w:cs="宋体"/>
          <w:color w:val="000000"/>
          <w:kern w:val="2"/>
          <w:sz w:val="32"/>
          <w:szCs w:val="32"/>
          <w:highlight w:val="none"/>
          <w:lang w:val="en-US" w:eastAsia="zh-CN" w:bidi="ar"/>
        </w:rPr>
        <w:t>项目</w:t>
      </w:r>
    </w:p>
    <w:p w14:paraId="1F82A85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0C3A9537">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44"/>
          <w:szCs w:val="44"/>
          <w:highlight w:val="none"/>
        </w:rPr>
      </w:pPr>
      <w:r>
        <w:rPr>
          <w:rFonts w:hint="eastAsia" w:ascii="宋体" w:hAnsi="宋体" w:eastAsia="宋体" w:cs="宋体"/>
          <w:color w:val="000000"/>
          <w:kern w:val="2"/>
          <w:sz w:val="28"/>
          <w:szCs w:val="28"/>
          <w:highlight w:val="none"/>
          <w:lang w:val="en-US" w:eastAsia="zh-CN" w:bidi="ar"/>
        </w:rPr>
        <w:t>项目编号：</w:t>
      </w:r>
      <w:r>
        <w:rPr>
          <w:rFonts w:hint="eastAsia" w:ascii="宋体" w:hAnsi="宋体" w:eastAsia="宋体" w:cs="宋体"/>
          <w:color w:val="000000"/>
          <w:kern w:val="2"/>
          <w:sz w:val="28"/>
          <w:szCs w:val="28"/>
          <w:highlight w:val="none"/>
          <w:u w:val="single"/>
          <w:lang w:val="en-US" w:eastAsia="zh-CN" w:bidi="ar"/>
        </w:rPr>
        <w:t xml:space="preserve">     </w:t>
      </w:r>
    </w:p>
    <w:p w14:paraId="7AD70BD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731F62F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8B761A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6C89C19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3E973A0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2CAD24E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060947C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57C6768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0AECA704">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u w:val="single"/>
        </w:rPr>
      </w:pPr>
      <w:r>
        <w:rPr>
          <w:rFonts w:hint="eastAsia" w:ascii="宋体" w:hAnsi="宋体" w:eastAsia="宋体" w:cs="宋体"/>
          <w:color w:val="000000"/>
          <w:kern w:val="2"/>
          <w:sz w:val="28"/>
          <w:szCs w:val="28"/>
          <w:highlight w:val="none"/>
          <w:lang w:val="en-US" w:eastAsia="zh-CN" w:bidi="ar"/>
        </w:rPr>
        <w:t>投标人：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6FF6E7B8">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法定代表人：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684CD3CC">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年</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月</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日</w:t>
      </w:r>
    </w:p>
    <w:p w14:paraId="7B1EFEE4">
      <w:pPr>
        <w:spacing w:line="360" w:lineRule="auto"/>
        <w:jc w:val="center"/>
        <w:outlineLvl w:val="1"/>
        <w:rPr>
          <w:rFonts w:hint="eastAsia" w:ascii="宋体" w:hAnsi="宋体" w:eastAsia="宋体" w:cs="宋体"/>
          <w:b/>
          <w:color w:val="auto"/>
          <w:sz w:val="24"/>
          <w:highlight w:val="none"/>
        </w:rPr>
      </w:pPr>
    </w:p>
    <w:p w14:paraId="6863CCD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0E1BC9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000000"/>
          <w:kern w:val="2"/>
          <w:sz w:val="36"/>
          <w:szCs w:val="36"/>
          <w:highlight w:val="none"/>
        </w:rPr>
      </w:pPr>
      <w:r>
        <w:rPr>
          <w:rFonts w:hint="eastAsia" w:ascii="宋体" w:hAnsi="宋体" w:eastAsia="宋体" w:cs="宋体"/>
          <w:b/>
          <w:bCs w:val="0"/>
          <w:color w:val="000000"/>
          <w:kern w:val="2"/>
          <w:sz w:val="36"/>
          <w:szCs w:val="36"/>
          <w:highlight w:val="none"/>
          <w:lang w:val="en-US" w:eastAsia="zh-CN" w:bidi="ar"/>
        </w:rPr>
        <w:t>目   录</w:t>
      </w:r>
    </w:p>
    <w:p w14:paraId="26089D64">
      <w:pPr>
        <w:keepNext w:val="0"/>
        <w:keepLines w:val="0"/>
        <w:widowControl w:val="0"/>
        <w:suppressLineNumbers w:val="0"/>
        <w:spacing w:before="0" w:beforeAutospacing="0" w:after="0" w:afterAutospacing="0" w:line="400" w:lineRule="exact"/>
        <w:ind w:left="0" w:right="0" w:firstLine="3744" w:firstLineChars="1036"/>
        <w:jc w:val="both"/>
        <w:rPr>
          <w:rFonts w:hint="eastAsia" w:ascii="宋体" w:hAnsi="宋体" w:eastAsia="宋体" w:cs="宋体"/>
          <w:b/>
          <w:bCs w:val="0"/>
          <w:color w:val="000000"/>
          <w:kern w:val="2"/>
          <w:sz w:val="36"/>
          <w:szCs w:val="36"/>
          <w:highlight w:val="none"/>
        </w:rPr>
      </w:pPr>
      <w:r>
        <w:rPr>
          <w:rFonts w:hint="eastAsia" w:ascii="宋体" w:hAnsi="宋体" w:eastAsia="宋体" w:cs="宋体"/>
          <w:b/>
          <w:bCs w:val="0"/>
          <w:color w:val="000000"/>
          <w:kern w:val="2"/>
          <w:sz w:val="36"/>
          <w:szCs w:val="36"/>
          <w:highlight w:val="none"/>
          <w:lang w:val="en-US" w:eastAsia="zh-CN" w:bidi="ar"/>
        </w:rPr>
        <w:t xml:space="preserve"> </w:t>
      </w:r>
    </w:p>
    <w:p w14:paraId="25F3AED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（1）</w:t>
      </w:r>
      <w:r>
        <w:rPr>
          <w:rFonts w:hint="eastAsia" w:ascii="宋体" w:hAnsi="宋体" w:eastAsia="宋体" w:cs="宋体"/>
          <w:color w:val="000000"/>
          <w:kern w:val="2"/>
          <w:sz w:val="21"/>
          <w:szCs w:val="21"/>
          <w:highlight w:val="none"/>
          <w:lang w:val="en-US" w:eastAsia="zh-CN" w:bidi="ar"/>
        </w:rPr>
        <w:t>投标响应表（格式见附件）</w:t>
      </w:r>
      <w:r>
        <w:rPr>
          <w:rFonts w:hint="eastAsia" w:ascii="宋体" w:hAnsi="宋体" w:eastAsia="宋体" w:cs="宋体"/>
          <w:bCs/>
          <w:color w:val="000000"/>
          <w:kern w:val="2"/>
          <w:sz w:val="21"/>
          <w:szCs w:val="21"/>
          <w:highlight w:val="none"/>
          <w:lang w:val="en-US" w:eastAsia="zh-CN" w:bidi="ar"/>
        </w:rPr>
        <w:t>；</w:t>
      </w:r>
    </w:p>
    <w:p w14:paraId="5A8E2FE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（2）诚信履约承诺函（格式见附件）</w:t>
      </w:r>
    </w:p>
    <w:p w14:paraId="5BBFA9D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（3）招标文件中要求的技术标评审及技术标评分的支持资料；</w:t>
      </w:r>
    </w:p>
    <w:p w14:paraId="6767897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（4）投标人认为需要提供的其他技术证明材料；</w:t>
      </w:r>
    </w:p>
    <w:p w14:paraId="23ECE5D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（5）其他（如有）。</w:t>
      </w:r>
    </w:p>
    <w:p w14:paraId="7973BFC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52BE1FE">
      <w:pPr>
        <w:spacing w:line="360" w:lineRule="auto"/>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）投标响应表</w:t>
      </w:r>
    </w:p>
    <w:p w14:paraId="1F45C274">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1.1商务响应表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11D8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23DA633">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7C0145E">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7C39F332">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6464DA1">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A856D99">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偏离说明</w:t>
            </w:r>
          </w:p>
        </w:tc>
      </w:tr>
      <w:tr w14:paraId="13B5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F261CB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0ACA2E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7CEC254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1004E14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8757E8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59CA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89F9D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05B1935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供货及安装地点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7F3FBF6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1F4A93F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2A0D05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7E59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1A6BA5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B1836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供货及安装期限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C2ACDA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F8A5B6D">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F57077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2A5E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AA58A5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46CEBFA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免费质保期</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7E79D1F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1DD4B4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B11D50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0971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5C9F29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54AFA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738CD13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F51CFE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6A7B1D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bl>
    <w:p w14:paraId="28283BC9">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1.2技术响应表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1560"/>
        <w:gridCol w:w="2864"/>
        <w:gridCol w:w="2483"/>
        <w:gridCol w:w="855"/>
      </w:tblGrid>
      <w:tr w14:paraId="6A7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527CED82">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序号</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ED630E7">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kern w:val="2"/>
                <w:sz w:val="24"/>
                <w:szCs w:val="24"/>
                <w:highlight w:val="none"/>
                <w:lang w:val="en-US" w:eastAsia="zh-CN" w:bidi="ar"/>
              </w:rPr>
              <w:t>货物名称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4C297A57">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招标文件规定的技术参数及要求</w:t>
            </w: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756E931">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所投产品的品牌、型号及技术参数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005BF7B0">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偏离说明</w:t>
            </w:r>
          </w:p>
        </w:tc>
      </w:tr>
      <w:tr w14:paraId="14A5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9736AA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17D8A2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3427A3E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283025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58C025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3258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CC179E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677AAD6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EB8CFC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567050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2B3DB8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1C10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5CD5A9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3BF55B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3E8C20F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5E0CD15">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D0A87E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2560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8C1926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6F433CC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D8205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6244D2BC">
            <w:pPr>
              <w:pStyle w:val="26"/>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47655E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3383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57B9D9C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2950EC3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12DCD51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44B43E0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EC3129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bl>
    <w:p w14:paraId="29C9C9BD">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宋体"/>
          <w:kern w:val="2"/>
          <w:sz w:val="24"/>
          <w:szCs w:val="24"/>
          <w:highlight w:val="none"/>
          <w:u w:val="single"/>
          <w:lang w:val="en-US" w:eastAsia="zh-CN" w:bidi="ar"/>
        </w:rPr>
        <w:t xml:space="preserve">             </w:t>
      </w:r>
    </w:p>
    <w:p w14:paraId="4C153B48">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日          期：</w:t>
      </w:r>
      <w:r>
        <w:rPr>
          <w:rFonts w:hint="eastAsia" w:ascii="宋体" w:hAnsi="宋体" w:eastAsia="宋体" w:cs="宋体"/>
          <w:kern w:val="2"/>
          <w:sz w:val="24"/>
          <w:szCs w:val="24"/>
          <w:highlight w:val="none"/>
          <w:u w:val="single"/>
          <w:lang w:val="en-US" w:eastAsia="zh-CN" w:bidi="ar"/>
        </w:rPr>
        <w:t xml:space="preserve">             </w:t>
      </w:r>
    </w:p>
    <w:p w14:paraId="0C1BB9DF">
      <w:pPr>
        <w:spacing w:line="360" w:lineRule="auto"/>
        <w:jc w:val="center"/>
        <w:outlineLvl w:val="1"/>
        <w:rPr>
          <w:rFonts w:hint="eastAsia" w:ascii="宋体" w:hAnsi="宋体" w:eastAsia="宋体" w:cs="宋体"/>
          <w:b/>
          <w:color w:val="auto"/>
          <w:sz w:val="24"/>
          <w:highlight w:val="none"/>
        </w:rPr>
      </w:pPr>
    </w:p>
    <w:p w14:paraId="461084F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7025666">
      <w:pPr>
        <w:spacing w:line="360" w:lineRule="auto"/>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）诚信履约承诺函</w:t>
      </w:r>
    </w:p>
    <w:p w14:paraId="1E07AC4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p>
    <w:p w14:paraId="340DE9A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u w:val="single"/>
        </w:rPr>
      </w:pPr>
      <w:r>
        <w:rPr>
          <w:rFonts w:hint="eastAsia" w:ascii="宋体" w:hAnsi="宋体" w:eastAsia="宋体" w:cs="宋体"/>
          <w:b/>
          <w:bCs/>
          <w:kern w:val="2"/>
          <w:sz w:val="24"/>
          <w:szCs w:val="24"/>
          <w:highlight w:val="none"/>
          <w:lang w:val="en-US" w:eastAsia="zh-CN" w:bidi="ar"/>
        </w:rPr>
        <w:t>致：采购人</w:t>
      </w:r>
    </w:p>
    <w:p w14:paraId="59DFAD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150CF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（1）中标或者成交后无正当理由拒不与采购人签订政府采购合同；</w:t>
      </w:r>
    </w:p>
    <w:p w14:paraId="25712CB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（2）未按照采购文件确定的事项签订政府采购合同；</w:t>
      </w:r>
    </w:p>
    <w:p w14:paraId="4C6990E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（3）将政府采购合同转包；</w:t>
      </w:r>
    </w:p>
    <w:p w14:paraId="25A3C1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（4）提供假冒伪劣产品；</w:t>
      </w:r>
    </w:p>
    <w:p w14:paraId="7DEEC7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（5）擅自变更、中止或者终止政府采购合同。</w:t>
      </w:r>
    </w:p>
    <w:p w14:paraId="6DD9E9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919AF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本承诺声明：</w:t>
      </w:r>
      <w:r>
        <w:rPr>
          <w:rFonts w:hint="eastAsia" w:ascii="宋体" w:hAnsi="宋体" w:eastAsia="宋体" w:cs="宋体"/>
          <w:bCs/>
          <w:kern w:val="2"/>
          <w:sz w:val="24"/>
          <w:szCs w:val="24"/>
          <w:highlight w:val="none"/>
          <w:u w:val="single"/>
          <w:lang w:val="en-US" w:eastAsia="zh-CN" w:bidi="ar"/>
        </w:rPr>
        <w:t xml:space="preserve">                   （投标人名称）</w:t>
      </w:r>
      <w:r>
        <w:rPr>
          <w:rFonts w:hint="eastAsia" w:ascii="宋体" w:hAnsi="宋体" w:eastAsia="宋体" w:cs="宋体"/>
          <w:bCs/>
          <w:kern w:val="2"/>
          <w:sz w:val="24"/>
          <w:szCs w:val="24"/>
          <w:highlight w:val="none"/>
          <w:lang w:val="en-US" w:eastAsia="zh-CN" w:bidi="ar"/>
        </w:rPr>
        <w:t>对本招标文件的相关要求完全响应。若有幸中标将严格按照以上承诺进行供货和服务。</w:t>
      </w:r>
    </w:p>
    <w:p w14:paraId="51C4600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16FEAD6C">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宋体"/>
          <w:bCs/>
          <w:kern w:val="2"/>
          <w:sz w:val="24"/>
          <w:szCs w:val="24"/>
          <w:highlight w:val="none"/>
          <w:lang w:val="en-US" w:eastAsia="zh-CN" w:bidi="ar"/>
        </w:rPr>
      </w:pPr>
    </w:p>
    <w:p w14:paraId="773B9E13">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宋体"/>
          <w:bCs/>
          <w:kern w:val="2"/>
          <w:sz w:val="24"/>
          <w:szCs w:val="24"/>
          <w:highlight w:val="none"/>
          <w:u w:val="single"/>
        </w:rPr>
      </w:pPr>
      <w:r>
        <w:rPr>
          <w:rFonts w:hint="eastAsia" w:ascii="宋体" w:hAnsi="宋体" w:eastAsia="宋体" w:cs="宋体"/>
          <w:bCs/>
          <w:kern w:val="2"/>
          <w:sz w:val="24"/>
          <w:szCs w:val="24"/>
          <w:highlight w:val="none"/>
          <w:lang w:val="en-US" w:eastAsia="zh-CN" w:bidi="ar"/>
        </w:rPr>
        <w:t>投标人电子签章：</w:t>
      </w:r>
      <w:r>
        <w:rPr>
          <w:rFonts w:hint="eastAsia" w:ascii="宋体" w:hAnsi="宋体" w:eastAsia="宋体" w:cs="宋体"/>
          <w:bCs/>
          <w:kern w:val="2"/>
          <w:sz w:val="24"/>
          <w:szCs w:val="24"/>
          <w:highlight w:val="none"/>
          <w:u w:val="single"/>
          <w:lang w:val="en-US" w:eastAsia="zh-CN" w:bidi="ar"/>
        </w:rPr>
        <w:t xml:space="preserve">             </w:t>
      </w:r>
    </w:p>
    <w:p w14:paraId="378661AB">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日          期：</w:t>
      </w:r>
      <w:r>
        <w:rPr>
          <w:rFonts w:hint="eastAsia" w:ascii="宋体" w:hAnsi="宋体" w:eastAsia="宋体" w:cs="宋体"/>
          <w:bCs/>
          <w:kern w:val="2"/>
          <w:sz w:val="24"/>
          <w:szCs w:val="24"/>
          <w:highlight w:val="none"/>
          <w:u w:val="single"/>
          <w:lang w:val="en-US" w:eastAsia="zh-CN" w:bidi="ar"/>
        </w:rPr>
        <w:t xml:space="preserve">             </w:t>
      </w:r>
    </w:p>
    <w:p w14:paraId="30D57E3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25A69AF">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bidi="ar"/>
        </w:rPr>
        <w:t>三、商务标格式文件</w:t>
      </w:r>
    </w:p>
    <w:p w14:paraId="77A6166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bidi="ar"/>
        </w:rPr>
        <w:t xml:space="preserve"> </w:t>
      </w:r>
    </w:p>
    <w:p w14:paraId="3D78FC3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bidi="ar"/>
        </w:rPr>
        <w:t xml:space="preserve"> </w:t>
      </w:r>
    </w:p>
    <w:p w14:paraId="234F30E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p>
    <w:p w14:paraId="077381A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 xml:space="preserve"> </w:t>
      </w:r>
    </w:p>
    <w:p w14:paraId="79086A8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商务标</w:t>
      </w:r>
    </w:p>
    <w:p w14:paraId="7672760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lang w:val="en-US" w:eastAsia="zh-CN" w:bidi="ar"/>
        </w:rPr>
        <w:t>（投标文件三）</w:t>
      </w:r>
    </w:p>
    <w:p w14:paraId="00EC76E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u w:val="single"/>
        </w:rPr>
      </w:pPr>
    </w:p>
    <w:p w14:paraId="5459C90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u w:val="single"/>
          <w:lang w:val="en-US" w:eastAsia="zh-CN" w:bidi="ar"/>
        </w:rPr>
        <w:t xml:space="preserve">        </w:t>
      </w:r>
      <w:r>
        <w:rPr>
          <w:rFonts w:hint="eastAsia" w:ascii="宋体" w:hAnsi="宋体" w:eastAsia="宋体" w:cs="宋体"/>
          <w:color w:val="000000"/>
          <w:kern w:val="2"/>
          <w:sz w:val="32"/>
          <w:szCs w:val="32"/>
          <w:highlight w:val="none"/>
          <w:lang w:val="en-US" w:eastAsia="zh-CN" w:bidi="ar"/>
        </w:rPr>
        <w:t>项目</w:t>
      </w:r>
    </w:p>
    <w:p w14:paraId="0BC3B34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AE2725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44"/>
          <w:szCs w:val="44"/>
          <w:highlight w:val="none"/>
        </w:rPr>
      </w:pPr>
      <w:r>
        <w:rPr>
          <w:rFonts w:hint="eastAsia" w:ascii="宋体" w:hAnsi="宋体" w:eastAsia="宋体" w:cs="宋体"/>
          <w:color w:val="000000"/>
          <w:kern w:val="2"/>
          <w:sz w:val="28"/>
          <w:szCs w:val="28"/>
          <w:highlight w:val="none"/>
          <w:lang w:val="en-US" w:eastAsia="zh-CN" w:bidi="ar"/>
        </w:rPr>
        <w:t>项目编号：</w:t>
      </w:r>
      <w:r>
        <w:rPr>
          <w:rFonts w:hint="eastAsia" w:ascii="宋体" w:hAnsi="宋体" w:eastAsia="宋体" w:cs="宋体"/>
          <w:color w:val="000000"/>
          <w:kern w:val="2"/>
          <w:sz w:val="28"/>
          <w:szCs w:val="28"/>
          <w:highlight w:val="none"/>
          <w:u w:val="single"/>
          <w:lang w:val="en-US" w:eastAsia="zh-CN" w:bidi="ar"/>
        </w:rPr>
        <w:t xml:space="preserve">     </w:t>
      </w:r>
    </w:p>
    <w:p w14:paraId="72BC922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3E6AD1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270543B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25F4BB4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67731720">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31848FE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78FBB72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7FB95EB">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u w:val="single"/>
        </w:rPr>
      </w:pPr>
      <w:r>
        <w:rPr>
          <w:rFonts w:hint="eastAsia" w:ascii="宋体" w:hAnsi="宋体" w:eastAsia="宋体" w:cs="宋体"/>
          <w:color w:val="000000"/>
          <w:kern w:val="2"/>
          <w:sz w:val="28"/>
          <w:szCs w:val="28"/>
          <w:highlight w:val="none"/>
          <w:lang w:val="en-US" w:eastAsia="zh-CN" w:bidi="ar"/>
        </w:rPr>
        <w:t>投标人：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6A8963C7">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法定代表人：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18C4EDB8">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年</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月</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日</w:t>
      </w:r>
    </w:p>
    <w:p w14:paraId="579BFC1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93258BB">
      <w:pPr>
        <w:keepNext w:val="0"/>
        <w:keepLines w:val="0"/>
        <w:widowControl w:val="0"/>
        <w:suppressLineNumbers w:val="0"/>
        <w:spacing w:before="0" w:beforeAutospacing="0" w:after="0" w:afterAutospacing="0" w:line="400" w:lineRule="exact"/>
        <w:ind w:left="0" w:right="0" w:firstLine="3379" w:firstLineChars="935"/>
        <w:jc w:val="left"/>
        <w:rPr>
          <w:rFonts w:hint="eastAsia" w:ascii="宋体" w:hAnsi="宋体" w:eastAsia="宋体" w:cs="宋体"/>
          <w:b/>
          <w:bCs w:val="0"/>
          <w:color w:val="000000"/>
          <w:kern w:val="2"/>
          <w:sz w:val="36"/>
          <w:szCs w:val="36"/>
          <w:highlight w:val="none"/>
          <w:lang w:val="en-US" w:eastAsia="zh-CN" w:bidi="ar"/>
        </w:rPr>
      </w:pPr>
    </w:p>
    <w:p w14:paraId="06A053EB">
      <w:pPr>
        <w:keepNext w:val="0"/>
        <w:keepLines w:val="0"/>
        <w:widowControl w:val="0"/>
        <w:suppressLineNumbers w:val="0"/>
        <w:spacing w:before="0" w:beforeAutospacing="0" w:after="0" w:afterAutospacing="0" w:line="400" w:lineRule="exact"/>
        <w:ind w:left="0" w:right="0" w:firstLine="3379" w:firstLineChars="935"/>
        <w:jc w:val="left"/>
        <w:rPr>
          <w:rFonts w:hint="eastAsia" w:ascii="宋体" w:hAnsi="宋体" w:eastAsia="宋体" w:cs="宋体"/>
          <w:b/>
          <w:bCs w:val="0"/>
          <w:color w:val="000000"/>
          <w:kern w:val="2"/>
          <w:sz w:val="36"/>
          <w:szCs w:val="36"/>
          <w:highlight w:val="none"/>
        </w:rPr>
      </w:pPr>
      <w:r>
        <w:rPr>
          <w:rFonts w:hint="eastAsia" w:ascii="宋体" w:hAnsi="宋体" w:eastAsia="宋体" w:cs="宋体"/>
          <w:b/>
          <w:bCs w:val="0"/>
          <w:color w:val="000000"/>
          <w:kern w:val="2"/>
          <w:sz w:val="36"/>
          <w:szCs w:val="36"/>
          <w:highlight w:val="none"/>
          <w:lang w:val="en-US" w:eastAsia="zh-CN" w:bidi="ar"/>
        </w:rPr>
        <w:t>目   录</w:t>
      </w:r>
    </w:p>
    <w:p w14:paraId="77002265">
      <w:pPr>
        <w:keepNext w:val="0"/>
        <w:keepLines w:val="0"/>
        <w:widowControl w:val="0"/>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 xml:space="preserve"> </w:t>
      </w:r>
    </w:p>
    <w:p w14:paraId="55AFAE5B">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（1）开标一览表（格式见附件）；</w:t>
      </w:r>
    </w:p>
    <w:p w14:paraId="2FD58B3D">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（2）投标函（格式见附件）；</w:t>
      </w:r>
    </w:p>
    <w:p w14:paraId="28998DA3">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（3）分项报价清单（格式见附件）；</w:t>
      </w:r>
    </w:p>
    <w:p w14:paraId="5BD4D5FE">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（4）中小企业声明函，残疾人福利性企业（格式见附件）；（如是）</w:t>
      </w:r>
    </w:p>
    <w:p w14:paraId="378CBC7D">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（5）省级以上监狱管理局、戒毒管理局（含新疆生产建设兵团）出具的属于监狱企业的证明（如是）；</w:t>
      </w:r>
    </w:p>
    <w:p w14:paraId="06C69BAF">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（6）招标文件商务评审中要求提供的其他相关资料；</w:t>
      </w:r>
    </w:p>
    <w:p w14:paraId="6AFE24E8">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（7）投标人认为需要提供的其他材料；</w:t>
      </w:r>
    </w:p>
    <w:p w14:paraId="39836904">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（8）其他（如有）。</w:t>
      </w:r>
    </w:p>
    <w:p w14:paraId="11FB7E22">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p>
    <w:p w14:paraId="3CE7040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E8DC67A">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开标一览表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FB9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13642DB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0396F3B6">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sz w:val="24"/>
                <w:szCs w:val="20"/>
                <w:highlight w:val="none"/>
                <w:u w:val="single"/>
              </w:rPr>
            </w:pPr>
          </w:p>
        </w:tc>
      </w:tr>
      <w:tr w14:paraId="2889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F0AD51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投标人全称</w:t>
            </w:r>
          </w:p>
        </w:tc>
        <w:tc>
          <w:tcPr>
            <w:tcW w:w="3648" w:type="pct"/>
            <w:tcBorders>
              <w:top w:val="nil"/>
            </w:tcBorders>
            <w:vAlign w:val="center"/>
          </w:tcPr>
          <w:p w14:paraId="5A031FE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3BD6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2" w:type="pct"/>
            <w:tcBorders>
              <w:top w:val="nil"/>
            </w:tcBorders>
            <w:vAlign w:val="center"/>
          </w:tcPr>
          <w:p w14:paraId="3D339492">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投标范围</w:t>
            </w:r>
          </w:p>
        </w:tc>
        <w:tc>
          <w:tcPr>
            <w:tcW w:w="3648" w:type="pct"/>
            <w:tcBorders>
              <w:top w:val="nil"/>
            </w:tcBorders>
            <w:vAlign w:val="center"/>
          </w:tcPr>
          <w:p w14:paraId="5C055A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8"/>
                <w:highlight w:val="none"/>
              </w:rPr>
              <w:t>全部/第</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包</w:t>
            </w:r>
          </w:p>
        </w:tc>
      </w:tr>
      <w:tr w14:paraId="1173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2" w:type="pct"/>
            <w:tcBorders>
              <w:top w:val="nil"/>
            </w:tcBorders>
            <w:vAlign w:val="center"/>
          </w:tcPr>
          <w:p w14:paraId="54C19E1F">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p>
        </w:tc>
        <w:tc>
          <w:tcPr>
            <w:tcW w:w="3648" w:type="pct"/>
            <w:tcBorders>
              <w:top w:val="nil"/>
            </w:tcBorders>
            <w:vAlign w:val="center"/>
          </w:tcPr>
          <w:p w14:paraId="5536ED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95FC71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670"/>
              <w:textAlignment w:val="auto"/>
              <w:rPr>
                <w:rFonts w:hint="eastAsia" w:ascii="宋体" w:hAnsi="宋体" w:eastAsia="宋体" w:cs="宋体"/>
                <w:color w:val="auto"/>
                <w:sz w:val="24"/>
                <w:szCs w:val="20"/>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007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3C3DBBB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其他</w:t>
            </w:r>
          </w:p>
        </w:tc>
        <w:tc>
          <w:tcPr>
            <w:tcW w:w="3648" w:type="pct"/>
            <w:tcBorders>
              <w:top w:val="nil"/>
            </w:tcBorders>
            <w:vAlign w:val="center"/>
          </w:tcPr>
          <w:p w14:paraId="651BE4F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8"/>
                <w:highlight w:val="none"/>
              </w:rPr>
            </w:pPr>
          </w:p>
        </w:tc>
      </w:tr>
    </w:tbl>
    <w:p w14:paraId="20DB4A87">
      <w:pPr>
        <w:spacing w:line="360" w:lineRule="auto"/>
        <w:ind w:firstLine="4320" w:firstLineChars="1800"/>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电子签章：</w:t>
      </w:r>
      <w:r>
        <w:rPr>
          <w:rFonts w:hint="eastAsia" w:ascii="宋体" w:hAnsi="宋体" w:eastAsia="宋体" w:cs="宋体"/>
          <w:bCs/>
          <w:color w:val="auto"/>
          <w:sz w:val="24"/>
          <w:highlight w:val="none"/>
          <w:u w:val="single"/>
        </w:rPr>
        <w:t xml:space="preserve">             </w:t>
      </w:r>
    </w:p>
    <w:p w14:paraId="128FBF82">
      <w:pPr>
        <w:spacing w:line="360" w:lineRule="auto"/>
        <w:ind w:firstLine="4320" w:firstLineChars="18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3D6CA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52A782">
      <w:pPr>
        <w:spacing w:line="360" w:lineRule="auto"/>
        <w:ind w:firstLine="360" w:firstLineChars="150"/>
        <w:rPr>
          <w:rFonts w:hint="eastAsia" w:ascii="宋体" w:hAnsi="宋体" w:eastAsia="宋体" w:cs="宋体"/>
          <w:color w:val="auto"/>
          <w:sz w:val="24"/>
          <w:highlight w:val="none"/>
        </w:rPr>
      </w:pPr>
    </w:p>
    <w:p w14:paraId="39E8E3DA">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62DA05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1006023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0BE673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67B8F9B5">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投标函</w:t>
      </w:r>
    </w:p>
    <w:p w14:paraId="3FDB4B0E">
      <w:pPr>
        <w:pStyle w:val="18"/>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6D96B3E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188707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F1411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77DACBA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1C0666C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5900EB2">
      <w:pPr>
        <w:spacing w:line="360" w:lineRule="auto"/>
        <w:ind w:firstLine="4800" w:firstLineChars="2000"/>
        <w:rPr>
          <w:rFonts w:hint="eastAsia" w:ascii="宋体" w:hAnsi="宋体" w:eastAsia="宋体" w:cs="宋体"/>
          <w:color w:val="auto"/>
          <w:sz w:val="24"/>
          <w:highlight w:val="none"/>
        </w:rPr>
      </w:pPr>
    </w:p>
    <w:p w14:paraId="7E8A378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4F17114C">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CBE7B80">
      <w:pPr>
        <w:widowControl/>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480ADB93">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投标分项报价表</w:t>
      </w:r>
    </w:p>
    <w:p w14:paraId="6C0AD986">
      <w:pPr>
        <w:spacing w:line="360" w:lineRule="auto"/>
        <w:ind w:firstLine="435"/>
        <w:rPr>
          <w:rFonts w:hint="eastAsia" w:ascii="宋体" w:hAnsi="宋体" w:eastAsia="宋体" w:cs="宋体"/>
          <w:b/>
          <w:color w:val="auto"/>
          <w:sz w:val="24"/>
          <w:highlight w:val="none"/>
        </w:rPr>
      </w:pP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3027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4060BBB0">
            <w:pPr>
              <w:pStyle w:val="51"/>
              <w:keepNext w:val="0"/>
              <w:keepLines w:val="0"/>
              <w:widowControl w:val="0"/>
              <w:suppressLineNumbers w:val="0"/>
              <w:spacing w:before="0" w:beforeAutospacing="0" w:after="0" w:afterAutospacing="0"/>
              <w:ind w:left="0" w:right="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序号</w:t>
            </w:r>
          </w:p>
        </w:tc>
        <w:tc>
          <w:tcPr>
            <w:tcW w:w="777" w:type="pct"/>
            <w:vAlign w:val="center"/>
          </w:tcPr>
          <w:p w14:paraId="09CAD9E6">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货物名称</w:t>
            </w:r>
          </w:p>
        </w:tc>
        <w:tc>
          <w:tcPr>
            <w:tcW w:w="773" w:type="pct"/>
            <w:vAlign w:val="center"/>
          </w:tcPr>
          <w:p w14:paraId="6D5FF576">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品牌、型</w:t>
            </w:r>
          </w:p>
          <w:p w14:paraId="7D039C23">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号</w:t>
            </w:r>
          </w:p>
        </w:tc>
        <w:tc>
          <w:tcPr>
            <w:tcW w:w="773" w:type="pct"/>
            <w:vAlign w:val="center"/>
          </w:tcPr>
          <w:p w14:paraId="2705FC1C">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原产地及</w:t>
            </w:r>
          </w:p>
          <w:p w14:paraId="50FC248C">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生产厂商</w:t>
            </w:r>
          </w:p>
        </w:tc>
        <w:tc>
          <w:tcPr>
            <w:tcW w:w="394" w:type="pct"/>
            <w:vAlign w:val="center"/>
          </w:tcPr>
          <w:p w14:paraId="0F0C7888">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单位</w:t>
            </w:r>
          </w:p>
        </w:tc>
        <w:tc>
          <w:tcPr>
            <w:tcW w:w="394" w:type="pct"/>
            <w:vAlign w:val="center"/>
          </w:tcPr>
          <w:p w14:paraId="4DDE07AE">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551" w:type="pct"/>
            <w:vAlign w:val="center"/>
          </w:tcPr>
          <w:p w14:paraId="35B6BC93">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p w14:paraId="204D100B">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（元）</w:t>
            </w:r>
          </w:p>
        </w:tc>
        <w:tc>
          <w:tcPr>
            <w:tcW w:w="551" w:type="pct"/>
            <w:vAlign w:val="center"/>
          </w:tcPr>
          <w:p w14:paraId="04CF0AFF">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小计</w:t>
            </w:r>
          </w:p>
          <w:p w14:paraId="76129846">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（元）</w:t>
            </w:r>
          </w:p>
        </w:tc>
        <w:tc>
          <w:tcPr>
            <w:tcW w:w="393" w:type="pct"/>
            <w:vAlign w:val="center"/>
          </w:tcPr>
          <w:p w14:paraId="23B21804">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733E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735670D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777" w:type="pct"/>
          </w:tcPr>
          <w:p w14:paraId="54F9BFD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6742E30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4B32281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3E4E5DD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0F28841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70BDA23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29248C2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7C477AF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2318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6406F4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777" w:type="pct"/>
          </w:tcPr>
          <w:p w14:paraId="20C2DD8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5917B41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4A2760D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0F53564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6E159F82">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1001B43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006F746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709AFD5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0FAB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7E9DAB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777" w:type="pct"/>
          </w:tcPr>
          <w:p w14:paraId="1CD45DE9">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53B188A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038E4C3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34AADB9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0FB7619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084FE751">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34AADC45">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4444F0D7">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7CF5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259773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777" w:type="pct"/>
          </w:tcPr>
          <w:p w14:paraId="09907D87">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1F5DA37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51A9202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3216EB1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033E0CB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4751232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2719E7B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570F53F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14E4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C52E4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w:t>
            </w:r>
          </w:p>
        </w:tc>
        <w:tc>
          <w:tcPr>
            <w:tcW w:w="777" w:type="pct"/>
          </w:tcPr>
          <w:p w14:paraId="3DD25BC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3A8F74B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6B9A4009">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192CA5F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4C435A8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626EAD44">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1A260222">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36AEF2F7">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6DB6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6CF84D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w:t>
            </w:r>
          </w:p>
        </w:tc>
        <w:tc>
          <w:tcPr>
            <w:tcW w:w="777" w:type="pct"/>
          </w:tcPr>
          <w:p w14:paraId="1E11039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1098890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449EC6E5">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1F89A14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7E4348D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524E68D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22E2752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3250A9D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154D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830801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w:t>
            </w:r>
          </w:p>
        </w:tc>
        <w:tc>
          <w:tcPr>
            <w:tcW w:w="777" w:type="pct"/>
          </w:tcPr>
          <w:p w14:paraId="4F7921F9">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1EB0D87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1D51B0CF">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7A649085">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15DC9BA2">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65B43FC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03596F2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13734CA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5C41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B046D9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8</w:t>
            </w:r>
          </w:p>
        </w:tc>
        <w:tc>
          <w:tcPr>
            <w:tcW w:w="777" w:type="pct"/>
          </w:tcPr>
          <w:p w14:paraId="4C26051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3842A57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3CE72789">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7BC0481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7115EAF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2A51631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4DFED5A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72A4B444">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5A7F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3D1495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9</w:t>
            </w:r>
          </w:p>
        </w:tc>
        <w:tc>
          <w:tcPr>
            <w:tcW w:w="777" w:type="pct"/>
          </w:tcPr>
          <w:p w14:paraId="394541D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19F1B1C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63862FB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38E11431">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735FCA29">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7C9CEC3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55A235D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08B87849">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064C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2312A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w:t>
            </w:r>
          </w:p>
        </w:tc>
        <w:tc>
          <w:tcPr>
            <w:tcW w:w="777" w:type="pct"/>
          </w:tcPr>
          <w:p w14:paraId="158FE6E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7A0E026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263CE5E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587FACE1">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11E59FF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76EAD22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2E190BC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72C97A1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4C67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E0BF72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11</w:t>
            </w:r>
          </w:p>
        </w:tc>
        <w:tc>
          <w:tcPr>
            <w:tcW w:w="777" w:type="pct"/>
          </w:tcPr>
          <w:p w14:paraId="06EB057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7B72290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122E896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40A5995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4918FBE4">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2CE3E3C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6FB5149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29AC17A5">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4422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D34B9E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w:t>
            </w:r>
          </w:p>
        </w:tc>
        <w:tc>
          <w:tcPr>
            <w:tcW w:w="777" w:type="pct"/>
          </w:tcPr>
          <w:p w14:paraId="2B55C00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02172CD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60035E1F">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5276C497">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4767E3C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133E0B95">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316961E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7DAFF94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314E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E3BC1B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13</w:t>
            </w:r>
          </w:p>
        </w:tc>
        <w:tc>
          <w:tcPr>
            <w:tcW w:w="777" w:type="pct"/>
          </w:tcPr>
          <w:p w14:paraId="1C160F6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7085AF4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7B10DE11">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06A5ED7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0AA015B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125A8B8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3255E139">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64D83BA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55C0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A43F29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777" w:type="pct"/>
            <w:vAlign w:val="center"/>
          </w:tcPr>
          <w:p w14:paraId="67FC4973">
            <w:pPr>
              <w:pStyle w:val="59"/>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r>
              <w:rPr>
                <w:rFonts w:hint="eastAsia" w:ascii="宋体" w:hAnsi="宋体" w:eastAsia="宋体" w:cs="宋体"/>
                <w:color w:val="auto"/>
                <w:szCs w:val="20"/>
                <w:highlight w:val="none"/>
              </w:rPr>
              <w:t>其他费用</w:t>
            </w:r>
          </w:p>
        </w:tc>
        <w:tc>
          <w:tcPr>
            <w:tcW w:w="773" w:type="pct"/>
          </w:tcPr>
          <w:p w14:paraId="4E727217">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5EA6B12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700DCA04">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4727CFA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4E6B909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4B69F834">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74460ED5">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0566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01DD10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777" w:type="pct"/>
          </w:tcPr>
          <w:p w14:paraId="1BCCC73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773" w:type="pct"/>
          </w:tcPr>
          <w:p w14:paraId="7C0BAFE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620F788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16B84A55">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4CD6C7E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72E3F152">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789E024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6EC9A49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2CEC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B3E434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777" w:type="pct"/>
          </w:tcPr>
          <w:p w14:paraId="6B93BDA5">
            <w:pPr>
              <w:pStyle w:val="59"/>
              <w:keepNext w:val="0"/>
              <w:keepLines w:val="0"/>
              <w:suppressLineNumbers w:val="0"/>
              <w:spacing w:before="0" w:beforeAutospacing="0" w:after="0" w:afterAutospacing="0"/>
              <w:ind w:left="0" w:right="0"/>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p>
        </w:tc>
        <w:tc>
          <w:tcPr>
            <w:tcW w:w="773" w:type="pct"/>
          </w:tcPr>
          <w:p w14:paraId="33E118B6">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3FB8E0A7">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2E76538F">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145DB5D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52EC3EA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5EB6D422">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542E222E">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0F2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BD5E38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777" w:type="pct"/>
          </w:tcPr>
          <w:p w14:paraId="74A09BB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773" w:type="pct"/>
          </w:tcPr>
          <w:p w14:paraId="4895BB8D">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4007D6C4">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5FA6988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78B484A7">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3D7AEB42">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11E3E2B8">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793AF3FF">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r w14:paraId="258B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6C5B4352">
            <w:pPr>
              <w:pStyle w:val="59"/>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合计（元）</w:t>
            </w:r>
          </w:p>
        </w:tc>
        <w:tc>
          <w:tcPr>
            <w:tcW w:w="773" w:type="pct"/>
          </w:tcPr>
          <w:p w14:paraId="7DBED494">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773" w:type="pct"/>
          </w:tcPr>
          <w:p w14:paraId="17D547FA">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6984D200">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4" w:type="pct"/>
          </w:tcPr>
          <w:p w14:paraId="155AE3B3">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68E4B031">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551" w:type="pct"/>
          </w:tcPr>
          <w:p w14:paraId="2A0BF92B">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c>
          <w:tcPr>
            <w:tcW w:w="393" w:type="pct"/>
          </w:tcPr>
          <w:p w14:paraId="502AE3AC">
            <w:pPr>
              <w:keepNext w:val="0"/>
              <w:keepLines w:val="0"/>
              <w:suppressLineNumbers w:val="0"/>
              <w:spacing w:before="0" w:beforeAutospacing="0" w:after="0" w:afterAutospacing="0"/>
              <w:ind w:left="0" w:right="0"/>
              <w:rPr>
                <w:rFonts w:hint="eastAsia" w:ascii="宋体" w:hAnsi="宋体" w:eastAsia="宋体" w:cs="宋体"/>
                <w:color w:val="auto"/>
                <w:sz w:val="24"/>
                <w:szCs w:val="20"/>
                <w:highlight w:val="none"/>
              </w:rPr>
            </w:pPr>
          </w:p>
        </w:tc>
      </w:tr>
    </w:tbl>
    <w:p w14:paraId="53A9647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0DFC2D2">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49B38DF7">
      <w:pPr>
        <w:adjustRightInd w:val="0"/>
        <w:snapToGrid w:val="0"/>
        <w:spacing w:line="360" w:lineRule="auto"/>
        <w:rPr>
          <w:rFonts w:hint="eastAsia" w:ascii="宋体" w:hAnsi="宋体" w:eastAsia="宋体" w:cs="宋体"/>
          <w:b/>
          <w:bCs/>
          <w:color w:val="auto"/>
          <w:sz w:val="24"/>
          <w:szCs w:val="28"/>
          <w:highlight w:val="none"/>
        </w:rPr>
      </w:pPr>
    </w:p>
    <w:p w14:paraId="1BE7649C">
      <w:pPr>
        <w:adjustRightInd w:val="0"/>
        <w:snapToGrid w:val="0"/>
        <w:spacing w:line="360" w:lineRule="auto"/>
        <w:rPr>
          <w:rFonts w:hint="eastAsia" w:ascii="宋体" w:hAnsi="宋体" w:eastAsia="宋体" w:cs="宋体"/>
          <w:b/>
          <w:bCs/>
          <w:color w:val="auto"/>
          <w:sz w:val="24"/>
          <w:szCs w:val="28"/>
          <w:highlight w:val="none"/>
          <w:lang w:eastAsia="zh-CN"/>
        </w:rPr>
      </w:pPr>
      <w:r>
        <w:rPr>
          <w:rFonts w:hint="eastAsia" w:ascii="宋体" w:hAnsi="宋体" w:eastAsia="宋体" w:cs="宋体"/>
          <w:b/>
          <w:bCs/>
          <w:color w:val="auto"/>
          <w:sz w:val="24"/>
          <w:szCs w:val="28"/>
          <w:highlight w:val="none"/>
          <w:lang w:eastAsia="zh-CN"/>
        </w:rPr>
        <w:t>注：</w:t>
      </w:r>
    </w:p>
    <w:p w14:paraId="0666B50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43C6F62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2.表中须明确列出所投产品的货物名称、品牌、型号规格、原产地及生产厂商，否则可能导致投标无效。</w:t>
      </w:r>
    </w:p>
    <w:p w14:paraId="3342274D">
      <w:pPr>
        <w:pStyle w:val="13"/>
        <w:rPr>
          <w:rFonts w:hint="eastAsia" w:ascii="宋体" w:hAnsi="宋体" w:eastAsia="宋体" w:cs="宋体"/>
          <w:color w:val="000000"/>
          <w:kern w:val="0"/>
          <w:sz w:val="24"/>
          <w:szCs w:val="24"/>
          <w:highlight w:val="none"/>
          <w:lang w:val="en-US" w:eastAsia="zh-CN" w:bidi="ar"/>
        </w:rPr>
      </w:pPr>
    </w:p>
    <w:p w14:paraId="49C08FF0">
      <w:pPr>
        <w:spacing w:line="360" w:lineRule="auto"/>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）中小企业声明函</w:t>
      </w:r>
    </w:p>
    <w:p w14:paraId="3E5F3740">
      <w:pPr>
        <w:pStyle w:val="26"/>
        <w:keepNext w:val="0"/>
        <w:keepLines w:val="0"/>
        <w:widowControl w:val="0"/>
        <w:suppressLineNumbers w:val="0"/>
        <w:autoSpaceDE w:val="0"/>
        <w:autoSpaceDN/>
        <w:spacing w:before="0" w:beforeAutospacing="1" w:after="120" w:afterAutospacing="0" w:line="360" w:lineRule="auto"/>
        <w:ind w:left="0" w:right="0"/>
        <w:jc w:val="center"/>
        <w:rPr>
          <w:rFonts w:hint="eastAsia" w:ascii="宋体" w:hAnsi="宋体" w:eastAsia="宋体" w:cs="宋体"/>
          <w:b w:val="0"/>
          <w:i/>
          <w:iCs w:val="0"/>
          <w:kern w:val="2"/>
          <w:sz w:val="24"/>
          <w:szCs w:val="24"/>
          <w:highlight w:val="none"/>
        </w:rPr>
      </w:pPr>
      <w:r>
        <w:rPr>
          <w:rFonts w:hint="eastAsia" w:ascii="宋体" w:hAnsi="宋体" w:eastAsia="宋体" w:cs="宋体"/>
          <w:b w:val="0"/>
          <w:i/>
          <w:iCs w:val="0"/>
          <w:kern w:val="2"/>
          <w:sz w:val="24"/>
          <w:szCs w:val="24"/>
          <w:highlight w:val="none"/>
          <w:lang w:val="en-US" w:eastAsia="zh-CN" w:bidi="ar"/>
        </w:rPr>
        <w:t>（非中小企业投标，不需此件，请删去“中小企业声明函”）</w:t>
      </w:r>
    </w:p>
    <w:p w14:paraId="48F8FBD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本公司（联合体）郑重声明，根据《政府采购促进中小企业发展管理办法》（财库﹝2020﹞46号）的规定，本公司（联合体）参加（</w:t>
      </w:r>
      <w:r>
        <w:rPr>
          <w:rFonts w:hint="eastAsia" w:ascii="宋体" w:hAnsi="宋体" w:eastAsia="宋体" w:cs="宋体"/>
          <w:kern w:val="2"/>
          <w:sz w:val="24"/>
          <w:szCs w:val="24"/>
          <w:highlight w:val="none"/>
          <w:u w:val="single"/>
          <w:lang w:val="en-US" w:eastAsia="zh-CN" w:bidi="ar"/>
        </w:rPr>
        <w:t>单位名称</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项目名称</w:t>
      </w:r>
      <w:r>
        <w:rPr>
          <w:rFonts w:hint="eastAsia" w:ascii="宋体" w:hAnsi="宋体" w:eastAsia="宋体" w:cs="宋体"/>
          <w:kern w:val="2"/>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624F79A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u w:val="single"/>
          <w:lang w:val="en-US" w:eastAsia="zh-CN" w:bidi="ar"/>
        </w:rPr>
        <w:t xml:space="preserve"> （标的名称） </w:t>
      </w:r>
      <w:r>
        <w:rPr>
          <w:rFonts w:hint="eastAsia" w:ascii="宋体" w:hAnsi="宋体" w:eastAsia="宋体" w:cs="宋体"/>
          <w:kern w:val="2"/>
          <w:sz w:val="24"/>
          <w:szCs w:val="24"/>
          <w:highlight w:val="none"/>
          <w:lang w:val="en-US" w:eastAsia="zh-CN" w:bidi="ar"/>
        </w:rPr>
        <w:t>，属于</w:t>
      </w:r>
      <w:r>
        <w:rPr>
          <w:rFonts w:hint="eastAsia" w:ascii="宋体" w:hAnsi="宋体" w:eastAsia="宋体" w:cs="宋体"/>
          <w:kern w:val="2"/>
          <w:sz w:val="24"/>
          <w:szCs w:val="24"/>
          <w:highlight w:val="none"/>
          <w:u w:val="single"/>
          <w:lang w:val="en-US" w:eastAsia="zh-CN" w:bidi="ar"/>
        </w:rPr>
        <w:t>（采购文件中明确的所属行业）</w:t>
      </w:r>
      <w:r>
        <w:rPr>
          <w:rFonts w:hint="eastAsia" w:ascii="宋体" w:hAnsi="宋体" w:eastAsia="宋体" w:cs="宋体"/>
          <w:kern w:val="2"/>
          <w:sz w:val="24"/>
          <w:szCs w:val="24"/>
          <w:highlight w:val="none"/>
          <w:lang w:val="en-US" w:eastAsia="zh-CN" w:bidi="ar"/>
        </w:rPr>
        <w:t>行业；制造商为</w:t>
      </w:r>
      <w:r>
        <w:rPr>
          <w:rFonts w:hint="eastAsia" w:ascii="宋体" w:hAnsi="宋体" w:eastAsia="宋体" w:cs="宋体"/>
          <w:kern w:val="2"/>
          <w:sz w:val="24"/>
          <w:szCs w:val="24"/>
          <w:highlight w:val="none"/>
          <w:u w:val="single"/>
          <w:lang w:val="en-US" w:eastAsia="zh-CN" w:bidi="ar"/>
        </w:rPr>
        <w:t>（企业名称）</w:t>
      </w:r>
      <w:r>
        <w:rPr>
          <w:rFonts w:hint="eastAsia" w:ascii="宋体" w:hAnsi="宋体" w:eastAsia="宋体" w:cs="宋体"/>
          <w:kern w:val="2"/>
          <w:sz w:val="24"/>
          <w:szCs w:val="24"/>
          <w:highlight w:val="none"/>
          <w:lang w:val="en-US" w:eastAsia="zh-CN" w:bidi="ar"/>
        </w:rPr>
        <w:t>，从业人员</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人，营业收入为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万元，资产总额为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万元，属于</w:t>
      </w:r>
      <w:r>
        <w:rPr>
          <w:rFonts w:hint="eastAsia" w:ascii="宋体" w:hAnsi="宋体" w:eastAsia="宋体" w:cs="宋体"/>
          <w:kern w:val="2"/>
          <w:sz w:val="24"/>
          <w:szCs w:val="24"/>
          <w:highlight w:val="none"/>
          <w:u w:val="single"/>
          <w:lang w:val="en-US" w:eastAsia="zh-CN" w:bidi="ar"/>
        </w:rPr>
        <w:t>（中型企业、小型企业、微型企业）</w:t>
      </w:r>
      <w:r>
        <w:rPr>
          <w:rFonts w:hint="eastAsia" w:ascii="宋体" w:hAnsi="宋体" w:eastAsia="宋体" w:cs="宋体"/>
          <w:kern w:val="2"/>
          <w:sz w:val="24"/>
          <w:szCs w:val="24"/>
          <w:highlight w:val="none"/>
          <w:lang w:val="en-US" w:eastAsia="zh-CN" w:bidi="ar"/>
        </w:rPr>
        <w:t xml:space="preserve">； </w:t>
      </w:r>
    </w:p>
    <w:p w14:paraId="6047360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u w:val="single"/>
          <w:lang w:val="en-US" w:eastAsia="zh-CN" w:bidi="ar"/>
        </w:rPr>
        <w:t xml:space="preserve"> （标的名称） </w:t>
      </w:r>
      <w:r>
        <w:rPr>
          <w:rFonts w:hint="eastAsia" w:ascii="宋体" w:hAnsi="宋体" w:eastAsia="宋体" w:cs="宋体"/>
          <w:kern w:val="2"/>
          <w:sz w:val="24"/>
          <w:szCs w:val="24"/>
          <w:highlight w:val="none"/>
          <w:lang w:val="en-US" w:eastAsia="zh-CN" w:bidi="ar"/>
        </w:rPr>
        <w:t>，属于</w:t>
      </w:r>
      <w:r>
        <w:rPr>
          <w:rFonts w:hint="eastAsia" w:ascii="宋体" w:hAnsi="宋体" w:eastAsia="宋体" w:cs="宋体"/>
          <w:kern w:val="2"/>
          <w:sz w:val="24"/>
          <w:szCs w:val="24"/>
          <w:highlight w:val="none"/>
          <w:u w:val="single"/>
          <w:lang w:val="en-US" w:eastAsia="zh-CN" w:bidi="ar"/>
        </w:rPr>
        <w:t>（采购文件中明确的所属行业）</w:t>
      </w:r>
      <w:r>
        <w:rPr>
          <w:rFonts w:hint="eastAsia" w:ascii="宋体" w:hAnsi="宋体" w:eastAsia="宋体" w:cs="宋体"/>
          <w:kern w:val="2"/>
          <w:sz w:val="24"/>
          <w:szCs w:val="24"/>
          <w:highlight w:val="none"/>
          <w:lang w:val="en-US" w:eastAsia="zh-CN" w:bidi="ar"/>
        </w:rPr>
        <w:t>行业；制造商为</w:t>
      </w:r>
      <w:r>
        <w:rPr>
          <w:rFonts w:hint="eastAsia" w:ascii="宋体" w:hAnsi="宋体" w:eastAsia="宋体" w:cs="宋体"/>
          <w:kern w:val="2"/>
          <w:sz w:val="24"/>
          <w:szCs w:val="24"/>
          <w:highlight w:val="none"/>
          <w:u w:val="single"/>
          <w:lang w:val="en-US" w:eastAsia="zh-CN" w:bidi="ar"/>
        </w:rPr>
        <w:t>（企业名称）</w:t>
      </w:r>
      <w:r>
        <w:rPr>
          <w:rFonts w:hint="eastAsia" w:ascii="宋体" w:hAnsi="宋体" w:eastAsia="宋体" w:cs="宋体"/>
          <w:kern w:val="2"/>
          <w:sz w:val="24"/>
          <w:szCs w:val="24"/>
          <w:highlight w:val="none"/>
          <w:lang w:val="en-US" w:eastAsia="zh-CN" w:bidi="ar"/>
        </w:rPr>
        <w:t>，从业人员</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人，营业收入为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万元，资产总额为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万元，属于</w:t>
      </w:r>
      <w:r>
        <w:rPr>
          <w:rFonts w:hint="eastAsia" w:ascii="宋体" w:hAnsi="宋体" w:eastAsia="宋体" w:cs="宋体"/>
          <w:kern w:val="2"/>
          <w:sz w:val="24"/>
          <w:szCs w:val="24"/>
          <w:highlight w:val="none"/>
          <w:u w:val="single"/>
          <w:lang w:val="en-US" w:eastAsia="zh-CN" w:bidi="ar"/>
        </w:rPr>
        <w:t>（中型企业、小型企业、微型企业）</w:t>
      </w:r>
      <w:r>
        <w:rPr>
          <w:rFonts w:hint="eastAsia" w:ascii="宋体" w:hAnsi="宋体" w:eastAsia="宋体" w:cs="宋体"/>
          <w:kern w:val="2"/>
          <w:sz w:val="24"/>
          <w:szCs w:val="24"/>
          <w:highlight w:val="none"/>
          <w:lang w:val="en-US" w:eastAsia="zh-CN" w:bidi="ar"/>
        </w:rPr>
        <w:t xml:space="preserve">； </w:t>
      </w:r>
    </w:p>
    <w:p w14:paraId="04A5BAF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w:t>
      </w:r>
    </w:p>
    <w:p w14:paraId="703CCA2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以上企业，不属于大企业的分支机构，不存在控股股东为大企业的情形，也不存在与大企业的负责人为同一人的情形。</w:t>
      </w:r>
    </w:p>
    <w:p w14:paraId="55D839A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本企业对上述声明内容的真实性负责。如有虚假，将依法承担相应责任。 </w:t>
      </w:r>
    </w:p>
    <w:p w14:paraId="6833703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2A6B00B">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宋体"/>
          <w:kern w:val="2"/>
          <w:sz w:val="24"/>
          <w:szCs w:val="24"/>
          <w:highlight w:val="none"/>
          <w:u w:val="single"/>
          <w:lang w:val="en-US" w:eastAsia="zh-CN" w:bidi="ar"/>
        </w:rPr>
        <w:t xml:space="preserve">             </w:t>
      </w:r>
    </w:p>
    <w:p w14:paraId="616E974D">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日          期：</w:t>
      </w:r>
      <w:r>
        <w:rPr>
          <w:rFonts w:hint="eastAsia" w:ascii="宋体" w:hAnsi="宋体" w:eastAsia="宋体" w:cs="宋体"/>
          <w:kern w:val="2"/>
          <w:sz w:val="24"/>
          <w:szCs w:val="24"/>
          <w:highlight w:val="none"/>
          <w:u w:val="single"/>
          <w:lang w:val="en-US" w:eastAsia="zh-CN" w:bidi="ar"/>
        </w:rPr>
        <w:t xml:space="preserve">             </w:t>
      </w:r>
    </w:p>
    <w:p w14:paraId="52EC5DC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22BABB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注：</w:t>
      </w:r>
    </w:p>
    <w:p w14:paraId="20E8D18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1.从业人员、营业收入、资产总额填报上一年数据，无上一年数据的新成立企业可不填报。</w:t>
      </w:r>
    </w:p>
    <w:p w14:paraId="2FCC7B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71EF4E8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3.上述“</w:t>
      </w:r>
      <w:r>
        <w:rPr>
          <w:rFonts w:hint="eastAsia" w:ascii="宋体" w:hAnsi="宋体" w:eastAsia="宋体" w:cs="宋体"/>
          <w:b/>
          <w:bCs/>
          <w:kern w:val="2"/>
          <w:sz w:val="21"/>
          <w:szCs w:val="21"/>
          <w:highlight w:val="none"/>
          <w:u w:val="single"/>
          <w:lang w:val="en-US" w:eastAsia="zh-CN" w:bidi="ar"/>
        </w:rPr>
        <w:t>标的名称</w:t>
      </w:r>
      <w:r>
        <w:rPr>
          <w:rFonts w:hint="eastAsia" w:ascii="宋体" w:hAnsi="宋体" w:eastAsia="宋体" w:cs="宋体"/>
          <w:b/>
          <w:bCs/>
          <w:kern w:val="2"/>
          <w:sz w:val="21"/>
          <w:szCs w:val="21"/>
          <w:highlight w:val="none"/>
          <w:lang w:val="en-US" w:eastAsia="zh-CN" w:bidi="ar"/>
        </w:rPr>
        <w:t>”，详见第三章采购需求中明确的“货物名称”。</w:t>
      </w:r>
    </w:p>
    <w:p w14:paraId="7AE6B2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4.上述“</w:t>
      </w:r>
      <w:r>
        <w:rPr>
          <w:rFonts w:hint="eastAsia" w:ascii="宋体" w:hAnsi="宋体" w:eastAsia="宋体" w:cs="宋体"/>
          <w:b/>
          <w:bCs/>
          <w:kern w:val="2"/>
          <w:sz w:val="21"/>
          <w:szCs w:val="21"/>
          <w:highlight w:val="none"/>
          <w:u w:val="single"/>
          <w:lang w:val="en-US" w:eastAsia="zh-CN" w:bidi="ar"/>
        </w:rPr>
        <w:t>采购文件中明确的所属行业</w:t>
      </w:r>
      <w:r>
        <w:rPr>
          <w:rFonts w:hint="eastAsia" w:ascii="宋体" w:hAnsi="宋体" w:eastAsia="宋体" w:cs="宋体"/>
          <w:b/>
          <w:bCs/>
          <w:kern w:val="2"/>
          <w:sz w:val="21"/>
          <w:szCs w:val="21"/>
          <w:highlight w:val="none"/>
          <w:lang w:val="en-US" w:eastAsia="zh-CN" w:bidi="ar"/>
        </w:rPr>
        <w:t>”，详见第三章采购需求中明确的“所属行业”。</w:t>
      </w:r>
    </w:p>
    <w:p w14:paraId="548A3B16">
      <w:pPr>
        <w:keepNext w:val="0"/>
        <w:keepLines w:val="0"/>
        <w:pageBreakBefore w:val="0"/>
        <w:widowControl w:val="0"/>
        <w:kinsoku/>
        <w:overflowPunct/>
        <w:topLinePunct w:val="0"/>
        <w:autoSpaceDE/>
        <w:autoSpaceDN/>
        <w:bidi w:val="0"/>
        <w:adjustRightInd/>
        <w:snapToGrid/>
        <w:spacing w:line="400" w:lineRule="exact"/>
        <w:jc w:val="left"/>
        <w:textAlignment w:val="auto"/>
        <w:outlineLvl w:val="1"/>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5．填写示例：</w:t>
      </w:r>
      <w:r>
        <w:rPr>
          <w:rFonts w:hint="eastAsia" w:ascii="宋体" w:hAnsi="宋体" w:eastAsia="宋体" w:cs="宋体"/>
          <w:b/>
          <w:bCs/>
          <w:kern w:val="2"/>
          <w:sz w:val="21"/>
          <w:szCs w:val="21"/>
          <w:highlight w:val="none"/>
          <w:u w:val="single"/>
          <w:lang w:val="en-US" w:eastAsia="zh-CN" w:bidi="ar"/>
        </w:rPr>
        <w:t>某设备</w:t>
      </w:r>
      <w:r>
        <w:rPr>
          <w:rFonts w:hint="eastAsia" w:ascii="宋体" w:hAnsi="宋体" w:eastAsia="宋体" w:cs="宋体"/>
          <w:b/>
          <w:bCs/>
          <w:kern w:val="2"/>
          <w:sz w:val="21"/>
          <w:szCs w:val="21"/>
          <w:highlight w:val="none"/>
          <w:lang w:val="en-US" w:eastAsia="zh-CN" w:bidi="ar"/>
        </w:rPr>
        <w:t>，属于</w:t>
      </w:r>
      <w:r>
        <w:rPr>
          <w:rFonts w:hint="eastAsia" w:ascii="宋体" w:hAnsi="宋体" w:eastAsia="宋体" w:cs="宋体"/>
          <w:b/>
          <w:bCs/>
          <w:kern w:val="2"/>
          <w:sz w:val="21"/>
          <w:szCs w:val="21"/>
          <w:highlight w:val="none"/>
          <w:u w:val="single"/>
          <w:lang w:val="en-US" w:eastAsia="zh-CN" w:bidi="ar"/>
        </w:rPr>
        <w:t>（填写第三章采购需求中对应货物的“所属行业”，如工业）</w:t>
      </w:r>
      <w:r>
        <w:rPr>
          <w:rFonts w:hint="eastAsia" w:ascii="宋体" w:hAnsi="宋体" w:eastAsia="宋体" w:cs="宋体"/>
          <w:b/>
          <w:bCs/>
          <w:kern w:val="2"/>
          <w:sz w:val="21"/>
          <w:szCs w:val="21"/>
          <w:highlight w:val="none"/>
          <w:lang w:val="en-US" w:eastAsia="zh-CN" w:bidi="ar"/>
        </w:rPr>
        <w:t>行业；承接企业为</w:t>
      </w:r>
      <w:r>
        <w:rPr>
          <w:rFonts w:hint="eastAsia" w:ascii="宋体" w:hAnsi="宋体" w:eastAsia="宋体" w:cs="宋体"/>
          <w:b/>
          <w:bCs/>
          <w:kern w:val="2"/>
          <w:sz w:val="21"/>
          <w:szCs w:val="21"/>
          <w:highlight w:val="none"/>
          <w:u w:val="single"/>
          <w:lang w:val="en-US" w:eastAsia="zh-CN" w:bidi="ar"/>
        </w:rPr>
        <w:t>某企业</w:t>
      </w:r>
      <w:r>
        <w:rPr>
          <w:rFonts w:hint="eastAsia" w:ascii="宋体" w:hAnsi="宋体" w:eastAsia="宋体" w:cs="宋体"/>
          <w:b/>
          <w:bCs/>
          <w:kern w:val="2"/>
          <w:sz w:val="21"/>
          <w:szCs w:val="21"/>
          <w:highlight w:val="none"/>
          <w:lang w:val="en-US" w:eastAsia="zh-CN" w:bidi="ar"/>
        </w:rPr>
        <w:t>，从业人员</w:t>
      </w:r>
      <w:r>
        <w:rPr>
          <w:rFonts w:hint="eastAsia" w:ascii="宋体" w:hAnsi="宋体" w:eastAsia="宋体" w:cs="宋体"/>
          <w:b/>
          <w:bCs/>
          <w:kern w:val="2"/>
          <w:sz w:val="21"/>
          <w:szCs w:val="21"/>
          <w:highlight w:val="none"/>
          <w:u w:val="single"/>
          <w:lang w:val="en-US" w:eastAsia="zh-CN" w:bidi="ar"/>
        </w:rPr>
        <w:t>100</w:t>
      </w:r>
      <w:r>
        <w:rPr>
          <w:rFonts w:hint="eastAsia" w:ascii="宋体" w:hAnsi="宋体" w:eastAsia="宋体" w:cs="宋体"/>
          <w:b/>
          <w:bCs/>
          <w:kern w:val="2"/>
          <w:sz w:val="21"/>
          <w:szCs w:val="21"/>
          <w:highlight w:val="none"/>
          <w:lang w:val="en-US" w:eastAsia="zh-CN" w:bidi="ar"/>
        </w:rPr>
        <w:t>人，营业收入为</w:t>
      </w:r>
      <w:r>
        <w:rPr>
          <w:rFonts w:hint="eastAsia" w:ascii="宋体" w:hAnsi="宋体" w:eastAsia="宋体" w:cs="宋体"/>
          <w:b/>
          <w:bCs/>
          <w:kern w:val="2"/>
          <w:sz w:val="21"/>
          <w:szCs w:val="21"/>
          <w:highlight w:val="none"/>
          <w:u w:val="single"/>
          <w:lang w:val="en-US" w:eastAsia="zh-CN" w:bidi="ar"/>
        </w:rPr>
        <w:t>10000</w:t>
      </w:r>
      <w:r>
        <w:rPr>
          <w:rFonts w:hint="eastAsia" w:ascii="宋体" w:hAnsi="宋体" w:eastAsia="宋体" w:cs="宋体"/>
          <w:b/>
          <w:bCs/>
          <w:kern w:val="2"/>
          <w:sz w:val="21"/>
          <w:szCs w:val="21"/>
          <w:highlight w:val="none"/>
          <w:lang w:val="en-US" w:eastAsia="zh-CN" w:bidi="ar"/>
        </w:rPr>
        <w:t>万元，资产总额为</w:t>
      </w:r>
      <w:r>
        <w:rPr>
          <w:rFonts w:hint="eastAsia" w:ascii="宋体" w:hAnsi="宋体" w:eastAsia="宋体" w:cs="宋体"/>
          <w:b/>
          <w:bCs/>
          <w:kern w:val="2"/>
          <w:sz w:val="21"/>
          <w:szCs w:val="21"/>
          <w:highlight w:val="none"/>
          <w:u w:val="single"/>
          <w:lang w:val="en-US" w:eastAsia="zh-CN" w:bidi="ar"/>
        </w:rPr>
        <w:t>5000</w:t>
      </w:r>
      <w:r>
        <w:rPr>
          <w:rFonts w:hint="eastAsia" w:ascii="宋体" w:hAnsi="宋体" w:eastAsia="宋体" w:cs="宋体"/>
          <w:b/>
          <w:bCs/>
          <w:kern w:val="2"/>
          <w:sz w:val="21"/>
          <w:szCs w:val="21"/>
          <w:highlight w:val="none"/>
          <w:lang w:val="en-US" w:eastAsia="zh-CN" w:bidi="ar"/>
        </w:rPr>
        <w:t>万元，属于</w:t>
      </w:r>
      <w:r>
        <w:rPr>
          <w:rFonts w:hint="eastAsia" w:ascii="宋体" w:hAnsi="宋体" w:eastAsia="宋体" w:cs="宋体"/>
          <w:b/>
          <w:bCs/>
          <w:kern w:val="2"/>
          <w:sz w:val="21"/>
          <w:szCs w:val="21"/>
          <w:highlight w:val="none"/>
          <w:u w:val="single"/>
          <w:lang w:val="en-US" w:eastAsia="zh-CN" w:bidi="ar"/>
        </w:rPr>
        <w:t>小型</w:t>
      </w:r>
      <w:r>
        <w:rPr>
          <w:rFonts w:hint="eastAsia" w:ascii="宋体" w:hAnsi="宋体" w:eastAsia="宋体" w:cs="宋体"/>
          <w:b/>
          <w:bCs/>
          <w:kern w:val="2"/>
          <w:sz w:val="21"/>
          <w:szCs w:val="21"/>
          <w:highlight w:val="none"/>
          <w:lang w:val="en-US" w:eastAsia="zh-CN" w:bidi="ar"/>
        </w:rPr>
        <w:t>企业[投标人自行登录工业和信息化部官网进行中小企业规模类型自测（查询网址https://www.miit.gov.cn/）]。</w:t>
      </w:r>
    </w:p>
    <w:p w14:paraId="73D690CB">
      <w:pPr>
        <w:spacing w:line="360" w:lineRule="auto"/>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lang w:eastAsia="zh-CN"/>
        </w:rPr>
        <w:t>）残疾人福利性单位声明函</w:t>
      </w:r>
    </w:p>
    <w:p w14:paraId="0BEB2C7D">
      <w:pPr>
        <w:pStyle w:val="26"/>
        <w:keepNext w:val="0"/>
        <w:keepLines w:val="0"/>
        <w:widowControl w:val="0"/>
        <w:suppressLineNumbers w:val="0"/>
        <w:autoSpaceDE w:val="0"/>
        <w:autoSpaceDN/>
        <w:spacing w:before="0" w:beforeAutospacing="1" w:after="120" w:afterAutospacing="0" w:line="360" w:lineRule="auto"/>
        <w:ind w:left="0" w:right="0"/>
        <w:jc w:val="center"/>
        <w:rPr>
          <w:rFonts w:hint="eastAsia" w:ascii="宋体" w:hAnsi="宋体" w:eastAsia="宋体" w:cs="宋体"/>
          <w:b w:val="0"/>
          <w:i/>
          <w:iCs w:val="0"/>
          <w:kern w:val="2"/>
          <w:sz w:val="24"/>
          <w:szCs w:val="24"/>
          <w:highlight w:val="none"/>
        </w:rPr>
      </w:pPr>
      <w:r>
        <w:rPr>
          <w:rFonts w:hint="eastAsia" w:ascii="宋体" w:hAnsi="宋体" w:eastAsia="宋体" w:cs="宋体"/>
          <w:b w:val="0"/>
          <w:i/>
          <w:iCs w:val="0"/>
          <w:kern w:val="2"/>
          <w:sz w:val="24"/>
          <w:szCs w:val="24"/>
          <w:highlight w:val="none"/>
          <w:lang w:val="en-US" w:eastAsia="zh-CN" w:bidi="ar"/>
        </w:rPr>
        <w:t>（非残疾人福利性单位投标，请删去“残疾人福利性单位声明函”）</w:t>
      </w:r>
    </w:p>
    <w:p w14:paraId="2DA4575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zh-CN" w:bidi="ar"/>
        </w:rPr>
        <w:t>本单位</w:t>
      </w:r>
      <w:r>
        <w:rPr>
          <w:rFonts w:hint="eastAsia" w:ascii="宋体" w:hAnsi="宋体" w:eastAsia="宋体" w:cs="宋体"/>
          <w:kern w:val="2"/>
          <w:sz w:val="24"/>
          <w:szCs w:val="24"/>
          <w:highlight w:val="none"/>
          <w:lang w:val="en-US" w:eastAsia="zh-CN" w:bidi="ar"/>
        </w:rPr>
        <w:t>郑重</w:t>
      </w:r>
      <w:r>
        <w:rPr>
          <w:rFonts w:hint="eastAsia" w:ascii="宋体" w:hAnsi="宋体" w:eastAsia="宋体" w:cs="宋体"/>
          <w:spacing w:val="6"/>
          <w:kern w:val="2"/>
          <w:sz w:val="24"/>
          <w:szCs w:val="24"/>
          <w:highlight w:val="none"/>
          <w:lang w:val="en-US" w:eastAsia="zh-CN" w:bidi="ar"/>
        </w:rPr>
        <w:t>声明，根据《财政部 民政部 中国残疾人联合会关于促进残疾人就业政府采购政策的通知》（财库</w:t>
      </w:r>
      <w:r>
        <w:rPr>
          <w:rFonts w:hint="eastAsia" w:ascii="宋体" w:hAnsi="宋体" w:eastAsia="宋体" w:cs="宋体"/>
          <w:kern w:val="2"/>
          <w:sz w:val="24"/>
          <w:szCs w:val="24"/>
          <w:highlight w:val="none"/>
          <w:lang w:val="en-US" w:eastAsia="zh-CN" w:bidi="ar"/>
        </w:rPr>
        <w:t>〔2017〕141</w:t>
      </w:r>
      <w:r>
        <w:rPr>
          <w:rFonts w:hint="eastAsia" w:ascii="宋体" w:hAnsi="宋体" w:eastAsia="宋体" w:cs="宋体"/>
          <w:spacing w:val="6"/>
          <w:kern w:val="2"/>
          <w:sz w:val="24"/>
          <w:szCs w:val="24"/>
          <w:highlight w:val="none"/>
          <w:lang w:val="en-US" w:eastAsia="zh-CN" w:bidi="ar"/>
        </w:rPr>
        <w:t>号）的规定，本单位为</w:t>
      </w:r>
      <w:r>
        <w:rPr>
          <w:rFonts w:hint="eastAsia" w:ascii="宋体" w:hAnsi="宋体" w:eastAsia="宋体" w:cs="宋体"/>
          <w:bCs/>
          <w:kern w:val="2"/>
          <w:sz w:val="24"/>
          <w:szCs w:val="24"/>
          <w:highlight w:val="none"/>
          <w:lang w:val="en-US" w:eastAsia="zh-CN" w:bidi="ar"/>
        </w:rPr>
        <w:t>符合</w:t>
      </w:r>
      <w:r>
        <w:rPr>
          <w:rFonts w:hint="eastAsia" w:ascii="宋体" w:hAnsi="宋体" w:eastAsia="宋体" w:cs="宋体"/>
          <w:spacing w:val="6"/>
          <w:kern w:val="2"/>
          <w:sz w:val="24"/>
          <w:szCs w:val="24"/>
          <w:highlight w:val="none"/>
          <w:lang w:val="en-US" w:eastAsia="zh-CN" w:bidi="ar"/>
        </w:rPr>
        <w:t>条件的残疾人福利性单位，且本单位参加</w:t>
      </w:r>
      <w:r>
        <w:rPr>
          <w:rFonts w:hint="eastAsia" w:ascii="宋体" w:hAnsi="宋体" w:eastAsia="宋体" w:cs="宋体"/>
          <w:spacing w:val="6"/>
          <w:kern w:val="2"/>
          <w:sz w:val="24"/>
          <w:szCs w:val="24"/>
          <w:highlight w:val="none"/>
          <w:u w:val="single"/>
          <w:lang w:val="en-US" w:eastAsia="zh-CN" w:bidi="ar"/>
        </w:rPr>
        <w:t xml:space="preserve">      </w:t>
      </w:r>
      <w:r>
        <w:rPr>
          <w:rFonts w:hint="eastAsia" w:ascii="宋体" w:hAnsi="宋体" w:eastAsia="宋体" w:cs="宋体"/>
          <w:spacing w:val="6"/>
          <w:kern w:val="2"/>
          <w:sz w:val="24"/>
          <w:szCs w:val="24"/>
          <w:highlight w:val="none"/>
          <w:lang w:val="en-US" w:eastAsia="zh-CN" w:bidi="ar"/>
        </w:rPr>
        <w:t>单位的</w:t>
      </w:r>
      <w:r>
        <w:rPr>
          <w:rFonts w:hint="eastAsia" w:ascii="宋体" w:hAnsi="宋体" w:eastAsia="宋体" w:cs="宋体"/>
          <w:spacing w:val="6"/>
          <w:kern w:val="2"/>
          <w:sz w:val="24"/>
          <w:szCs w:val="24"/>
          <w:highlight w:val="none"/>
          <w:u w:val="single"/>
          <w:lang w:val="en-US" w:eastAsia="zh-CN" w:bidi="ar"/>
        </w:rPr>
        <w:t xml:space="preserve">      </w:t>
      </w:r>
      <w:r>
        <w:rPr>
          <w:rFonts w:hint="eastAsia" w:ascii="宋体" w:hAnsi="宋体" w:eastAsia="宋体" w:cs="宋体"/>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3DA9709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zh-CN" w:bidi="ar"/>
        </w:rPr>
        <w:t>本单位对上述声明的真实性负责。如有虚假，将依法承担相应责任。</w:t>
      </w:r>
    </w:p>
    <w:p w14:paraId="759BD0E0">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CC9F1F9">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1592A11">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宋体"/>
          <w:kern w:val="2"/>
          <w:sz w:val="24"/>
          <w:szCs w:val="24"/>
          <w:highlight w:val="none"/>
          <w:u w:val="single"/>
          <w:lang w:val="en-US" w:eastAsia="zh-CN" w:bidi="ar"/>
        </w:rPr>
        <w:t xml:space="preserve">             </w:t>
      </w:r>
    </w:p>
    <w:p w14:paraId="6BB331FF">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日          期：</w:t>
      </w:r>
      <w:r>
        <w:rPr>
          <w:rFonts w:hint="eastAsia" w:ascii="宋体" w:hAnsi="宋体" w:eastAsia="宋体" w:cs="宋体"/>
          <w:kern w:val="2"/>
          <w:sz w:val="24"/>
          <w:szCs w:val="24"/>
          <w:highlight w:val="none"/>
          <w:u w:val="single"/>
          <w:lang w:val="en-US" w:eastAsia="zh-CN" w:bidi="ar"/>
        </w:rPr>
        <w:t xml:space="preserve">             </w:t>
      </w:r>
    </w:p>
    <w:p w14:paraId="28A2D5BE">
      <w:pPr>
        <w:spacing w:line="360" w:lineRule="auto"/>
        <w:jc w:val="center"/>
        <w:outlineLvl w:val="1"/>
        <w:rPr>
          <w:rFonts w:hint="eastAsia" w:ascii="宋体" w:hAnsi="宋体" w:eastAsia="宋体" w:cs="宋体"/>
          <w:b/>
          <w:color w:val="auto"/>
          <w:sz w:val="24"/>
          <w:highlight w:val="none"/>
          <w:lang w:eastAsia="zh-CN"/>
        </w:rPr>
      </w:pPr>
    </w:p>
    <w:p w14:paraId="7D3DEDE9">
      <w:pPr>
        <w:spacing w:line="360" w:lineRule="auto"/>
        <w:jc w:val="center"/>
        <w:outlineLvl w:val="1"/>
        <w:rPr>
          <w:rFonts w:hint="eastAsia" w:ascii="宋体" w:hAnsi="宋体" w:eastAsia="宋体" w:cs="宋体"/>
          <w:b/>
          <w:color w:val="auto"/>
          <w:sz w:val="24"/>
          <w:highlight w:val="none"/>
          <w:lang w:eastAsia="zh-CN"/>
        </w:rPr>
      </w:pPr>
    </w:p>
    <w:p w14:paraId="299541EC">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其他相关证明材料</w:t>
      </w:r>
    </w:p>
    <w:p w14:paraId="1A6A11E7">
      <w:pPr>
        <w:spacing w:line="360" w:lineRule="auto"/>
        <w:ind w:firstLine="43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rPr>
        <w:t>。</w:t>
      </w:r>
    </w:p>
    <w:p w14:paraId="67E1F812">
      <w:pPr>
        <w:rPr>
          <w:rFonts w:hint="eastAsia" w:ascii="宋体" w:hAnsi="宋体" w:eastAsia="宋体" w:cs="宋体"/>
          <w:b/>
          <w:color w:val="auto"/>
          <w:sz w:val="24"/>
          <w:highlight w:val="none"/>
        </w:rPr>
      </w:pPr>
    </w:p>
    <w:p w14:paraId="68C0C52B">
      <w:pPr>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br w:type="page"/>
      </w:r>
    </w:p>
    <w:bookmarkEnd w:id="172"/>
    <w:bookmarkEnd w:id="173"/>
    <w:p w14:paraId="2A2167D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highlight w:val="none"/>
        </w:rPr>
      </w:pPr>
      <w:r>
        <w:rPr>
          <w:rFonts w:hint="eastAsia" w:ascii="宋体" w:hAnsi="宋体" w:eastAsia="宋体" w:cs="宋体"/>
          <w:b/>
          <w:bCs w:val="0"/>
          <w:kern w:val="2"/>
          <w:sz w:val="28"/>
          <w:szCs w:val="28"/>
          <w:highlight w:val="none"/>
          <w:lang w:val="en-US" w:eastAsia="zh-CN" w:bidi="ar"/>
        </w:rPr>
        <w:t>附件1</w:t>
      </w:r>
    </w:p>
    <w:p w14:paraId="1C7CB26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kern w:val="2"/>
          <w:sz w:val="30"/>
          <w:szCs w:val="30"/>
          <w:highlight w:val="none"/>
        </w:rPr>
      </w:pPr>
      <w:r>
        <w:rPr>
          <w:rFonts w:hint="eastAsia" w:ascii="宋体" w:hAnsi="宋体" w:eastAsia="宋体" w:cs="宋体"/>
          <w:b/>
          <w:bCs w:val="0"/>
          <w:kern w:val="2"/>
          <w:sz w:val="30"/>
          <w:szCs w:val="30"/>
          <w:highlight w:val="none"/>
          <w:lang w:val="en-US" w:eastAsia="zh-CN" w:bidi="ar"/>
        </w:rPr>
        <w:t>关于联合惩戒失信行为 加强信用查询管理的通知</w:t>
      </w:r>
    </w:p>
    <w:p w14:paraId="68A904CF">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一、失信行为联合惩戒的范围和查询渠道</w:t>
      </w:r>
    </w:p>
    <w:p w14:paraId="459C060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304F6F60">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（一）工程建设项目</w:t>
      </w:r>
    </w:p>
    <w:p w14:paraId="3DB01FC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1、“信用中国”网站（www.creditchina.gov.cn）查询以下失信行为：</w:t>
      </w:r>
    </w:p>
    <w:p w14:paraId="7E140D56">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①投标人被人民法院列入失信被执行人的；</w:t>
      </w:r>
    </w:p>
    <w:p w14:paraId="5FCB4E14">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②投标人被税务部门列入重大税收违法案件当事人的；</w:t>
      </w:r>
    </w:p>
    <w:p w14:paraId="06CB0D9C">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③投标人被人力资源社会保障主管部门列入拖欠农民工工资“黑名单”的；</w:t>
      </w:r>
    </w:p>
    <w:p w14:paraId="0A1B0B77">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④在“信用中国”网站上披露的仍在公示期的严重失信行为的。</w:t>
      </w:r>
    </w:p>
    <w:p w14:paraId="32E63F2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2、国家企业信用信息公示系统网站（www.gsxt.gov.cn）查询以下失信行为：</w:t>
      </w:r>
    </w:p>
    <w:p w14:paraId="3ACC560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①被市场监督管理部门列入经营异常名录或者严重违法企业名单的。</w:t>
      </w:r>
    </w:p>
    <w:p w14:paraId="26A05D8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3、滁州市公共资源交易中心网站（http://ggzy.chuzhou.gov.cn/）查询以下失信行为：</w:t>
      </w:r>
    </w:p>
    <w:p w14:paraId="51267DF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①被滁州市县两级公管部门取消在一定期限内的投标资格且在取消期限内的；</w:t>
      </w:r>
    </w:p>
    <w:p w14:paraId="52F7EA5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②被滁州市县两级公管部门记入不良行为记录或者信用信息记录，且在披露期内的。</w:t>
      </w:r>
    </w:p>
    <w:p w14:paraId="4B399AE1">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4、由竞争主体进行承诺，不进行现场网上信用查询的失信行为：</w:t>
      </w:r>
    </w:p>
    <w:p w14:paraId="10674B8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①前三年有行贿犯罪行为的单位和个人；</w:t>
      </w:r>
    </w:p>
    <w:p w14:paraId="73165E6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②被滁州市县两级各行业主管部门取消在一定期限内的投标资格且在取消期限内的；</w:t>
      </w:r>
    </w:p>
    <w:p w14:paraId="0006C617">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③因拖欠农民工工资被县级及以上有关行政主管部门限制投标资格且在限制期限内的；</w:t>
      </w:r>
    </w:p>
    <w:p w14:paraId="1C5EF3F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296A79A">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（二）政府采购项目</w:t>
      </w:r>
    </w:p>
    <w:p w14:paraId="4E6DE1D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1、“信用中国”网站（www.creditchina.gov.cn）查询以下失信行为：</w:t>
      </w:r>
    </w:p>
    <w:p w14:paraId="09152BCB">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①投标人被人民法院列入失信被执行人的；</w:t>
      </w:r>
    </w:p>
    <w:p w14:paraId="16D5071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②投标人被税务部门列入重大税收违法案件当事人的；</w:t>
      </w:r>
    </w:p>
    <w:p w14:paraId="0EAAA45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③在“信用中国”网站上披露的仍在公示期的严重失信行为的。</w:t>
      </w:r>
    </w:p>
    <w:p w14:paraId="3593C43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2、国家企业信用信息公示系统网站（www.gsxt.gov.cn）查询以下失信行为：</w:t>
      </w:r>
    </w:p>
    <w:p w14:paraId="736CC496">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①被市场监督管理部门列入经营异常名录或者严重违法企业名单的。</w:t>
      </w:r>
    </w:p>
    <w:p w14:paraId="676F2F4B">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3、中国政府采购网站（www.ccgp.gov.cn）查询以下失信行为：</w:t>
      </w:r>
    </w:p>
    <w:p w14:paraId="6D4AB8F0">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①政府采购严重违法失信行为</w:t>
      </w:r>
    </w:p>
    <w:p w14:paraId="1AD9D251">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4、由竞争主体进行承诺，不进行现场网上信用查询的失信行为：</w:t>
      </w:r>
    </w:p>
    <w:p w14:paraId="7C9DF5B6">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①前三年有行贿犯罪行为的单位和个人。</w:t>
      </w:r>
    </w:p>
    <w:p w14:paraId="13515A00">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二、在开评标活动中的查询程序</w:t>
      </w:r>
    </w:p>
    <w:p w14:paraId="1792A2A7">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0E75D93D">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63673D3A">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3、项目单位及其委托的代理机构应当做好信用查询结果截图和记录留存。</w:t>
      </w:r>
    </w:p>
    <w:p w14:paraId="4E99223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三、相关要求</w:t>
      </w:r>
    </w:p>
    <w:p w14:paraId="7E0AFB3C">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4409AAE1">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62ED35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2"/>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8F83D71">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40A80117">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000000"/>
          <w:kern w:val="0"/>
          <w:sz w:val="24"/>
          <w:szCs w:val="24"/>
          <w:highlight w:val="none"/>
          <w:vertAlign w:val="baseline"/>
        </w:rPr>
      </w:pPr>
      <w:r>
        <w:rPr>
          <w:rFonts w:hint="eastAsia" w:ascii="宋体" w:hAnsi="宋体" w:eastAsia="宋体" w:cs="宋体"/>
          <w:bCs/>
          <w:color w:val="000000"/>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4D65DEA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459F4FC0">
      <w:pPr>
        <w:pStyle w:val="30"/>
        <w:widowControl/>
        <w:spacing w:before="0" w:beforeAutospacing="1" w:afterLines="0" w:afterAutospacing="0"/>
        <w:ind w:leftChars="20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14:paraId="3231A51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br w:type="page"/>
      </w:r>
      <w:r>
        <w:rPr>
          <w:rFonts w:hint="eastAsia" w:ascii="宋体" w:hAnsi="宋体" w:eastAsia="宋体" w:cs="宋体"/>
          <w:b/>
          <w:bCs w:val="0"/>
          <w:kern w:val="2"/>
          <w:sz w:val="24"/>
          <w:szCs w:val="24"/>
          <w:highlight w:val="none"/>
          <w:lang w:val="en-US" w:eastAsia="zh-CN" w:bidi="ar"/>
        </w:rPr>
        <w:t>附件2</w:t>
      </w:r>
    </w:p>
    <w:p w14:paraId="5B30136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“信用中国”查询的严重失信行为类别及判定依据</w:t>
      </w:r>
    </w:p>
    <w:p w14:paraId="32BD024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71D9C52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1E3E6A20">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 xml:space="preserve"> </w:t>
      </w:r>
    </w:p>
    <w:p w14:paraId="65274A88">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一、安全生产领域严重失信行为：</w:t>
      </w:r>
    </w:p>
    <w:p w14:paraId="22C47AC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（一）发生较大及以上生产安全责任事故，或1年内累计发生3起及以上造成人员死亡的一般生产安全责任事故的；</w:t>
      </w:r>
    </w:p>
    <w:p w14:paraId="5057827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（二）未按规定取得安全生产许可，擅自开展生产经营建设活动的；</w:t>
      </w:r>
    </w:p>
    <w:p w14:paraId="7527DE7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（三）发现重大生产安全事故隐患，或职业病危害严重超标，不及时整改，仍组织从业人员冒险作业的；</w:t>
      </w:r>
    </w:p>
    <w:p w14:paraId="1CD2F7B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（四）采取隐蔽、欺骗或阻碍等方式逃避、对抗安全监管监察的;</w:t>
      </w:r>
    </w:p>
    <w:p w14:paraId="0F610E4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（五）被责令停产停业整顿，仍然从事生产经营建设活动的；</w:t>
      </w:r>
    </w:p>
    <w:p w14:paraId="69E50DDB">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（六）瞒报、谎报、迟报生产安全事故的；</w:t>
      </w:r>
    </w:p>
    <w:p w14:paraId="392AADA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（七）矿山、危险化学品、金属冶炼等高危行业建设项目安全设施未经验收合格即投入生产和使用的；</w:t>
      </w:r>
    </w:p>
    <w:p w14:paraId="0759B67F">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（八）矿山生产经营单位存在超层越界开采、以探代采行为的；</w:t>
      </w:r>
    </w:p>
    <w:p w14:paraId="2A77A36F">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（九）发生事故后，故意破坏事故现场，伪造有关证据资料，妨碍、对抗事故调查，或主要负责人逃逸的；</w:t>
      </w:r>
    </w:p>
    <w:p w14:paraId="515AA72F">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（十）安全生产和职业健康技术服务机构出具虚假报告或证明，违规转让或出借资质的。</w:t>
      </w:r>
    </w:p>
    <w:p w14:paraId="39F30843">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依据：《对安全生产领域失信行为开展联合惩戒的实施办法》（安监总办〔2017〕49号）第二条</w:t>
      </w:r>
    </w:p>
    <w:p w14:paraId="7E994D2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 xml:space="preserve"> </w:t>
      </w:r>
    </w:p>
    <w:p w14:paraId="532DB76F">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二、环境保护领域严重失信行为：</w:t>
      </w:r>
    </w:p>
    <w:p w14:paraId="615DFB06">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（一）因为环境违法构成环境犯罪的；</w:t>
      </w:r>
    </w:p>
    <w:p w14:paraId="31D0983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（二）建设项目环境影响评价文件未按规定通过审批，擅自开工建设的；</w:t>
      </w:r>
    </w:p>
    <w:p w14:paraId="6ABD62D8">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40F087B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0BCCDBA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（五）主要污染物排放总量超过控制指标的；</w:t>
      </w:r>
    </w:p>
    <w:p w14:paraId="54548EF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（六）私设暗管或者利用渗井、渗坑、裂隙、溶洞等排放、倾倒、处置水污染物，或者通过私设旁路排放大气污染物的；</w:t>
      </w:r>
    </w:p>
    <w:p w14:paraId="7516B0B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4FA9CF0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（八）环境违法行为造成集中式生活饮用水水源取水中断的；</w:t>
      </w:r>
    </w:p>
    <w:p w14:paraId="080E98BD">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43951B76">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（十）违法从事自然资源开发、交通基础设施建设，以及其他开发建设活动，造成严重生态破坏的；</w:t>
      </w:r>
    </w:p>
    <w:p w14:paraId="7D263FD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（十一）发生较大及以上突发环境事件的；</w:t>
      </w:r>
    </w:p>
    <w:p w14:paraId="0427EEC6">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（十二）被环保部门挂牌督办，整改逾期未完成的；</w:t>
      </w:r>
    </w:p>
    <w:p w14:paraId="364A07B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（十三）以暴力、威胁等方式拒绝、阻挠环保部门工作人员现场检查的；</w:t>
      </w:r>
    </w:p>
    <w:p w14:paraId="315CCA8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（十四）违反重污染天气应急预案有关规定，对重污染天气响应不力的。</w:t>
      </w:r>
    </w:p>
    <w:p w14:paraId="471E1006">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6634573E">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 xml:space="preserve"> </w:t>
      </w:r>
    </w:p>
    <w:p w14:paraId="06BD576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三、公共资源交易领域严重失信行为</w:t>
      </w:r>
    </w:p>
    <w:p w14:paraId="7687A20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08EC6E7A">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384A879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50860C3B">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4ED261AB">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4CD11B1C">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（六）投标人以他人名义投标或者以其他方式弄虚作假，骗取中标的；</w:t>
      </w:r>
    </w:p>
    <w:p w14:paraId="4D062B6D">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5C00D0FC">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22C04E7">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194C33A0">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263B65DC">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4CDA430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（十二）中标人不按照与招标人订立的合同履行义务，情节严重的； </w:t>
      </w:r>
    </w:p>
    <w:p w14:paraId="2C465510">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18CA00A">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8B3DEB8">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 （十五）采购人对应当实行集中采购的政府采购项目，不委托集中采购机构实行集中采购的； </w:t>
      </w:r>
    </w:p>
    <w:p w14:paraId="7F09DEA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29395504">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（十七）供应商存在提供虚假材料谋取中标、成交，采取不正当手段诋毁、排挤其他供应商，与采购人、其他供应商或者采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1CB844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（十八）疫苗生产企业向县级疾病预防控制机构以外的单位或者个人销售第二类疫苗的； </w:t>
      </w:r>
    </w:p>
    <w:p w14:paraId="76B9C7F4">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（十九）存在其他违反公共资源交易法律法规行为的。</w:t>
      </w:r>
    </w:p>
    <w:p w14:paraId="1485C07B">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依据：《关于对公共资源交易领域严重失信主体开展联合惩戒的备忘录》（发改法规〔2018〕457号）</w:t>
      </w:r>
    </w:p>
    <w:p w14:paraId="3F45C1F5">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 xml:space="preserve"> </w:t>
      </w:r>
    </w:p>
    <w:p w14:paraId="4CB6C607">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四、社会保险领域严重失信行为</w:t>
      </w:r>
    </w:p>
    <w:p w14:paraId="54D7D5CA">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（一）用人单位未按相关规定参加社会保险且拒不整改的； </w:t>
      </w:r>
    </w:p>
    <w:p w14:paraId="68FF3C6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（二）用人单位未如实申报社会保险缴费基数且拒不整改的； </w:t>
      </w:r>
    </w:p>
    <w:p w14:paraId="6EEF7C6E">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（三）应缴纳社会保险费却拒不缴纳的； </w:t>
      </w:r>
    </w:p>
    <w:p w14:paraId="1CE5FA1F">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（四）隐匿、转移、侵占、挪用社会保险费款、基金或者违规投资运营的；</w:t>
      </w:r>
    </w:p>
    <w:p w14:paraId="3D82692F">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69596851">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（六）非法获取、出售或变相交易社会保险个人权益数据的； </w:t>
      </w:r>
    </w:p>
    <w:p w14:paraId="5D2D459E">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（七）社会保险服务机构违反服务协议或相关规定的； </w:t>
      </w:r>
    </w:p>
    <w:p w14:paraId="1FA3866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2151D7A0">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（九）其他违反法律法规规定的。</w:t>
      </w:r>
    </w:p>
    <w:p w14:paraId="5A7CE983">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依据：《关于对社会保险领域严重失信企业及其有关人员实施联合惩戒的合作备忘录》（发改财金〔2018〕1704号）</w:t>
      </w:r>
    </w:p>
    <w:p w14:paraId="35AD5527">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 xml:space="preserve"> </w:t>
      </w:r>
    </w:p>
    <w:p w14:paraId="22F2FA4C">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五、建筑市场领域严重失信行为</w:t>
      </w:r>
    </w:p>
    <w:p w14:paraId="02AA42F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（一）利用虚假材料、以欺骗手段取得企业资质的；</w:t>
      </w:r>
    </w:p>
    <w:p w14:paraId="51E3C6C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（二）发生转包、出借资质，受到行政处罚的；</w:t>
      </w:r>
    </w:p>
    <w:p w14:paraId="0FC3867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734AE67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（四）经法院判决或仲裁机构裁决，认定为拖欠工程款,且拒不履行生效法律文书确定的义务的。</w:t>
      </w:r>
    </w:p>
    <w:p w14:paraId="341FF3CF">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1C4BD43E">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依据：《建筑市场信用管理暂行办法》（建市〔2017〕241号）</w:t>
      </w:r>
    </w:p>
    <w:p w14:paraId="63A915E5">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 xml:space="preserve"> </w:t>
      </w:r>
    </w:p>
    <w:p w14:paraId="1B2CD746">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六、政府采购严重失信行为</w:t>
      </w:r>
    </w:p>
    <w:p w14:paraId="61FD0F6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2CB434F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（一）三万元以上罚款；</w:t>
      </w:r>
    </w:p>
    <w:p w14:paraId="2BBBCFC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（二）在一至三年内禁止参加政府采购活动（处罚期限届满的除外）；</w:t>
      </w:r>
    </w:p>
    <w:p w14:paraId="566110D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（三）在一至三年内禁止代理政府采购业务（处罚期限届满的除外）；</w:t>
      </w:r>
    </w:p>
    <w:p w14:paraId="64E33DA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（四）撤销政府采购代理机构资格（仅针对《政府采购法》第78条修改前作出的处罚决定）。。</w:t>
      </w:r>
    </w:p>
    <w:p w14:paraId="4D585AD5">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依据：《关于报送政府采购严重违法失信行为信息记录的通知》（财办库〔2014〕526号）</w:t>
      </w:r>
    </w:p>
    <w:p w14:paraId="5AB400F3">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 xml:space="preserve"> </w:t>
      </w:r>
    </w:p>
    <w:p w14:paraId="189880FE">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七、水利建设领域严重失信行为</w:t>
      </w:r>
    </w:p>
    <w:p w14:paraId="11779216">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（一）1年内不良行为记录累计扣分达到20分的；</w:t>
      </w:r>
    </w:p>
    <w:p w14:paraId="4E13F52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（二）"重点关注名单"公开期满后仍不整改的；</w:t>
      </w:r>
    </w:p>
    <w:p w14:paraId="2496FC4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（三）存在以下严重危害人民群众身体健康、生命安全和工程质量，以及特别严重违规行为之一的：</w:t>
      </w:r>
    </w:p>
    <w:p w14:paraId="740EFEE6">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1.发生重大、特大质量或安全事故，并负有直接责任的；</w:t>
      </w:r>
    </w:p>
    <w:p w14:paraId="37E23E1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2.在单位公开信息、工程相关技术成果和工程建设过程中隐瞒真实情况、弄虚作假，提供虚假材料，谋取不正当利益的；</w:t>
      </w:r>
    </w:p>
    <w:p w14:paraId="40D79828">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3.违反有关法律、法规、规章、政策、技术标准、设计文件、合同等有关规定开展工作造成的工程质量问题，经处理后仍影响工程正常使用或减少工程使用寿命的；</w:t>
      </w:r>
    </w:p>
    <w:p w14:paraId="7821ED6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4.违反规定施工，造成生态环境严重破坏且拒不修复的；</w:t>
      </w:r>
    </w:p>
    <w:p w14:paraId="3515EE7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5.被证实恶意制造工程质量缺陷或质量隐患的；</w:t>
      </w:r>
    </w:p>
    <w:p w14:paraId="397B236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6.其他违反法律法规，造成严重后果或社会危害较大的。</w:t>
      </w:r>
    </w:p>
    <w:p w14:paraId="6F65937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（四）存在以下严重破坏市场公平竞争秩序和社会正常秩序行为之一的：</w:t>
      </w:r>
    </w:p>
    <w:p w14:paraId="66C8762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1.不按合同约定，恶意拖欠承包人项目款的；</w:t>
      </w:r>
    </w:p>
    <w:p w14:paraId="5291C92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2.隐瞒有关情况或者提供虚假材料申请资质的，在全国水利建设市场监管服务平台公开虚假信息的，以欺骗、贿赂等不正当手段取得资质等级证书的；</w:t>
      </w:r>
    </w:p>
    <w:p w14:paraId="4DC3699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3.出借、借用资质证书,允许他人以本单位名义或借用他人名义等弄虚作假方式承揽业务的；</w:t>
      </w:r>
    </w:p>
    <w:p w14:paraId="38F3F95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4.未取得相应资质或超越资质证书核定范围、营业范围承揽业务的；</w:t>
      </w:r>
    </w:p>
    <w:p w14:paraId="4A5D718D">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5.操纵招标过程，谋取不正当利益的；</w:t>
      </w:r>
    </w:p>
    <w:p w14:paraId="683BEF3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6.与招标人或投标人串通投标的；</w:t>
      </w:r>
    </w:p>
    <w:p w14:paraId="561F7CEF">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7.以向招标人或评标委员会成员行贿的手段谋取中标的；</w:t>
      </w:r>
    </w:p>
    <w:p w14:paraId="0BAC028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8.中标后，无正当理由不签订合同的；</w:t>
      </w:r>
    </w:p>
    <w:p w14:paraId="0284E2C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9.转包或违法分包所承揽业务的；</w:t>
      </w:r>
    </w:p>
    <w:p w14:paraId="73AF57B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10.弄虚作假，以欺诈手段降低工程或设备质量的；</w:t>
      </w:r>
    </w:p>
    <w:p w14:paraId="7B71B7C6">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11.单位行贿、受贿，受到刑事处罚的；</w:t>
      </w:r>
    </w:p>
    <w:p w14:paraId="0BE14B5B">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12.逃税骗税、恶意逃废债务的；</w:t>
      </w:r>
    </w:p>
    <w:p w14:paraId="1FB0EBF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13.参与非法集资，受到刑事处罚的；</w:t>
      </w:r>
    </w:p>
    <w:p w14:paraId="1E31F99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14.在签订、履行合同过程中，存在合同欺诈行为，受到刑事处罚的；</w:t>
      </w:r>
    </w:p>
    <w:p w14:paraId="62ECBBE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15.虚构工程项目，套取资金的；</w:t>
      </w:r>
    </w:p>
    <w:p w14:paraId="5CCE123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16.克扣、无故拖欠农民工工资报酬，数额达到认定拒不支付劳动报酬罪数额标准的；</w:t>
      </w:r>
    </w:p>
    <w:p w14:paraId="6580B92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17.发生社会公共事件，影响较大，并负有直接责任的。</w:t>
      </w:r>
    </w:p>
    <w:p w14:paraId="751DE00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（五）存在以下拒不履行法定义务，严重影响司法机关、行政机关公信力行为之一的：</w:t>
      </w:r>
    </w:p>
    <w:p w14:paraId="6FCF008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1.发生事故拒绝接受调查或拒绝提供有关资料的；</w:t>
      </w:r>
    </w:p>
    <w:p w14:paraId="1E4DAA68">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2.拒不执行生效的行政处罚决定的；</w:t>
      </w:r>
    </w:p>
    <w:p w14:paraId="62667FD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3.拒不执行仲裁、法院判决结果的。</w:t>
      </w:r>
    </w:p>
    <w:p w14:paraId="3FA220E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（六）被相关联合惩戒部门列入"黑名单"，符合联合惩戒措施的。</w:t>
      </w:r>
    </w:p>
    <w:p w14:paraId="4AF2FC1D">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生产建设项目水土保持市场主体"黑名单"列入标准见《水利建设市场主体信用信息管理办法》附件。</w:t>
      </w:r>
    </w:p>
    <w:p w14:paraId="3D214666">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000000"/>
          <w:kern w:val="2"/>
          <w:sz w:val="24"/>
          <w:szCs w:val="24"/>
          <w:highlight w:val="none"/>
          <w:vertAlign w:val="baseline"/>
        </w:rPr>
      </w:pPr>
      <w:r>
        <w:rPr>
          <w:rFonts w:hint="eastAsia" w:ascii="宋体" w:hAnsi="宋体" w:eastAsia="宋体" w:cs="宋体"/>
          <w:b/>
          <w:bCs w:val="0"/>
          <w:color w:val="000000"/>
          <w:kern w:val="0"/>
          <w:sz w:val="24"/>
          <w:szCs w:val="24"/>
          <w:highlight w:val="none"/>
          <w:vertAlign w:val="baseline"/>
          <w:lang w:val="en-US" w:eastAsia="zh-CN" w:bidi="ar"/>
        </w:rPr>
        <w:t>依据：《水利建设市场主体信用评价管理办法》水建设〔2019〕307号、《水利建设市场主体信用信息管理办法》水建设〔2019〕306号</w:t>
      </w:r>
    </w:p>
    <w:p w14:paraId="3CEBA466">
      <w:pPr>
        <w:keepNext w:val="0"/>
        <w:keepLines w:val="0"/>
        <w:widowControl/>
        <w:suppressLineNumbers w:val="0"/>
        <w:autoSpaceDE w:val="0"/>
        <w:autoSpaceDN/>
        <w:spacing w:before="0" w:beforeAutospacing="0" w:after="0" w:afterAutospacing="0" w:line="480" w:lineRule="exact"/>
        <w:ind w:left="0" w:right="0" w:firstLine="480" w:firstLineChars="200"/>
        <w:jc w:val="both"/>
        <w:textAlignment w:val="baseline"/>
        <w:rPr>
          <w:rFonts w:hint="eastAsia" w:ascii="宋体" w:hAnsi="宋体" w:eastAsia="宋体" w:cs="宋体"/>
          <w:color w:val="000000"/>
          <w:kern w:val="2"/>
          <w:sz w:val="24"/>
          <w:szCs w:val="24"/>
          <w:highlight w:val="none"/>
          <w:vertAlign w:val="baseline"/>
        </w:rPr>
      </w:pPr>
      <w:r>
        <w:rPr>
          <w:rFonts w:hint="eastAsia" w:ascii="宋体" w:hAnsi="宋体" w:eastAsia="宋体" w:cs="宋体"/>
          <w:color w:val="000000"/>
          <w:kern w:val="0"/>
          <w:sz w:val="24"/>
          <w:szCs w:val="24"/>
          <w:highlight w:val="none"/>
          <w:vertAlign w:val="baseline"/>
          <w:lang w:val="en-US" w:eastAsia="zh-CN" w:bidi="ar"/>
        </w:rPr>
        <w:t xml:space="preserve"> </w:t>
      </w:r>
    </w:p>
    <w:p w14:paraId="16B8F443">
      <w:pPr>
        <w:keepNext w:val="0"/>
        <w:keepLines w:val="0"/>
        <w:widowControl/>
        <w:suppressLineNumbers w:val="0"/>
        <w:autoSpaceDE w:val="0"/>
        <w:autoSpaceDN/>
        <w:spacing w:before="0" w:beforeAutospacing="0" w:after="0" w:afterAutospacing="0" w:line="480" w:lineRule="exact"/>
        <w:ind w:left="0" w:right="0" w:firstLine="482" w:firstLineChars="200"/>
        <w:jc w:val="both"/>
        <w:textAlignment w:val="baseline"/>
        <w:rPr>
          <w:rFonts w:hint="eastAsia" w:ascii="宋体" w:hAnsi="宋体" w:eastAsia="宋体" w:cs="宋体"/>
          <w:b/>
          <w:bCs/>
          <w:color w:val="000000"/>
          <w:kern w:val="2"/>
          <w:sz w:val="24"/>
          <w:szCs w:val="24"/>
          <w:highlight w:val="none"/>
          <w:vertAlign w:val="baseline"/>
        </w:rPr>
      </w:pPr>
      <w:r>
        <w:rPr>
          <w:rFonts w:hint="eastAsia" w:ascii="宋体" w:hAnsi="宋体" w:eastAsia="宋体" w:cs="宋体"/>
          <w:b/>
          <w:bCs/>
          <w:color w:val="000000"/>
          <w:kern w:val="0"/>
          <w:sz w:val="24"/>
          <w:szCs w:val="24"/>
          <w:highlight w:val="none"/>
          <w:vertAlign w:val="baseline"/>
          <w:lang w:val="en-US" w:eastAsia="zh-CN" w:bidi="ar"/>
        </w:rPr>
        <w:t>未列出的其他类别严重失信行为，由招标人（代理机构）根据各类别行业主管部门下发的联合惩戒文件进行判断。</w:t>
      </w:r>
    </w:p>
    <w:p w14:paraId="503AEDF7">
      <w:pPr>
        <w:keepNext w:val="0"/>
        <w:keepLines w:val="0"/>
        <w:widowControl w:val="0"/>
        <w:suppressLineNumbers w:val="0"/>
        <w:spacing w:before="0" w:beforeAutospacing="0" w:after="0" w:afterAutospacing="0" w:line="440" w:lineRule="exact"/>
        <w:ind w:left="0" w:right="0" w:firstLine="615"/>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21529173">
      <w:pPr>
        <w:spacing w:line="360" w:lineRule="auto"/>
        <w:ind w:firstLine="435"/>
        <w:rPr>
          <w:rFonts w:hint="eastAsia" w:ascii="宋体" w:hAnsi="宋体" w:eastAsia="宋体" w:cs="宋体"/>
          <w:color w:val="auto"/>
          <w:sz w:val="24"/>
          <w:highlight w:val="none"/>
        </w:rPr>
      </w:pPr>
    </w:p>
    <w:p w14:paraId="7A98EB7B">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3D14FC59">
      <w:pPr>
        <w:spacing w:line="360" w:lineRule="auto"/>
        <w:jc w:val="center"/>
        <w:outlineLvl w:val="0"/>
        <w:rPr>
          <w:rFonts w:hint="eastAsia" w:ascii="宋体" w:hAnsi="宋体" w:eastAsia="宋体" w:cs="宋体"/>
          <w:b/>
          <w:bCs/>
          <w:color w:val="auto"/>
          <w:sz w:val="28"/>
          <w:highlight w:val="none"/>
        </w:rPr>
      </w:pPr>
      <w:bookmarkStart w:id="174" w:name="_Toc6435"/>
      <w:bookmarkStart w:id="175" w:name="_Toc18131"/>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174"/>
      <w:bookmarkEnd w:id="175"/>
    </w:p>
    <w:p w14:paraId="7671EF24">
      <w:pPr>
        <w:spacing w:line="360" w:lineRule="auto"/>
        <w:jc w:val="center"/>
        <w:outlineLvl w:val="1"/>
        <w:rPr>
          <w:rFonts w:hint="eastAsia" w:ascii="宋体" w:hAnsi="宋体" w:eastAsia="宋体" w:cs="宋体"/>
          <w:b/>
          <w:bCs/>
          <w:color w:val="auto"/>
          <w:sz w:val="32"/>
          <w:szCs w:val="44"/>
          <w:highlight w:val="none"/>
        </w:rPr>
      </w:pPr>
      <w:bookmarkStart w:id="176" w:name="_Toc27489"/>
      <w:bookmarkStart w:id="177" w:name="_Toc27159"/>
      <w:r>
        <w:rPr>
          <w:rFonts w:hint="eastAsia" w:ascii="宋体" w:hAnsi="宋体" w:eastAsia="宋体" w:cs="宋体"/>
          <w:b/>
          <w:bCs/>
          <w:color w:val="auto"/>
          <w:sz w:val="32"/>
          <w:szCs w:val="44"/>
          <w:highlight w:val="none"/>
        </w:rPr>
        <w:t>询问函范本</w:t>
      </w:r>
      <w:bookmarkEnd w:id="176"/>
      <w:bookmarkEnd w:id="177"/>
    </w:p>
    <w:p w14:paraId="0CD44E6A">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72E3419F">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4474514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i/>
          <w:iCs/>
          <w:color w:val="auto"/>
          <w:sz w:val="24"/>
          <w:szCs w:val="24"/>
          <w:highlight w:val="none"/>
          <w:u w:val="none"/>
          <w:lang w:val="en-US" w:eastAsia="zh-CN"/>
        </w:rPr>
        <w:t>项目名称、编号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416B4FF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178" w:name="_Toc13899"/>
      <w:r>
        <w:rPr>
          <w:rFonts w:hint="eastAsia" w:ascii="宋体" w:hAnsi="宋体" w:eastAsia="宋体" w:cs="宋体"/>
          <w:color w:val="auto"/>
          <w:sz w:val="24"/>
          <w:szCs w:val="24"/>
          <w:highlight w:val="none"/>
        </w:rPr>
        <w:t>一、(事项一)</w:t>
      </w:r>
      <w:bookmarkEnd w:id="178"/>
    </w:p>
    <w:p w14:paraId="4702D1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72BE25B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5BC580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30BC8B2E">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179" w:name="_Toc3352"/>
      <w:r>
        <w:rPr>
          <w:rFonts w:hint="eastAsia" w:ascii="宋体" w:hAnsi="宋体" w:eastAsia="宋体" w:cs="宋体"/>
          <w:color w:val="auto"/>
          <w:sz w:val="24"/>
          <w:szCs w:val="24"/>
          <w:highlight w:val="none"/>
        </w:rPr>
        <w:t>二、(事项二)</w:t>
      </w:r>
      <w:bookmarkEnd w:id="179"/>
    </w:p>
    <w:p w14:paraId="4F2D6C1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6BCF44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5C42E8AA">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21B9E0AF">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097C978F">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CC13564">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27935859">
      <w:pPr>
        <w:jc w:val="center"/>
        <w:outlineLvl w:val="1"/>
        <w:rPr>
          <w:rFonts w:hint="eastAsia" w:ascii="宋体" w:hAnsi="宋体" w:eastAsia="宋体" w:cs="宋体"/>
          <w:b/>
          <w:bCs/>
          <w:color w:val="auto"/>
          <w:sz w:val="32"/>
          <w:szCs w:val="44"/>
          <w:highlight w:val="none"/>
        </w:rPr>
      </w:pPr>
      <w:bookmarkStart w:id="180" w:name="_Toc1575"/>
      <w:bookmarkStart w:id="181" w:name="_Toc3245"/>
      <w:r>
        <w:rPr>
          <w:rFonts w:hint="eastAsia" w:ascii="宋体" w:hAnsi="宋体" w:eastAsia="宋体" w:cs="宋体"/>
          <w:b/>
          <w:bCs/>
          <w:color w:val="auto"/>
          <w:sz w:val="32"/>
          <w:szCs w:val="44"/>
          <w:highlight w:val="none"/>
        </w:rPr>
        <w:t>质疑函范本</w:t>
      </w:r>
      <w:bookmarkEnd w:id="180"/>
      <w:bookmarkEnd w:id="181"/>
    </w:p>
    <w:p w14:paraId="081649EC">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182" w:name="_Toc21381"/>
      <w:r>
        <w:rPr>
          <w:rFonts w:hint="eastAsia" w:ascii="宋体" w:hAnsi="宋体" w:eastAsia="宋体" w:cs="宋体"/>
          <w:b/>
          <w:bCs/>
          <w:color w:val="auto"/>
          <w:sz w:val="24"/>
          <w:szCs w:val="24"/>
          <w:highlight w:val="none"/>
        </w:rPr>
        <w:t>一、质疑供应商基本信息</w:t>
      </w:r>
      <w:bookmarkEnd w:id="182"/>
    </w:p>
    <w:p w14:paraId="347F00B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5FD867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A9891B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4C2301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A6FAF7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FF3A0F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C0168FD">
      <w:pPr>
        <w:adjustRightInd w:val="0"/>
        <w:snapToGrid w:val="0"/>
        <w:spacing w:line="360" w:lineRule="auto"/>
        <w:outlineLvl w:val="9"/>
        <w:rPr>
          <w:rFonts w:hint="eastAsia" w:ascii="宋体" w:hAnsi="宋体" w:eastAsia="宋体" w:cs="宋体"/>
          <w:b/>
          <w:bCs/>
          <w:color w:val="auto"/>
          <w:sz w:val="24"/>
          <w:szCs w:val="24"/>
          <w:highlight w:val="none"/>
        </w:rPr>
      </w:pPr>
      <w:bookmarkStart w:id="183" w:name="_Toc28415"/>
      <w:r>
        <w:rPr>
          <w:rFonts w:hint="eastAsia" w:ascii="宋体" w:hAnsi="宋体" w:eastAsia="宋体" w:cs="宋体"/>
          <w:b/>
          <w:bCs/>
          <w:color w:val="auto"/>
          <w:sz w:val="24"/>
          <w:szCs w:val="24"/>
          <w:highlight w:val="none"/>
        </w:rPr>
        <w:t>二、质疑项目基本情况</w:t>
      </w:r>
      <w:bookmarkEnd w:id="183"/>
    </w:p>
    <w:p w14:paraId="313766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6432D25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4647220B">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3F7A0A7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3ED16CD3">
      <w:pPr>
        <w:adjustRightInd w:val="0"/>
        <w:snapToGrid w:val="0"/>
        <w:spacing w:line="360" w:lineRule="auto"/>
        <w:outlineLvl w:val="9"/>
        <w:rPr>
          <w:rFonts w:hint="eastAsia" w:ascii="宋体" w:hAnsi="宋体" w:eastAsia="宋体" w:cs="宋体"/>
          <w:b/>
          <w:bCs/>
          <w:color w:val="auto"/>
          <w:sz w:val="24"/>
          <w:szCs w:val="24"/>
          <w:highlight w:val="none"/>
        </w:rPr>
      </w:pPr>
      <w:bookmarkStart w:id="184" w:name="_Toc19014"/>
      <w:r>
        <w:rPr>
          <w:rFonts w:hint="eastAsia" w:ascii="宋体" w:hAnsi="宋体" w:eastAsia="宋体" w:cs="宋体"/>
          <w:b/>
          <w:bCs/>
          <w:color w:val="auto"/>
          <w:sz w:val="24"/>
          <w:szCs w:val="24"/>
          <w:highlight w:val="none"/>
        </w:rPr>
        <w:t>三、质疑事项具体内容</w:t>
      </w:r>
      <w:bookmarkEnd w:id="184"/>
    </w:p>
    <w:p w14:paraId="52BF275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3C55F3A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2A4A4F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5B648D0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5E43A1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7A65D3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715E94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4DAE229">
      <w:pPr>
        <w:adjustRightInd w:val="0"/>
        <w:snapToGrid w:val="0"/>
        <w:spacing w:line="360" w:lineRule="auto"/>
        <w:outlineLvl w:val="9"/>
        <w:rPr>
          <w:rFonts w:hint="eastAsia" w:ascii="宋体" w:hAnsi="宋体" w:eastAsia="宋体" w:cs="宋体"/>
          <w:b/>
          <w:bCs/>
          <w:color w:val="auto"/>
          <w:sz w:val="24"/>
          <w:szCs w:val="24"/>
          <w:highlight w:val="none"/>
        </w:rPr>
      </w:pPr>
      <w:bookmarkStart w:id="185" w:name="_Toc17919"/>
      <w:r>
        <w:rPr>
          <w:rFonts w:hint="eastAsia" w:ascii="宋体" w:hAnsi="宋体" w:eastAsia="宋体" w:cs="宋体"/>
          <w:b/>
          <w:bCs/>
          <w:color w:val="auto"/>
          <w:sz w:val="24"/>
          <w:szCs w:val="24"/>
          <w:highlight w:val="none"/>
        </w:rPr>
        <w:t>四、与质疑事项相关的质疑请求</w:t>
      </w:r>
      <w:bookmarkEnd w:id="185"/>
    </w:p>
    <w:p w14:paraId="5D2AC78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00509D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C38DF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AC53F1">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9C15573">
      <w:pPr>
        <w:outlineLvl w:val="0"/>
        <w:rPr>
          <w:rFonts w:hint="eastAsia" w:ascii="宋体" w:hAnsi="宋体" w:eastAsia="宋体" w:cs="宋体"/>
          <w:b/>
          <w:color w:val="auto"/>
          <w:sz w:val="28"/>
          <w:szCs w:val="32"/>
          <w:highlight w:val="none"/>
        </w:rPr>
      </w:pPr>
      <w:bookmarkStart w:id="186" w:name="_Toc9754"/>
      <w:bookmarkStart w:id="187" w:name="_Toc26836"/>
      <w:r>
        <w:rPr>
          <w:rFonts w:hint="eastAsia" w:ascii="宋体" w:hAnsi="宋体" w:eastAsia="宋体" w:cs="宋体"/>
          <w:b/>
          <w:color w:val="auto"/>
          <w:sz w:val="28"/>
          <w:szCs w:val="32"/>
          <w:highlight w:val="none"/>
        </w:rPr>
        <w:t>质疑函制作说明：</w:t>
      </w:r>
      <w:bookmarkEnd w:id="186"/>
      <w:bookmarkEnd w:id="187"/>
    </w:p>
    <w:p w14:paraId="51E0570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F5F39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CCA23D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2D986B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47AE27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C182B9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C309">
    <w:pPr>
      <w:pStyle w:val="20"/>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9EB7">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6336F">
                          <w:pPr>
                            <w:pStyle w:val="2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06336F">
                    <w:pPr>
                      <w:pStyle w:val="2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A349">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70253">
                          <w:pPr>
                            <w:pStyle w:val="20"/>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333</w:t>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170253">
                    <w:pPr>
                      <w:pStyle w:val="20"/>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333</w:t>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CC31">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B71">
    <w:pPr>
      <w:pStyle w:val="21"/>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79BD">
    <w:pPr>
      <w:pStyle w:val="21"/>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C42F0"/>
    <w:multiLevelType w:val="singleLevel"/>
    <w:tmpl w:val="894C42F0"/>
    <w:lvl w:ilvl="0" w:tentative="0">
      <w:start w:val="1"/>
      <w:numFmt w:val="decimal"/>
      <w:suff w:val="nothing"/>
      <w:lvlText w:val="%1、"/>
      <w:lvlJc w:val="left"/>
    </w:lvl>
  </w:abstractNum>
  <w:abstractNum w:abstractNumId="1">
    <w:nsid w:val="8F5C6C2E"/>
    <w:multiLevelType w:val="singleLevel"/>
    <w:tmpl w:val="8F5C6C2E"/>
    <w:lvl w:ilvl="0" w:tentative="0">
      <w:start w:val="1"/>
      <w:numFmt w:val="decimal"/>
      <w:suff w:val="nothing"/>
      <w:lvlText w:val="%1、"/>
      <w:lvlJc w:val="left"/>
    </w:lvl>
  </w:abstractNum>
  <w:abstractNum w:abstractNumId="2">
    <w:nsid w:val="991D2C4B"/>
    <w:multiLevelType w:val="singleLevel"/>
    <w:tmpl w:val="991D2C4B"/>
    <w:lvl w:ilvl="0" w:tentative="0">
      <w:start w:val="1"/>
      <w:numFmt w:val="decimal"/>
      <w:lvlText w:val="%1."/>
      <w:lvlJc w:val="left"/>
      <w:pPr>
        <w:tabs>
          <w:tab w:val="left" w:pos="312"/>
        </w:tabs>
      </w:pPr>
    </w:lvl>
  </w:abstractNum>
  <w:abstractNum w:abstractNumId="3">
    <w:nsid w:val="9F8FA6E9"/>
    <w:multiLevelType w:val="singleLevel"/>
    <w:tmpl w:val="9F8FA6E9"/>
    <w:lvl w:ilvl="0" w:tentative="0">
      <w:start w:val="1"/>
      <w:numFmt w:val="decimal"/>
      <w:suff w:val="nothing"/>
      <w:lvlText w:val="%1、"/>
      <w:lvlJc w:val="left"/>
    </w:lvl>
  </w:abstractNum>
  <w:abstractNum w:abstractNumId="4">
    <w:nsid w:val="BBCEFC31"/>
    <w:multiLevelType w:val="singleLevel"/>
    <w:tmpl w:val="BBCEFC31"/>
    <w:lvl w:ilvl="0" w:tentative="0">
      <w:start w:val="2"/>
      <w:numFmt w:val="chineseCounting"/>
      <w:suff w:val="nothing"/>
      <w:lvlText w:val="%1、"/>
      <w:lvlJc w:val="left"/>
      <w:rPr>
        <w:rFonts w:hint="eastAsia"/>
      </w:rPr>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0B7CED9"/>
    <w:multiLevelType w:val="singleLevel"/>
    <w:tmpl w:val="C0B7CED9"/>
    <w:lvl w:ilvl="0" w:tentative="0">
      <w:start w:val="1"/>
      <w:numFmt w:val="decimal"/>
      <w:lvlText w:val="%1."/>
      <w:lvlJc w:val="left"/>
      <w:pPr>
        <w:tabs>
          <w:tab w:val="left" w:pos="312"/>
        </w:tabs>
      </w:pPr>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8807A1C"/>
    <w:multiLevelType w:val="singleLevel"/>
    <w:tmpl w:val="08807A1C"/>
    <w:lvl w:ilvl="0" w:tentative="0">
      <w:start w:val="1"/>
      <w:numFmt w:val="decimal"/>
      <w:lvlText w:val="%1."/>
      <w:lvlJc w:val="left"/>
      <w:pPr>
        <w:tabs>
          <w:tab w:val="left" w:pos="312"/>
        </w:tabs>
      </w:pPr>
    </w:lvl>
  </w:abstractNum>
  <w:abstractNum w:abstractNumId="13">
    <w:nsid w:val="0CC7B1C1"/>
    <w:multiLevelType w:val="singleLevel"/>
    <w:tmpl w:val="0CC7B1C1"/>
    <w:lvl w:ilvl="0" w:tentative="0">
      <w:start w:val="1"/>
      <w:numFmt w:val="decimal"/>
      <w:suff w:val="nothing"/>
      <w:lvlText w:val="%1、"/>
      <w:lvlJc w:val="left"/>
    </w:lvl>
  </w:abstractNum>
  <w:abstractNum w:abstractNumId="14">
    <w:nsid w:val="2669EA68"/>
    <w:multiLevelType w:val="singleLevel"/>
    <w:tmpl w:val="2669EA68"/>
    <w:lvl w:ilvl="0" w:tentative="0">
      <w:start w:val="1"/>
      <w:numFmt w:val="decimal"/>
      <w:lvlText w:val="%1."/>
      <w:lvlJc w:val="left"/>
      <w:pPr>
        <w:tabs>
          <w:tab w:val="left" w:pos="312"/>
        </w:tabs>
      </w:pPr>
    </w:lvl>
  </w:abstractNum>
  <w:abstractNum w:abstractNumId="15">
    <w:nsid w:val="294D35E3"/>
    <w:multiLevelType w:val="singleLevel"/>
    <w:tmpl w:val="294D35E3"/>
    <w:lvl w:ilvl="0" w:tentative="0">
      <w:start w:val="8"/>
      <w:numFmt w:val="decimal"/>
      <w:lvlText w:val="%1."/>
      <w:lvlJc w:val="left"/>
      <w:pPr>
        <w:tabs>
          <w:tab w:val="left" w:pos="312"/>
        </w:tabs>
      </w:pPr>
    </w:lvl>
  </w:abstractNum>
  <w:abstractNum w:abstractNumId="16">
    <w:nsid w:val="40327E18"/>
    <w:multiLevelType w:val="singleLevel"/>
    <w:tmpl w:val="40327E18"/>
    <w:lvl w:ilvl="0" w:tentative="0">
      <w:start w:val="1"/>
      <w:numFmt w:val="decimal"/>
      <w:suff w:val="nothing"/>
      <w:lvlText w:val="（%1）"/>
      <w:lvlJc w:val="left"/>
    </w:lvl>
  </w:abstractNum>
  <w:abstractNum w:abstractNumId="17">
    <w:nsid w:val="5FC27316"/>
    <w:multiLevelType w:val="multilevel"/>
    <w:tmpl w:val="5FC27316"/>
    <w:lvl w:ilvl="0" w:tentative="0">
      <w:start w:val="1"/>
      <w:numFmt w:val="chineseCountingThousand"/>
      <w:lvlText w:val="第%1章 "/>
      <w:lvlJc w:val="left"/>
      <w:pPr>
        <w:ind w:left="0" w:firstLine="0"/>
      </w:pPr>
      <w:rPr>
        <w:rFonts w:hint="eastAsia"/>
      </w:rPr>
    </w:lvl>
    <w:lvl w:ilvl="1" w:tentative="0">
      <w:start w:val="1"/>
      <w:numFmt w:val="decimal"/>
      <w:isLgl/>
      <w:lvlText w:val="%1.%2"/>
      <w:lvlJc w:val="left"/>
      <w:pPr>
        <w:ind w:left="0" w:firstLine="0"/>
      </w:pPr>
      <w:rPr>
        <w:rFonts w:hint="default" w:ascii="仿宋_GB2312" w:hAnsi="仿宋_GB2312" w:eastAsia="仿宋_GB2312" w:cs="仿宋_GB2312"/>
        <w:sz w:val="28"/>
        <w:szCs w:val="28"/>
      </w:rPr>
    </w:lvl>
    <w:lvl w:ilvl="2" w:tentative="0">
      <w:start w:val="1"/>
      <w:numFmt w:val="decimal"/>
      <w:isLgl/>
      <w:lvlText w:val="%1.%2.%3"/>
      <w:lvlJc w:val="left"/>
      <w:pPr>
        <w:ind w:left="0" w:firstLine="0"/>
      </w:pPr>
      <w:rPr>
        <w:rFonts w:hint="default" w:ascii="仿宋_GB2312" w:hAnsi="仿宋_GB2312" w:eastAsia="仿宋_GB2312" w:cs="仿宋_GB2312"/>
        <w:sz w:val="28"/>
        <w:szCs w:val="28"/>
      </w:rPr>
    </w:lvl>
    <w:lvl w:ilvl="3" w:tentative="0">
      <w:start w:val="1"/>
      <w:numFmt w:val="decimal"/>
      <w:isLgl/>
      <w:lvlText w:val="%1.%2.%3.%4"/>
      <w:lvlJc w:val="left"/>
      <w:pPr>
        <w:ind w:left="0" w:firstLine="0"/>
      </w:pPr>
      <w:rPr>
        <w:rFonts w:hint="default" w:ascii="仿宋_GB2312" w:hAnsi="仿宋_GB2312" w:eastAsia="仿宋_GB2312" w:cs="仿宋_GB2312"/>
        <w:b/>
        <w:bCs/>
        <w:sz w:val="28"/>
        <w:szCs w:val="28"/>
      </w:rPr>
    </w:lvl>
    <w:lvl w:ilvl="4" w:tentative="0">
      <w:start w:val="1"/>
      <w:numFmt w:val="decimal"/>
      <w:pStyle w:val="7"/>
      <w:isLgl/>
      <w:lvlText w:val="%1.%2.%3.%4.%5"/>
      <w:lvlJc w:val="left"/>
      <w:pPr>
        <w:ind w:left="0" w:firstLine="0"/>
      </w:pPr>
      <w:rPr>
        <w:rFonts w:hint="default" w:ascii="仿宋_GB2312" w:hAnsi="仿宋_GB2312" w:eastAsia="仿宋_GB2312" w:cs="仿宋_GB2312"/>
        <w:sz w:val="28"/>
        <w:szCs w:val="28"/>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8">
    <w:nsid w:val="7A0F6431"/>
    <w:multiLevelType w:val="singleLevel"/>
    <w:tmpl w:val="7A0F6431"/>
    <w:lvl w:ilvl="0" w:tentative="0">
      <w:start w:val="1"/>
      <w:numFmt w:val="decimal"/>
      <w:suff w:val="space"/>
      <w:lvlText w:val="%1."/>
      <w:lvlJc w:val="left"/>
    </w:lvl>
  </w:abstractNum>
  <w:num w:numId="1">
    <w:abstractNumId w:val="17"/>
  </w:num>
  <w:num w:numId="2">
    <w:abstractNumId w:val="15"/>
  </w:num>
  <w:num w:numId="3">
    <w:abstractNumId w:val="4"/>
  </w:num>
  <w:num w:numId="4">
    <w:abstractNumId w:val="12"/>
  </w:num>
  <w:num w:numId="5">
    <w:abstractNumId w:val="0"/>
  </w:num>
  <w:num w:numId="6">
    <w:abstractNumId w:val="1"/>
  </w:num>
  <w:num w:numId="7">
    <w:abstractNumId w:val="3"/>
  </w:num>
  <w:num w:numId="8">
    <w:abstractNumId w:val="14"/>
  </w:num>
  <w:num w:numId="9">
    <w:abstractNumId w:val="6"/>
  </w:num>
  <w:num w:numId="10">
    <w:abstractNumId w:val="13"/>
  </w:num>
  <w:num w:numId="11">
    <w:abstractNumId w:val="2"/>
  </w:num>
  <w:num w:numId="12">
    <w:abstractNumId w:val="16"/>
  </w:num>
  <w:num w:numId="13">
    <w:abstractNumId w:val="18"/>
  </w:num>
  <w:num w:numId="14">
    <w:abstractNumId w:val="7"/>
  </w:num>
  <w:num w:numId="15">
    <w:abstractNumId w:val="11"/>
  </w:num>
  <w:num w:numId="16">
    <w:abstractNumId w:val="9"/>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3F56"/>
    <w:rsid w:val="000049DA"/>
    <w:rsid w:val="00004F40"/>
    <w:rsid w:val="000056B7"/>
    <w:rsid w:val="00012A13"/>
    <w:rsid w:val="000131F7"/>
    <w:rsid w:val="00016B6C"/>
    <w:rsid w:val="00017EC7"/>
    <w:rsid w:val="00020B57"/>
    <w:rsid w:val="0002633B"/>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CDD"/>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017F"/>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822B77"/>
    <w:rsid w:val="01DC37E8"/>
    <w:rsid w:val="01E93A1B"/>
    <w:rsid w:val="01F23F0C"/>
    <w:rsid w:val="020252A4"/>
    <w:rsid w:val="0214602E"/>
    <w:rsid w:val="02650514"/>
    <w:rsid w:val="032F7F04"/>
    <w:rsid w:val="03486B27"/>
    <w:rsid w:val="039B791C"/>
    <w:rsid w:val="03B92498"/>
    <w:rsid w:val="040A094E"/>
    <w:rsid w:val="041F0BFA"/>
    <w:rsid w:val="04A967B2"/>
    <w:rsid w:val="053F64C6"/>
    <w:rsid w:val="056F201D"/>
    <w:rsid w:val="05780CD9"/>
    <w:rsid w:val="05B664D4"/>
    <w:rsid w:val="064B485A"/>
    <w:rsid w:val="068C65C4"/>
    <w:rsid w:val="06D27AF8"/>
    <w:rsid w:val="07076C01"/>
    <w:rsid w:val="071C12AC"/>
    <w:rsid w:val="07A934B3"/>
    <w:rsid w:val="07EB6287"/>
    <w:rsid w:val="07F3021C"/>
    <w:rsid w:val="0806421B"/>
    <w:rsid w:val="08352CB9"/>
    <w:rsid w:val="087A6217"/>
    <w:rsid w:val="0980799C"/>
    <w:rsid w:val="09944B8E"/>
    <w:rsid w:val="0A5E7254"/>
    <w:rsid w:val="0A6A18DB"/>
    <w:rsid w:val="0A975B48"/>
    <w:rsid w:val="0AEF3828"/>
    <w:rsid w:val="0B406381"/>
    <w:rsid w:val="0BB452AA"/>
    <w:rsid w:val="0BBB665B"/>
    <w:rsid w:val="0BE035F6"/>
    <w:rsid w:val="0D896A37"/>
    <w:rsid w:val="0D994DA8"/>
    <w:rsid w:val="0EEA6FC1"/>
    <w:rsid w:val="0F15081E"/>
    <w:rsid w:val="0F222B14"/>
    <w:rsid w:val="0F790928"/>
    <w:rsid w:val="0FB861EA"/>
    <w:rsid w:val="0FE97C61"/>
    <w:rsid w:val="101D78EE"/>
    <w:rsid w:val="107415C7"/>
    <w:rsid w:val="10CD72BB"/>
    <w:rsid w:val="11544A8B"/>
    <w:rsid w:val="12197477"/>
    <w:rsid w:val="12303925"/>
    <w:rsid w:val="12614612"/>
    <w:rsid w:val="12865734"/>
    <w:rsid w:val="12B36745"/>
    <w:rsid w:val="13074BBA"/>
    <w:rsid w:val="131B5CD3"/>
    <w:rsid w:val="13776448"/>
    <w:rsid w:val="138E640D"/>
    <w:rsid w:val="13C931F1"/>
    <w:rsid w:val="1466407E"/>
    <w:rsid w:val="14834E28"/>
    <w:rsid w:val="148E7D65"/>
    <w:rsid w:val="14C61826"/>
    <w:rsid w:val="14DC1EFB"/>
    <w:rsid w:val="15231BF9"/>
    <w:rsid w:val="15C4546D"/>
    <w:rsid w:val="17A15A10"/>
    <w:rsid w:val="17A54DB5"/>
    <w:rsid w:val="17DF549D"/>
    <w:rsid w:val="18495017"/>
    <w:rsid w:val="18BC4DD8"/>
    <w:rsid w:val="1A064976"/>
    <w:rsid w:val="1A3B68AA"/>
    <w:rsid w:val="1A3E1C1E"/>
    <w:rsid w:val="1A6F1E95"/>
    <w:rsid w:val="1A9667F0"/>
    <w:rsid w:val="1AF649F1"/>
    <w:rsid w:val="1B490893"/>
    <w:rsid w:val="1B6F4F40"/>
    <w:rsid w:val="1BF16D3F"/>
    <w:rsid w:val="1C141836"/>
    <w:rsid w:val="1C76537D"/>
    <w:rsid w:val="1CF7F1D6"/>
    <w:rsid w:val="1D81191A"/>
    <w:rsid w:val="1E5828D6"/>
    <w:rsid w:val="1E6B6A14"/>
    <w:rsid w:val="1EDC3DD5"/>
    <w:rsid w:val="1FFF5D37"/>
    <w:rsid w:val="20231FB8"/>
    <w:rsid w:val="20550D9A"/>
    <w:rsid w:val="20A010E9"/>
    <w:rsid w:val="21666AE4"/>
    <w:rsid w:val="218E2416"/>
    <w:rsid w:val="21D06385"/>
    <w:rsid w:val="220D77DF"/>
    <w:rsid w:val="22566289"/>
    <w:rsid w:val="226915FE"/>
    <w:rsid w:val="22754915"/>
    <w:rsid w:val="23706277"/>
    <w:rsid w:val="23EA6F1D"/>
    <w:rsid w:val="240979CA"/>
    <w:rsid w:val="241804A5"/>
    <w:rsid w:val="24402FDC"/>
    <w:rsid w:val="24431194"/>
    <w:rsid w:val="248D3813"/>
    <w:rsid w:val="24B97929"/>
    <w:rsid w:val="24D632D7"/>
    <w:rsid w:val="259642B5"/>
    <w:rsid w:val="25DE6F7A"/>
    <w:rsid w:val="25FF94AA"/>
    <w:rsid w:val="26015008"/>
    <w:rsid w:val="26171271"/>
    <w:rsid w:val="27BB7BF7"/>
    <w:rsid w:val="27D65DBA"/>
    <w:rsid w:val="2829057B"/>
    <w:rsid w:val="285F40CA"/>
    <w:rsid w:val="288775CB"/>
    <w:rsid w:val="289E1AF0"/>
    <w:rsid w:val="28AA3533"/>
    <w:rsid w:val="28C01ECB"/>
    <w:rsid w:val="29BF71E3"/>
    <w:rsid w:val="29D6387F"/>
    <w:rsid w:val="2A127B63"/>
    <w:rsid w:val="2A451A6C"/>
    <w:rsid w:val="2A6638B8"/>
    <w:rsid w:val="2A7228D5"/>
    <w:rsid w:val="2AAA4765"/>
    <w:rsid w:val="2AC21606"/>
    <w:rsid w:val="2B7E7608"/>
    <w:rsid w:val="2B7F04E9"/>
    <w:rsid w:val="2B8B554A"/>
    <w:rsid w:val="2D496D68"/>
    <w:rsid w:val="2E7520DE"/>
    <w:rsid w:val="2E7A48DE"/>
    <w:rsid w:val="2EBA5177"/>
    <w:rsid w:val="2ED817FE"/>
    <w:rsid w:val="2EDC3ED8"/>
    <w:rsid w:val="2EE63891"/>
    <w:rsid w:val="2F104B00"/>
    <w:rsid w:val="2F6351B4"/>
    <w:rsid w:val="2FC86126"/>
    <w:rsid w:val="2FCF199E"/>
    <w:rsid w:val="2FD85D2A"/>
    <w:rsid w:val="2FEC2642"/>
    <w:rsid w:val="30483E83"/>
    <w:rsid w:val="30575B32"/>
    <w:rsid w:val="307F2116"/>
    <w:rsid w:val="30BF3991"/>
    <w:rsid w:val="30F42C13"/>
    <w:rsid w:val="3111619A"/>
    <w:rsid w:val="319121DA"/>
    <w:rsid w:val="31B139DC"/>
    <w:rsid w:val="32497AF3"/>
    <w:rsid w:val="32FF6777"/>
    <w:rsid w:val="336A17D9"/>
    <w:rsid w:val="343C0775"/>
    <w:rsid w:val="3484139D"/>
    <w:rsid w:val="34A53FEB"/>
    <w:rsid w:val="34C3209B"/>
    <w:rsid w:val="350E245A"/>
    <w:rsid w:val="352D46A4"/>
    <w:rsid w:val="35444C60"/>
    <w:rsid w:val="356C50EC"/>
    <w:rsid w:val="356E45E1"/>
    <w:rsid w:val="3605393F"/>
    <w:rsid w:val="36137E45"/>
    <w:rsid w:val="36376E0A"/>
    <w:rsid w:val="36EF1367"/>
    <w:rsid w:val="3700166C"/>
    <w:rsid w:val="371C44B5"/>
    <w:rsid w:val="37710EDB"/>
    <w:rsid w:val="378F142A"/>
    <w:rsid w:val="379A1012"/>
    <w:rsid w:val="37F9D644"/>
    <w:rsid w:val="381C5653"/>
    <w:rsid w:val="38694EE9"/>
    <w:rsid w:val="38BC6353"/>
    <w:rsid w:val="3965603F"/>
    <w:rsid w:val="3A2B5A8A"/>
    <w:rsid w:val="3A6818FA"/>
    <w:rsid w:val="3A72247D"/>
    <w:rsid w:val="3A7C5988"/>
    <w:rsid w:val="3B183DE0"/>
    <w:rsid w:val="3B1B1274"/>
    <w:rsid w:val="3B365CC9"/>
    <w:rsid w:val="3B99655C"/>
    <w:rsid w:val="3B9A7B88"/>
    <w:rsid w:val="3C0836B2"/>
    <w:rsid w:val="3C1D10AF"/>
    <w:rsid w:val="3C6E7BB4"/>
    <w:rsid w:val="3CF834A5"/>
    <w:rsid w:val="3D2C7AC8"/>
    <w:rsid w:val="3D855D12"/>
    <w:rsid w:val="3D8B42FF"/>
    <w:rsid w:val="3DA41992"/>
    <w:rsid w:val="3DB02102"/>
    <w:rsid w:val="3DD50111"/>
    <w:rsid w:val="3DE86C4C"/>
    <w:rsid w:val="3DF36A6E"/>
    <w:rsid w:val="3DFD29A6"/>
    <w:rsid w:val="3EBA1EE9"/>
    <w:rsid w:val="3EFB21E2"/>
    <w:rsid w:val="3F583BD9"/>
    <w:rsid w:val="3F6C7DE3"/>
    <w:rsid w:val="3F792F1E"/>
    <w:rsid w:val="3F996157"/>
    <w:rsid w:val="405F34A4"/>
    <w:rsid w:val="40824826"/>
    <w:rsid w:val="40BD738B"/>
    <w:rsid w:val="40E63923"/>
    <w:rsid w:val="412479F7"/>
    <w:rsid w:val="41792E05"/>
    <w:rsid w:val="41D423E7"/>
    <w:rsid w:val="429F0E23"/>
    <w:rsid w:val="43565B58"/>
    <w:rsid w:val="43823C2B"/>
    <w:rsid w:val="43A91E5B"/>
    <w:rsid w:val="43C156DA"/>
    <w:rsid w:val="43F75112"/>
    <w:rsid w:val="449E0D39"/>
    <w:rsid w:val="44D10724"/>
    <w:rsid w:val="45E32B26"/>
    <w:rsid w:val="45E80675"/>
    <w:rsid w:val="46053FAF"/>
    <w:rsid w:val="4616016C"/>
    <w:rsid w:val="463A3650"/>
    <w:rsid w:val="46461627"/>
    <w:rsid w:val="469D6437"/>
    <w:rsid w:val="469F0116"/>
    <w:rsid w:val="472D6ECA"/>
    <w:rsid w:val="475259B7"/>
    <w:rsid w:val="475C0B72"/>
    <w:rsid w:val="47B565FD"/>
    <w:rsid w:val="48305662"/>
    <w:rsid w:val="4864791A"/>
    <w:rsid w:val="488302AE"/>
    <w:rsid w:val="48831CF9"/>
    <w:rsid w:val="49024C9C"/>
    <w:rsid w:val="49720D54"/>
    <w:rsid w:val="49B1408D"/>
    <w:rsid w:val="4A4863E2"/>
    <w:rsid w:val="4A7D4FD2"/>
    <w:rsid w:val="4A913C9A"/>
    <w:rsid w:val="4B1F70AC"/>
    <w:rsid w:val="4B240F94"/>
    <w:rsid w:val="4BE87E41"/>
    <w:rsid w:val="4C0832E5"/>
    <w:rsid w:val="4C3C565C"/>
    <w:rsid w:val="4C644396"/>
    <w:rsid w:val="4C727F34"/>
    <w:rsid w:val="4CCC79C7"/>
    <w:rsid w:val="4D27426E"/>
    <w:rsid w:val="4D7555C7"/>
    <w:rsid w:val="4DAE39CA"/>
    <w:rsid w:val="4EAB1B4F"/>
    <w:rsid w:val="4EAE6DA0"/>
    <w:rsid w:val="4EC34D07"/>
    <w:rsid w:val="4F422DBB"/>
    <w:rsid w:val="4F493C9D"/>
    <w:rsid w:val="4F9F296A"/>
    <w:rsid w:val="4FA7250F"/>
    <w:rsid w:val="4FE617D9"/>
    <w:rsid w:val="5016514B"/>
    <w:rsid w:val="503E1327"/>
    <w:rsid w:val="507021AC"/>
    <w:rsid w:val="50854F5A"/>
    <w:rsid w:val="50BD4DF3"/>
    <w:rsid w:val="50FC1A26"/>
    <w:rsid w:val="51066180"/>
    <w:rsid w:val="51723664"/>
    <w:rsid w:val="51AA5311"/>
    <w:rsid w:val="51C63383"/>
    <w:rsid w:val="51CB1C78"/>
    <w:rsid w:val="51FD6A51"/>
    <w:rsid w:val="526B680A"/>
    <w:rsid w:val="52836F71"/>
    <w:rsid w:val="52D26B02"/>
    <w:rsid w:val="52EB4176"/>
    <w:rsid w:val="533A0528"/>
    <w:rsid w:val="53462E30"/>
    <w:rsid w:val="541A5D30"/>
    <w:rsid w:val="54510997"/>
    <w:rsid w:val="54E22C26"/>
    <w:rsid w:val="54ED6B52"/>
    <w:rsid w:val="54FA6A32"/>
    <w:rsid w:val="552F56E3"/>
    <w:rsid w:val="55581E8F"/>
    <w:rsid w:val="55C1559C"/>
    <w:rsid w:val="55E012E9"/>
    <w:rsid w:val="55F068CD"/>
    <w:rsid w:val="566C3136"/>
    <w:rsid w:val="568D04F2"/>
    <w:rsid w:val="57387E14"/>
    <w:rsid w:val="58D00315"/>
    <w:rsid w:val="59AE7E78"/>
    <w:rsid w:val="5A526582"/>
    <w:rsid w:val="5A5F5C77"/>
    <w:rsid w:val="5A711A0D"/>
    <w:rsid w:val="5A7725B2"/>
    <w:rsid w:val="5B1613E4"/>
    <w:rsid w:val="5B4812AC"/>
    <w:rsid w:val="5B78003B"/>
    <w:rsid w:val="5BAA0A31"/>
    <w:rsid w:val="5BC11A60"/>
    <w:rsid w:val="5BCF1086"/>
    <w:rsid w:val="5BE332E9"/>
    <w:rsid w:val="5C335AB8"/>
    <w:rsid w:val="5C7A4D54"/>
    <w:rsid w:val="5CD23B73"/>
    <w:rsid w:val="5E6006BB"/>
    <w:rsid w:val="5F127819"/>
    <w:rsid w:val="60350ED3"/>
    <w:rsid w:val="60B72AEE"/>
    <w:rsid w:val="61025188"/>
    <w:rsid w:val="61057D5F"/>
    <w:rsid w:val="614D4977"/>
    <w:rsid w:val="618476F8"/>
    <w:rsid w:val="619F42C1"/>
    <w:rsid w:val="62962EAC"/>
    <w:rsid w:val="63C60FC0"/>
    <w:rsid w:val="63F63141"/>
    <w:rsid w:val="647B32BF"/>
    <w:rsid w:val="64BA3D7A"/>
    <w:rsid w:val="64F179BC"/>
    <w:rsid w:val="65103067"/>
    <w:rsid w:val="665704D3"/>
    <w:rsid w:val="67C065A4"/>
    <w:rsid w:val="67D359C9"/>
    <w:rsid w:val="67D4673A"/>
    <w:rsid w:val="68042537"/>
    <w:rsid w:val="681E586F"/>
    <w:rsid w:val="68EC2998"/>
    <w:rsid w:val="68EC771B"/>
    <w:rsid w:val="68FE36DD"/>
    <w:rsid w:val="692B1C78"/>
    <w:rsid w:val="694E60FC"/>
    <w:rsid w:val="69BA5584"/>
    <w:rsid w:val="69BD2E65"/>
    <w:rsid w:val="6A256904"/>
    <w:rsid w:val="6A3D6BF1"/>
    <w:rsid w:val="6A9B71CC"/>
    <w:rsid w:val="6AD466B8"/>
    <w:rsid w:val="6B656832"/>
    <w:rsid w:val="6BA71B66"/>
    <w:rsid w:val="6C381E28"/>
    <w:rsid w:val="6C675CE6"/>
    <w:rsid w:val="6D4F4321"/>
    <w:rsid w:val="6DBF16AB"/>
    <w:rsid w:val="6DF41B82"/>
    <w:rsid w:val="6DFF7360"/>
    <w:rsid w:val="6E760A46"/>
    <w:rsid w:val="6E7A5F73"/>
    <w:rsid w:val="6ED924EF"/>
    <w:rsid w:val="6EE57194"/>
    <w:rsid w:val="6EE90F9D"/>
    <w:rsid w:val="6F261557"/>
    <w:rsid w:val="6F632DD2"/>
    <w:rsid w:val="6F934915"/>
    <w:rsid w:val="6FD74228"/>
    <w:rsid w:val="6FFDD63C"/>
    <w:rsid w:val="7021106F"/>
    <w:rsid w:val="706A6C3B"/>
    <w:rsid w:val="71633091"/>
    <w:rsid w:val="71705FB1"/>
    <w:rsid w:val="71D60972"/>
    <w:rsid w:val="728F632B"/>
    <w:rsid w:val="73003647"/>
    <w:rsid w:val="73081CA5"/>
    <w:rsid w:val="735155ED"/>
    <w:rsid w:val="736514BB"/>
    <w:rsid w:val="736E5BDF"/>
    <w:rsid w:val="73941822"/>
    <w:rsid w:val="73FF32E4"/>
    <w:rsid w:val="74201F7D"/>
    <w:rsid w:val="7487762D"/>
    <w:rsid w:val="74C33AA4"/>
    <w:rsid w:val="75210D7A"/>
    <w:rsid w:val="75232716"/>
    <w:rsid w:val="75385498"/>
    <w:rsid w:val="755747C3"/>
    <w:rsid w:val="75F37776"/>
    <w:rsid w:val="76150FE8"/>
    <w:rsid w:val="767F07CA"/>
    <w:rsid w:val="768071FE"/>
    <w:rsid w:val="76BC207F"/>
    <w:rsid w:val="76EB4904"/>
    <w:rsid w:val="77057F48"/>
    <w:rsid w:val="77092289"/>
    <w:rsid w:val="774F723E"/>
    <w:rsid w:val="77645DCD"/>
    <w:rsid w:val="777378F5"/>
    <w:rsid w:val="777A2D3C"/>
    <w:rsid w:val="77B8123D"/>
    <w:rsid w:val="77BAAD21"/>
    <w:rsid w:val="77F722D3"/>
    <w:rsid w:val="78596B30"/>
    <w:rsid w:val="78F072FB"/>
    <w:rsid w:val="78F13953"/>
    <w:rsid w:val="79074B81"/>
    <w:rsid w:val="794F0939"/>
    <w:rsid w:val="79AF0FCA"/>
    <w:rsid w:val="7A49220D"/>
    <w:rsid w:val="7A63380E"/>
    <w:rsid w:val="7AC75C17"/>
    <w:rsid w:val="7AEE7323"/>
    <w:rsid w:val="7AF9279C"/>
    <w:rsid w:val="7BB0210B"/>
    <w:rsid w:val="7BBD0CCF"/>
    <w:rsid w:val="7BE820AF"/>
    <w:rsid w:val="7CB42429"/>
    <w:rsid w:val="7CC51958"/>
    <w:rsid w:val="7CC6647D"/>
    <w:rsid w:val="7CD53DF9"/>
    <w:rsid w:val="7CF87F76"/>
    <w:rsid w:val="7CFF0898"/>
    <w:rsid w:val="7D097C86"/>
    <w:rsid w:val="7E2936C3"/>
    <w:rsid w:val="7E3420E2"/>
    <w:rsid w:val="7E6411B9"/>
    <w:rsid w:val="7E7E568F"/>
    <w:rsid w:val="7E9D4019"/>
    <w:rsid w:val="7EAA7A04"/>
    <w:rsid w:val="7EB97C47"/>
    <w:rsid w:val="7F0D4DC1"/>
    <w:rsid w:val="7F7407D0"/>
    <w:rsid w:val="7FDF9309"/>
    <w:rsid w:val="7FF653F2"/>
    <w:rsid w:val="7FFD6341"/>
    <w:rsid w:val="8EFBC6A5"/>
    <w:rsid w:val="8F6C4661"/>
    <w:rsid w:val="B96F7EC5"/>
    <w:rsid w:val="BF7B14B2"/>
    <w:rsid w:val="DC9E6B27"/>
    <w:rsid w:val="EFBF32AF"/>
    <w:rsid w:val="FBCF6924"/>
    <w:rsid w:val="FCE72932"/>
    <w:rsid w:val="FE3FD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3"/>
    <w:link w:val="66"/>
    <w:autoRedefine/>
    <w:qFormat/>
    <w:uiPriority w:val="9"/>
    <w:pPr>
      <w:keepNext/>
      <w:keepLines/>
      <w:spacing w:before="340" w:after="330" w:line="578" w:lineRule="auto"/>
      <w:outlineLvl w:val="0"/>
    </w:pPr>
    <w:rPr>
      <w:b/>
      <w:bCs/>
      <w:kern w:val="44"/>
      <w:sz w:val="44"/>
      <w:szCs w:val="44"/>
    </w:rPr>
  </w:style>
  <w:style w:type="paragraph" w:styleId="4">
    <w:name w:val="heading 2"/>
    <w:basedOn w:val="2"/>
    <w:next w:val="1"/>
    <w:autoRedefine/>
    <w:qFormat/>
    <w:uiPriority w:val="0"/>
    <w:pPr>
      <w:keepNext/>
      <w:keepLines/>
      <w:spacing w:before="260" w:after="260" w:line="415" w:lineRule="auto"/>
      <w:outlineLvl w:val="1"/>
    </w:pPr>
    <w:rPr>
      <w:rFonts w:ascii="Arial" w:hAnsi="Arial" w:eastAsia="黑体" w:cs="Arial"/>
      <w:sz w:val="32"/>
      <w:szCs w:val="32"/>
    </w:rPr>
  </w:style>
  <w:style w:type="paragraph" w:styleId="5">
    <w:name w:val="heading 3"/>
    <w:basedOn w:val="1"/>
    <w:next w:val="1"/>
    <w:link w:val="68"/>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3"/>
    <w:autoRedefine/>
    <w:qFormat/>
    <w:uiPriority w:val="0"/>
    <w:pPr>
      <w:keepNext/>
      <w:keepLines/>
      <w:spacing w:before="280" w:after="290" w:line="376" w:lineRule="auto"/>
      <w:outlineLvl w:val="3"/>
    </w:pPr>
    <w:rPr>
      <w:b/>
      <w:bCs/>
      <w:sz w:val="28"/>
      <w:szCs w:val="28"/>
    </w:rPr>
  </w:style>
  <w:style w:type="paragraph" w:styleId="7">
    <w:name w:val="heading 5"/>
    <w:next w:val="1"/>
    <w:unhideWhenUsed/>
    <w:qFormat/>
    <w:uiPriority w:val="9"/>
    <w:pPr>
      <w:numPr>
        <w:ilvl w:val="4"/>
        <w:numId w:val="1"/>
      </w:numPr>
      <w:spacing w:line="360" w:lineRule="auto"/>
      <w:jc w:val="both"/>
      <w:outlineLvl w:val="4"/>
    </w:pPr>
    <w:rPr>
      <w:rFonts w:ascii="新宋体" w:hAnsi="新宋体" w:eastAsia="宋体" w:cstheme="minorBidi"/>
      <w:b/>
      <w:kern w:val="2"/>
      <w:sz w:val="28"/>
      <w:szCs w:val="21"/>
      <w:lang w:val="en-US" w:eastAsia="zh-CN" w:bidi="ar-SA"/>
    </w:rPr>
  </w:style>
  <w:style w:type="paragraph" w:styleId="8">
    <w:name w:val="heading 6"/>
    <w:basedOn w:val="1"/>
    <w:next w:val="1"/>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autoRedefine/>
    <w:semiHidden/>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3">
    <w:name w:val="No Spacing"/>
    <w:autoRedefine/>
    <w:qFormat/>
    <w:uiPriority w:val="1"/>
    <w:pPr>
      <w:ind w:firstLine="454"/>
      <w:jc w:val="both"/>
    </w:pPr>
    <w:rPr>
      <w:rFonts w:ascii="新宋体" w:hAnsi="新宋体" w:eastAsia="宋体" w:cstheme="minorBidi"/>
      <w:kern w:val="2"/>
      <w:sz w:val="24"/>
      <w:szCs w:val="22"/>
      <w:lang w:val="en-US" w:eastAsia="zh-CN" w:bidi="ar-SA"/>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Document Map"/>
    <w:basedOn w:val="1"/>
    <w:next w:val="1"/>
    <w:autoRedefine/>
    <w:qFormat/>
    <w:uiPriority w:val="0"/>
    <w:rPr>
      <w:rFonts w:ascii="宋体" w:hAnsi="Times New Roman" w:eastAsia="宋体" w:cs="Times New Roman"/>
      <w:sz w:val="18"/>
      <w:szCs w:val="18"/>
    </w:rPr>
  </w:style>
  <w:style w:type="paragraph" w:styleId="12">
    <w:name w:val="annotation text"/>
    <w:basedOn w:val="1"/>
    <w:link w:val="65"/>
    <w:autoRedefine/>
    <w:qFormat/>
    <w:uiPriority w:val="0"/>
    <w:pPr>
      <w:jc w:val="left"/>
    </w:pPr>
    <w:rPr>
      <w:rFonts w:ascii="Arial" w:hAnsi="Arial" w:eastAsia="黑体" w:cs="Arial"/>
    </w:rPr>
  </w:style>
  <w:style w:type="paragraph" w:styleId="13">
    <w:name w:val="Body Text"/>
    <w:basedOn w:val="1"/>
    <w:autoRedefine/>
    <w:qFormat/>
    <w:uiPriority w:val="0"/>
    <w:pPr>
      <w:spacing w:after="120"/>
    </w:pPr>
    <w:rPr>
      <w:rFonts w:ascii="@微软简标宋" w:hAnsi="@微软简标宋" w:eastAsia="@微软简标宋" w:cs="@微软简标宋"/>
      <w:szCs w:val="24"/>
      <w:lang w:val="zh-CN"/>
    </w:rPr>
  </w:style>
  <w:style w:type="paragraph" w:styleId="14">
    <w:name w:val="Body Text Indent"/>
    <w:basedOn w:val="1"/>
    <w:next w:val="15"/>
    <w:autoRedefine/>
    <w:qFormat/>
    <w:uiPriority w:val="0"/>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55"/>
    <w:autoRedefine/>
    <w:qFormat/>
    <w:uiPriority w:val="99"/>
    <w:rPr>
      <w:rFonts w:ascii="宋体" w:hAnsi="Courier New" w:eastAsiaTheme="minorEastAsia" w:cstheme="minorBidi"/>
      <w:szCs w:val="22"/>
    </w:rPr>
  </w:style>
  <w:style w:type="paragraph" w:styleId="18">
    <w:name w:val="Date"/>
    <w:basedOn w:val="1"/>
    <w:next w:val="1"/>
    <w:link w:val="62"/>
    <w:autoRedefine/>
    <w:qFormat/>
    <w:uiPriority w:val="0"/>
    <w:rPr>
      <w:rFonts w:ascii="Arial" w:hAnsi="Arial" w:eastAsia="宋体" w:cs="Arial"/>
      <w:b/>
      <w:sz w:val="28"/>
    </w:rPr>
  </w:style>
  <w:style w:type="paragraph" w:styleId="19">
    <w:name w:val="Balloon Text"/>
    <w:basedOn w:val="1"/>
    <w:link w:val="49"/>
    <w:autoRedefine/>
    <w:semiHidden/>
    <w:unhideWhenUsed/>
    <w:qFormat/>
    <w:uiPriority w:val="99"/>
    <w:rPr>
      <w:sz w:val="18"/>
      <w:szCs w:val="18"/>
    </w:rPr>
  </w:style>
  <w:style w:type="paragraph" w:styleId="20">
    <w:name w:val="footer"/>
    <w:basedOn w:val="1"/>
    <w:link w:val="54"/>
    <w:autoRedefine/>
    <w:unhideWhenUsed/>
    <w:qFormat/>
    <w:uiPriority w:val="99"/>
    <w:pPr>
      <w:tabs>
        <w:tab w:val="center" w:pos="4153"/>
        <w:tab w:val="right" w:pos="8306"/>
      </w:tabs>
      <w:snapToGrid w:val="0"/>
      <w:jc w:val="left"/>
    </w:pPr>
    <w:rPr>
      <w:sz w:val="18"/>
      <w:szCs w:val="18"/>
    </w:rPr>
  </w:style>
  <w:style w:type="paragraph" w:styleId="21">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List"/>
    <w:basedOn w:val="1"/>
    <w:next w:val="1"/>
    <w:qFormat/>
    <w:uiPriority w:val="0"/>
    <w:pPr>
      <w:ind w:left="420" w:hanging="420"/>
    </w:pPr>
    <w:rPr>
      <w:rFonts w:ascii="Arial" w:hAnsi="Arial" w:eastAsia="楷体_GB2312"/>
      <w:sz w:val="28"/>
    </w:rPr>
  </w:style>
  <w:style w:type="paragraph" w:styleId="24">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5">
    <w:name w:val="Body Text 2"/>
    <w:basedOn w:val="1"/>
    <w:semiHidden/>
    <w:unhideWhenUsed/>
    <w:qFormat/>
    <w:uiPriority w:val="99"/>
    <w:pPr>
      <w:spacing w:after="120" w:line="480" w:lineRule="auto"/>
    </w:pPr>
  </w:style>
  <w:style w:type="paragraph" w:styleId="26">
    <w:name w:val="Normal (Web)"/>
    <w:basedOn w:val="1"/>
    <w:autoRedefine/>
    <w:qFormat/>
    <w:uiPriority w:val="0"/>
    <w:pPr>
      <w:spacing w:before="100" w:beforeAutospacing="1" w:after="100" w:afterAutospacing="1"/>
      <w:jc w:val="left"/>
    </w:pPr>
    <w:rPr>
      <w:rFonts w:cs="Times New Roman"/>
      <w:kern w:val="0"/>
      <w:sz w:val="24"/>
    </w:rPr>
  </w:style>
  <w:style w:type="paragraph" w:styleId="27">
    <w:name w:val="index 1"/>
    <w:basedOn w:val="1"/>
    <w:next w:val="1"/>
    <w:autoRedefine/>
    <w:qFormat/>
    <w:uiPriority w:val="0"/>
    <w:pPr>
      <w:jc w:val="center"/>
    </w:pPr>
    <w:rPr>
      <w:rFonts w:ascii="Arial" w:hAnsi="Arial" w:eastAsia="Arial" w:cs="Arial"/>
      <w:b/>
      <w:bCs/>
      <w:sz w:val="28"/>
    </w:rPr>
  </w:style>
  <w:style w:type="paragraph" w:styleId="28">
    <w:name w:val="annotation subject"/>
    <w:basedOn w:val="12"/>
    <w:next w:val="12"/>
    <w:link w:val="76"/>
    <w:autoRedefine/>
    <w:semiHidden/>
    <w:unhideWhenUsed/>
    <w:qFormat/>
    <w:uiPriority w:val="99"/>
    <w:rPr>
      <w:rFonts w:ascii="@仿宋_GB2312" w:hAnsi="@仿宋_GB2312" w:eastAsia="@仿宋_GB2312" w:cs="@仿宋_GB2312"/>
      <w:b/>
      <w:bCs/>
    </w:rPr>
  </w:style>
  <w:style w:type="paragraph" w:styleId="29">
    <w:name w:val="Body Text First Indent"/>
    <w:basedOn w:val="13"/>
    <w:autoRedefine/>
    <w:unhideWhenUsed/>
    <w:qFormat/>
    <w:uiPriority w:val="99"/>
    <w:pPr>
      <w:ind w:firstLine="420" w:firstLineChars="100"/>
    </w:pPr>
  </w:style>
  <w:style w:type="paragraph" w:styleId="30">
    <w:name w:val="Body Text First Indent 2"/>
    <w:basedOn w:val="14"/>
    <w:next w:val="23"/>
    <w:autoRedefine/>
    <w:semiHidden/>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table" w:styleId="32">
    <w:name w:val="Table Grid"/>
    <w:basedOn w:val="3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FollowedHyperlink"/>
    <w:basedOn w:val="33"/>
    <w:semiHidden/>
    <w:unhideWhenUsed/>
    <w:qFormat/>
    <w:uiPriority w:val="99"/>
    <w:rPr>
      <w:color w:val="5C5C5C"/>
      <w:u w:val="none"/>
    </w:rPr>
  </w:style>
  <w:style w:type="character" w:styleId="36">
    <w:name w:val="Emphasis"/>
    <w:basedOn w:val="33"/>
    <w:qFormat/>
    <w:uiPriority w:val="20"/>
    <w:rPr>
      <w:b/>
      <w:bCs/>
    </w:rPr>
  </w:style>
  <w:style w:type="character" w:styleId="37">
    <w:name w:val="HTML Definition"/>
    <w:basedOn w:val="33"/>
    <w:semiHidden/>
    <w:unhideWhenUsed/>
    <w:qFormat/>
    <w:uiPriority w:val="99"/>
  </w:style>
  <w:style w:type="character" w:styleId="38">
    <w:name w:val="HTML Typewriter"/>
    <w:basedOn w:val="33"/>
    <w:semiHidden/>
    <w:unhideWhenUsed/>
    <w:qFormat/>
    <w:uiPriority w:val="99"/>
    <w:rPr>
      <w:rFonts w:hint="default" w:ascii="monospace" w:hAnsi="monospace" w:eastAsia="monospace" w:cs="monospace"/>
      <w:sz w:val="20"/>
    </w:rPr>
  </w:style>
  <w:style w:type="character" w:styleId="39">
    <w:name w:val="HTML Acronym"/>
    <w:basedOn w:val="33"/>
    <w:semiHidden/>
    <w:unhideWhenUsed/>
    <w:qFormat/>
    <w:uiPriority w:val="99"/>
  </w:style>
  <w:style w:type="character" w:styleId="40">
    <w:name w:val="HTML Variable"/>
    <w:basedOn w:val="33"/>
    <w:semiHidden/>
    <w:unhideWhenUsed/>
    <w:qFormat/>
    <w:uiPriority w:val="99"/>
  </w:style>
  <w:style w:type="character" w:styleId="41">
    <w:name w:val="Hyperlink"/>
    <w:basedOn w:val="33"/>
    <w:autoRedefine/>
    <w:unhideWhenUsed/>
    <w:qFormat/>
    <w:uiPriority w:val="99"/>
    <w:rPr>
      <w:color w:val="0000FF" w:themeColor="hyperlink"/>
      <w:u w:val="single"/>
      <w14:textFill>
        <w14:solidFill>
          <w14:schemeClr w14:val="hlink"/>
        </w14:solidFill>
      </w14:textFill>
    </w:rPr>
  </w:style>
  <w:style w:type="character" w:styleId="42">
    <w:name w:val="HTML Code"/>
    <w:basedOn w:val="33"/>
    <w:semiHidden/>
    <w:unhideWhenUsed/>
    <w:qFormat/>
    <w:uiPriority w:val="99"/>
    <w:rPr>
      <w:rFonts w:ascii="monospace" w:hAnsi="monospace" w:eastAsia="monospace" w:cs="monospace"/>
      <w:sz w:val="20"/>
    </w:rPr>
  </w:style>
  <w:style w:type="character" w:styleId="43">
    <w:name w:val="annotation reference"/>
    <w:basedOn w:val="33"/>
    <w:autoRedefine/>
    <w:semiHidden/>
    <w:unhideWhenUsed/>
    <w:qFormat/>
    <w:uiPriority w:val="99"/>
    <w:rPr>
      <w:sz w:val="21"/>
      <w:szCs w:val="21"/>
    </w:rPr>
  </w:style>
  <w:style w:type="character" w:styleId="44">
    <w:name w:val="HTML Cite"/>
    <w:basedOn w:val="33"/>
    <w:semiHidden/>
    <w:unhideWhenUsed/>
    <w:qFormat/>
    <w:uiPriority w:val="99"/>
  </w:style>
  <w:style w:type="character" w:styleId="45">
    <w:name w:val="HTML Keyboard"/>
    <w:basedOn w:val="33"/>
    <w:semiHidden/>
    <w:unhideWhenUsed/>
    <w:qFormat/>
    <w:uiPriority w:val="99"/>
    <w:rPr>
      <w:rFonts w:hint="default" w:ascii="monospace" w:hAnsi="monospace" w:eastAsia="monospace" w:cs="monospace"/>
      <w:sz w:val="20"/>
    </w:rPr>
  </w:style>
  <w:style w:type="character" w:styleId="46">
    <w:name w:val="HTML Sample"/>
    <w:basedOn w:val="33"/>
    <w:semiHidden/>
    <w:unhideWhenUsed/>
    <w:qFormat/>
    <w:uiPriority w:val="99"/>
    <w:rPr>
      <w:rFonts w:hint="default" w:ascii="monospace" w:hAnsi="monospace" w:eastAsia="monospace" w:cs="monospace"/>
    </w:rPr>
  </w:style>
  <w:style w:type="paragraph" w:customStyle="1" w:styleId="47">
    <w:name w:val="正文 New"/>
    <w:next w:val="48"/>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48">
    <w:name w:val="正文缩进1"/>
    <w:basedOn w:val="1"/>
    <w:next w:val="11"/>
    <w:autoRedefine/>
    <w:qFormat/>
    <w:uiPriority w:val="0"/>
    <w:pPr>
      <w:widowControl w:val="0"/>
      <w:autoSpaceDE/>
      <w:autoSpaceDN/>
      <w:spacing w:before="0" w:after="0" w:line="360" w:lineRule="atLeast"/>
      <w:ind w:left="0" w:firstLine="482"/>
      <w:jc w:val="both"/>
    </w:pPr>
    <w:rPr>
      <w:rFonts w:ascii="Times New Roman" w:eastAsia="宋体"/>
      <w:sz w:val="24"/>
    </w:rPr>
  </w:style>
  <w:style w:type="character" w:customStyle="1" w:styleId="49">
    <w:name w:val="批注框文本 Char"/>
    <w:basedOn w:val="33"/>
    <w:link w:val="19"/>
    <w:autoRedefine/>
    <w:semiHidden/>
    <w:qFormat/>
    <w:uiPriority w:val="99"/>
    <w:rPr>
      <w:rFonts w:ascii="@仿宋_GB2312" w:hAnsi="@仿宋_GB2312" w:eastAsia="@仿宋_GB2312" w:cs="@仿宋_GB2312"/>
      <w:sz w:val="18"/>
      <w:szCs w:val="18"/>
    </w:rPr>
  </w:style>
  <w:style w:type="paragraph" w:customStyle="1" w:styleId="5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5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52">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3">
    <w:name w:val="页眉 Char"/>
    <w:basedOn w:val="33"/>
    <w:link w:val="21"/>
    <w:autoRedefine/>
    <w:qFormat/>
    <w:uiPriority w:val="99"/>
    <w:rPr>
      <w:rFonts w:ascii="@仿宋_GB2312" w:hAnsi="@仿宋_GB2312" w:eastAsia="@仿宋_GB2312" w:cs="@仿宋_GB2312"/>
      <w:sz w:val="18"/>
      <w:szCs w:val="18"/>
    </w:rPr>
  </w:style>
  <w:style w:type="character" w:customStyle="1" w:styleId="54">
    <w:name w:val="页脚 Char"/>
    <w:basedOn w:val="33"/>
    <w:link w:val="20"/>
    <w:autoRedefine/>
    <w:qFormat/>
    <w:uiPriority w:val="99"/>
    <w:rPr>
      <w:rFonts w:ascii="@仿宋_GB2312" w:hAnsi="@仿宋_GB2312" w:eastAsia="@仿宋_GB2312" w:cs="@仿宋_GB2312"/>
      <w:sz w:val="18"/>
      <w:szCs w:val="18"/>
    </w:rPr>
  </w:style>
  <w:style w:type="character" w:customStyle="1" w:styleId="55">
    <w:name w:val="纯文本 Char"/>
    <w:link w:val="17"/>
    <w:autoRedefine/>
    <w:qFormat/>
    <w:uiPriority w:val="0"/>
    <w:rPr>
      <w:rFonts w:ascii="宋体" w:hAnsi="Courier New"/>
    </w:rPr>
  </w:style>
  <w:style w:type="character" w:customStyle="1" w:styleId="56">
    <w:name w:val="纯文本 字符1"/>
    <w:basedOn w:val="33"/>
    <w:autoRedefine/>
    <w:semiHidden/>
    <w:qFormat/>
    <w:uiPriority w:val="99"/>
    <w:rPr>
      <w:rFonts w:hAnsi="Courier New" w:cs="Courier New" w:asciiTheme="minorEastAsia"/>
      <w:szCs w:val="20"/>
    </w:rPr>
  </w:style>
  <w:style w:type="character" w:customStyle="1" w:styleId="57">
    <w:name w:val="未处理的提及1"/>
    <w:basedOn w:val="33"/>
    <w:autoRedefine/>
    <w:semiHidden/>
    <w:unhideWhenUsed/>
    <w:qFormat/>
    <w:uiPriority w:val="99"/>
    <w:rPr>
      <w:color w:val="605E5C"/>
      <w:shd w:val="clear" w:color="auto" w:fill="E1DFDD"/>
    </w:rPr>
  </w:style>
  <w:style w:type="paragraph" w:styleId="58">
    <w:name w:val="List Paragraph"/>
    <w:basedOn w:val="1"/>
    <w:autoRedefine/>
    <w:qFormat/>
    <w:uiPriority w:val="34"/>
    <w:pPr>
      <w:ind w:firstLine="420" w:firstLineChars="200"/>
    </w:pPr>
  </w:style>
  <w:style w:type="paragraph" w:customStyle="1" w:styleId="59">
    <w:name w:val="Char Char Char Char Char Char Char1 Char"/>
    <w:basedOn w:val="1"/>
    <w:autoRedefine/>
    <w:qFormat/>
    <w:uiPriority w:val="0"/>
    <w:rPr>
      <w:rFonts w:ascii="Arial" w:hAnsi="Arial" w:eastAsia="宋体" w:cs="Arial"/>
      <w:sz w:val="24"/>
    </w:rPr>
  </w:style>
  <w:style w:type="table" w:customStyle="1" w:styleId="60">
    <w:name w:val="网格表 1 浅色1"/>
    <w:basedOn w:val="3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1">
    <w:name w:val="日期 字符"/>
    <w:basedOn w:val="33"/>
    <w:autoRedefine/>
    <w:semiHidden/>
    <w:qFormat/>
    <w:uiPriority w:val="99"/>
    <w:rPr>
      <w:rFonts w:ascii="@仿宋_GB2312" w:hAnsi="@仿宋_GB2312" w:eastAsia="@仿宋_GB2312" w:cs="@仿宋_GB2312"/>
      <w:szCs w:val="20"/>
    </w:rPr>
  </w:style>
  <w:style w:type="character" w:customStyle="1" w:styleId="62">
    <w:name w:val="日期 Char"/>
    <w:link w:val="18"/>
    <w:autoRedefine/>
    <w:qFormat/>
    <w:uiPriority w:val="0"/>
    <w:rPr>
      <w:rFonts w:ascii="Arial" w:hAnsi="Arial" w:eastAsia="宋体" w:cs="Arial"/>
      <w:b/>
      <w:sz w:val="28"/>
      <w:szCs w:val="20"/>
    </w:rPr>
  </w:style>
  <w:style w:type="character" w:customStyle="1" w:styleId="63">
    <w:name w:val="纯文本 Char1"/>
    <w:autoRedefine/>
    <w:qFormat/>
    <w:locked/>
    <w:uiPriority w:val="99"/>
    <w:rPr>
      <w:rFonts w:ascii="Arial" w:hAnsi="Arial" w:eastAsia="Arial"/>
      <w:kern w:val="2"/>
      <w:sz w:val="21"/>
      <w:lang w:val="en-US" w:eastAsia="zh-CN" w:bidi="ar-SA"/>
    </w:rPr>
  </w:style>
  <w:style w:type="character" w:customStyle="1" w:styleId="64">
    <w:name w:val="批注文字 Char"/>
    <w:basedOn w:val="33"/>
    <w:autoRedefine/>
    <w:semiHidden/>
    <w:qFormat/>
    <w:uiPriority w:val="99"/>
    <w:rPr>
      <w:rFonts w:ascii="@仿宋_GB2312" w:hAnsi="@仿宋_GB2312" w:eastAsia="@仿宋_GB2312" w:cs="@仿宋_GB2312"/>
      <w:szCs w:val="20"/>
    </w:rPr>
  </w:style>
  <w:style w:type="character" w:customStyle="1" w:styleId="65">
    <w:name w:val="批注文字 Char1"/>
    <w:link w:val="12"/>
    <w:autoRedefine/>
    <w:qFormat/>
    <w:uiPriority w:val="0"/>
    <w:rPr>
      <w:rFonts w:ascii="Arial" w:hAnsi="Arial" w:eastAsia="黑体" w:cs="Arial"/>
      <w:szCs w:val="20"/>
    </w:rPr>
  </w:style>
  <w:style w:type="character" w:customStyle="1" w:styleId="66">
    <w:name w:val="标题 1 Char"/>
    <w:basedOn w:val="33"/>
    <w:link w:val="2"/>
    <w:autoRedefine/>
    <w:qFormat/>
    <w:uiPriority w:val="9"/>
    <w:rPr>
      <w:rFonts w:ascii="@仿宋_GB2312" w:hAnsi="@仿宋_GB2312" w:eastAsia="@仿宋_GB2312" w:cs="@仿宋_GB2312"/>
      <w:b/>
      <w:bCs/>
      <w:kern w:val="44"/>
      <w:sz w:val="44"/>
      <w:szCs w:val="44"/>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8">
    <w:name w:val="标题 3 Char"/>
    <w:basedOn w:val="33"/>
    <w:link w:val="5"/>
    <w:autoRedefine/>
    <w:semiHidden/>
    <w:qFormat/>
    <w:uiPriority w:val="9"/>
    <w:rPr>
      <w:rFonts w:ascii="@仿宋_GB2312" w:hAnsi="@仿宋_GB2312" w:eastAsia="@仿宋_GB2312" w:cs="@仿宋_GB2312"/>
      <w:b/>
      <w:bCs/>
      <w:sz w:val="32"/>
      <w:szCs w:val="32"/>
    </w:rPr>
  </w:style>
  <w:style w:type="character" w:customStyle="1" w:styleId="69">
    <w:name w:val="fontstyle01"/>
    <w:basedOn w:val="33"/>
    <w:autoRedefine/>
    <w:qFormat/>
    <w:uiPriority w:val="0"/>
    <w:rPr>
      <w:rFonts w:hint="eastAsia" w:ascii="宋体" w:hAnsi="宋体" w:eastAsia="宋体"/>
      <w:color w:val="000000"/>
      <w:sz w:val="22"/>
      <w:szCs w:val="22"/>
    </w:rPr>
  </w:style>
  <w:style w:type="character" w:customStyle="1" w:styleId="70">
    <w:name w:val="fontstyle21"/>
    <w:basedOn w:val="33"/>
    <w:autoRedefine/>
    <w:qFormat/>
    <w:uiPriority w:val="0"/>
    <w:rPr>
      <w:rFonts w:hint="default" w:ascii="TimesNewRomanPSMT" w:hAnsi="TimesNewRomanPSMT"/>
      <w:color w:val="000000"/>
      <w:sz w:val="22"/>
      <w:szCs w:val="22"/>
    </w:rPr>
  </w:style>
  <w:style w:type="character" w:customStyle="1" w:styleId="7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72">
    <w:name w:val="标题 4 字符"/>
    <w:basedOn w:val="33"/>
    <w:autoRedefine/>
    <w:semiHidden/>
    <w:qFormat/>
    <w:uiPriority w:val="9"/>
    <w:rPr>
      <w:rFonts w:asciiTheme="majorHAnsi" w:hAnsiTheme="majorHAnsi" w:eastAsiaTheme="majorEastAsia" w:cstheme="majorBidi"/>
      <w:b/>
      <w:bCs/>
      <w:sz w:val="28"/>
      <w:szCs w:val="28"/>
    </w:rPr>
  </w:style>
  <w:style w:type="character" w:customStyle="1" w:styleId="73">
    <w:name w:val="标题 4 Char1"/>
    <w:link w:val="6"/>
    <w:autoRedefine/>
    <w:qFormat/>
    <w:uiPriority w:val="0"/>
    <w:rPr>
      <w:rFonts w:ascii="@仿宋_GB2312" w:hAnsi="@仿宋_GB2312" w:eastAsia="@仿宋_GB2312" w:cs="@仿宋_GB2312"/>
      <w:b/>
      <w:bCs/>
      <w:sz w:val="28"/>
      <w:szCs w:val="28"/>
    </w:rPr>
  </w:style>
  <w:style w:type="character" w:customStyle="1" w:styleId="74">
    <w:name w:val="标题 4 Char"/>
    <w:autoRedefine/>
    <w:qFormat/>
    <w:uiPriority w:val="0"/>
    <w:rPr>
      <w:rFonts w:ascii="Arial" w:hAnsi="Arial" w:eastAsia="Arial"/>
      <w:b/>
      <w:bCs/>
      <w:kern w:val="2"/>
      <w:sz w:val="28"/>
      <w:szCs w:val="28"/>
      <w:lang w:val="en-US" w:eastAsia="zh-CN" w:bidi="ar-SA"/>
    </w:rPr>
  </w:style>
  <w:style w:type="table" w:customStyle="1" w:styleId="75">
    <w:name w:val="网格型1"/>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批注主题 Char"/>
    <w:basedOn w:val="65"/>
    <w:link w:val="28"/>
    <w:autoRedefine/>
    <w:semiHidden/>
    <w:qFormat/>
    <w:uiPriority w:val="99"/>
    <w:rPr>
      <w:rFonts w:ascii="@仿宋_GB2312" w:hAnsi="@仿宋_GB2312" w:eastAsia="@仿宋_GB2312" w:cs="@仿宋_GB2312"/>
      <w:b/>
      <w:bCs/>
      <w:szCs w:val="20"/>
    </w:rPr>
  </w:style>
  <w:style w:type="table" w:customStyle="1" w:styleId="77">
    <w:name w:val="Table Normal"/>
    <w:autoRedefine/>
    <w:semiHidden/>
    <w:unhideWhenUsed/>
    <w:qFormat/>
    <w:uiPriority w:val="0"/>
    <w:tblPr>
      <w:tblCellMar>
        <w:top w:w="0" w:type="dxa"/>
        <w:left w:w="0" w:type="dxa"/>
        <w:bottom w:w="0" w:type="dxa"/>
        <w:right w:w="0" w:type="dxa"/>
      </w:tblCellMar>
    </w:tblPr>
  </w:style>
  <w:style w:type="paragraph" w:customStyle="1" w:styleId="78">
    <w:name w:val="Table Text"/>
    <w:basedOn w:val="1"/>
    <w:autoRedefine/>
    <w:semiHidden/>
    <w:qFormat/>
    <w:uiPriority w:val="0"/>
    <w:rPr>
      <w:rFonts w:ascii="Arial" w:hAnsi="Arial" w:eastAsia="Arial" w:cs="Arial"/>
      <w:sz w:val="21"/>
      <w:szCs w:val="21"/>
      <w:lang w:val="en-US" w:eastAsia="en-US" w:bidi="ar-SA"/>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列出段落1"/>
    <w:basedOn w:val="1"/>
    <w:autoRedefine/>
    <w:qFormat/>
    <w:uiPriority w:val="0"/>
    <w:pPr>
      <w:ind w:firstLine="420" w:firstLineChars="200"/>
    </w:pPr>
    <w:rPr>
      <w:szCs w:val="21"/>
    </w:rPr>
  </w:style>
  <w:style w:type="paragraph" w:customStyle="1" w:styleId="81">
    <w:name w:val="【正文】"/>
    <w:basedOn w:val="25"/>
    <w:autoRedefine/>
    <w:qFormat/>
    <w:uiPriority w:val="0"/>
    <w:pPr>
      <w:widowControl w:val="0"/>
      <w:wordWrap w:val="0"/>
      <w:adjustRightInd w:val="0"/>
      <w:snapToGrid w:val="0"/>
      <w:spacing w:after="0" w:line="360" w:lineRule="auto"/>
      <w:ind w:firstLine="200" w:firstLineChars="200"/>
    </w:pPr>
    <w:rPr>
      <w:rFonts w:ascii="宋体" w:hAnsi="宋体" w:cs="宋体"/>
      <w:szCs w:val="24"/>
      <w:lang w:val="zh-CN"/>
    </w:rPr>
  </w:style>
  <w:style w:type="character" w:customStyle="1" w:styleId="82">
    <w:name w:val="font31"/>
    <w:basedOn w:val="33"/>
    <w:autoRedefine/>
    <w:qFormat/>
    <w:uiPriority w:val="0"/>
    <w:rPr>
      <w:rFonts w:hint="eastAsia" w:ascii="宋体" w:hAnsi="宋体" w:eastAsia="宋体" w:cs="宋体"/>
      <w:color w:val="000000"/>
      <w:sz w:val="22"/>
      <w:szCs w:val="22"/>
      <w:u w:val="none"/>
    </w:rPr>
  </w:style>
  <w:style w:type="character" w:customStyle="1" w:styleId="83">
    <w:name w:val="font81"/>
    <w:basedOn w:val="33"/>
    <w:autoRedefine/>
    <w:qFormat/>
    <w:uiPriority w:val="0"/>
    <w:rPr>
      <w:rFonts w:ascii="Calibri" w:hAnsi="Calibri" w:cs="Calibri"/>
      <w:color w:val="000000"/>
      <w:sz w:val="22"/>
      <w:szCs w:val="22"/>
      <w:u w:val="none"/>
    </w:rPr>
  </w:style>
  <w:style w:type="character" w:customStyle="1" w:styleId="84">
    <w:name w:val="font21"/>
    <w:basedOn w:val="33"/>
    <w:autoRedefine/>
    <w:qFormat/>
    <w:uiPriority w:val="0"/>
    <w:rPr>
      <w:rFonts w:hint="eastAsia" w:ascii="宋体" w:hAnsi="宋体" w:eastAsia="宋体" w:cs="宋体"/>
      <w:color w:val="000000"/>
      <w:sz w:val="20"/>
      <w:szCs w:val="20"/>
      <w:u w:val="none"/>
    </w:rPr>
  </w:style>
  <w:style w:type="character" w:customStyle="1" w:styleId="85">
    <w:name w:val="hover1"/>
    <w:basedOn w:val="33"/>
    <w:qFormat/>
    <w:uiPriority w:val="0"/>
    <w:rPr>
      <w:color w:val="2590EB"/>
    </w:rPr>
  </w:style>
  <w:style w:type="character" w:customStyle="1" w:styleId="86">
    <w:name w:val="hover2"/>
    <w:basedOn w:val="33"/>
    <w:qFormat/>
    <w:uiPriority w:val="0"/>
  </w:style>
  <w:style w:type="character" w:customStyle="1" w:styleId="87">
    <w:name w:val="hover3"/>
    <w:basedOn w:val="33"/>
    <w:qFormat/>
    <w:uiPriority w:val="0"/>
    <w:rPr>
      <w:color w:val="2590EB"/>
    </w:rPr>
  </w:style>
  <w:style w:type="character" w:customStyle="1" w:styleId="88">
    <w:name w:val="hover4"/>
    <w:basedOn w:val="33"/>
    <w:qFormat/>
    <w:uiPriority w:val="0"/>
    <w:rPr>
      <w:color w:val="2590EB"/>
      <w:shd w:val="clear" w:fill="E9F4FD"/>
    </w:rPr>
  </w:style>
  <w:style w:type="character" w:customStyle="1" w:styleId="89">
    <w:name w:val="hover"/>
    <w:basedOn w:val="33"/>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335</Pages>
  <Words>164443</Words>
  <Characters>182221</Characters>
  <Lines>1</Lines>
  <Paragraphs>1</Paragraphs>
  <TotalTime>29</TotalTime>
  <ScaleCrop>false</ScaleCrop>
  <LinksUpToDate>false</LinksUpToDate>
  <CharactersWithSpaces>186856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2019-05-07T22:32:00Z</dcterms:created>
  <dc:creator>Anakin</dc:creator>
  <cp:lastModifiedBy>傻傻一辈子</cp:lastModifiedBy>
  <cp:lastPrinted>2019-12-08T23:18:00Z</cp:lastPrinted>
  <dcterms:modified xsi:type="dcterms:W3CDTF">2024-07-05T05:49:51Z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96F67E1CA1DA49E9911FC82E94E0EA7A_13</vt:lpwstr>
  </property>
</Properties>
</file>