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56D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1B355D3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58B9CF82">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25C558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竞争性磋商文件示范文本（服务类）</w:t>
      </w:r>
    </w:p>
    <w:bookmarkEnd w:id="0"/>
    <w:p w14:paraId="2C50032D">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529397A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9B04FF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61C49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44DACA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D48450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84D01D9">
      <w:pPr>
        <w:tabs>
          <w:tab w:val="left" w:pos="315"/>
          <w:tab w:val="left" w:pos="8820"/>
        </w:tabs>
        <w:spacing w:before="240" w:beforeLines="100" w:after="120" w:afterLines="50" w:line="500" w:lineRule="exact"/>
        <w:ind w:right="267" w:rightChars="127"/>
        <w:jc w:val="both"/>
        <w:rPr>
          <w:rFonts w:ascii="宋体" w:hAnsi="宋体" w:eastAsia="宋体"/>
          <w:b/>
          <w:bCs/>
          <w:color w:val="auto"/>
          <w:sz w:val="44"/>
          <w:szCs w:val="44"/>
          <w:highlight w:val="none"/>
        </w:rPr>
      </w:pPr>
    </w:p>
    <w:p w14:paraId="347F5303">
      <w:pPr>
        <w:pStyle w:val="10"/>
        <w:rPr>
          <w:color w:val="auto"/>
          <w:highlight w:val="none"/>
        </w:rPr>
      </w:pPr>
    </w:p>
    <w:p w14:paraId="3BDCB26D">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滁州市交通运输局</w:t>
      </w:r>
      <w:r>
        <w:rPr>
          <w:rFonts w:hint="eastAsia" w:ascii="宋体" w:hAnsi="宋体" w:eastAsia="宋体"/>
          <w:b/>
          <w:color w:val="auto"/>
          <w:spacing w:val="20"/>
          <w:kern w:val="0"/>
          <w:sz w:val="32"/>
          <w:szCs w:val="32"/>
          <w:highlight w:val="none"/>
          <w:u w:val="single"/>
          <w:lang w:eastAsia="zh-CN"/>
        </w:rPr>
        <w:t>多功能会议中心</w:t>
      </w:r>
      <w:r>
        <w:rPr>
          <w:rFonts w:hint="eastAsia" w:ascii="宋体" w:hAnsi="宋体" w:eastAsia="宋体"/>
          <w:b/>
          <w:color w:val="auto"/>
          <w:spacing w:val="20"/>
          <w:kern w:val="0"/>
          <w:sz w:val="32"/>
          <w:szCs w:val="32"/>
          <w:highlight w:val="none"/>
          <w:u w:val="single"/>
        </w:rPr>
        <w:t>升级改造</w:t>
      </w:r>
      <w:r>
        <w:rPr>
          <w:rFonts w:hint="eastAsia" w:ascii="宋体" w:hAnsi="宋体" w:eastAsia="宋体"/>
          <w:b/>
          <w:color w:val="auto"/>
          <w:spacing w:val="20"/>
          <w:kern w:val="0"/>
          <w:sz w:val="32"/>
          <w:szCs w:val="32"/>
          <w:highlight w:val="none"/>
          <w:u w:val="single"/>
          <w:lang w:val="en-US" w:eastAsia="zh-CN"/>
        </w:rPr>
        <w:t>设计服务项目</w:t>
      </w:r>
    </w:p>
    <w:p w14:paraId="6D4B8696">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HXJY1110001060444001</w:t>
      </w:r>
    </w:p>
    <w:p w14:paraId="32349F98">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滁州市交通运输局</w:t>
      </w:r>
    </w:p>
    <w:p w14:paraId="39B6433E">
      <w:pPr>
        <w:tabs>
          <w:tab w:val="left" w:pos="2410"/>
        </w:tabs>
        <w:autoSpaceDE w:val="0"/>
        <w:autoSpaceDN w:val="0"/>
        <w:adjustRightInd w:val="0"/>
        <w:snapToGrid w:val="0"/>
        <w:spacing w:line="360" w:lineRule="auto"/>
        <w:ind w:right="-340" w:rightChars="-162"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lang w:eastAsia="zh-CN"/>
        </w:rPr>
        <w:t>：</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4E0C324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025EB3">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rPr>
        <w:t>月</w:t>
      </w:r>
    </w:p>
    <w:p w14:paraId="2C1CF6F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93C9645">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437A1A">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6849E2F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TOC \o "1-2" \h \z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_Toc19988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第一章  磋商邀请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p>
    <w:p w14:paraId="59FBDACE">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_Toc7162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4</w:t>
      </w:r>
      <w:r>
        <w:rPr>
          <w:rFonts w:hint="eastAsia" w:ascii="宋体" w:hAnsi="宋体" w:eastAsia="宋体" w:cs="宋体"/>
          <w:bCs/>
          <w:color w:val="auto"/>
          <w:sz w:val="24"/>
          <w:szCs w:val="28"/>
          <w:highlight w:val="none"/>
        </w:rPr>
        <w:fldChar w:fldCharType="end"/>
      </w:r>
    </w:p>
    <w:p w14:paraId="134B2A5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_Toc19440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5</w:t>
      </w:r>
    </w:p>
    <w:p w14:paraId="664DC2D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_Toc8668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第四章  评审方法和标准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7</w:t>
      </w:r>
    </w:p>
    <w:p w14:paraId="13FF7EA7">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_Toc17167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第五章  采购合同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0</w:t>
      </w:r>
    </w:p>
    <w:p w14:paraId="041C635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_Toc25148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第六章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3</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1</w:t>
      </w:r>
    </w:p>
    <w:p w14:paraId="655FA17A">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_Toc19418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bCs/>
          <w:color w:val="auto"/>
          <w:sz w:val="24"/>
          <w:szCs w:val="24"/>
          <w:highlight w:val="none"/>
        </w:rPr>
        <w:t>第</w:t>
      </w:r>
      <w:r>
        <w:rPr>
          <w:rFonts w:hint="eastAsia" w:ascii="宋体" w:hAnsi="宋体" w:eastAsia="宋体" w:cs="宋体"/>
          <w:bCs/>
          <w:color w:val="auto"/>
          <w:sz w:val="24"/>
          <w:szCs w:val="24"/>
          <w:highlight w:val="none"/>
          <w:lang w:val="en-US" w:eastAsia="zh-CN"/>
        </w:rPr>
        <w:t>七</w:t>
      </w:r>
      <w:r>
        <w:rPr>
          <w:rFonts w:hint="eastAsia" w:ascii="宋体" w:hAnsi="宋体" w:eastAsia="宋体" w:cs="宋体"/>
          <w:bCs/>
          <w:color w:val="auto"/>
          <w:sz w:val="24"/>
          <w:szCs w:val="24"/>
          <w:highlight w:val="none"/>
        </w:rPr>
        <w:t>章  采购</w:t>
      </w:r>
      <w:r>
        <w:rPr>
          <w:rFonts w:hint="eastAsia" w:ascii="宋体" w:hAnsi="宋体" w:eastAsia="宋体" w:cs="宋体"/>
          <w:color w:val="auto"/>
          <w:sz w:val="24"/>
          <w:szCs w:val="24"/>
          <w:highlight w:val="none"/>
        </w:rPr>
        <w:t>供应</w:t>
      </w:r>
      <w:r>
        <w:rPr>
          <w:rFonts w:hint="eastAsia" w:ascii="宋体" w:hAnsi="宋体" w:eastAsia="宋体" w:cs="宋体"/>
          <w:bCs/>
          <w:color w:val="auto"/>
          <w:sz w:val="24"/>
          <w:szCs w:val="24"/>
          <w:highlight w:val="none"/>
        </w:rPr>
        <w:t>商询问函和质疑函范本</w:t>
      </w:r>
      <w:r>
        <w:rPr>
          <w:rFonts w:hint="eastAsia" w:ascii="宋体" w:hAnsi="宋体" w:eastAsia="宋体" w:cs="宋体"/>
          <w:color w:val="auto"/>
          <w:sz w:val="24"/>
          <w:szCs w:val="24"/>
          <w:highlight w:val="none"/>
        </w:rPr>
        <w:tab/>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40</w:t>
      </w:r>
    </w:p>
    <w:p w14:paraId="736D1A82">
      <w:pPr>
        <w:pStyle w:val="21"/>
        <w:keepNext w:val="0"/>
        <w:keepLines w:val="0"/>
        <w:pageBreakBefore w:val="0"/>
        <w:widowControl/>
        <w:tabs>
          <w:tab w:val="right" w:leader="dot" w:pos="8296"/>
        </w:tabs>
        <w:kinsoku/>
        <w:wordWrap/>
        <w:overflowPunct/>
        <w:topLinePunct w:val="0"/>
        <w:autoSpaceDE/>
        <w:autoSpaceDN/>
        <w:bidi w:val="0"/>
        <w:adjustRightInd/>
        <w:snapToGrid/>
        <w:spacing w:after="0" w:line="480" w:lineRule="auto"/>
        <w:textAlignment w:val="auto"/>
        <w:rPr>
          <w:rFonts w:asciiTheme="minorEastAsia" w:hAnsiTheme="minorEastAsia"/>
          <w:b/>
          <w:color w:val="auto"/>
          <w:sz w:val="32"/>
          <w:highlight w:val="none"/>
        </w:rPr>
      </w:pPr>
      <w:r>
        <w:rPr>
          <w:rFonts w:hint="eastAsia" w:ascii="宋体" w:hAnsi="宋体" w:eastAsia="宋体" w:cs="宋体"/>
          <w:bCs/>
          <w:color w:val="auto"/>
          <w:sz w:val="24"/>
          <w:szCs w:val="28"/>
          <w:highlight w:val="none"/>
        </w:rPr>
        <w:fldChar w:fldCharType="end"/>
      </w:r>
    </w:p>
    <w:p w14:paraId="1B2E0EE7">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247" w:right="1247" w:bottom="1247" w:left="1247" w:header="851" w:footer="992" w:gutter="0"/>
          <w:pgNumType w:fmt="decimal"/>
          <w:cols w:space="720" w:num="1"/>
          <w:rtlGutter w:val="0"/>
          <w:docGrid w:linePitch="462" w:charSpace="0"/>
        </w:sectPr>
      </w:pPr>
    </w:p>
    <w:p w14:paraId="67794ECC">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asciiTheme="minorEastAsia" w:hAnsiTheme="minorEastAsia" w:eastAsiaTheme="minorEastAsia"/>
          <w:b/>
          <w:color w:val="auto"/>
          <w:sz w:val="28"/>
          <w:highlight w:val="none"/>
        </w:rPr>
      </w:pPr>
      <w:bookmarkStart w:id="1" w:name="_Toc501"/>
      <w:bookmarkStart w:id="2" w:name="_Toc19988"/>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p>
    <w:p w14:paraId="08CDA439">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 w:name="_Toc14730"/>
      <w:bookmarkStart w:id="4" w:name="_Toc28359089"/>
      <w:bookmarkStart w:id="5" w:name="_Toc28359012"/>
      <w:bookmarkStart w:id="6" w:name="_Toc35393798"/>
      <w:bookmarkStart w:id="7" w:name="_Toc35393629"/>
      <w:r>
        <w:rPr>
          <w:rFonts w:hint="eastAsia" w:ascii="宋体" w:hAnsi="宋体" w:eastAsia="宋体" w:cs="宋体"/>
          <w:b/>
          <w:bCs w:val="0"/>
          <w:color w:val="auto"/>
          <w:sz w:val="24"/>
          <w:szCs w:val="24"/>
          <w:highlight w:val="none"/>
        </w:rPr>
        <w:t>一、项目基本情况</w:t>
      </w:r>
      <w:bookmarkEnd w:id="3"/>
      <w:bookmarkEnd w:id="4"/>
      <w:bookmarkEnd w:id="5"/>
      <w:bookmarkEnd w:id="6"/>
      <w:bookmarkEnd w:id="7"/>
    </w:p>
    <w:p w14:paraId="231AA7E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HXJY1110001060444001</w:t>
      </w:r>
    </w:p>
    <w:p w14:paraId="135813C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olor w:val="auto"/>
          <w:sz w:val="24"/>
          <w:highlight w:val="none"/>
          <w:u w:val="singl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项目名称：</w:t>
      </w:r>
      <w:r>
        <w:rPr>
          <w:rFonts w:hint="eastAsia" w:asciiTheme="minorEastAsia" w:hAnsiTheme="minorEastAsia" w:eastAsiaTheme="minorEastAsia"/>
          <w:color w:val="auto"/>
          <w:sz w:val="24"/>
          <w:highlight w:val="none"/>
          <w:u w:val="single"/>
          <w:lang w:val="en-US" w:eastAsia="zh-CN"/>
        </w:rPr>
        <w:t>滁州市交通运输局多功能会议中心升级改造设计服务项目</w:t>
      </w:r>
    </w:p>
    <w:p w14:paraId="4EE93DA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预算金额：</w:t>
      </w:r>
      <w:r>
        <w:rPr>
          <w:rFonts w:hint="eastAsia" w:ascii="宋体" w:hAnsi="宋体" w:eastAsia="宋体"/>
          <w:color w:val="auto"/>
          <w:sz w:val="24"/>
          <w:szCs w:val="18"/>
          <w:highlight w:val="none"/>
          <w:u w:val="single"/>
          <w:lang w:val="en-US" w:eastAsia="zh-CN"/>
        </w:rPr>
        <w:t>40000.00元</w:t>
      </w:r>
    </w:p>
    <w:p w14:paraId="3B4188E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最高限价：</w:t>
      </w:r>
      <w:r>
        <w:rPr>
          <w:rFonts w:hint="eastAsia" w:ascii="宋体" w:hAnsi="宋体" w:eastAsia="宋体"/>
          <w:color w:val="auto"/>
          <w:sz w:val="24"/>
          <w:szCs w:val="18"/>
          <w:highlight w:val="none"/>
          <w:u w:val="single"/>
          <w:lang w:val="en-US" w:eastAsia="zh-CN"/>
        </w:rPr>
        <w:t>40000.00元</w:t>
      </w:r>
    </w:p>
    <w:p w14:paraId="001DE9B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olor w:val="auto"/>
          <w:sz w:val="24"/>
          <w:highlight w:val="none"/>
          <w:u w:val="singl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w:t>
      </w:r>
      <w:r>
        <w:rPr>
          <w:rFonts w:hint="eastAsia" w:asciiTheme="minorEastAsia" w:hAnsiTheme="minorEastAsia" w:eastAsiaTheme="minorEastAsia"/>
          <w:color w:val="auto"/>
          <w:sz w:val="24"/>
          <w:highlight w:val="none"/>
          <w:u w:val="single"/>
          <w:lang w:val="en-US" w:eastAsia="zh-CN"/>
        </w:rPr>
        <w:t>滁州市交通运输局多功能会议中心升级改造设计服务</w:t>
      </w:r>
    </w:p>
    <w:p w14:paraId="1462419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r>
        <w:rPr>
          <w:rFonts w:hint="eastAsia" w:ascii="宋体" w:hAnsi="宋体" w:eastAsia="宋体"/>
          <w:color w:val="auto"/>
          <w:sz w:val="24"/>
          <w:szCs w:val="18"/>
          <w:highlight w:val="none"/>
          <w:u w:val="single"/>
          <w:lang w:val="en-US" w:eastAsia="zh-CN"/>
        </w:rPr>
        <w:t>自合同签订之日起</w:t>
      </w:r>
      <w:r>
        <w:rPr>
          <w:rFonts w:hint="eastAsia" w:ascii="宋体" w:hAnsi="宋体" w:eastAsia="宋体"/>
          <w:color w:val="auto"/>
          <w:sz w:val="24"/>
          <w:szCs w:val="18"/>
          <w:highlight w:val="none"/>
          <w:u w:val="single"/>
          <w:lang w:val="en-US" w:eastAsia="zh-CN"/>
        </w:rPr>
        <w:t>15个工作日内</w:t>
      </w:r>
      <w:r>
        <w:rPr>
          <w:rFonts w:hint="eastAsia" w:ascii="宋体" w:hAnsi="宋体" w:eastAsia="宋体"/>
          <w:color w:val="auto"/>
          <w:sz w:val="24"/>
          <w:szCs w:val="18"/>
          <w:highlight w:val="none"/>
          <w:u w:val="single"/>
          <w:lang w:val="en-US" w:eastAsia="zh-CN"/>
        </w:rPr>
        <w:t>提供设计成果文件</w:t>
      </w:r>
    </w:p>
    <w:p w14:paraId="73EEA6A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69FC7D5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8" w:name="_Toc28359090"/>
      <w:bookmarkStart w:id="9" w:name="_Toc32615"/>
      <w:bookmarkStart w:id="10" w:name="_Toc28359013"/>
      <w:bookmarkStart w:id="11" w:name="_Toc35393799"/>
      <w:bookmarkStart w:id="12" w:name="_Toc35393630"/>
      <w:r>
        <w:rPr>
          <w:rFonts w:hint="eastAsia" w:ascii="宋体" w:hAnsi="宋体" w:eastAsia="宋体" w:cs="宋体"/>
          <w:b/>
          <w:bCs w:val="0"/>
          <w:color w:val="auto"/>
          <w:sz w:val="24"/>
          <w:szCs w:val="24"/>
          <w:highlight w:val="none"/>
        </w:rPr>
        <w:t>二、申请人的资格要求：</w:t>
      </w:r>
      <w:bookmarkEnd w:id="8"/>
      <w:bookmarkEnd w:id="9"/>
      <w:bookmarkEnd w:id="10"/>
      <w:bookmarkEnd w:id="11"/>
      <w:bookmarkEnd w:id="12"/>
    </w:p>
    <w:p w14:paraId="7418C7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bookmarkStart w:id="13" w:name="_Toc28359014"/>
      <w:bookmarkStart w:id="14" w:name="_Toc28359091"/>
      <w:r>
        <w:rPr>
          <w:rFonts w:hint="eastAsia" w:ascii="宋体" w:hAnsi="宋体" w:eastAsia="宋体" w:cs="宋体"/>
          <w:color w:val="auto"/>
          <w:sz w:val="24"/>
          <w:szCs w:val="24"/>
          <w:highlight w:val="none"/>
          <w:lang w:val="en-US" w:eastAsia="zh-CN"/>
        </w:rPr>
        <w:t>1.供应商</w:t>
      </w:r>
      <w:r>
        <w:rPr>
          <w:rFonts w:hint="eastAsia" w:ascii="宋体" w:hAnsi="宋体" w:eastAsia="宋体" w:cs="宋体"/>
          <w:color w:val="auto"/>
          <w:sz w:val="24"/>
          <w:szCs w:val="24"/>
          <w:highlight w:val="none"/>
          <w:lang w:val="en-US" w:eastAsia="en-US"/>
        </w:rPr>
        <w:t>同时具有有效的建筑装饰工程设计专项丙级（或以上）和建筑智能化系统设计乙级（或以上）资质；</w:t>
      </w:r>
    </w:p>
    <w:p w14:paraId="0CF0B4A6">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2.供应商拟派项目负责人具有中级（或以上）职称证书。</w:t>
      </w:r>
    </w:p>
    <w:p w14:paraId="1CD8CA6F">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15" w:name="_Toc35393800"/>
      <w:bookmarkStart w:id="16" w:name="_Toc24072"/>
      <w:bookmarkStart w:id="17" w:name="_Toc35393631"/>
      <w:r>
        <w:rPr>
          <w:rFonts w:hint="eastAsia" w:ascii="宋体" w:hAnsi="宋体" w:eastAsia="宋体" w:cs="宋体"/>
          <w:b/>
          <w:bCs w:val="0"/>
          <w:color w:val="auto"/>
          <w:sz w:val="24"/>
          <w:szCs w:val="24"/>
          <w:highlight w:val="none"/>
        </w:rPr>
        <w:t>三、获取采购文件</w:t>
      </w:r>
      <w:bookmarkEnd w:id="13"/>
      <w:bookmarkEnd w:id="14"/>
      <w:bookmarkEnd w:id="15"/>
      <w:bookmarkEnd w:id="16"/>
      <w:bookmarkEnd w:id="17"/>
    </w:p>
    <w:p w14:paraId="6912F5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iCs/>
          <w:color w:val="auto"/>
          <w:sz w:val="24"/>
          <w:szCs w:val="24"/>
          <w:highlight w:val="none"/>
        </w:rPr>
      </w:pPr>
      <w:bookmarkStart w:id="18" w:name="_Toc28359092"/>
      <w:bookmarkStart w:id="19" w:name="_Toc35393801"/>
      <w:bookmarkStart w:id="20" w:name="_Toc35393632"/>
      <w:bookmarkStart w:id="21" w:name="_Toc28359015"/>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28</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10</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u w:val="none"/>
        </w:rPr>
        <w:t>）</w:t>
      </w:r>
    </w:p>
    <w:p w14:paraId="012EEB2A">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滁州市交通运输局</w:t>
      </w:r>
      <w:r>
        <w:rPr>
          <w:rFonts w:hint="eastAsia" w:asciiTheme="minorEastAsia" w:hAnsiTheme="minorEastAsia" w:eastAsiaTheme="minorEastAsia" w:cstheme="minorEastAsia"/>
          <w:color w:val="auto"/>
          <w:sz w:val="24"/>
          <w:szCs w:val="24"/>
          <w:highlight w:val="none"/>
        </w:rPr>
        <w:t>（https://jtj.chuzhou.gov.cn/）</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滁州市城投工程咨询管理有限公司网站（https://www.czctgczx.com/）</w:t>
      </w:r>
    </w:p>
    <w:p w14:paraId="20CD4F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val="en-US" w:eastAsia="zh-CN"/>
        </w:rPr>
        <w:t>网上下载</w:t>
      </w:r>
    </w:p>
    <w:p w14:paraId="7211F2A5">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2" w:name="_Toc5805"/>
      <w:r>
        <w:rPr>
          <w:rFonts w:hint="eastAsia" w:ascii="宋体" w:hAnsi="宋体" w:eastAsia="宋体" w:cs="宋体"/>
          <w:b/>
          <w:bCs w:val="0"/>
          <w:color w:val="auto"/>
          <w:sz w:val="24"/>
          <w:szCs w:val="24"/>
          <w:highlight w:val="none"/>
        </w:rPr>
        <w:t>四、响应文件提交</w:t>
      </w:r>
      <w:bookmarkEnd w:id="18"/>
      <w:bookmarkEnd w:id="19"/>
      <w:bookmarkEnd w:id="20"/>
      <w:bookmarkEnd w:id="21"/>
      <w:bookmarkEnd w:id="22"/>
    </w:p>
    <w:p w14:paraId="2DA5008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10</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r>
        <w:rPr>
          <w:rFonts w:hint="eastAsia" w:ascii="宋体" w:hAnsi="宋体" w:eastAsia="宋体" w:cs="宋体"/>
          <w:iCs/>
          <w:color w:val="auto"/>
          <w:sz w:val="24"/>
          <w:szCs w:val="24"/>
          <w:highlight w:val="none"/>
          <w:u w:val="single"/>
        </w:rPr>
        <w:t>（</w:t>
      </w:r>
      <w:r>
        <w:rPr>
          <w:rFonts w:hint="eastAsia" w:ascii="宋体" w:hAnsi="宋体" w:eastAsia="宋体" w:cs="宋体"/>
          <w:i/>
          <w:color w:val="auto"/>
          <w:sz w:val="24"/>
          <w:szCs w:val="24"/>
          <w:highlight w:val="none"/>
          <w:u w:val="single"/>
        </w:rPr>
        <w:t>从磋商文件开始发出之日起至供应商提交首次响应文件截止之日止不得少于10日</w:t>
      </w:r>
      <w:r>
        <w:rPr>
          <w:rFonts w:hint="eastAsia" w:ascii="宋体" w:hAnsi="宋体" w:eastAsia="宋体" w:cs="宋体"/>
          <w:iCs/>
          <w:color w:val="auto"/>
          <w:sz w:val="24"/>
          <w:szCs w:val="24"/>
          <w:highlight w:val="none"/>
          <w:u w:val="single"/>
        </w:rPr>
        <w:t>）</w:t>
      </w:r>
    </w:p>
    <w:p w14:paraId="3B4C6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地点：新点电子交易平台后在【滁州专区】</w:t>
      </w:r>
    </w:p>
    <w:p w14:paraId="1C7FBB56">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3" w:name="_Toc32658"/>
      <w:bookmarkStart w:id="24" w:name="_Toc35393633"/>
      <w:bookmarkStart w:id="25" w:name="_Toc28359016"/>
      <w:bookmarkStart w:id="26" w:name="_Toc35393802"/>
      <w:bookmarkStart w:id="27" w:name="_Toc28359093"/>
      <w:r>
        <w:rPr>
          <w:rFonts w:hint="eastAsia" w:ascii="宋体" w:hAnsi="宋体" w:eastAsia="宋体" w:cs="宋体"/>
          <w:b/>
          <w:bCs w:val="0"/>
          <w:color w:val="auto"/>
          <w:sz w:val="24"/>
          <w:szCs w:val="24"/>
          <w:highlight w:val="none"/>
        </w:rPr>
        <w:t>五、开启</w:t>
      </w:r>
      <w:bookmarkEnd w:id="23"/>
      <w:bookmarkEnd w:id="24"/>
      <w:bookmarkEnd w:id="25"/>
      <w:bookmarkEnd w:id="26"/>
      <w:bookmarkEnd w:id="27"/>
    </w:p>
    <w:p w14:paraId="23AC9E9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10</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18126C7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网上开标；本项目仅接受加密电子投标文件供应商在投标截止时间前通过新点电子交易平台后在【滁州专区】（https://www.etrading.cn/BREpointSSO/login/oauth2login?regioncode=DQ_ChuZhou）交易系统递交电子投标文件。</w:t>
      </w:r>
    </w:p>
    <w:p w14:paraId="48F945E3">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8" w:name="_Toc35393803"/>
      <w:bookmarkStart w:id="29" w:name="_Toc35393634"/>
      <w:bookmarkStart w:id="30" w:name="_Toc6935"/>
      <w:bookmarkStart w:id="31" w:name="_Toc28359017"/>
      <w:bookmarkStart w:id="32" w:name="_Toc28359094"/>
      <w:r>
        <w:rPr>
          <w:rFonts w:hint="eastAsia" w:ascii="宋体" w:hAnsi="宋体" w:eastAsia="宋体" w:cs="宋体"/>
          <w:b/>
          <w:bCs w:val="0"/>
          <w:color w:val="auto"/>
          <w:sz w:val="24"/>
          <w:szCs w:val="24"/>
          <w:highlight w:val="none"/>
        </w:rPr>
        <w:t>六、公告期限</w:t>
      </w:r>
      <w:bookmarkEnd w:id="28"/>
      <w:bookmarkEnd w:id="29"/>
      <w:bookmarkEnd w:id="30"/>
      <w:bookmarkEnd w:id="31"/>
      <w:bookmarkEnd w:id="32"/>
      <w:bookmarkStart w:id="131" w:name="_GoBack"/>
      <w:bookmarkEnd w:id="131"/>
    </w:p>
    <w:p w14:paraId="2913E79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721D02C2">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3" w:name="_Toc35393635"/>
      <w:bookmarkStart w:id="34" w:name="_Toc35393804"/>
      <w:bookmarkStart w:id="35" w:name="_Toc23004"/>
      <w:r>
        <w:rPr>
          <w:rFonts w:hint="eastAsia" w:ascii="宋体" w:hAnsi="宋体" w:eastAsia="宋体" w:cs="宋体"/>
          <w:b/>
          <w:bCs w:val="0"/>
          <w:color w:val="auto"/>
          <w:sz w:val="24"/>
          <w:szCs w:val="24"/>
          <w:highlight w:val="none"/>
        </w:rPr>
        <w:t>七、其他补充事宜</w:t>
      </w:r>
      <w:bookmarkEnd w:id="33"/>
      <w:bookmarkEnd w:id="34"/>
      <w:bookmarkEnd w:id="35"/>
    </w:p>
    <w:p w14:paraId="260772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1.供应商从滁州市城投工程咨询管理有限公司（https://www.czctgczx.com/）下载。供应商自行承担因未按要求获取招标文件导致无法上传电子投标文件的风险。</w:t>
      </w:r>
    </w:p>
    <w:p w14:paraId="5D7B45E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式：（1）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18B3450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登录新点电子交易平台【滁州专区】获取询价文件及其它资料（含澄清和补充说明等）。如在招标文件获取过程中遇到系统问题，请拨打技术支持服务热线0512-58151515（工作日）或者网站首页在线客服。</w:t>
      </w:r>
    </w:p>
    <w:p w14:paraId="09BCAEE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2.招标文件及相关资料售价：人民币0元/套。</w:t>
      </w:r>
    </w:p>
    <w:p w14:paraId="512EC86D">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开评标实行全流程电子化，开标活动在线完成。开标时供应商无需到达开标现场，不接受现场解密，实行远程解密和在线询标。各供应商认真学习《新点电子交易平台供应商操作手册》，务必掌握远程解密方法和在线回复询标方法。</w:t>
      </w:r>
    </w:p>
    <w:p w14:paraId="61ABAE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4.本项目采用不见面开标，供应商登录滁州市城投工程咨询有限公司不见面开标系统参与网上开标（网址：http://js.etrading.cn/EpointBidOpening/bidopeninghallaction/hall/login）。</w:t>
      </w:r>
    </w:p>
    <w:p w14:paraId="5B2D30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供应商应在投标截止时间之前，登录新点电子交易平台【滁州专区】上传投标文件</w:t>
      </w:r>
    </w:p>
    <w:p w14:paraId="2AF97BA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5.本项目仅接受加密电子投标文件供应商在投标截止时间前通过新点电子交易平台后在【滁州专区】</w:t>
      </w:r>
    </w:p>
    <w:p w14:paraId="6DA3895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（https://www.etrading.cn/BREpointSSO/login/oauth2login?regioncode=DQ_ChuZhou）交易系统递交电子投标文件。</w:t>
      </w:r>
    </w:p>
    <w:p w14:paraId="35027F1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6" w:name="_Toc28359095"/>
      <w:bookmarkStart w:id="37" w:name="_Toc28099"/>
      <w:bookmarkStart w:id="38" w:name="_Toc35393805"/>
      <w:bookmarkStart w:id="39" w:name="_Toc28359018"/>
      <w:bookmarkStart w:id="40" w:name="_Toc35393636"/>
      <w:r>
        <w:rPr>
          <w:rFonts w:hint="eastAsia" w:ascii="宋体" w:hAnsi="宋体" w:eastAsia="宋体" w:cs="宋体"/>
          <w:b/>
          <w:bCs w:val="0"/>
          <w:color w:val="auto"/>
          <w:sz w:val="24"/>
          <w:szCs w:val="24"/>
          <w:highlight w:val="none"/>
        </w:rPr>
        <w:t>八、凡对本次采购提出询问，请按以下方式联系。</w:t>
      </w:r>
      <w:bookmarkEnd w:id="36"/>
      <w:bookmarkEnd w:id="37"/>
      <w:bookmarkEnd w:id="38"/>
      <w:bookmarkEnd w:id="39"/>
      <w:bookmarkEnd w:id="40"/>
    </w:p>
    <w:p w14:paraId="2FB5DB3B">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41" w:name="_Toc28359019"/>
      <w:bookmarkStart w:id="42" w:name="_Toc35393637"/>
      <w:bookmarkStart w:id="43" w:name="_Toc29915"/>
      <w:bookmarkStart w:id="44" w:name="_Toc35393806"/>
      <w:bookmarkStart w:id="45" w:name="_Toc28359096"/>
      <w:r>
        <w:rPr>
          <w:rFonts w:hint="eastAsia" w:ascii="宋体" w:hAnsi="宋体" w:eastAsia="宋体" w:cs="宋体"/>
          <w:b w:val="0"/>
          <w:color w:val="auto"/>
          <w:sz w:val="24"/>
          <w:szCs w:val="24"/>
          <w:highlight w:val="none"/>
        </w:rPr>
        <w:t>1.采购人信息</w:t>
      </w:r>
      <w:bookmarkEnd w:id="41"/>
      <w:bookmarkEnd w:id="42"/>
      <w:bookmarkEnd w:id="43"/>
      <w:bookmarkEnd w:id="44"/>
      <w:bookmarkEnd w:id="45"/>
    </w:p>
    <w:p w14:paraId="3BF36869">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46" w:name="_Toc28359097"/>
      <w:bookmarkStart w:id="47" w:name="_Toc28359020"/>
      <w:bookmarkStart w:id="48" w:name="_Toc35393807"/>
      <w:bookmarkStart w:id="49" w:name="_Toc35393638"/>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滁州市交通运输局</w:t>
      </w:r>
    </w:p>
    <w:p w14:paraId="4E03C57C">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址：滁州市龙蟠大道200号</w:t>
      </w:r>
    </w:p>
    <w:p w14:paraId="6A730C3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联系人：张超</w:t>
      </w:r>
    </w:p>
    <w:p w14:paraId="7DE3DE0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eastAsia="zh-CN"/>
        </w:rPr>
        <w:t xml:space="preserve">0550-3218684 </w:t>
      </w:r>
    </w:p>
    <w:p w14:paraId="0EFC479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50" w:name="_Toc15577"/>
      <w:r>
        <w:rPr>
          <w:rFonts w:hint="eastAsia" w:ascii="宋体" w:hAnsi="宋体" w:eastAsia="宋体" w:cs="宋体"/>
          <w:b w:val="0"/>
          <w:color w:val="auto"/>
          <w:sz w:val="24"/>
          <w:szCs w:val="24"/>
          <w:highlight w:val="none"/>
        </w:rPr>
        <w:t>2.采购代理机构信息</w:t>
      </w:r>
      <w:bookmarkEnd w:id="46"/>
      <w:bookmarkEnd w:id="47"/>
      <w:bookmarkEnd w:id="48"/>
      <w:bookmarkEnd w:id="49"/>
      <w:bookmarkEnd w:id="50"/>
    </w:p>
    <w:p w14:paraId="139FD258">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51" w:name="_Toc35393639"/>
      <w:bookmarkStart w:id="52" w:name="_Toc28359098"/>
      <w:bookmarkStart w:id="53" w:name="_Toc28359021"/>
      <w:bookmarkStart w:id="54" w:name="_Toc35393808"/>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：滁州市城投工程咨询管理有限公司</w:t>
      </w:r>
    </w:p>
    <w:p w14:paraId="7905E915">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rPr>
        <w:t>滁州市龙蟠大道109号房产商务大厦6楼</w:t>
      </w:r>
    </w:p>
    <w:p w14:paraId="13DCD980">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ascii="宋体" w:hAnsi="宋体" w:eastAsia="宋体"/>
          <w:color w:val="auto"/>
          <w:sz w:val="24"/>
          <w:szCs w:val="18"/>
          <w:highlight w:val="none"/>
          <w:lang w:val="en-US" w:eastAsia="zh-CN"/>
        </w:rPr>
        <w:t>联系人：杨韦</w:t>
      </w:r>
    </w:p>
    <w:p w14:paraId="44B82226">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：0550-3519590/18005501210　</w:t>
      </w:r>
    </w:p>
    <w:bookmarkEnd w:id="51"/>
    <w:bookmarkEnd w:id="52"/>
    <w:bookmarkEnd w:id="53"/>
    <w:bookmarkEnd w:id="54"/>
    <w:p w14:paraId="25937BA5">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19CD366">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55" w:name="_Toc7162"/>
      <w:r>
        <w:rPr>
          <w:rFonts w:hint="eastAsia" w:asciiTheme="minorEastAsia" w:hAnsiTheme="minorEastAsia" w:eastAsiaTheme="minorEastAsia"/>
          <w:b/>
          <w:color w:val="auto"/>
          <w:sz w:val="28"/>
          <w:highlight w:val="none"/>
        </w:rPr>
        <w:t>第二章  供应商须知</w:t>
      </w:r>
      <w:bookmarkEnd w:id="55"/>
    </w:p>
    <w:p w14:paraId="72497CA6">
      <w:pPr>
        <w:spacing w:line="360" w:lineRule="auto"/>
        <w:jc w:val="center"/>
        <w:outlineLvl w:val="1"/>
        <w:rPr>
          <w:rFonts w:asciiTheme="minorEastAsia" w:hAnsiTheme="minorEastAsia" w:eastAsiaTheme="minorEastAsia"/>
          <w:b/>
          <w:color w:val="auto"/>
          <w:sz w:val="24"/>
          <w:highlight w:val="none"/>
        </w:rPr>
      </w:pPr>
      <w:bookmarkStart w:id="56" w:name="_Toc11709"/>
      <w:bookmarkStart w:id="57"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6"/>
      <w:bookmarkEnd w:id="57"/>
    </w:p>
    <w:p w14:paraId="4F572B6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6"/>
        <w:tblW w:w="52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2555"/>
        <w:gridCol w:w="6460"/>
      </w:tblGrid>
      <w:tr w14:paraId="649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46444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62" w:type="dxa"/>
            <w:vAlign w:val="center"/>
          </w:tcPr>
          <w:p w14:paraId="042B1B6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18" w:type="dxa"/>
            <w:vAlign w:val="center"/>
          </w:tcPr>
          <w:p w14:paraId="073FF27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64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6BC6202D">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62" w:type="dxa"/>
            <w:vAlign w:val="center"/>
          </w:tcPr>
          <w:p w14:paraId="24ED63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5718" w:type="dxa"/>
            <w:vAlign w:val="center"/>
          </w:tcPr>
          <w:p w14:paraId="2CFD9CD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tc>
      </w:tr>
      <w:tr w14:paraId="645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5EFC3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62" w:type="dxa"/>
            <w:vAlign w:val="center"/>
          </w:tcPr>
          <w:p w14:paraId="352B568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18" w:type="dxa"/>
            <w:vAlign w:val="center"/>
          </w:tcPr>
          <w:p w14:paraId="4F1C283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31</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69CB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77" w:type="dxa"/>
            <w:vAlign w:val="center"/>
          </w:tcPr>
          <w:p w14:paraId="5E7FA196">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2262" w:type="dxa"/>
            <w:vAlign w:val="center"/>
          </w:tcPr>
          <w:p w14:paraId="78354D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18" w:type="dxa"/>
            <w:vAlign w:val="center"/>
          </w:tcPr>
          <w:p w14:paraId="77CA5FE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ascii="宋体" w:hAnsi="宋体" w:eastAsia="宋体"/>
                <w:b w:val="0"/>
                <w:color w:val="auto"/>
                <w:sz w:val="24"/>
                <w:highlight w:val="none"/>
              </w:rPr>
              <w:t>不分包</w:t>
            </w:r>
          </w:p>
        </w:tc>
      </w:tr>
      <w:tr w14:paraId="0AB2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77" w:type="dxa"/>
            <w:vAlign w:val="center"/>
          </w:tcPr>
          <w:p w14:paraId="2D8EEAB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2262" w:type="dxa"/>
            <w:vAlign w:val="center"/>
          </w:tcPr>
          <w:p w14:paraId="334039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5718" w:type="dxa"/>
            <w:vAlign w:val="center"/>
          </w:tcPr>
          <w:p w14:paraId="0E9296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7AD0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69328D3">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2262" w:type="dxa"/>
            <w:vAlign w:val="center"/>
          </w:tcPr>
          <w:p w14:paraId="304C16F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5718" w:type="dxa"/>
            <w:vAlign w:val="center"/>
          </w:tcPr>
          <w:p w14:paraId="40C877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55B3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11D5E4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62" w:type="dxa"/>
            <w:vAlign w:val="center"/>
          </w:tcPr>
          <w:p w14:paraId="0A6F642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5718" w:type="dxa"/>
            <w:vAlign w:val="center"/>
          </w:tcPr>
          <w:p w14:paraId="3408BA0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4593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E2E66E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14.2</w:t>
            </w:r>
          </w:p>
        </w:tc>
        <w:tc>
          <w:tcPr>
            <w:tcW w:w="2262" w:type="dxa"/>
            <w:vAlign w:val="center"/>
          </w:tcPr>
          <w:p w14:paraId="2B0AAC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5718" w:type="dxa"/>
            <w:vAlign w:val="center"/>
          </w:tcPr>
          <w:p w14:paraId="5F993E8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5FCD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restart"/>
            <w:vAlign w:val="center"/>
          </w:tcPr>
          <w:p w14:paraId="2E4CC8F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62" w:type="dxa"/>
            <w:vMerge w:val="restart"/>
            <w:vAlign w:val="center"/>
          </w:tcPr>
          <w:p w14:paraId="539C841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5718" w:type="dxa"/>
            <w:vAlign w:val="center"/>
          </w:tcPr>
          <w:p w14:paraId="73469E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p>
          <w:p w14:paraId="2C9916C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43A9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continue"/>
            <w:vAlign w:val="center"/>
          </w:tcPr>
          <w:p w14:paraId="576B360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p>
        </w:tc>
        <w:tc>
          <w:tcPr>
            <w:tcW w:w="2262" w:type="dxa"/>
            <w:vMerge w:val="continue"/>
            <w:vAlign w:val="center"/>
          </w:tcPr>
          <w:p w14:paraId="7204DB5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p>
        </w:tc>
        <w:tc>
          <w:tcPr>
            <w:tcW w:w="5718" w:type="dxa"/>
            <w:vAlign w:val="center"/>
          </w:tcPr>
          <w:p w14:paraId="45E02C5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3D184A04">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color w:val="auto"/>
                <w:sz w:val="24"/>
                <w:highlight w:val="none"/>
              </w:rPr>
              <w:sym w:font="Wingdings" w:char="00FE"/>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6F72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57ADC12B">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62" w:type="dxa"/>
            <w:vAlign w:val="center"/>
          </w:tcPr>
          <w:p w14:paraId="2A029FC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5718" w:type="dxa"/>
            <w:vAlign w:val="center"/>
          </w:tcPr>
          <w:p w14:paraId="5A7B76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rPr>
              <w:t>成交供应商的评审总得分</w:t>
            </w:r>
            <w:r>
              <w:rPr>
                <w:rFonts w:hint="eastAsia" w:ascii="宋体" w:hAnsi="宋体" w:eastAsia="宋体"/>
                <w:b w:val="0"/>
                <w:color w:val="auto"/>
                <w:sz w:val="24"/>
                <w:highlight w:val="none"/>
                <w:u w:val="none"/>
                <w:lang w:eastAsia="zh-CN"/>
              </w:rPr>
              <w:t>；</w:t>
            </w:r>
          </w:p>
        </w:tc>
      </w:tr>
      <w:tr w14:paraId="171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2038A0FC">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2262" w:type="dxa"/>
            <w:vAlign w:val="center"/>
          </w:tcPr>
          <w:p w14:paraId="6340B4B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5718" w:type="dxa"/>
            <w:vAlign w:val="center"/>
          </w:tcPr>
          <w:p w14:paraId="497FD71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color w:val="auto"/>
                <w:sz w:val="24"/>
                <w:highlight w:val="none"/>
              </w:rPr>
              <w:t>数据电文</w:t>
            </w:r>
          </w:p>
        </w:tc>
      </w:tr>
      <w:tr w14:paraId="1F44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B6428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2262" w:type="dxa"/>
            <w:vAlign w:val="center"/>
          </w:tcPr>
          <w:p w14:paraId="26C3263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5718" w:type="dxa"/>
            <w:vAlign w:val="center"/>
          </w:tcPr>
          <w:p w14:paraId="1733F6F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tc>
      </w:tr>
      <w:tr w14:paraId="5170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3151E2C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62" w:type="dxa"/>
            <w:vAlign w:val="center"/>
          </w:tcPr>
          <w:p w14:paraId="7AAC508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18" w:type="dxa"/>
            <w:vAlign w:val="top"/>
          </w:tcPr>
          <w:p w14:paraId="08329DC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863FCC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297F8FE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908094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77F5D8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2FAF0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F8BDF7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63AA3E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631A717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535AE0A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57EF3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9DB22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bCs/>
                <w:color w:val="auto"/>
                <w:kern w:val="0"/>
                <w:sz w:val="24"/>
                <w:szCs w:val="28"/>
                <w:highlight w:val="none"/>
                <w:lang w:val="en-US" w:eastAsia="zh-CN" w:bidi="ar-SA"/>
              </w:rPr>
            </w:pPr>
            <w:r>
              <w:rPr>
                <w:rFonts w:hint="eastAsia" w:ascii="宋体" w:hAnsi="宋体" w:eastAsia="宋体"/>
                <w:bCs w:val="0"/>
                <w:color w:val="auto"/>
                <w:sz w:val="24"/>
                <w:szCs w:val="24"/>
                <w:highlight w:val="none"/>
              </w:rPr>
              <w:t>（2）以担保函、保证保险形式缴纳履约保证金的，受益人和收取单位须为采购人。</w:t>
            </w:r>
          </w:p>
        </w:tc>
      </w:tr>
      <w:tr w14:paraId="2FCF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977" w:type="dxa"/>
            <w:vAlign w:val="center"/>
          </w:tcPr>
          <w:p w14:paraId="41E4247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62" w:type="dxa"/>
            <w:vAlign w:val="center"/>
          </w:tcPr>
          <w:p w14:paraId="5C9F715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5718" w:type="dxa"/>
            <w:vAlign w:val="center"/>
          </w:tcPr>
          <w:p w14:paraId="50D7BED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lang w:val="en-US" w:eastAsia="zh-CN"/>
              </w:rPr>
              <w:t>成交供应商</w:t>
            </w:r>
          </w:p>
          <w:p w14:paraId="1745C1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auto"/>
                <w:lang w:val="en-US" w:eastAsia="zh-CN"/>
              </w:rPr>
              <w:t>领取成交通知书后一次性缴纳至代理机构</w:t>
            </w:r>
          </w:p>
          <w:p w14:paraId="20635C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color="auto"/>
                <w:lang w:val="en-US" w:eastAsia="zh-CN" w:bidi="ar-SA"/>
              </w:rPr>
              <w:t>1000元，评审费约1240元另行支付（具体以实际发生金额为准，）</w:t>
            </w:r>
          </w:p>
        </w:tc>
      </w:tr>
      <w:tr w14:paraId="1535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0FC40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2262" w:type="dxa"/>
            <w:vAlign w:val="center"/>
          </w:tcPr>
          <w:p w14:paraId="34DBB23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18" w:type="dxa"/>
            <w:vAlign w:val="center"/>
          </w:tcPr>
          <w:p w14:paraId="774C599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递交方式：</w:t>
            </w:r>
            <w:r>
              <w:rPr>
                <w:rFonts w:hint="eastAsia" w:ascii="宋体" w:hAnsi="宋体" w:eastAsia="宋体" w:cs="@仿宋_GB2312"/>
                <w:b w:val="0"/>
                <w:bCs/>
                <w:color w:val="auto"/>
                <w:kern w:val="0"/>
                <w:sz w:val="24"/>
                <w:szCs w:val="28"/>
                <w:highlight w:val="none"/>
                <w:u w:val="single"/>
                <w:lang w:val="en-US" w:eastAsia="zh-CN" w:bidi="ar-SA"/>
              </w:rPr>
              <w:t>书面形式或电子邮件（603727167@qq.com）形式进行质疑；</w:t>
            </w:r>
          </w:p>
          <w:p w14:paraId="0255241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接收部门：</w:t>
            </w:r>
            <w:r>
              <w:rPr>
                <w:rFonts w:hint="eastAsia" w:ascii="宋体" w:hAnsi="宋体" w:eastAsia="宋体" w:cs="@仿宋_GB2312"/>
                <w:b w:val="0"/>
                <w:bCs/>
                <w:color w:val="auto"/>
                <w:kern w:val="0"/>
                <w:sz w:val="24"/>
                <w:szCs w:val="28"/>
                <w:highlight w:val="none"/>
                <w:u w:val="single"/>
                <w:lang w:val="en-US" w:eastAsia="zh-CN" w:bidi="ar-SA"/>
              </w:rPr>
              <w:t>滁州市交通运输局、滁州市城投工程咨询管理有限公司</w:t>
            </w:r>
          </w:p>
          <w:p w14:paraId="7E5A127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联系电话：</w:t>
            </w:r>
            <w:r>
              <w:rPr>
                <w:rFonts w:hint="eastAsia" w:ascii="宋体" w:hAnsi="宋体" w:eastAsia="宋体" w:cs="@仿宋_GB2312"/>
                <w:b w:val="0"/>
                <w:bCs/>
                <w:color w:val="auto"/>
                <w:kern w:val="0"/>
                <w:sz w:val="24"/>
                <w:szCs w:val="28"/>
                <w:highlight w:val="none"/>
                <w:u w:val="single"/>
                <w:lang w:val="en-US" w:eastAsia="zh-CN" w:bidi="ar-SA"/>
              </w:rPr>
              <w:t>0550-3218684、0550-3519590</w:t>
            </w:r>
          </w:p>
          <w:p w14:paraId="233FC6A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通讯地址：</w:t>
            </w:r>
            <w:r>
              <w:rPr>
                <w:rFonts w:hint="eastAsia" w:ascii="宋体" w:hAnsi="宋体" w:eastAsia="宋体" w:cs="@仿宋_GB2312"/>
                <w:b w:val="0"/>
                <w:bCs/>
                <w:color w:val="auto"/>
                <w:kern w:val="0"/>
                <w:sz w:val="24"/>
                <w:szCs w:val="28"/>
                <w:highlight w:val="none"/>
                <w:u w:val="single"/>
                <w:lang w:val="en-US" w:eastAsia="zh-CN" w:bidi="ar-SA"/>
              </w:rPr>
              <w:t>滁州市龙蟠大道200号、滁州市龙蟠大道109号房产商务大厦6楼</w:t>
            </w:r>
          </w:p>
        </w:tc>
      </w:tr>
      <w:tr w14:paraId="1C24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06F304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30</w:t>
            </w:r>
          </w:p>
        </w:tc>
        <w:tc>
          <w:tcPr>
            <w:tcW w:w="2262" w:type="dxa"/>
            <w:vAlign w:val="center"/>
          </w:tcPr>
          <w:p w14:paraId="15916F4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718" w:type="dxa"/>
            <w:vAlign w:val="center"/>
          </w:tcPr>
          <w:p w14:paraId="11EE10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5AB978D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3E09D1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F3D807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E4BFAE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88630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bl>
    <w:p w14:paraId="69C03021">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8" w:name="_Toc27470"/>
      <w:bookmarkStart w:id="59" w:name="_Toc1429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58"/>
      <w:bookmarkEnd w:id="59"/>
    </w:p>
    <w:p w14:paraId="4B86A2A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992CC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1E1562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A8A40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CD15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50BFD0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52A61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757F2CE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7F769CB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1937FAD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bookmarkStart w:id="60"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60"/>
    <w:p w14:paraId="0FA3CBD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32BDD71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40C1CC8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5A85F7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19E6D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59603D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7DA5B4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F4DECB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1E7BAB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12B6D3E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276D7FC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3AEF69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5ED41AC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65C46D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C4D899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25EA748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74C52421">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72E1014">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3F5CE846">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2A50F0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79E3F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EEB4F42">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749AD9A9">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F88F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406EB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3B7C86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493F7FE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0625770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61" w:name="_Hlk16458572"/>
      <w:r>
        <w:rPr>
          <w:rFonts w:hint="eastAsia" w:asciiTheme="minorEastAsia" w:hAnsiTheme="minorEastAsia" w:eastAsiaTheme="minorEastAsia"/>
          <w:color w:val="auto"/>
          <w:sz w:val="24"/>
          <w:highlight w:val="none"/>
        </w:rPr>
        <w:t>滁州市交通运输局（https://jtj.chuzhou.gov.cn/）</w:t>
      </w:r>
      <w:r>
        <w:rPr>
          <w:rFonts w:hint="eastAsia" w:asciiTheme="minorEastAsia" w:hAnsiTheme="minorEastAsia" w:eastAsiaTheme="minorEastAsia"/>
          <w:color w:val="auto"/>
          <w:sz w:val="24"/>
          <w:highlight w:val="none"/>
          <w:lang w:eastAsia="zh-CN"/>
        </w:rPr>
        <w:t>、</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bookmarkEnd w:id="61"/>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516DED0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AD377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708FFC4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35E67C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9B25B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032D1D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64EEFFF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2A2B682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2DCAF1F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5F43F1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0C316F4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12562B5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3F1F0D8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023CB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lang w:val="en-US" w:eastAsia="zh-CN"/>
        </w:rPr>
        <w:t>服务</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0A03F0A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0F567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D7B6AA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B2E96D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29D4946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27C89536">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A28448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96A5F6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CE9D56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90745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048AE0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493D54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42446B2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434B79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10D064F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1E721C9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0B46B75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2122E2F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7B356F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7BA8133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0FF42FC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4B97F52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759568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77D1CB8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25C177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8BA775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2FFF275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59FA0EB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0F9C20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16D0E95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磋商小组进行异常低价响应审查。</w:t>
      </w:r>
    </w:p>
    <w:p w14:paraId="533CDB9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1A3B261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4A09532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13C3B0F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2662764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4FE26E8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EF2442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2F066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71EE663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FC433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4026C24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89B756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5CE43E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5D4FC00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3A0089E">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CEB4D9A">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098E5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7CCFE97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158D122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可以要求供应商进行多轮报价。</w:t>
      </w:r>
    </w:p>
    <w:p w14:paraId="5B78479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F8DB1B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13FB4E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0EC5919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C33AD2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BA92B8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7CCB4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8F88B0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827696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328BAB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4A58329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239F8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6B85F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w:t>
      </w:r>
      <w:r>
        <w:rPr>
          <w:rFonts w:hint="eastAsia" w:ascii="宋体" w:hAnsi="宋体" w:eastAsia="宋体"/>
          <w:color w:val="auto"/>
          <w:sz w:val="24"/>
          <w:szCs w:val="18"/>
          <w:highlight w:val="none"/>
          <w:lang w:val="en-US" w:eastAsia="zh-CN"/>
        </w:rPr>
        <w:t>滁州市交通运输局</w:t>
      </w:r>
      <w:r>
        <w:rPr>
          <w:rFonts w:hint="eastAsia" w:ascii="宋体" w:hAnsi="宋体" w:eastAsia="宋体"/>
          <w:color w:val="auto"/>
          <w:sz w:val="24"/>
          <w:szCs w:val="18"/>
          <w:highlight w:val="none"/>
        </w:rPr>
        <w:t>（https://jtj.chuzhou.gov.cn/）</w:t>
      </w:r>
      <w:r>
        <w:rPr>
          <w:rFonts w:hint="eastAsia" w:ascii="宋体" w:hAnsi="宋体" w:eastAsia="宋体"/>
          <w:color w:val="auto"/>
          <w:sz w:val="24"/>
          <w:szCs w:val="18"/>
          <w:highlight w:val="none"/>
          <w:lang w:eastAsia="zh-CN"/>
        </w:rPr>
        <w:t>、</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r>
        <w:rPr>
          <w:rFonts w:asciiTheme="minorEastAsia" w:hAnsiTheme="minorEastAsia" w:eastAsiaTheme="minorEastAsia"/>
          <w:color w:val="auto"/>
          <w:sz w:val="24"/>
          <w:highlight w:val="none"/>
        </w:rPr>
        <w:t>上发布成交结果公告。</w:t>
      </w:r>
    </w:p>
    <w:p w14:paraId="49E0E82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0677090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75807F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6321A8B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ABCB48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0918D07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986B9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7D9B60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09BCED1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6653574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09D95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4751B7D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13D6A1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1027C9B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6FA83AB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15F4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37C252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7568FC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0C3AC36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21FCD8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C57A66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047C61F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561C34C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64B475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71B184C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E6C1DE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70A4D1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8"/>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r>
        <w:rPr>
          <w:rFonts w:asciiTheme="minorEastAsia" w:hAnsiTheme="minorEastAsia" w:eastAsiaTheme="minorEastAsia"/>
          <w:color w:val="auto"/>
          <w:sz w:val="24"/>
          <w:highlight w:val="none"/>
        </w:rPr>
        <w:br w:type="page"/>
      </w:r>
    </w:p>
    <w:p w14:paraId="481C4DF4">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62" w:name="_Toc19440"/>
      <w:r>
        <w:rPr>
          <w:rFonts w:hint="eastAsia" w:asciiTheme="minorEastAsia" w:hAnsiTheme="minorEastAsia" w:eastAsiaTheme="minorEastAsia"/>
          <w:b/>
          <w:color w:val="auto"/>
          <w:sz w:val="28"/>
          <w:highlight w:val="none"/>
        </w:rPr>
        <w:t>第三章  采购需求</w:t>
      </w:r>
      <w:bookmarkEnd w:id="62"/>
    </w:p>
    <w:p w14:paraId="58E2770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21CC742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0A6291C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bookmarkStart w:id="63" w:name="_Toc7699"/>
      <w:bookmarkStart w:id="64" w:name="_Toc26349"/>
      <w:r>
        <w:rPr>
          <w:rFonts w:hint="eastAsia" w:ascii="宋体" w:hAnsi="宋体" w:eastAsia="宋体"/>
          <w:b/>
          <w:color w:val="auto"/>
          <w:sz w:val="24"/>
          <w:szCs w:val="18"/>
          <w:highlight w:val="none"/>
        </w:rPr>
        <w:t>一、采购需求前附表</w:t>
      </w:r>
      <w:bookmarkEnd w:id="63"/>
      <w:bookmarkEnd w:id="64"/>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961"/>
        <w:gridCol w:w="6532"/>
      </w:tblGrid>
      <w:tr w14:paraId="10F4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22638E4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
                <w:color w:val="auto"/>
                <w:kern w:val="2"/>
                <w:highlight w:val="none"/>
              </w:rPr>
            </w:pPr>
            <w:bookmarkStart w:id="65" w:name="_Hlk16461016"/>
            <w:r>
              <w:rPr>
                <w:rFonts w:hint="eastAsia" w:ascii="宋体" w:hAnsi="宋体" w:eastAsia="宋体"/>
                <w:b/>
                <w:color w:val="auto"/>
                <w:kern w:val="2"/>
                <w:highlight w:val="none"/>
              </w:rPr>
              <w:t>序号</w:t>
            </w:r>
          </w:p>
        </w:tc>
        <w:tc>
          <w:tcPr>
            <w:tcW w:w="1018" w:type="pct"/>
            <w:vAlign w:val="center"/>
          </w:tcPr>
          <w:p w14:paraId="0570569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91" w:type="pct"/>
            <w:vAlign w:val="center"/>
          </w:tcPr>
          <w:p w14:paraId="0A02326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86F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C87B892">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018" w:type="pct"/>
            <w:vAlign w:val="center"/>
          </w:tcPr>
          <w:p w14:paraId="1F08A5F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391" w:type="pct"/>
            <w:vAlign w:val="center"/>
          </w:tcPr>
          <w:p w14:paraId="3403240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lang w:val="en-US" w:eastAsia="zh-CN"/>
              </w:rPr>
              <w:t>提交成果文件后一次性付清合同价款。</w:t>
            </w:r>
          </w:p>
        </w:tc>
      </w:tr>
      <w:tr w14:paraId="6AB2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3C93C8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018" w:type="pct"/>
            <w:vAlign w:val="center"/>
          </w:tcPr>
          <w:p w14:paraId="2AA28F6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391" w:type="pct"/>
            <w:vAlign w:val="center"/>
          </w:tcPr>
          <w:p w14:paraId="63F8C1D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b w:val="0"/>
                <w:color w:val="auto"/>
                <w:sz w:val="24"/>
                <w:highlight w:val="none"/>
                <w:lang w:val="en-US" w:eastAsia="zh-CN"/>
              </w:rPr>
            </w:pPr>
            <w:r>
              <w:rPr>
                <w:rFonts w:hint="default" w:ascii="宋体" w:hAnsi="宋体" w:eastAsia="宋体"/>
                <w:b w:val="0"/>
                <w:color w:val="auto"/>
                <w:sz w:val="24"/>
                <w:highlight w:val="none"/>
                <w:lang w:val="en-US" w:eastAsia="zh-CN"/>
              </w:rPr>
              <w:t>滁州市交通运输局</w:t>
            </w:r>
            <w:r>
              <w:rPr>
                <w:rFonts w:hint="eastAsia" w:ascii="宋体" w:hAnsi="宋体" w:eastAsia="宋体"/>
                <w:b w:val="0"/>
                <w:color w:val="auto"/>
                <w:sz w:val="24"/>
                <w:highlight w:val="none"/>
                <w:lang w:val="en-US" w:eastAsia="zh-CN"/>
              </w:rPr>
              <w:t>（滁州市龙蟠大道200号），具体位置由招标人指定</w:t>
            </w:r>
          </w:p>
        </w:tc>
      </w:tr>
      <w:tr w14:paraId="4D56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1C96310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018" w:type="pct"/>
            <w:vAlign w:val="center"/>
          </w:tcPr>
          <w:p w14:paraId="75092FB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391" w:type="pct"/>
            <w:vAlign w:val="center"/>
          </w:tcPr>
          <w:p w14:paraId="06321F5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自合同签订之日起15</w:t>
            </w:r>
            <w:r>
              <w:rPr>
                <w:rFonts w:hint="eastAsia" w:ascii="宋体" w:hAnsi="宋体" w:eastAsia="宋体"/>
                <w:b w:val="0"/>
                <w:color w:val="auto"/>
                <w:sz w:val="24"/>
                <w:highlight w:val="none"/>
                <w:lang w:eastAsia="zh-CN"/>
              </w:rPr>
              <w:t>个工作</w:t>
            </w:r>
            <w:r>
              <w:rPr>
                <w:rFonts w:hint="eastAsia" w:ascii="宋体" w:hAnsi="宋体" w:eastAsia="宋体"/>
                <w:b w:val="0"/>
                <w:color w:val="auto"/>
                <w:sz w:val="24"/>
                <w:highlight w:val="none"/>
              </w:rPr>
              <w:t>日</w:t>
            </w:r>
            <w:r>
              <w:rPr>
                <w:rFonts w:hint="eastAsia" w:ascii="宋体" w:hAnsi="宋体" w:eastAsia="宋体"/>
                <w:b w:val="0"/>
                <w:color w:val="auto"/>
                <w:sz w:val="24"/>
                <w:highlight w:val="none"/>
              </w:rPr>
              <w:t>内提供设计成果文件</w:t>
            </w:r>
            <w:r>
              <w:rPr>
                <w:rFonts w:hint="eastAsia" w:ascii="宋体" w:hAnsi="宋体" w:eastAsia="宋体"/>
                <w:b w:val="0"/>
                <w:color w:val="auto"/>
                <w:sz w:val="24"/>
                <w:highlight w:val="none"/>
                <w:lang w:eastAsia="zh-CN"/>
              </w:rPr>
              <w:t>。</w:t>
            </w:r>
          </w:p>
        </w:tc>
      </w:tr>
    </w:tbl>
    <w:p w14:paraId="4AFA9AE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bookmarkStart w:id="66" w:name="_Toc23116"/>
      <w:bookmarkStart w:id="67" w:name="_Toc25144"/>
      <w:r>
        <w:rPr>
          <w:rFonts w:hint="eastAsia" w:ascii="宋体" w:hAnsi="宋体" w:eastAsia="宋体"/>
          <w:b/>
          <w:color w:val="auto"/>
          <w:sz w:val="24"/>
          <w:szCs w:val="18"/>
          <w:highlight w:val="none"/>
        </w:rPr>
        <w:t>二、项目概况</w:t>
      </w:r>
      <w:bookmarkEnd w:id="66"/>
      <w:bookmarkEnd w:id="67"/>
    </w:p>
    <w:p w14:paraId="5FCAA17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bookmarkStart w:id="68" w:name="_Toc21757"/>
      <w:bookmarkStart w:id="69" w:name="_Toc8586"/>
      <w:r>
        <w:rPr>
          <w:rFonts w:hint="eastAsia" w:ascii="宋体" w:hAnsi="宋体" w:eastAsia="宋体" w:cs="宋体"/>
          <w:color w:val="auto"/>
          <w:sz w:val="24"/>
          <w:szCs w:val="24"/>
          <w:highlight w:val="none"/>
          <w:lang w:val="en-US" w:eastAsia="zh-CN"/>
        </w:rPr>
        <w:t>为贯彻落实省交通厅对视频会议系统相关要求，解决会议室、安防系统等设施落后、损坏的现状，结合创建全国文明单位要求，拟对部分会议场所和附属设施设备进行升级改造，提升日常保障质效。自筹经费80万元（含本次设计费用）</w:t>
      </w:r>
      <w:r>
        <w:rPr>
          <w:rFonts w:hint="eastAsia" w:ascii="宋体" w:hAnsi="宋体" w:eastAsia="宋体" w:cs="宋体"/>
          <w:color w:val="auto"/>
          <w:sz w:val="24"/>
          <w:szCs w:val="24"/>
          <w:highlight w:val="none"/>
          <w:lang w:val="en-US" w:eastAsia="zh-CN"/>
        </w:rPr>
        <w:t>。具体情况如下：</w:t>
      </w:r>
    </w:p>
    <w:p w14:paraId="0E50202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1.会议室改造</w:t>
      </w:r>
    </w:p>
    <w:p w14:paraId="79E6207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1.1 906会议室改造升级。计划更新视频会议系统及音视频等设备，配套会务硬件及附属设备，顺畅接入交通重点部位数据，将场地改造为集视频会议、干部培训、调度监测、展示功能于一体的多功能会议室。</w:t>
      </w:r>
    </w:p>
    <w:p w14:paraId="382BE36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1.2附三楼会议室改造。计划更新投影及扩音调音设备，解决画面清晰度不足、音响杂音啸叫等问题。</w:t>
      </w:r>
    </w:p>
    <w:p w14:paraId="12247C5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2.安防系统改造</w:t>
      </w:r>
    </w:p>
    <w:p w14:paraId="52D6B0D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更新监控平台（现有监控平台（天地伟业））、显控、存储及网络防护设备，解决系统卡顿宕机问题，提升网络安全防护能力；将地下车库道闸更新为升降格栅式，减少闲杂人员进入地下车库的概率；对北门道闸线路进行破拆更新，并视情调整走线方式。</w:t>
      </w:r>
    </w:p>
    <w:p w14:paraId="361E305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3.附属设施改造</w:t>
      </w:r>
    </w:p>
    <w:p w14:paraId="4EE90B8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3.1阅览室改造</w:t>
      </w:r>
    </w:p>
    <w:p w14:paraId="6A80EF3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由于我局无图书阅览室，根据创建全国文明单位工作需要，拟将923办公室改造为阅览室，计划购置部分桌椅、书柜、书架，并装饰内部氛围。</w:t>
      </w:r>
    </w:p>
    <w:p w14:paraId="3C551AB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3.2一楼楼道吊顶改造</w:t>
      </w:r>
    </w:p>
    <w:p w14:paraId="553E32E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楼楼道原有吊顶为石膏板封闭式，由于近年来空调管道老化漏水，每次检修均需单独切割检修孔，但后续无法恢复原状。拟参照其他楼层，将一楼楼道吊顶改造为活动扣板式，具体样式及尺寸以便于内部管线检修维护为准。</w:t>
      </w:r>
    </w:p>
    <w:p w14:paraId="4B93559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三、服务需求</w:t>
      </w:r>
      <w:bookmarkEnd w:id="68"/>
      <w:bookmarkEnd w:id="69"/>
    </w:p>
    <w:bookmarkEnd w:id="65"/>
    <w:p w14:paraId="2822447E">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1.依据招标人需求提供符合要求的设计成果文件。</w:t>
      </w:r>
      <w:r>
        <w:rPr>
          <w:rFonts w:hint="eastAsia" w:ascii="宋体" w:hAnsi="宋体" w:cs="宋体"/>
          <w:color w:val="auto"/>
          <w:kern w:val="2"/>
          <w:sz w:val="24"/>
          <w:szCs w:val="24"/>
          <w:highlight w:val="none"/>
          <w:lang w:val="en-US" w:eastAsia="zh-CN" w:bidi="ar-SA"/>
        </w:rPr>
        <w:t>确保设计成果文件符合行业规定。</w:t>
      </w:r>
    </w:p>
    <w:p w14:paraId="3E5A7196">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2.提供的设计成果文件可直接用于本项目工程量清单及最高投标限价的编制，无须进行二次深化设计。</w:t>
      </w:r>
    </w:p>
    <w:p w14:paraId="243275D9">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asciiTheme="minorEastAsia" w:hAnsiTheme="minorEastAsia" w:eastAsiaTheme="minorEastAsia"/>
          <w:color w:val="auto"/>
          <w:sz w:val="24"/>
          <w:highlight w:val="none"/>
        </w:rPr>
      </w:pPr>
      <w:r>
        <w:rPr>
          <w:rFonts w:hint="eastAsia" w:ascii="宋体" w:hAnsi="宋体" w:eastAsia="宋体" w:cs="宋体"/>
          <w:color w:val="auto"/>
          <w:kern w:val="2"/>
          <w:sz w:val="24"/>
          <w:szCs w:val="24"/>
          <w:highlight w:val="none"/>
          <w:lang w:val="en-US" w:eastAsia="zh-CN" w:bidi="ar-SA"/>
        </w:rPr>
        <w:t>3.对于设计范围内的材料及设备，明确具体详细参数，且至少保证市场上有三家及以上厂家满足，并提供对应证明材料。</w:t>
      </w:r>
      <w:r>
        <w:rPr>
          <w:rFonts w:asciiTheme="minorEastAsia" w:hAnsiTheme="minorEastAsia" w:eastAsiaTheme="minorEastAsia"/>
          <w:color w:val="auto"/>
          <w:sz w:val="24"/>
          <w:highlight w:val="none"/>
        </w:rPr>
        <w:br w:type="page"/>
      </w:r>
    </w:p>
    <w:p w14:paraId="0BCB7660">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0" w:name="_Toc8668"/>
      <w:r>
        <w:rPr>
          <w:rFonts w:hint="eastAsia" w:asciiTheme="minorEastAsia" w:hAnsiTheme="minorEastAsia" w:eastAsiaTheme="minorEastAsia"/>
          <w:b/>
          <w:color w:val="auto"/>
          <w:sz w:val="28"/>
          <w:highlight w:val="none"/>
        </w:rPr>
        <w:t>第四章  评审方法和标准</w:t>
      </w:r>
      <w:bookmarkEnd w:id="70"/>
    </w:p>
    <w:p w14:paraId="4C1DABBA">
      <w:pPr>
        <w:spacing w:line="360" w:lineRule="auto"/>
        <w:ind w:firstLine="437"/>
        <w:outlineLvl w:val="1"/>
        <w:rPr>
          <w:rFonts w:asciiTheme="minorEastAsia" w:hAnsiTheme="minorEastAsia" w:eastAsiaTheme="minorEastAsia"/>
          <w:b/>
          <w:color w:val="auto"/>
          <w:sz w:val="24"/>
          <w:highlight w:val="none"/>
        </w:rPr>
      </w:pPr>
      <w:bookmarkStart w:id="71" w:name="_Toc21211"/>
      <w:bookmarkStart w:id="72" w:name="_Toc12199"/>
      <w:r>
        <w:rPr>
          <w:rFonts w:hint="eastAsia" w:asciiTheme="minorEastAsia" w:hAnsiTheme="minorEastAsia" w:eastAsiaTheme="minorEastAsia"/>
          <w:b/>
          <w:color w:val="auto"/>
          <w:sz w:val="24"/>
          <w:highlight w:val="none"/>
        </w:rPr>
        <w:t>一、总则</w:t>
      </w:r>
      <w:bookmarkEnd w:id="71"/>
      <w:bookmarkEnd w:id="72"/>
    </w:p>
    <w:p w14:paraId="63E02F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0A3B915D">
      <w:pPr>
        <w:spacing w:line="360" w:lineRule="auto"/>
        <w:ind w:firstLine="437"/>
        <w:outlineLvl w:val="1"/>
        <w:rPr>
          <w:rFonts w:asciiTheme="minorEastAsia" w:hAnsiTheme="minorEastAsia" w:eastAsiaTheme="minorEastAsia"/>
          <w:b/>
          <w:color w:val="auto"/>
          <w:sz w:val="24"/>
          <w:highlight w:val="none"/>
        </w:rPr>
      </w:pPr>
      <w:bookmarkStart w:id="73" w:name="_Toc16885"/>
      <w:bookmarkStart w:id="74" w:name="_Toc13039"/>
      <w:r>
        <w:rPr>
          <w:rFonts w:hint="eastAsia" w:asciiTheme="minorEastAsia" w:hAnsiTheme="minorEastAsia" w:eastAsiaTheme="minorEastAsia"/>
          <w:b/>
          <w:color w:val="auto"/>
          <w:sz w:val="24"/>
          <w:highlight w:val="none"/>
        </w:rPr>
        <w:t>二、评审方法</w:t>
      </w:r>
      <w:bookmarkEnd w:id="73"/>
      <w:bookmarkEnd w:id="74"/>
    </w:p>
    <w:p w14:paraId="5C1897C3">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4687B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6"/>
        <w:tblW w:w="5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861"/>
        <w:gridCol w:w="5149"/>
        <w:gridCol w:w="2339"/>
      </w:tblGrid>
      <w:tr w14:paraId="69A9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A29EF4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329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tcBorders>
              <w:bottom w:val="single" w:color="auto" w:sz="4" w:space="0"/>
            </w:tcBorders>
            <w:vAlign w:val="center"/>
          </w:tcPr>
          <w:p w14:paraId="259F92F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22" w:type="pct"/>
            <w:tcBorders>
              <w:bottom w:val="single" w:color="auto" w:sz="4" w:space="0"/>
            </w:tcBorders>
            <w:vAlign w:val="center"/>
          </w:tcPr>
          <w:p w14:paraId="1471E629">
            <w:pPr>
              <w:pStyle w:val="46"/>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551" w:type="pct"/>
            <w:tcBorders>
              <w:bottom w:val="single" w:color="auto" w:sz="4" w:space="0"/>
            </w:tcBorders>
            <w:vAlign w:val="center"/>
          </w:tcPr>
          <w:p w14:paraId="3FA8934E">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156" w:type="pct"/>
            <w:tcBorders>
              <w:bottom w:val="single" w:color="auto" w:sz="4" w:space="0"/>
            </w:tcBorders>
            <w:vAlign w:val="center"/>
          </w:tcPr>
          <w:p w14:paraId="228B9EF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381D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8" w:type="pct"/>
            <w:tcBorders>
              <w:bottom w:val="single" w:color="auto" w:sz="4" w:space="0"/>
            </w:tcBorders>
            <w:vAlign w:val="center"/>
          </w:tcPr>
          <w:p w14:paraId="19040A31">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22" w:type="pct"/>
            <w:tcBorders>
              <w:bottom w:val="single" w:color="auto" w:sz="4" w:space="0"/>
            </w:tcBorders>
            <w:vAlign w:val="center"/>
          </w:tcPr>
          <w:p w14:paraId="0902EBEC">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51" w:type="pct"/>
            <w:tcBorders>
              <w:bottom w:val="single" w:color="auto" w:sz="4" w:space="0"/>
            </w:tcBorders>
            <w:vAlign w:val="center"/>
          </w:tcPr>
          <w:p w14:paraId="42E11A7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2BC32796">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3D3D22B7">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A42C32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A2C572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156" w:type="pct"/>
            <w:vAlign w:val="center"/>
          </w:tcPr>
          <w:p w14:paraId="6D95052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3B7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8" w:type="pct"/>
            <w:tcBorders>
              <w:bottom w:val="single" w:color="auto" w:sz="4" w:space="0"/>
            </w:tcBorders>
            <w:vAlign w:val="center"/>
          </w:tcPr>
          <w:p w14:paraId="6225BBD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22" w:type="pct"/>
            <w:tcBorders>
              <w:bottom w:val="single" w:color="auto" w:sz="4" w:space="0"/>
            </w:tcBorders>
            <w:vAlign w:val="center"/>
          </w:tcPr>
          <w:p w14:paraId="2CF8C0E1">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551" w:type="pct"/>
            <w:tcBorders>
              <w:bottom w:val="single" w:color="auto" w:sz="4" w:space="0"/>
            </w:tcBorders>
            <w:vAlign w:val="center"/>
          </w:tcPr>
          <w:p w14:paraId="448E676C">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156" w:type="pct"/>
            <w:vAlign w:val="center"/>
          </w:tcPr>
          <w:p w14:paraId="0CF371A0">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F25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tcBorders>
              <w:bottom w:val="single" w:color="auto" w:sz="4" w:space="0"/>
            </w:tcBorders>
            <w:vAlign w:val="center"/>
          </w:tcPr>
          <w:p w14:paraId="0D8939ED">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22" w:type="pct"/>
            <w:tcBorders>
              <w:bottom w:val="single" w:color="auto" w:sz="4" w:space="0"/>
            </w:tcBorders>
            <w:vAlign w:val="center"/>
          </w:tcPr>
          <w:p w14:paraId="66B82CE2">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551" w:type="pct"/>
            <w:tcBorders>
              <w:bottom w:val="single" w:color="auto" w:sz="4" w:space="0"/>
            </w:tcBorders>
            <w:vAlign w:val="center"/>
          </w:tcPr>
          <w:p w14:paraId="4C0A1038">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156" w:type="pct"/>
            <w:tcBorders>
              <w:bottom w:val="single" w:color="auto" w:sz="4" w:space="0"/>
            </w:tcBorders>
            <w:vAlign w:val="center"/>
          </w:tcPr>
          <w:p w14:paraId="4AEED1B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0D50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68" w:type="pct"/>
            <w:tcBorders>
              <w:bottom w:val="single" w:color="auto" w:sz="4" w:space="0"/>
            </w:tcBorders>
            <w:vAlign w:val="center"/>
          </w:tcPr>
          <w:p w14:paraId="2521AD97">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22" w:type="pct"/>
            <w:tcBorders>
              <w:bottom w:val="single" w:color="auto" w:sz="4" w:space="0"/>
            </w:tcBorders>
            <w:vAlign w:val="center"/>
          </w:tcPr>
          <w:p w14:paraId="7CF2F0CE">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供应商基本要求</w:t>
            </w:r>
          </w:p>
        </w:tc>
        <w:tc>
          <w:tcPr>
            <w:tcW w:w="2551" w:type="pct"/>
            <w:tcBorders>
              <w:bottom w:val="single" w:color="auto" w:sz="4" w:space="0"/>
            </w:tcBorders>
            <w:vAlign w:val="top"/>
          </w:tcPr>
          <w:p w14:paraId="59C78AE8">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en-US"/>
              </w:rPr>
              <w:t>同时具有有效的建筑装饰工程设计专项丙级（或以上）和建筑智能化系统设计乙级（或以上）资质；</w:t>
            </w:r>
          </w:p>
          <w:p w14:paraId="3B9A6684">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en-US"/>
              </w:rPr>
              <w:t>.供应商拟派项目负责人具有中级（或以上）职称证书。</w:t>
            </w:r>
          </w:p>
        </w:tc>
        <w:tc>
          <w:tcPr>
            <w:tcW w:w="1156" w:type="pct"/>
            <w:tcBorders>
              <w:bottom w:val="single" w:color="auto" w:sz="4" w:space="0"/>
            </w:tcBorders>
            <w:vAlign w:val="center"/>
          </w:tcPr>
          <w:p w14:paraId="1F77D7BF">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提供对应材料材料扫描件</w:t>
            </w:r>
          </w:p>
        </w:tc>
      </w:tr>
      <w:tr w14:paraId="5AB5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4A69FFCC">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922" w:type="pct"/>
            <w:vAlign w:val="center"/>
          </w:tcPr>
          <w:p w14:paraId="49ECB7FC">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551" w:type="pct"/>
            <w:vAlign w:val="center"/>
          </w:tcPr>
          <w:p w14:paraId="442741D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6" w:type="pct"/>
            <w:vAlign w:val="center"/>
          </w:tcPr>
          <w:p w14:paraId="21C10CEA">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D0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07D9B6E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22" w:type="pct"/>
            <w:vAlign w:val="center"/>
          </w:tcPr>
          <w:p w14:paraId="66C0086A">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551" w:type="pct"/>
            <w:vAlign w:val="center"/>
          </w:tcPr>
          <w:p w14:paraId="615CC9DB">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6" w:type="pct"/>
            <w:vAlign w:val="center"/>
          </w:tcPr>
          <w:p w14:paraId="3DFFDAF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31E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268BB8D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22" w:type="pct"/>
            <w:vAlign w:val="center"/>
          </w:tcPr>
          <w:p w14:paraId="1EB2D117">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551" w:type="pct"/>
            <w:vAlign w:val="center"/>
          </w:tcPr>
          <w:p w14:paraId="710F20F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156" w:type="pct"/>
            <w:vAlign w:val="center"/>
          </w:tcPr>
          <w:p w14:paraId="53E6CD4E">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6E10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5F7EA35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22" w:type="pct"/>
            <w:vAlign w:val="center"/>
          </w:tcPr>
          <w:p w14:paraId="15B477E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551" w:type="pct"/>
            <w:vAlign w:val="center"/>
          </w:tcPr>
          <w:p w14:paraId="6621EE4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156" w:type="pct"/>
            <w:vAlign w:val="center"/>
          </w:tcPr>
          <w:p w14:paraId="0D74B42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5FC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8" w:type="pct"/>
            <w:vAlign w:val="center"/>
          </w:tcPr>
          <w:p w14:paraId="0A85968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22" w:type="pct"/>
            <w:vAlign w:val="center"/>
          </w:tcPr>
          <w:p w14:paraId="41B3A9BB">
            <w:pPr>
              <w:spacing w:line="360" w:lineRule="auto"/>
              <w:outlineLvl w:val="2"/>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2551" w:type="pct"/>
            <w:vAlign w:val="center"/>
          </w:tcPr>
          <w:p w14:paraId="65158D8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156" w:type="pct"/>
            <w:vAlign w:val="center"/>
          </w:tcPr>
          <w:p w14:paraId="1479E7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1E8C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27AB8D7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22" w:type="pct"/>
            <w:vAlign w:val="center"/>
          </w:tcPr>
          <w:p w14:paraId="5CD310CC">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551" w:type="pct"/>
            <w:vAlign w:val="center"/>
          </w:tcPr>
          <w:p w14:paraId="1CF287E9">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156" w:type="pct"/>
            <w:vAlign w:val="center"/>
          </w:tcPr>
          <w:p w14:paraId="499AF4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7D1544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C934F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综合评分</w:t>
      </w:r>
    </w:p>
    <w:p w14:paraId="72ACC5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0C15846E">
      <w:pPr>
        <w:spacing w:line="360" w:lineRule="auto"/>
        <w:ind w:firstLine="435"/>
        <w:rPr>
          <w:color w:val="auto"/>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85</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15</w:t>
      </w:r>
      <w:r>
        <w:rPr>
          <w:rFonts w:asciiTheme="minorEastAsia" w:hAnsiTheme="minorEastAsia" w:eastAsiaTheme="minorEastAsia"/>
          <w:color w:val="auto"/>
          <w:sz w:val="24"/>
          <w:highlight w:val="none"/>
        </w:rPr>
        <w:t>%。具体评分细则如下：</w:t>
      </w:r>
    </w:p>
    <w:tbl>
      <w:tblPr>
        <w:tblStyle w:val="26"/>
        <w:tblW w:w="5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1434"/>
        <w:gridCol w:w="6622"/>
        <w:gridCol w:w="1340"/>
      </w:tblGrid>
      <w:tr w14:paraId="0A07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03" w:type="pct"/>
            <w:tcBorders>
              <w:top w:val="single" w:color="auto" w:sz="4" w:space="0"/>
              <w:left w:val="single" w:color="auto" w:sz="4" w:space="0"/>
              <w:bottom w:val="single" w:color="auto" w:sz="4" w:space="0"/>
              <w:right w:val="single" w:color="auto" w:sz="4" w:space="0"/>
            </w:tcBorders>
            <w:vAlign w:val="center"/>
          </w:tcPr>
          <w:p w14:paraId="58BEA5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5E953DB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评分内容</w:t>
            </w:r>
          </w:p>
        </w:tc>
        <w:tc>
          <w:tcPr>
            <w:tcW w:w="3098" w:type="pct"/>
            <w:tcBorders>
              <w:top w:val="single" w:color="auto" w:sz="4" w:space="0"/>
              <w:left w:val="single" w:color="auto" w:sz="4" w:space="0"/>
              <w:bottom w:val="single" w:color="auto" w:sz="4" w:space="0"/>
              <w:right w:val="single" w:color="auto" w:sz="4" w:space="0"/>
            </w:tcBorders>
            <w:vAlign w:val="center"/>
          </w:tcPr>
          <w:p w14:paraId="2F09672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评分标准</w:t>
            </w:r>
          </w:p>
        </w:tc>
        <w:tc>
          <w:tcPr>
            <w:tcW w:w="626" w:type="pct"/>
            <w:tcBorders>
              <w:top w:val="single" w:color="auto" w:sz="4" w:space="0"/>
              <w:left w:val="single" w:color="auto" w:sz="4" w:space="0"/>
              <w:bottom w:val="single" w:color="auto" w:sz="4" w:space="0"/>
              <w:right w:val="single" w:color="auto" w:sz="4" w:space="0"/>
            </w:tcBorders>
            <w:vAlign w:val="center"/>
          </w:tcPr>
          <w:p w14:paraId="23695DC0">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分值范围</w:t>
            </w:r>
          </w:p>
        </w:tc>
      </w:tr>
      <w:tr w14:paraId="01A7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restart"/>
            <w:tcBorders>
              <w:top w:val="single" w:color="auto" w:sz="4" w:space="0"/>
              <w:left w:val="single" w:color="auto" w:sz="4" w:space="0"/>
              <w:right w:val="single" w:color="auto" w:sz="4" w:space="0"/>
            </w:tcBorders>
            <w:vAlign w:val="center"/>
          </w:tcPr>
          <w:p w14:paraId="2489652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技术资信分</w:t>
            </w:r>
          </w:p>
          <w:p w14:paraId="0AE8F60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85</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rPr>
              <w:t>）</w:t>
            </w:r>
          </w:p>
        </w:tc>
        <w:tc>
          <w:tcPr>
            <w:tcW w:w="671" w:type="pct"/>
            <w:tcBorders>
              <w:top w:val="single" w:color="auto" w:sz="4" w:space="0"/>
              <w:left w:val="single" w:color="auto" w:sz="4" w:space="0"/>
              <w:bottom w:val="single" w:color="auto" w:sz="4" w:space="0"/>
              <w:right w:val="single" w:color="auto" w:sz="4" w:space="0"/>
            </w:tcBorders>
            <w:vAlign w:val="center"/>
          </w:tcPr>
          <w:p w14:paraId="35FB8D5F">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供应商业绩</w:t>
            </w:r>
          </w:p>
        </w:tc>
        <w:tc>
          <w:tcPr>
            <w:tcW w:w="3098" w:type="pct"/>
            <w:tcBorders>
              <w:top w:val="single" w:color="auto" w:sz="4" w:space="0"/>
              <w:left w:val="single" w:color="auto" w:sz="4" w:space="0"/>
              <w:bottom w:val="single" w:color="auto" w:sz="4" w:space="0"/>
              <w:right w:val="single" w:color="auto" w:sz="4" w:space="0"/>
            </w:tcBorders>
            <w:vAlign w:val="center"/>
          </w:tcPr>
          <w:p w14:paraId="312154DA">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供应商</w:t>
            </w:r>
            <w:r>
              <w:rPr>
                <w:rFonts w:hint="eastAsia" w:asciiTheme="minorEastAsia" w:hAnsiTheme="minorEastAsia" w:eastAsiaTheme="minorEastAsia" w:cstheme="minorEastAsia"/>
                <w:color w:val="auto"/>
                <w:kern w:val="0"/>
                <w:sz w:val="24"/>
                <w:szCs w:val="24"/>
                <w:highlight w:val="none"/>
              </w:rPr>
              <w:t>202</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年1月1日以来，</w:t>
            </w:r>
            <w:r>
              <w:rPr>
                <w:rFonts w:hint="eastAsia" w:asciiTheme="minorEastAsia" w:hAnsiTheme="minorEastAsia" w:eastAsiaTheme="minorEastAsia" w:cstheme="minorEastAsia"/>
                <w:color w:val="auto"/>
                <w:kern w:val="0"/>
                <w:sz w:val="24"/>
                <w:szCs w:val="24"/>
                <w:highlight w:val="none"/>
                <w:lang w:val="en-US" w:eastAsia="zh-CN"/>
              </w:rPr>
              <w:t>每提供一个设计业绩（设计内容至少包含装饰装修和智能化）的</w:t>
            </w:r>
            <w:r>
              <w:rPr>
                <w:rFonts w:hint="eastAsia" w:asciiTheme="minorEastAsia" w:hAnsiTheme="minorEastAsia" w:eastAsiaTheme="minorEastAsia" w:cstheme="minorEastAsia"/>
                <w:color w:val="auto"/>
                <w:kern w:val="0"/>
                <w:sz w:val="24"/>
                <w:szCs w:val="24"/>
                <w:highlight w:val="none"/>
              </w:rPr>
              <w:t>得</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p>
          <w:p w14:paraId="2BDA5BFB">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备注：须提供合同有效证明材料</w:t>
            </w:r>
            <w:r>
              <w:rPr>
                <w:rFonts w:hint="eastAsia" w:asciiTheme="minorEastAsia" w:hAnsiTheme="minorEastAsia" w:eastAsiaTheme="minorEastAsia" w:cstheme="minorEastAsia"/>
                <w:b/>
                <w:bCs/>
                <w:color w:val="auto"/>
                <w:kern w:val="0"/>
                <w:sz w:val="24"/>
                <w:szCs w:val="24"/>
                <w:highlight w:val="none"/>
                <w:lang w:val="en-US" w:eastAsia="zh-CN"/>
              </w:rPr>
              <w:t>扫描</w:t>
            </w:r>
            <w:r>
              <w:rPr>
                <w:rFonts w:hint="eastAsia" w:asciiTheme="minorEastAsia" w:hAnsiTheme="minorEastAsia" w:eastAsiaTheme="minorEastAsia" w:cstheme="minorEastAsia"/>
                <w:b/>
                <w:bCs/>
                <w:color w:val="auto"/>
                <w:kern w:val="0"/>
                <w:sz w:val="24"/>
                <w:szCs w:val="24"/>
                <w:highlight w:val="none"/>
              </w:rPr>
              <w:t>件以供评审，否则不得分。如合同不能反映服务</w:t>
            </w:r>
            <w:r>
              <w:rPr>
                <w:rFonts w:hint="eastAsia" w:asciiTheme="minorEastAsia" w:hAnsiTheme="minorEastAsia" w:eastAsiaTheme="minorEastAsia" w:cstheme="minorEastAsia"/>
                <w:b/>
                <w:bCs/>
                <w:color w:val="auto"/>
                <w:kern w:val="0"/>
                <w:sz w:val="24"/>
                <w:szCs w:val="24"/>
                <w:highlight w:val="none"/>
                <w:lang w:val="en-US" w:eastAsia="zh-CN"/>
              </w:rPr>
              <w:t>内容</w:t>
            </w:r>
            <w:r>
              <w:rPr>
                <w:rFonts w:hint="eastAsia" w:asciiTheme="minorEastAsia" w:hAnsiTheme="minorEastAsia" w:eastAsiaTheme="minorEastAsia" w:cstheme="minorEastAsia"/>
                <w:b/>
                <w:bCs/>
                <w:color w:val="auto"/>
                <w:kern w:val="0"/>
                <w:sz w:val="24"/>
                <w:szCs w:val="24"/>
                <w:highlight w:val="none"/>
              </w:rPr>
              <w:t>，提供业主证明材料，否则不予认可。</w:t>
            </w:r>
          </w:p>
        </w:tc>
        <w:tc>
          <w:tcPr>
            <w:tcW w:w="626" w:type="pct"/>
            <w:tcBorders>
              <w:top w:val="single" w:color="auto" w:sz="4" w:space="0"/>
              <w:left w:val="single" w:color="auto" w:sz="4" w:space="0"/>
              <w:bottom w:val="single" w:color="auto" w:sz="4" w:space="0"/>
              <w:right w:val="single" w:color="auto" w:sz="4" w:space="0"/>
            </w:tcBorders>
            <w:vAlign w:val="center"/>
          </w:tcPr>
          <w:p w14:paraId="3CCBACA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5112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2F73A5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3CD0F1AE">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初步方案</w:t>
            </w:r>
          </w:p>
        </w:tc>
        <w:tc>
          <w:tcPr>
            <w:tcW w:w="3098" w:type="pct"/>
            <w:tcBorders>
              <w:top w:val="single" w:color="auto" w:sz="4" w:space="0"/>
              <w:left w:val="single" w:color="auto" w:sz="4" w:space="0"/>
              <w:bottom w:val="single" w:color="auto" w:sz="4" w:space="0"/>
              <w:right w:val="single" w:color="auto" w:sz="4" w:space="0"/>
            </w:tcBorders>
            <w:vAlign w:val="center"/>
          </w:tcPr>
          <w:p w14:paraId="4B1F2CB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整体项目的</w:t>
            </w:r>
            <w:r>
              <w:rPr>
                <w:rFonts w:hint="eastAsia" w:asciiTheme="minorEastAsia" w:hAnsiTheme="minorEastAsia" w:eastAsiaTheme="minorEastAsia" w:cstheme="minorEastAsia"/>
                <w:color w:val="auto"/>
                <w:kern w:val="0"/>
                <w:sz w:val="24"/>
                <w:szCs w:val="24"/>
                <w:highlight w:val="none"/>
                <w:lang w:val="en-US" w:eastAsia="zh-CN"/>
              </w:rPr>
              <w:t>初步</w:t>
            </w:r>
            <w:r>
              <w:rPr>
                <w:rFonts w:hint="eastAsia" w:asciiTheme="minorEastAsia" w:hAnsiTheme="minorEastAsia" w:eastAsiaTheme="minorEastAsia" w:cstheme="minorEastAsia"/>
                <w:color w:val="auto"/>
                <w:kern w:val="0"/>
                <w:sz w:val="24"/>
                <w:szCs w:val="24"/>
                <w:highlight w:val="none"/>
              </w:rPr>
              <w:t>方案</w:t>
            </w:r>
            <w:r>
              <w:rPr>
                <w:rFonts w:hint="eastAsia" w:asciiTheme="minorEastAsia" w:hAnsiTheme="minorEastAsia" w:eastAsiaTheme="minorEastAsia" w:cstheme="minorEastAsia"/>
                <w:color w:val="auto"/>
                <w:kern w:val="0"/>
                <w:sz w:val="24"/>
                <w:szCs w:val="24"/>
                <w:highlight w:val="none"/>
                <w:lang w:val="en-US" w:eastAsia="zh-CN"/>
              </w:rPr>
              <w:t>（附彩色渲染效果图）</w:t>
            </w:r>
            <w:r>
              <w:rPr>
                <w:rFonts w:hint="eastAsia" w:asciiTheme="minorEastAsia" w:hAnsiTheme="minorEastAsia" w:eastAsiaTheme="minorEastAsia" w:cstheme="minorEastAsia"/>
                <w:color w:val="auto"/>
                <w:kern w:val="0"/>
                <w:sz w:val="24"/>
                <w:szCs w:val="24"/>
                <w:highlight w:val="none"/>
              </w:rPr>
              <w:t>与</w:t>
            </w:r>
            <w:r>
              <w:rPr>
                <w:rFonts w:hint="eastAsia" w:asciiTheme="minorEastAsia" w:hAnsiTheme="minorEastAsia" w:eastAsiaTheme="minorEastAsia" w:cstheme="minorEastAsia"/>
                <w:color w:val="auto"/>
                <w:kern w:val="0"/>
                <w:sz w:val="24"/>
                <w:szCs w:val="24"/>
                <w:highlight w:val="none"/>
                <w:lang w:val="en-US" w:eastAsia="zh-CN"/>
              </w:rPr>
              <w:t>项目后期改造方案匹配</w:t>
            </w:r>
            <w:r>
              <w:rPr>
                <w:rFonts w:hint="eastAsia" w:asciiTheme="minorEastAsia" w:hAnsiTheme="minorEastAsia" w:eastAsiaTheme="minorEastAsia" w:cstheme="minorEastAsia"/>
                <w:color w:val="auto"/>
                <w:kern w:val="0"/>
                <w:sz w:val="24"/>
                <w:szCs w:val="24"/>
                <w:highlight w:val="none"/>
              </w:rPr>
              <w:t>，布局合理，功能分区明确，合理利用</w:t>
            </w:r>
            <w:r>
              <w:rPr>
                <w:rFonts w:hint="eastAsia" w:asciiTheme="minorEastAsia" w:hAnsiTheme="minorEastAsia" w:eastAsiaTheme="minorEastAsia" w:cstheme="minorEastAsia"/>
                <w:color w:val="auto"/>
                <w:kern w:val="0"/>
                <w:sz w:val="24"/>
                <w:szCs w:val="24"/>
                <w:highlight w:val="none"/>
                <w:lang w:val="en-US" w:eastAsia="zh-CN"/>
              </w:rPr>
              <w:t>场地</w:t>
            </w:r>
            <w:r>
              <w:rPr>
                <w:rFonts w:hint="eastAsia" w:asciiTheme="minorEastAsia" w:hAnsiTheme="minorEastAsia" w:eastAsiaTheme="minorEastAsia" w:cstheme="minorEastAsia"/>
                <w:color w:val="auto"/>
                <w:kern w:val="0"/>
                <w:sz w:val="24"/>
                <w:szCs w:val="24"/>
                <w:highlight w:val="none"/>
              </w:rPr>
              <w:t>，满足使用功能</w:t>
            </w:r>
            <w:r>
              <w:rPr>
                <w:rFonts w:hint="eastAsia" w:asciiTheme="minorEastAsia" w:hAnsiTheme="minorEastAsia" w:eastAsiaTheme="minorEastAsia" w:cstheme="minorEastAsia"/>
                <w:color w:val="auto"/>
                <w:kern w:val="0"/>
                <w:sz w:val="24"/>
                <w:szCs w:val="24"/>
                <w:highlight w:val="none"/>
                <w:lang w:val="en-US" w:eastAsia="zh-CN"/>
              </w:rPr>
              <w:t>且美观</w:t>
            </w:r>
            <w:r>
              <w:rPr>
                <w:rFonts w:hint="eastAsia" w:asciiTheme="minorEastAsia" w:hAnsiTheme="minorEastAsia" w:eastAsiaTheme="minorEastAsia" w:cstheme="minorEastAsia"/>
                <w:color w:val="auto"/>
                <w:kern w:val="0"/>
                <w:sz w:val="24"/>
                <w:szCs w:val="24"/>
                <w:highlight w:val="none"/>
              </w:rPr>
              <w:t>。</w:t>
            </w:r>
          </w:p>
          <w:p w14:paraId="67FA83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20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17</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14</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11</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20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6187A75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0-20分</w:t>
            </w:r>
          </w:p>
        </w:tc>
      </w:tr>
      <w:tr w14:paraId="1EB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3C8F5122">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FAD8BB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设备选用方案</w:t>
            </w:r>
          </w:p>
        </w:tc>
        <w:tc>
          <w:tcPr>
            <w:tcW w:w="3098" w:type="pct"/>
            <w:tcBorders>
              <w:top w:val="single" w:color="auto" w:sz="4" w:space="0"/>
              <w:left w:val="single" w:color="auto" w:sz="4" w:space="0"/>
              <w:bottom w:val="single" w:color="auto" w:sz="4" w:space="0"/>
              <w:right w:val="single" w:color="auto" w:sz="4" w:space="0"/>
            </w:tcBorders>
            <w:vAlign w:val="center"/>
          </w:tcPr>
          <w:p w14:paraId="47A9BB6A">
            <w:pPr>
              <w:keepNext w:val="0"/>
              <w:keepLines w:val="0"/>
              <w:pageBreakBefore w:val="0"/>
              <w:widowControl w:val="0"/>
              <w:kinsoku/>
              <w:wordWrap/>
              <w:overflowPunct/>
              <w:topLinePunct w:val="0"/>
              <w:autoSpaceDE/>
              <w:autoSpaceDN/>
              <w:bidi w:val="0"/>
              <w:spacing w:line="360" w:lineRule="auto"/>
              <w:jc w:val="left"/>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针对本项目的改造需求</w:t>
            </w:r>
            <w:r>
              <w:rPr>
                <w:rFonts w:hint="eastAsia" w:asciiTheme="minorEastAsia" w:hAnsiTheme="minorEastAsia" w:eastAsiaTheme="minorEastAsia" w:cstheme="minorEastAsia"/>
                <w:color w:val="auto"/>
                <w:kern w:val="0"/>
                <w:sz w:val="24"/>
                <w:szCs w:val="24"/>
                <w:highlight w:val="none"/>
                <w:lang w:val="en-US" w:eastAsia="zh-CN"/>
              </w:rPr>
              <w:t>，结合项目实际预算及功能需求，提供不少于2套</w:t>
            </w:r>
            <w:r>
              <w:rPr>
                <w:rFonts w:hint="eastAsia" w:asciiTheme="minorEastAsia" w:hAnsiTheme="minorEastAsia" w:eastAsiaTheme="minorEastAsia" w:cstheme="minorEastAsia"/>
                <w:color w:val="auto"/>
                <w:kern w:val="0"/>
                <w:sz w:val="24"/>
                <w:szCs w:val="24"/>
                <w:highlight w:val="none"/>
                <w:lang w:val="en-US" w:eastAsia="zh-CN"/>
              </w:rPr>
              <w:t>拟用设备比选</w:t>
            </w:r>
            <w:r>
              <w:rPr>
                <w:rFonts w:hint="eastAsia" w:asciiTheme="minorEastAsia" w:hAnsiTheme="minorEastAsia" w:eastAsiaTheme="minorEastAsia" w:cstheme="minorEastAsia"/>
                <w:color w:val="auto"/>
                <w:kern w:val="0"/>
                <w:sz w:val="24"/>
                <w:szCs w:val="24"/>
                <w:highlight w:val="none"/>
                <w:lang w:val="en-US" w:eastAsia="zh-CN"/>
              </w:rPr>
              <w:t>方案，明确其优缺点。</w:t>
            </w:r>
          </w:p>
          <w:p w14:paraId="4B5AAF87">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25</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22</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19</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16</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25</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50AC3B5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0-25分</w:t>
            </w:r>
          </w:p>
        </w:tc>
      </w:tr>
      <w:tr w14:paraId="5D5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41DDF5F1">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7E075D8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设计进度、设计质量保证措施</w:t>
            </w:r>
          </w:p>
        </w:tc>
        <w:tc>
          <w:tcPr>
            <w:tcW w:w="3098" w:type="pct"/>
            <w:tcBorders>
              <w:top w:val="single" w:color="auto" w:sz="4" w:space="0"/>
              <w:left w:val="single" w:color="auto" w:sz="4" w:space="0"/>
              <w:bottom w:val="single" w:color="auto" w:sz="4" w:space="0"/>
              <w:right w:val="single" w:color="auto" w:sz="4" w:space="0"/>
            </w:tcBorders>
            <w:vAlign w:val="center"/>
          </w:tcPr>
          <w:p w14:paraId="7C92E9D4">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设计进度计划合理，满足招标文件要求；有设计的质量保证措施。</w:t>
            </w:r>
          </w:p>
          <w:p w14:paraId="2FCD4090">
            <w:pPr>
              <w:pStyle w:val="16"/>
              <w:ind w:left="0" w:leftChars="0" w:firstLine="0" w:firstLineChars="0"/>
              <w:rPr>
                <w:rFonts w:hint="eastAsia"/>
                <w:color w:val="auto"/>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1759B392">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27FF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1115B9F3">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267F4CC1">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经济分析</w:t>
            </w:r>
          </w:p>
        </w:tc>
        <w:tc>
          <w:tcPr>
            <w:tcW w:w="3098" w:type="pct"/>
            <w:tcBorders>
              <w:top w:val="single" w:color="auto" w:sz="4" w:space="0"/>
              <w:left w:val="single" w:color="auto" w:sz="4" w:space="0"/>
              <w:bottom w:val="single" w:color="auto" w:sz="4" w:space="0"/>
              <w:right w:val="single" w:color="auto" w:sz="4" w:space="0"/>
            </w:tcBorders>
            <w:vAlign w:val="center"/>
          </w:tcPr>
          <w:p w14:paraId="2519727A">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造价估算文件编制内容完整、合理，不超要求的总造价，满足设计任务书及符合国家及地方规范要求。</w:t>
            </w:r>
          </w:p>
          <w:p w14:paraId="3324A411">
            <w:pPr>
              <w:pStyle w:val="16"/>
              <w:ind w:left="0" w:leftChars="0" w:firstLine="0" w:firstLineChars="0"/>
              <w:rPr>
                <w:rFonts w:hint="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3F77D256">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651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7D7BFCF2">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EF5D8DE">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项目的重难点分析</w:t>
            </w:r>
          </w:p>
        </w:tc>
        <w:tc>
          <w:tcPr>
            <w:tcW w:w="3098" w:type="pct"/>
            <w:tcBorders>
              <w:top w:val="single" w:color="auto" w:sz="4" w:space="0"/>
              <w:left w:val="single" w:color="auto" w:sz="4" w:space="0"/>
              <w:bottom w:val="single" w:color="auto" w:sz="4" w:space="0"/>
              <w:right w:val="single" w:color="auto" w:sz="4" w:space="0"/>
            </w:tcBorders>
            <w:vAlign w:val="center"/>
          </w:tcPr>
          <w:p w14:paraId="3300A1A0">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对项目的重难点进行分析，分析合理、有依据；对难点提出解决方案，同时有效控制</w:t>
            </w:r>
            <w:r>
              <w:rPr>
                <w:rFonts w:hint="eastAsia" w:asciiTheme="minorEastAsia" w:hAnsiTheme="minorEastAsia" w:eastAsiaTheme="minorEastAsia" w:cstheme="minorEastAsia"/>
                <w:color w:val="auto"/>
                <w:kern w:val="0"/>
                <w:sz w:val="24"/>
                <w:szCs w:val="24"/>
                <w:highlight w:val="none"/>
                <w:lang w:val="en-US" w:eastAsia="zh-CN"/>
              </w:rPr>
              <w:t>项目预算</w:t>
            </w:r>
            <w:r>
              <w:rPr>
                <w:rFonts w:hint="eastAsia" w:asciiTheme="minorEastAsia" w:hAnsiTheme="minorEastAsia" w:eastAsiaTheme="minorEastAsia" w:cstheme="minorEastAsia"/>
                <w:color w:val="auto"/>
                <w:kern w:val="0"/>
                <w:sz w:val="24"/>
                <w:szCs w:val="24"/>
                <w:highlight w:val="none"/>
              </w:rPr>
              <w:t>。</w:t>
            </w:r>
          </w:p>
          <w:p w14:paraId="7031F4EE">
            <w:pPr>
              <w:keepNext w:val="0"/>
              <w:keepLines w:val="0"/>
              <w:pageBreakBefore w:val="0"/>
              <w:widowControl w:val="0"/>
              <w:kinsoku/>
              <w:wordWrap/>
              <w:overflowPunct/>
              <w:topLinePunct w:val="0"/>
              <w:autoSpaceDE/>
              <w:autoSpaceDN/>
              <w:bidi w:val="0"/>
              <w:spacing w:line="360" w:lineRule="auto"/>
              <w:jc w:val="left"/>
              <w:textAlignment w:val="auto"/>
              <w:rPr>
                <w:rFonts w:hint="eastAsia"/>
                <w:color w:val="auto"/>
                <w:highlight w:val="none"/>
              </w:rPr>
            </w:pPr>
            <w:r>
              <w:rPr>
                <w:rFonts w:hint="eastAsia" w:asciiTheme="minorEastAsia" w:hAnsiTheme="minorEastAsia" w:eastAsiaTheme="minorEastAsia" w:cstheme="minorEastAsia"/>
                <w:color w:val="auto"/>
                <w:kern w:val="0"/>
                <w:sz w:val="24"/>
                <w:szCs w:val="24"/>
                <w:highlight w:val="none"/>
              </w:rPr>
              <w:t>评审小组进行综合对比评审：优秀得10分，良好得8分，一般得6分，合格得4分，不合格或未提供的不得分，满分10分。</w:t>
            </w:r>
          </w:p>
        </w:tc>
        <w:tc>
          <w:tcPr>
            <w:tcW w:w="626" w:type="pct"/>
            <w:tcBorders>
              <w:top w:val="single" w:color="auto" w:sz="4" w:space="0"/>
              <w:left w:val="single" w:color="auto" w:sz="4" w:space="0"/>
              <w:bottom w:val="single" w:color="auto" w:sz="4" w:space="0"/>
              <w:right w:val="single" w:color="auto" w:sz="4" w:space="0"/>
            </w:tcBorders>
            <w:vAlign w:val="center"/>
          </w:tcPr>
          <w:p w14:paraId="7C0832F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24A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tcBorders>
              <w:left w:val="single" w:color="auto" w:sz="4" w:space="0"/>
              <w:right w:val="single" w:color="auto" w:sz="4" w:space="0"/>
            </w:tcBorders>
            <w:vAlign w:val="center"/>
          </w:tcPr>
          <w:p w14:paraId="44CD8365">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w:t>
            </w:r>
          </w:p>
          <w:p w14:paraId="51ADC90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w:t>
            </w:r>
          </w:p>
        </w:tc>
        <w:tc>
          <w:tcPr>
            <w:tcW w:w="4396" w:type="pct"/>
            <w:gridSpan w:val="3"/>
            <w:tcBorders>
              <w:top w:val="single" w:color="auto" w:sz="4" w:space="0"/>
              <w:left w:val="single" w:color="auto" w:sz="4" w:space="0"/>
              <w:bottom w:val="single" w:color="auto" w:sz="4" w:space="0"/>
              <w:right w:val="single" w:color="auto" w:sz="4" w:space="0"/>
            </w:tcBorders>
            <w:vAlign w:val="center"/>
          </w:tcPr>
          <w:p w14:paraId="05A7C844">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分。其他供应商的价格分统一按照下列公式计算：</w:t>
            </w:r>
          </w:p>
          <w:p w14:paraId="17928550">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磋商报价得分＝（磋商基准价/最后磋商报价）×</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％×100</w:t>
            </w:r>
          </w:p>
        </w:tc>
      </w:tr>
    </w:tbl>
    <w:p w14:paraId="40590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AAA1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6B40C5F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w:t>
      </w:r>
      <w:r>
        <w:rPr>
          <w:rFonts w:hint="eastAsia" w:asciiTheme="minorEastAsia" w:hAnsiTheme="minorEastAsia" w:eastAsiaTheme="minorEastAsia"/>
          <w:color w:val="auto"/>
          <w:sz w:val="24"/>
          <w:highlight w:val="none"/>
        </w:rPr>
        <w:t>该供应商的综合总得分。</w:t>
      </w:r>
      <w:r>
        <w:rPr>
          <w:rFonts w:hint="eastAsia" w:asciiTheme="minorEastAsia" w:hAnsiTheme="minorEastAsia" w:eastAsiaTheme="minorEastAsia"/>
          <w:color w:val="auto"/>
          <w:sz w:val="24"/>
          <w:highlight w:val="none"/>
        </w:rPr>
        <w:br w:type="page"/>
      </w:r>
    </w:p>
    <w:p w14:paraId="5C73C9AA">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5" w:name="_Toc63440929"/>
      <w:bookmarkStart w:id="76" w:name="_Toc355"/>
      <w:r>
        <w:rPr>
          <w:rFonts w:hint="eastAsia" w:asciiTheme="minorEastAsia" w:hAnsiTheme="minorEastAsia" w:eastAsiaTheme="minorEastAsia"/>
          <w:b/>
          <w:color w:val="auto"/>
          <w:sz w:val="28"/>
          <w:highlight w:val="none"/>
        </w:rPr>
        <w:t>第五章  采购合同</w:t>
      </w:r>
      <w:bookmarkEnd w:id="75"/>
      <w:bookmarkEnd w:id="76"/>
    </w:p>
    <w:p w14:paraId="1D1A9609">
      <w:pPr>
        <w:rPr>
          <w:rFonts w:eastAsia="华文中宋"/>
          <w:b/>
          <w:color w:val="auto"/>
          <w:sz w:val="52"/>
          <w:szCs w:val="52"/>
          <w:highlight w:val="none"/>
        </w:rPr>
      </w:pPr>
      <w:r>
        <w:rPr>
          <w:rFonts w:hint="eastAsia" w:eastAsia="仿宋_GB2312"/>
          <w:bCs/>
          <w:color w:val="auto"/>
          <w:sz w:val="30"/>
          <w:szCs w:val="30"/>
          <w:highlight w:val="none"/>
        </w:rPr>
        <w:t>GF—2015—</w:t>
      </w:r>
      <w:r>
        <w:rPr>
          <w:rFonts w:eastAsia="仿宋_GB2312"/>
          <w:bCs/>
          <w:color w:val="auto"/>
          <w:sz w:val="30"/>
          <w:szCs w:val="30"/>
          <w:highlight w:val="none"/>
        </w:rPr>
        <w:t>0209</w:t>
      </w:r>
    </w:p>
    <w:p w14:paraId="3DB53EF0">
      <w:pPr>
        <w:pStyle w:val="73"/>
        <w:ind w:firstLine="601"/>
        <w:jc w:val="center"/>
        <w:rPr>
          <w:rFonts w:hint="default" w:eastAsia="华文中宋"/>
          <w:b/>
          <w:color w:val="auto"/>
          <w:sz w:val="30"/>
          <w:szCs w:val="30"/>
          <w:highlight w:val="none"/>
          <w:u w:val="single"/>
          <w:lang w:val="en-US" w:eastAsia="zh-CN"/>
        </w:rPr>
      </w:pPr>
      <w:r>
        <w:rPr>
          <w:rFonts w:hint="eastAsia" w:eastAsia="华文中宋"/>
          <w:b/>
          <w:color w:val="auto"/>
          <w:sz w:val="30"/>
          <w:szCs w:val="30"/>
          <w:highlight w:val="none"/>
        </w:rPr>
        <w:t xml:space="preserve">         </w:t>
      </w:r>
      <w:r>
        <w:rPr>
          <w:rFonts w:hint="eastAsia" w:eastAsia="华文中宋"/>
          <w:b/>
          <w:color w:val="auto"/>
          <w:sz w:val="30"/>
          <w:szCs w:val="30"/>
          <w:highlight w:val="none"/>
          <w:lang w:val="en-US" w:eastAsia="zh-CN"/>
        </w:rPr>
        <w:t xml:space="preserve">                  </w:t>
      </w:r>
      <w:r>
        <w:rPr>
          <w:rFonts w:hint="eastAsia" w:eastAsia="华文中宋"/>
          <w:b/>
          <w:color w:val="auto"/>
          <w:sz w:val="30"/>
          <w:szCs w:val="30"/>
          <w:highlight w:val="none"/>
        </w:rPr>
        <w:t>合同编号：</w:t>
      </w:r>
      <w:r>
        <w:rPr>
          <w:rFonts w:hint="eastAsia" w:eastAsia="华文中宋"/>
          <w:b/>
          <w:color w:val="auto"/>
          <w:sz w:val="30"/>
          <w:szCs w:val="30"/>
          <w:highlight w:val="none"/>
          <w:u w:val="single"/>
          <w:lang w:val="en-US" w:eastAsia="zh-CN"/>
        </w:rPr>
        <w:t xml:space="preserve">           </w:t>
      </w:r>
    </w:p>
    <w:p w14:paraId="147F1E42">
      <w:pPr>
        <w:pStyle w:val="73"/>
        <w:ind w:firstLine="601"/>
        <w:jc w:val="center"/>
        <w:rPr>
          <w:rFonts w:eastAsia="华文中宋"/>
          <w:b/>
          <w:color w:val="auto"/>
          <w:sz w:val="30"/>
          <w:szCs w:val="30"/>
          <w:highlight w:val="none"/>
          <w:u w:val="single"/>
        </w:rPr>
      </w:pPr>
    </w:p>
    <w:p w14:paraId="74D9CA97">
      <w:pPr>
        <w:pStyle w:val="73"/>
        <w:ind w:firstLine="1041"/>
        <w:jc w:val="center"/>
        <w:rPr>
          <w:rFonts w:eastAsia="华文中宋"/>
          <w:b/>
          <w:color w:val="auto"/>
          <w:sz w:val="52"/>
          <w:szCs w:val="52"/>
          <w:highlight w:val="none"/>
          <w:u w:val="single"/>
        </w:rPr>
      </w:pPr>
    </w:p>
    <w:p w14:paraId="5D969868">
      <w:pPr>
        <w:pStyle w:val="25"/>
        <w:ind w:left="0" w:leftChars="0" w:firstLine="0" w:firstLineChars="0"/>
        <w:rPr>
          <w:color w:val="auto"/>
          <w:highlight w:val="none"/>
        </w:rPr>
      </w:pPr>
    </w:p>
    <w:p w14:paraId="28161954">
      <w:pPr>
        <w:pStyle w:val="25"/>
        <w:ind w:left="0" w:leftChars="0" w:firstLine="0" w:firstLineChars="0"/>
        <w:rPr>
          <w:color w:val="auto"/>
          <w:highlight w:val="none"/>
        </w:rPr>
      </w:pPr>
    </w:p>
    <w:p w14:paraId="545D583F">
      <w:pPr>
        <w:jc w:val="center"/>
        <w:rPr>
          <w:rFonts w:hint="eastAsia" w:eastAsia="华文中宋"/>
          <w:b/>
          <w:color w:val="auto"/>
          <w:sz w:val="72"/>
          <w:szCs w:val="52"/>
          <w:highlight w:val="none"/>
        </w:rPr>
      </w:pPr>
      <w:r>
        <w:rPr>
          <w:rFonts w:eastAsia="华文中宋"/>
          <w:b/>
          <w:color w:val="auto"/>
          <w:sz w:val="72"/>
          <w:szCs w:val="52"/>
          <w:highlight w:val="none"/>
        </w:rPr>
        <w:t>建设工程</w:t>
      </w:r>
      <w:r>
        <w:rPr>
          <w:rFonts w:hint="eastAsia" w:eastAsia="华文中宋"/>
          <w:b/>
          <w:color w:val="auto"/>
          <w:sz w:val="72"/>
          <w:szCs w:val="52"/>
          <w:highlight w:val="none"/>
        </w:rPr>
        <w:t>设计</w:t>
      </w:r>
      <w:r>
        <w:rPr>
          <w:rFonts w:eastAsia="华文中宋"/>
          <w:b/>
          <w:color w:val="auto"/>
          <w:sz w:val="72"/>
          <w:szCs w:val="52"/>
          <w:highlight w:val="none"/>
        </w:rPr>
        <w:t>合同</w:t>
      </w:r>
      <w:r>
        <w:rPr>
          <w:rFonts w:hint="eastAsia" w:eastAsia="华文中宋"/>
          <w:b/>
          <w:color w:val="auto"/>
          <w:sz w:val="72"/>
          <w:szCs w:val="52"/>
          <w:highlight w:val="none"/>
        </w:rPr>
        <w:t>示范文本</w:t>
      </w:r>
    </w:p>
    <w:p w14:paraId="4098B25D">
      <w:pPr>
        <w:pStyle w:val="73"/>
        <w:ind w:firstLine="640"/>
        <w:jc w:val="center"/>
        <w:rPr>
          <w:rFonts w:ascii="宋体" w:hAnsi="宋体" w:cs="宋体"/>
          <w:color w:val="auto"/>
          <w:sz w:val="32"/>
          <w:szCs w:val="32"/>
          <w:highlight w:val="none"/>
        </w:rPr>
      </w:pPr>
      <w:r>
        <w:rPr>
          <w:rFonts w:hint="eastAsia" w:eastAsia="华文中宋"/>
          <w:b/>
          <w:color w:val="auto"/>
          <w:sz w:val="72"/>
          <w:szCs w:val="52"/>
          <w:highlight w:val="none"/>
        </w:rPr>
        <w:t>（房屋建筑工程）</w:t>
      </w:r>
    </w:p>
    <w:p w14:paraId="15F0013B">
      <w:pPr>
        <w:pStyle w:val="73"/>
        <w:ind w:firstLine="640"/>
        <w:jc w:val="center"/>
        <w:rPr>
          <w:rFonts w:ascii="宋体" w:hAnsi="宋体" w:cs="宋体"/>
          <w:color w:val="auto"/>
          <w:sz w:val="32"/>
          <w:szCs w:val="32"/>
          <w:highlight w:val="none"/>
        </w:rPr>
      </w:pPr>
    </w:p>
    <w:p w14:paraId="343F62D4">
      <w:pPr>
        <w:pStyle w:val="73"/>
        <w:ind w:firstLine="640"/>
        <w:jc w:val="center"/>
        <w:rPr>
          <w:rFonts w:ascii="宋体" w:hAnsi="宋体" w:cs="宋体"/>
          <w:color w:val="auto"/>
          <w:sz w:val="32"/>
          <w:szCs w:val="32"/>
          <w:highlight w:val="none"/>
        </w:rPr>
      </w:pPr>
    </w:p>
    <w:p w14:paraId="424DFAA6">
      <w:pPr>
        <w:pStyle w:val="73"/>
        <w:ind w:firstLine="640"/>
        <w:jc w:val="center"/>
        <w:rPr>
          <w:rFonts w:ascii="宋体" w:hAnsi="宋体" w:cs="宋体"/>
          <w:color w:val="auto"/>
          <w:sz w:val="32"/>
          <w:szCs w:val="32"/>
          <w:highlight w:val="none"/>
        </w:rPr>
      </w:pPr>
    </w:p>
    <w:p w14:paraId="16D29349">
      <w:pPr>
        <w:pStyle w:val="73"/>
        <w:ind w:firstLine="640"/>
        <w:jc w:val="center"/>
        <w:rPr>
          <w:rFonts w:ascii="宋体" w:hAnsi="宋体" w:cs="宋体"/>
          <w:color w:val="auto"/>
          <w:sz w:val="32"/>
          <w:szCs w:val="32"/>
          <w:highlight w:val="none"/>
        </w:rPr>
      </w:pPr>
    </w:p>
    <w:p w14:paraId="6836652B">
      <w:pPr>
        <w:pStyle w:val="73"/>
        <w:ind w:firstLine="640"/>
        <w:jc w:val="center"/>
        <w:rPr>
          <w:rFonts w:ascii="宋体" w:hAnsi="宋体" w:cs="宋体"/>
          <w:color w:val="auto"/>
          <w:sz w:val="32"/>
          <w:szCs w:val="32"/>
          <w:highlight w:val="none"/>
        </w:rPr>
      </w:pPr>
    </w:p>
    <w:p w14:paraId="5C927D82">
      <w:pPr>
        <w:pStyle w:val="73"/>
        <w:ind w:firstLine="640"/>
        <w:jc w:val="center"/>
        <w:rPr>
          <w:rFonts w:ascii="宋体" w:hAnsi="宋体" w:cs="宋体"/>
          <w:color w:val="auto"/>
          <w:sz w:val="32"/>
          <w:szCs w:val="32"/>
          <w:highlight w:val="none"/>
        </w:rPr>
      </w:pPr>
    </w:p>
    <w:p w14:paraId="012A38F1">
      <w:pPr>
        <w:pStyle w:val="73"/>
        <w:ind w:firstLine="640"/>
        <w:jc w:val="center"/>
        <w:rPr>
          <w:rFonts w:ascii="宋体" w:hAnsi="宋体" w:cs="宋体"/>
          <w:color w:val="auto"/>
          <w:sz w:val="32"/>
          <w:szCs w:val="32"/>
          <w:highlight w:val="none"/>
        </w:rPr>
      </w:pPr>
    </w:p>
    <w:p w14:paraId="6A676DB6">
      <w:pPr>
        <w:pStyle w:val="73"/>
        <w:ind w:firstLine="640"/>
        <w:jc w:val="center"/>
        <w:rPr>
          <w:rFonts w:ascii="宋体" w:hAnsi="宋体" w:cs="宋体"/>
          <w:color w:val="auto"/>
          <w:sz w:val="32"/>
          <w:szCs w:val="32"/>
          <w:highlight w:val="none"/>
        </w:rPr>
      </w:pPr>
    </w:p>
    <w:p w14:paraId="5A06517D">
      <w:pPr>
        <w:pStyle w:val="73"/>
        <w:ind w:firstLine="640"/>
        <w:jc w:val="center"/>
        <w:rPr>
          <w:rFonts w:ascii="宋体" w:hAnsi="宋体" w:cs="宋体"/>
          <w:color w:val="auto"/>
          <w:sz w:val="32"/>
          <w:szCs w:val="32"/>
          <w:highlight w:val="none"/>
        </w:rPr>
      </w:pPr>
    </w:p>
    <w:p w14:paraId="6D38B344">
      <w:pPr>
        <w:ind w:right="3360" w:rightChars="1600" w:firstLine="2318" w:firstLineChars="1104"/>
        <w:jc w:val="distribute"/>
        <w:rPr>
          <w:b/>
          <w:color w:val="auto"/>
          <w:sz w:val="32"/>
          <w:szCs w:val="28"/>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1162050" cy="457200"/>
                <wp:effectExtent l="4445" t="4445" r="14605" b="1460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62050" cy="457200"/>
                        </a:xfrm>
                        <a:prstGeom prst="rect">
                          <a:avLst/>
                        </a:prstGeom>
                        <a:noFill/>
                        <a:ln w="9525">
                          <a:solidFill>
                            <a:srgbClr val="FFFFFF"/>
                          </a:solidFill>
                          <a:miter lim="800000"/>
                        </a:ln>
                        <a:effectLst/>
                      </wps:spPr>
                      <wps:txbx>
                        <w:txbxContent>
                          <w:p w14:paraId="68E72724">
                            <w:pPr>
                              <w:ind w:firstLine="643" w:firstLineChars="200"/>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5.2pt;margin-top:12.3pt;height:36pt;width:91.5pt;z-index:251659264;mso-width-relative:page;mso-height-relative:page;" filled="f" stroked="t" coordsize="21600,21600" o:gfxdata="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zxvU/ZAAAACQEAAA8AAAAAAAAAAQAgAAAA&#10;IgAAAGRycy9kb3ducmV2LnhtbFBLAQIUABQAAAAIAIdO4kDzMfNRQwIAAGwEAAAOAAAAAAAAAAEA&#10;IAAAACgBAABkcnMvZTJvRG9jLnhtbFBLBQYAAAAABgAGAFkBAADdBQAAAAA=&#10;">
                <v:fill on="f" focussize="0,0"/>
                <v:stroke color="#FFFFFF" miterlimit="8" joinstyle="miter"/>
                <v:imagedata o:title=""/>
                <o:lock v:ext="edit" aspectratio="f"/>
                <v:textbox>
                  <w:txbxContent>
                    <w:p w14:paraId="68E72724">
                      <w:pPr>
                        <w:ind w:firstLine="643" w:firstLineChars="200"/>
                        <w:rPr>
                          <w:b/>
                          <w:bCs/>
                          <w:sz w:val="32"/>
                        </w:rPr>
                      </w:pPr>
                      <w:r>
                        <w:rPr>
                          <w:rFonts w:hint="eastAsia"/>
                          <w:b/>
                          <w:bCs/>
                          <w:sz w:val="32"/>
                        </w:rPr>
                        <w:t>制定</w:t>
                      </w:r>
                    </w:p>
                  </w:txbxContent>
                </v:textbox>
              </v:shape>
            </w:pict>
          </mc:Fallback>
        </mc:AlternateContent>
      </w:r>
      <w:r>
        <w:rPr>
          <w:b/>
          <w:color w:val="auto"/>
          <w:sz w:val="32"/>
          <w:szCs w:val="28"/>
          <w:highlight w:val="none"/>
        </w:rPr>
        <w:t>住房和城乡建设部</w:t>
      </w:r>
    </w:p>
    <w:p w14:paraId="78A1D908">
      <w:pPr>
        <w:ind w:right="3139" w:rightChars="1495" w:firstLine="2329" w:firstLineChars="725"/>
        <w:rPr>
          <w:b/>
          <w:color w:val="auto"/>
          <w:sz w:val="32"/>
          <w:szCs w:val="28"/>
          <w:highlight w:val="none"/>
        </w:rPr>
      </w:pPr>
      <w:r>
        <w:rPr>
          <w:b/>
          <w:color w:val="auto"/>
          <w:sz w:val="32"/>
          <w:szCs w:val="28"/>
          <w:highlight w:val="none"/>
        </w:rPr>
        <w:t>国家工商行政管理总局</w:t>
      </w:r>
    </w:p>
    <w:p w14:paraId="6DBBA4AF">
      <w:pPr>
        <w:pStyle w:val="4"/>
        <w:spacing w:beforeLines="50" w:afterLines="50" w:line="440" w:lineRule="exact"/>
        <w:jc w:val="center"/>
        <w:rPr>
          <w:rFonts w:ascii="宋体" w:hAnsi="宋体" w:cs="宋体"/>
          <w:b w:val="0"/>
          <w:color w:val="auto"/>
          <w:sz w:val="21"/>
          <w:szCs w:val="21"/>
          <w:highlight w:val="none"/>
        </w:rPr>
      </w:pPr>
      <w:bookmarkStart w:id="77" w:name="_Toc351203480"/>
      <w:r>
        <w:rPr>
          <w:rFonts w:hint="eastAsia" w:ascii="宋体" w:hAnsi="宋体" w:cs="宋体"/>
          <w:color w:val="auto"/>
          <w:sz w:val="30"/>
          <w:szCs w:val="30"/>
          <w:highlight w:val="none"/>
        </w:rPr>
        <w:t>第一部分 合同协议书</w:t>
      </w:r>
      <w:bookmarkEnd w:id="77"/>
    </w:p>
    <w:p w14:paraId="26062382">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sz w:val="21"/>
          <w:szCs w:val="21"/>
          <w:highlight w:val="none"/>
          <w:u w:val="single"/>
          <w:lang w:val="en-US"/>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rPr>
        <w:t></w:t>
      </w:r>
      <w:r>
        <w:rPr>
          <w:rFonts w:hint="eastAsia" w:ascii="宋体" w:hAnsi="宋体" w:eastAsia="宋体" w:cs="宋体"/>
          <w:b/>
          <w:color w:val="auto"/>
          <w:sz w:val="21"/>
          <w:szCs w:val="21"/>
          <w:highlight w:val="none"/>
          <w:u w:val="single"/>
          <w:lang w:val="en-US" w:eastAsia="zh-CN"/>
        </w:rPr>
        <w:t xml:space="preserve">                </w:t>
      </w:r>
    </w:p>
    <w:p w14:paraId="482688BD">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设计人（全称）：</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 xml:space="preserve">  </w:t>
      </w:r>
    </w:p>
    <w:p w14:paraId="380A3904">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及有关事项协商一致，共同达成如下协议：</w:t>
      </w:r>
    </w:p>
    <w:p w14:paraId="29F25E81">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一、工程概况</w:t>
      </w:r>
    </w:p>
    <w:p w14:paraId="47FEC0DD">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p>
    <w:p w14:paraId="0E17D2B3">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lang w:val="en-US" w:eastAsia="zh-CN"/>
        </w:rPr>
        <w:t xml:space="preserve">                       </w:t>
      </w:r>
    </w:p>
    <w:p w14:paraId="11EF01DA">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3.总建筑面积：</w:t>
      </w:r>
      <w:r>
        <w:rPr>
          <w:rFonts w:hint="eastAsia" w:ascii="宋体" w:hAnsi="宋体" w:eastAsia="宋体" w:cs="宋体"/>
          <w:color w:val="auto"/>
          <w:sz w:val="21"/>
          <w:szCs w:val="21"/>
          <w:highlight w:val="none"/>
          <w:u w:val="single"/>
          <w:lang w:val="en-US" w:eastAsia="zh-CN"/>
        </w:rPr>
        <w:t xml:space="preserve">                     </w:t>
      </w:r>
    </w:p>
    <w:p w14:paraId="27314731">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4.建筑功能：</w:t>
      </w:r>
      <w:r>
        <w:rPr>
          <w:rFonts w:hint="eastAsia" w:ascii="宋体" w:hAnsi="宋体" w:eastAsia="宋体" w:cs="宋体"/>
          <w:color w:val="auto"/>
          <w:sz w:val="21"/>
          <w:szCs w:val="21"/>
          <w:highlight w:val="none"/>
          <w:u w:val="single"/>
          <w:lang w:val="en-US" w:eastAsia="zh-CN"/>
        </w:rPr>
        <w:t xml:space="preserve">                        </w:t>
      </w:r>
    </w:p>
    <w:p w14:paraId="15A80C9B">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5.投资估算：约</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人民币</w:t>
      </w:r>
    </w:p>
    <w:p w14:paraId="1D3EEDDE">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二、工程设计范围、阶段与服务内容</w:t>
      </w:r>
    </w:p>
    <w:p w14:paraId="66C553D9">
      <w:pPr>
        <w:keepNext w:val="0"/>
        <w:keepLines w:val="0"/>
        <w:pageBreakBefore w:val="0"/>
        <w:widowControl/>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bCs/>
          <w:color w:val="auto"/>
          <w:sz w:val="21"/>
          <w:szCs w:val="21"/>
          <w:highlight w:val="none"/>
        </w:rPr>
        <w:t>1.工程设计范围：</w:t>
      </w:r>
      <w:r>
        <w:rPr>
          <w:rFonts w:hint="eastAsia" w:ascii="宋体" w:hAnsi="宋体" w:eastAsia="宋体" w:cs="宋体"/>
          <w:color w:val="auto"/>
          <w:sz w:val="21"/>
          <w:szCs w:val="21"/>
          <w:highlight w:val="none"/>
          <w:u w:val="single"/>
          <w:lang w:val="en-US" w:eastAsia="zh-CN"/>
        </w:rPr>
        <w:t xml:space="preserve">                       </w:t>
      </w:r>
    </w:p>
    <w:p w14:paraId="6116934C">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2.工程设计阶段：</w:t>
      </w:r>
      <w:r>
        <w:rPr>
          <w:rFonts w:hint="eastAsia" w:ascii="宋体" w:hAnsi="宋体" w:eastAsia="宋体" w:cs="宋体"/>
          <w:color w:val="auto"/>
          <w:sz w:val="21"/>
          <w:szCs w:val="21"/>
          <w:highlight w:val="none"/>
          <w:u w:val="single"/>
          <w:lang w:val="en-US" w:eastAsia="zh-CN"/>
        </w:rPr>
        <w:t xml:space="preserve">                       </w:t>
      </w:r>
    </w:p>
    <w:p w14:paraId="63B18626">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3.工程设计服务内容：</w:t>
      </w:r>
      <w:r>
        <w:rPr>
          <w:rFonts w:hint="eastAsia" w:ascii="宋体" w:hAnsi="宋体" w:eastAsia="宋体" w:cs="宋体"/>
          <w:color w:val="auto"/>
          <w:sz w:val="21"/>
          <w:szCs w:val="21"/>
          <w:highlight w:val="none"/>
          <w:u w:val="single"/>
          <w:lang w:val="en-US" w:eastAsia="zh-CN"/>
        </w:rPr>
        <w:t xml:space="preserve">                       </w:t>
      </w:r>
    </w:p>
    <w:p w14:paraId="1A7612E2">
      <w:pPr>
        <w:pStyle w:val="5"/>
        <w:keepNext w:val="0"/>
        <w:keepLines w:val="0"/>
        <w:pageBreakBefore w:val="0"/>
        <w:widowControl w:val="0"/>
        <w:kinsoku/>
        <w:wordWrap/>
        <w:overflowPunct/>
        <w:topLinePunct w:val="0"/>
        <w:autoSpaceDE/>
        <w:autoSpaceDN/>
        <w:bidi w:val="0"/>
        <w:adjustRightInd/>
        <w:snapToGrid/>
        <w:spacing w:before="0" w:after="0" w:line="440" w:lineRule="exact"/>
        <w:ind w:left="0"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工程设计范围、阶段与服务内容按招标文件要求执行。</w:t>
      </w:r>
    </w:p>
    <w:p w14:paraId="68A6C9F8">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三、工程设计周期</w:t>
      </w:r>
    </w:p>
    <w:p w14:paraId="3523561D">
      <w:pPr>
        <w:keepNext w:val="0"/>
        <w:keepLines w:val="0"/>
        <w:pageBreakBefore w:val="0"/>
        <w:kinsoku/>
        <w:wordWrap/>
        <w:overflowPunct/>
        <w:topLinePunct w:val="0"/>
        <w:bidi w:val="0"/>
        <w:snapToGrid/>
        <w:spacing w:line="440" w:lineRule="exact"/>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计划开始设计日期：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6B9EB4DB">
      <w:pPr>
        <w:keepNext w:val="0"/>
        <w:keepLines w:val="0"/>
        <w:pageBreakBefore w:val="0"/>
        <w:kinsoku/>
        <w:wordWrap/>
        <w:overflowPunct/>
        <w:topLinePunct w:val="0"/>
        <w:bidi w:val="0"/>
        <w:snapToGrid/>
        <w:spacing w:line="440" w:lineRule="exact"/>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计划完成设计日期：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2371FB62">
      <w:pPr>
        <w:keepNext w:val="0"/>
        <w:keepLines w:val="0"/>
        <w:pageBreakBefore w:val="0"/>
        <w:widowControl w:val="0"/>
        <w:kinsoku/>
        <w:wordWrap/>
        <w:overflowPunct/>
        <w:topLinePunct w:val="0"/>
        <w:bidi w:val="0"/>
        <w:snapToGrid/>
        <w:spacing w:line="440" w:lineRule="exact"/>
        <w:ind w:firstLine="413" w:firstLineChars="196"/>
        <w:textAlignment w:val="auto"/>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rPr>
        <w:t>自合同签订之日起</w:t>
      </w:r>
      <w:r>
        <w:rPr>
          <w:rFonts w:hint="eastAsia" w:ascii="宋体" w:hAnsi="宋体" w:eastAsia="宋体" w:cs="宋体"/>
          <w:b/>
          <w:bCs w:val="0"/>
          <w:color w:val="auto"/>
          <w:sz w:val="21"/>
          <w:szCs w:val="21"/>
          <w:highlight w:val="none"/>
          <w:lang w:eastAsia="zh-CN"/>
        </w:rPr>
        <w:t>15个工作日内</w:t>
      </w:r>
      <w:r>
        <w:rPr>
          <w:rFonts w:hint="eastAsia" w:ascii="宋体" w:hAnsi="宋体" w:eastAsia="宋体" w:cs="宋体"/>
          <w:b/>
          <w:bCs w:val="0"/>
          <w:color w:val="auto"/>
          <w:sz w:val="21"/>
          <w:szCs w:val="21"/>
          <w:highlight w:val="none"/>
        </w:rPr>
        <w:t>提供设计成果文件</w:t>
      </w:r>
      <w:r>
        <w:rPr>
          <w:rFonts w:hint="eastAsia" w:ascii="宋体" w:hAnsi="宋体" w:eastAsia="宋体" w:cs="宋体"/>
          <w:b/>
          <w:bCs w:val="0"/>
          <w:color w:val="auto"/>
          <w:sz w:val="21"/>
          <w:szCs w:val="21"/>
          <w:highlight w:val="none"/>
          <w:lang w:eastAsia="zh-CN"/>
        </w:rPr>
        <w:t>。</w:t>
      </w:r>
    </w:p>
    <w:p w14:paraId="36017E3D">
      <w:pPr>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left"/>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四、合同价格形式与签约合同价</w:t>
      </w:r>
      <w:r>
        <w:rPr>
          <w:rFonts w:hint="eastAsia" w:ascii="宋体" w:hAnsi="宋体" w:eastAsia="宋体" w:cs="宋体"/>
          <w:b/>
          <w:bCs w:val="0"/>
          <w:color w:val="auto"/>
          <w:kern w:val="2"/>
          <w:sz w:val="21"/>
          <w:szCs w:val="21"/>
          <w:highlight w:val="none"/>
          <w:lang w:val="en-US" w:eastAsia="zh-CN" w:bidi="ar-SA"/>
        </w:rPr>
        <w:tab/>
      </w:r>
    </w:p>
    <w:p w14:paraId="03C9BCBE">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1.合同价格形式：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总价合同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2C462">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2.签约合同价为：</w:t>
      </w:r>
    </w:p>
    <w:p w14:paraId="582ED13F">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元）（含税价）。</w:t>
      </w:r>
    </w:p>
    <w:p w14:paraId="6F6BC6FB">
      <w:pPr>
        <w:pStyle w:val="5"/>
        <w:keepNext w:val="0"/>
        <w:keepLines w:val="0"/>
        <w:pageBreakBefore w:val="0"/>
        <w:widowControl w:val="0"/>
        <w:tabs>
          <w:tab w:val="left" w:pos="5583"/>
        </w:tabs>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五、发包人代表与设计人项目负责人</w:t>
      </w:r>
      <w:r>
        <w:rPr>
          <w:rFonts w:hint="eastAsia" w:ascii="宋体" w:hAnsi="宋体" w:eastAsia="宋体" w:cs="宋体"/>
          <w:bCs w:val="0"/>
          <w:color w:val="auto"/>
          <w:sz w:val="21"/>
          <w:szCs w:val="21"/>
          <w:highlight w:val="none"/>
        </w:rPr>
        <w:tab/>
      </w:r>
    </w:p>
    <w:p w14:paraId="17FEBFBD">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0563A5">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设计人项目负责人：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687C5BA">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六、合同文件构成</w:t>
      </w:r>
    </w:p>
    <w:p w14:paraId="7601FAE2">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6F565488">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（1）专用合同条款及其附件； </w:t>
      </w:r>
    </w:p>
    <w:p w14:paraId="69B2F618">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（2）通用合同条款； </w:t>
      </w:r>
    </w:p>
    <w:p w14:paraId="2790AB9D">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（3）中标通知书（如果有）；</w:t>
      </w:r>
    </w:p>
    <w:p w14:paraId="4248C88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（4）投标函及其附录（如果有）；</w:t>
      </w:r>
    </w:p>
    <w:p w14:paraId="3DD8624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（5）发包人要求；</w:t>
      </w:r>
    </w:p>
    <w:p w14:paraId="3CA8B6C1">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（6）技术标准；</w:t>
      </w:r>
    </w:p>
    <w:p w14:paraId="37995FA0">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（7）发包人提供的上一阶段图纸（如果有）；</w:t>
      </w:r>
    </w:p>
    <w:p w14:paraId="2BE35981">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38E9E0ED">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在合同履行过程中形成的与合同有关的文件均构成合同文件组成部分。</w:t>
      </w:r>
    </w:p>
    <w:p w14:paraId="64BC7BC0">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07EA15F4">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七、承诺</w:t>
      </w:r>
    </w:p>
    <w:p w14:paraId="7CEAED10">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1.发包人承诺按照法律规定履行项目审批手续，按照合同约定提供设计依据，并按合同约定的期限和方式支付合同价款。</w:t>
      </w:r>
    </w:p>
    <w:p w14:paraId="0C086D76">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2.设计人承诺按照法律和技术标准规定及合同约定提供工程设计服务。</w:t>
      </w:r>
    </w:p>
    <w:p w14:paraId="414C2DEA">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八、词语含义</w:t>
      </w:r>
    </w:p>
    <w:p w14:paraId="2F21A205">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221512E7">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九、签订地点</w:t>
      </w:r>
    </w:p>
    <w:p w14:paraId="581A04D3">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本合同在签订。</w:t>
      </w:r>
    </w:p>
    <w:p w14:paraId="6618602D">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十、补充协议</w:t>
      </w:r>
    </w:p>
    <w:p w14:paraId="4FCC357D">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193C254">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十一、合同生效</w:t>
      </w:r>
    </w:p>
    <w:p w14:paraId="451940E9">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本合同自生效。</w:t>
      </w:r>
    </w:p>
    <w:p w14:paraId="1B9FEB78">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十二、合同份数</w:t>
      </w:r>
    </w:p>
    <w:p w14:paraId="2E500BAC">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本合同正本一式贰份、副本一式陆份，均具有同等法律效力，发包人执正本壹份、副本肆份，设计人执正本壹份、副本贰份。</w:t>
      </w:r>
    </w:p>
    <w:p w14:paraId="3571C963">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p>
    <w:p w14:paraId="0FE25A54">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设计人：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（盖章）</w:t>
      </w:r>
    </w:p>
    <w:p w14:paraId="71C6987E">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法定代表人或其委托代理人：</w:t>
      </w:r>
    </w:p>
    <w:p w14:paraId="056FECD1">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                               （签字）</w:t>
      </w:r>
    </w:p>
    <w:p w14:paraId="56D8441C">
      <w:pPr>
        <w:keepNext w:val="0"/>
        <w:keepLines w:val="0"/>
        <w:pageBreakBefore w:val="0"/>
        <w:widowControl w:val="0"/>
        <w:tabs>
          <w:tab w:val="left" w:pos="4410"/>
        </w:tabs>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组织机构代码：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303C707">
      <w:pPr>
        <w:keepNext w:val="0"/>
        <w:keepLines w:val="0"/>
        <w:pageBreakBefore w:val="0"/>
        <w:widowControl w:val="0"/>
        <w:tabs>
          <w:tab w:val="left" w:pos="4410"/>
        </w:tabs>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纳税人识别码：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纳税人识别码：</w:t>
      </w:r>
      <w:r>
        <w:rPr>
          <w:rFonts w:hint="eastAsia" w:ascii="宋体" w:hAnsi="宋体" w:eastAsia="宋体" w:cs="宋体"/>
          <w:color w:val="auto"/>
          <w:sz w:val="21"/>
          <w:szCs w:val="21"/>
          <w:highlight w:val="none"/>
          <w:lang w:val="en-US" w:eastAsia="zh-CN"/>
        </w:rPr>
        <w:t xml:space="preserve"> </w:t>
      </w:r>
    </w:p>
    <w:p w14:paraId="56CBA815">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27EA97D">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5A20165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062DFFD7">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FB427E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63BA68F">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电子信箱：</w:t>
      </w:r>
      <w:r>
        <w:rPr>
          <w:rFonts w:hint="eastAsia" w:ascii="宋体" w:hAnsi="宋体" w:eastAsia="宋体" w:cs="宋体"/>
          <w:color w:val="auto"/>
          <w:sz w:val="21"/>
          <w:szCs w:val="21"/>
          <w:highlight w:val="none"/>
          <w:u w:val="single"/>
        </w:rPr>
        <w:t xml:space="preserve">   </w:t>
      </w:r>
    </w:p>
    <w:p w14:paraId="3F8FBB6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F4A6FD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53BF10E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时  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月 日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  间：</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 日</w:t>
      </w:r>
      <w:bookmarkStart w:id="78" w:name="_Toc11672149"/>
      <w:bookmarkStart w:id="79" w:name="_Toc351203494"/>
    </w:p>
    <w:p w14:paraId="5F79E498">
      <w:pPr>
        <w:pStyle w:val="25"/>
        <w:ind w:firstLine="560"/>
        <w:rPr>
          <w:color w:val="auto"/>
          <w:highlight w:val="none"/>
        </w:rPr>
        <w:sectPr>
          <w:headerReference r:id="rId6" w:type="first"/>
          <w:footerReference r:id="rId9" w:type="first"/>
          <w:headerReference r:id="rId5" w:type="default"/>
          <w:footerReference r:id="rId7" w:type="default"/>
          <w:footerReference r:id="rId8" w:type="even"/>
          <w:pgSz w:w="11906" w:h="16838"/>
          <w:pgMar w:top="1247" w:right="1247" w:bottom="1247" w:left="1247" w:header="680" w:footer="680" w:gutter="0"/>
          <w:pgNumType w:fmt="decimal" w:start="1"/>
          <w:cols w:space="720" w:num="1"/>
          <w:titlePg/>
          <w:rtlGutter w:val="0"/>
          <w:docGrid w:type="lines" w:linePitch="312" w:charSpace="0"/>
        </w:sectPr>
      </w:pPr>
    </w:p>
    <w:p w14:paraId="028FE8C7">
      <w:pPr>
        <w:pStyle w:val="4"/>
        <w:spacing w:beforeLines="50" w:afterLines="50" w:line="440" w:lineRule="exact"/>
        <w:ind w:left="-199" w:leftChars="-95" w:right="-313" w:rightChars="-149" w:firstLine="199" w:firstLineChars="66"/>
        <w:jc w:val="center"/>
        <w:rPr>
          <w:rFonts w:ascii="宋体" w:hAnsi="宋体" w:cs="宋体"/>
          <w:color w:val="auto"/>
          <w:sz w:val="30"/>
          <w:szCs w:val="30"/>
          <w:highlight w:val="none"/>
        </w:rPr>
      </w:pPr>
      <w:r>
        <w:rPr>
          <w:rFonts w:hint="eastAsia" w:ascii="宋体" w:hAnsi="宋体" w:cs="宋体"/>
          <w:color w:val="auto"/>
          <w:sz w:val="30"/>
          <w:szCs w:val="30"/>
          <w:highlight w:val="none"/>
        </w:rPr>
        <w:t>第二部分 通用合同条款</w:t>
      </w:r>
      <w:bookmarkEnd w:id="78"/>
    </w:p>
    <w:bookmarkEnd w:id="79"/>
    <w:p w14:paraId="6C78CF79">
      <w:pPr>
        <w:pStyle w:val="11"/>
        <w:keepNext w:val="0"/>
        <w:keepLines w:val="0"/>
        <w:pageBreakBefore w:val="0"/>
        <w:widowControl w:val="0"/>
        <w:kinsoku/>
        <w:wordWrap/>
        <w:overflowPunct/>
        <w:topLinePunct w:val="0"/>
        <w:autoSpaceDE/>
        <w:autoSpaceDN/>
        <w:bidi w:val="0"/>
        <w:adjustRightInd/>
        <w:snapToGrid w:val="0"/>
        <w:spacing w:after="0" w:line="440" w:lineRule="exact"/>
        <w:ind w:left="-199" w:leftChars="-95" w:right="-313" w:rightChars="-149" w:firstLine="138" w:firstLineChars="66"/>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见《建设工程设计合同示范文本（房屋建筑工程）》（GF-2015-02</w:t>
      </w:r>
      <w:r>
        <w:rPr>
          <w:rFonts w:hint="eastAsia" w:ascii="宋体" w:hAnsi="宋体" w:eastAsia="宋体" w:cs="宋体"/>
          <w:color w:val="auto"/>
          <w:sz w:val="21"/>
          <w:szCs w:val="21"/>
          <w:highlight w:val="none"/>
          <w:lang w:val="en-US" w:eastAsia="zh-CN"/>
        </w:rPr>
        <w:t>09</w:t>
      </w:r>
      <w:r>
        <w:rPr>
          <w:rFonts w:hint="eastAsia" w:ascii="宋体" w:hAnsi="宋体" w:eastAsia="宋体" w:cs="宋体"/>
          <w:color w:val="auto"/>
          <w:sz w:val="21"/>
          <w:szCs w:val="21"/>
          <w:highlight w:val="none"/>
        </w:rPr>
        <w:t>）通用条款</w:t>
      </w:r>
      <w:r>
        <w:rPr>
          <w:rFonts w:hint="eastAsia" w:ascii="宋体" w:hAnsi="宋体" w:eastAsia="宋体" w:cs="宋体"/>
          <w:color w:val="auto"/>
          <w:sz w:val="21"/>
          <w:szCs w:val="21"/>
          <w:highlight w:val="none"/>
          <w:lang w:eastAsia="zh-CN"/>
        </w:rPr>
        <w:t>。</w:t>
      </w:r>
    </w:p>
    <w:p w14:paraId="4A2BE0BB">
      <w:pPr>
        <w:pStyle w:val="4"/>
        <w:spacing w:beforeLines="50" w:afterLines="50" w:line="440" w:lineRule="exact"/>
        <w:ind w:left="-199" w:leftChars="-95" w:right="-313" w:rightChars="-149" w:firstLine="199" w:firstLineChars="66"/>
        <w:jc w:val="center"/>
        <w:rPr>
          <w:rFonts w:ascii="宋体" w:hAnsi="宋体" w:cs="宋体"/>
          <w:color w:val="auto"/>
          <w:sz w:val="30"/>
          <w:szCs w:val="30"/>
          <w:highlight w:val="none"/>
        </w:rPr>
      </w:pPr>
      <w:r>
        <w:rPr>
          <w:rFonts w:hint="eastAsia" w:ascii="宋体" w:hAnsi="宋体" w:cs="宋体"/>
          <w:color w:val="auto"/>
          <w:sz w:val="30"/>
          <w:szCs w:val="30"/>
          <w:highlight w:val="none"/>
        </w:rPr>
        <w:t>第三部分 专用合同条款</w:t>
      </w:r>
    </w:p>
    <w:p w14:paraId="0454E850">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 一般约定</w:t>
      </w:r>
    </w:p>
    <w:p w14:paraId="1292160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词语定义与解释</w:t>
      </w:r>
    </w:p>
    <w:p w14:paraId="034A0AC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06EEE05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1.1.1.8 其他合同文件包括：</w:t>
      </w:r>
      <w:r>
        <w:rPr>
          <w:rFonts w:hint="eastAsia" w:ascii="宋体" w:hAnsi="宋体" w:eastAsia="宋体" w:cs="宋体"/>
          <w:color w:val="auto"/>
          <w:sz w:val="21"/>
          <w:szCs w:val="21"/>
          <w:highlight w:val="none"/>
          <w:u w:val="single"/>
        </w:rPr>
        <w:t xml:space="preserve">招标文件及其附件、投标文件及其附件、专用条款的补充条款、 双方洽商的变更协议或补充协议等双方来往函件  </w:t>
      </w:r>
      <w:r>
        <w:rPr>
          <w:rFonts w:hint="eastAsia" w:ascii="宋体" w:hAnsi="宋体" w:eastAsia="宋体" w:cs="宋体"/>
          <w:color w:val="auto"/>
          <w:sz w:val="21"/>
          <w:szCs w:val="21"/>
          <w:highlight w:val="none"/>
        </w:rPr>
        <w:t>。</w:t>
      </w:r>
    </w:p>
    <w:p w14:paraId="083C5A8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 法律 </w:t>
      </w:r>
    </w:p>
    <w:p w14:paraId="4D7E7BA6">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国家及地方有关建设工程勘察设计管理法规和规章  </w:t>
      </w:r>
      <w:r>
        <w:rPr>
          <w:rFonts w:hint="eastAsia" w:ascii="宋体" w:hAnsi="宋体" w:eastAsia="宋体" w:cs="宋体"/>
          <w:color w:val="auto"/>
          <w:sz w:val="21"/>
          <w:szCs w:val="21"/>
          <w:highlight w:val="none"/>
        </w:rPr>
        <w:t>。</w:t>
      </w:r>
    </w:p>
    <w:p w14:paraId="666900A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技术标准</w:t>
      </w:r>
    </w:p>
    <w:p w14:paraId="5D1B9AB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1.4.1适用于工程的技术标准包括：</w:t>
      </w:r>
      <w:r>
        <w:rPr>
          <w:rFonts w:hint="eastAsia" w:ascii="宋体" w:hAnsi="宋体" w:eastAsia="宋体" w:cs="宋体"/>
          <w:color w:val="auto"/>
          <w:sz w:val="21"/>
          <w:szCs w:val="21"/>
          <w:highlight w:val="none"/>
          <w:u w:val="single"/>
        </w:rPr>
        <w:t xml:space="preserve">     国家及行业现行有关规范和标准           </w:t>
      </w:r>
      <w:r>
        <w:rPr>
          <w:rFonts w:hint="eastAsia" w:ascii="宋体" w:hAnsi="宋体" w:eastAsia="宋体" w:cs="宋体"/>
          <w:color w:val="auto"/>
          <w:sz w:val="21"/>
          <w:szCs w:val="21"/>
          <w:highlight w:val="none"/>
        </w:rPr>
        <w:t>。</w:t>
      </w:r>
    </w:p>
    <w:p w14:paraId="75684F4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1.4.2 国外技术标准原文版本和中文译本的提供方：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sz w:val="21"/>
          <w:szCs w:val="21"/>
          <w:highlight w:val="none"/>
        </w:rPr>
        <w:t>；</w:t>
      </w:r>
    </w:p>
    <w:p w14:paraId="1D4AB87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提供国外技术标准的名称：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 xml:space="preserve">； </w:t>
      </w:r>
    </w:p>
    <w:p w14:paraId="65222C8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提供国外技术标准的份数：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D87090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提供国外技术标准的时间：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C76A6E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提供国外技术标准的费用承担：</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0A331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 xml:space="preserve">。                        </w:t>
      </w:r>
    </w:p>
    <w:p w14:paraId="604C020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合同文件的优先顺序</w:t>
      </w:r>
    </w:p>
    <w:p w14:paraId="53810D5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sz w:val="21"/>
          <w:szCs w:val="21"/>
          <w:highlight w:val="none"/>
          <w:u w:val="single"/>
        </w:rPr>
        <w:t>（1）合同协议书；（2）专用合同条款及其附件；（3）通用合同条款；（4）中标通知书（如果有）；（5）投标函及其附录（如果有）；（6）发包人要求；（7）技术标准；（8）发包人提供的上一阶段图纸（如果有）；（9）其他合同文件。</w:t>
      </w:r>
    </w:p>
    <w:p w14:paraId="040275F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上述各项合同文件包括合同当事人就该项合同文件所作出的补充和修改，属于同一类内容的文件，应以最新签署的为准。</w:t>
      </w:r>
    </w:p>
    <w:p w14:paraId="454B043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在合同履行过程中形成的与合同有关的文件均构成合同文件组成部分，并根据其性质确定优先解释顺序。</w:t>
      </w:r>
    </w:p>
    <w:p w14:paraId="7C0BE96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联络</w:t>
      </w:r>
    </w:p>
    <w:p w14:paraId="62EB85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 发包人和设计人应当在</w:t>
      </w:r>
      <w:r>
        <w:rPr>
          <w:rFonts w:hint="eastAsia" w:ascii="宋体" w:hAnsi="宋体" w:eastAsia="宋体" w:cs="宋体"/>
          <w:color w:val="auto"/>
          <w:kern w:val="0"/>
          <w:sz w:val="21"/>
          <w:szCs w:val="21"/>
          <w:highlight w:val="none"/>
          <w:u w:val="single"/>
        </w:rPr>
        <w:t>自合同签订之日起</w:t>
      </w:r>
      <w:r>
        <w:rPr>
          <w:rFonts w:hint="eastAsia" w:ascii="宋体" w:hAnsi="宋体" w:eastAsia="宋体" w:cs="宋体"/>
          <w:color w:val="auto"/>
          <w:sz w:val="21"/>
          <w:szCs w:val="21"/>
          <w:highlight w:val="none"/>
          <w:u w:val="single"/>
        </w:rPr>
        <w:t>3</w:t>
      </w:r>
      <w:r>
        <w:rPr>
          <w:rFonts w:hint="eastAsia" w:ascii="宋体" w:hAnsi="宋体" w:eastAsia="宋体" w:cs="宋体"/>
          <w:color w:val="auto"/>
          <w:kern w:val="0"/>
          <w:sz w:val="21"/>
          <w:szCs w:val="21"/>
          <w:highlight w:val="none"/>
        </w:rPr>
        <w:t>天内将与合同有关的通知、批准、证明、证书、指示、指令、要求、请求、同意、确定和决定等书面函件送达对方当事人。</w:t>
      </w:r>
    </w:p>
    <w:p w14:paraId="7227389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 发包人和设计人联系信息</w:t>
      </w:r>
    </w:p>
    <w:p w14:paraId="3E78FCB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发包人接收文件的地点：；</w:t>
      </w:r>
    </w:p>
    <w:p w14:paraId="559CD37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79E6F7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发包人指定的联系电话及传真号码：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0EFDD9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3E8A2A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设计人接收文件的地点：</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23C815C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设计人指定的接收人为：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21E68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设计人指定的联系电话及传真号码：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7A15255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设计人</w:t>
      </w:r>
      <w:r>
        <w:rPr>
          <w:rFonts w:hint="eastAsia" w:ascii="宋体" w:hAnsi="宋体" w:eastAsia="宋体" w:cs="宋体"/>
          <w:color w:val="auto"/>
          <w:kern w:val="0"/>
          <w:sz w:val="21"/>
          <w:szCs w:val="21"/>
          <w:highlight w:val="none"/>
        </w:rPr>
        <w:t>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26E415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 保密</w:t>
      </w:r>
    </w:p>
    <w:p w14:paraId="6C3B4D2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保密期限：</w:t>
      </w:r>
      <w:r>
        <w:rPr>
          <w:rFonts w:hint="eastAsia" w:ascii="宋体" w:hAnsi="宋体" w:eastAsia="宋体" w:cs="宋体"/>
          <w:color w:val="auto"/>
          <w:kern w:val="0"/>
          <w:sz w:val="21"/>
          <w:szCs w:val="21"/>
          <w:highlight w:val="none"/>
          <w:u w:val="single"/>
        </w:rPr>
        <w:t>未经发包人同意，设计人无论何时均不得将发包人提供的图纸、文件等资料信息泄露给第三方</w:t>
      </w:r>
      <w:r>
        <w:rPr>
          <w:rFonts w:hint="eastAsia" w:ascii="宋体" w:hAnsi="宋体" w:eastAsia="宋体" w:cs="宋体"/>
          <w:color w:val="auto"/>
          <w:kern w:val="0"/>
          <w:sz w:val="21"/>
          <w:szCs w:val="21"/>
          <w:highlight w:val="none"/>
        </w:rPr>
        <w:t>。</w:t>
      </w:r>
    </w:p>
    <w:p w14:paraId="3F331C4C">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 发包人</w:t>
      </w:r>
    </w:p>
    <w:p w14:paraId="591B6C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发包人一般义务</w:t>
      </w:r>
    </w:p>
    <w:p w14:paraId="5A59CFB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 发包人其它义务：</w:t>
      </w:r>
      <w:r>
        <w:rPr>
          <w:rFonts w:hint="eastAsia" w:ascii="宋体" w:hAnsi="宋体" w:eastAsia="宋体" w:cs="宋体"/>
          <w:color w:val="auto"/>
          <w:sz w:val="21"/>
          <w:szCs w:val="21"/>
          <w:highlight w:val="none"/>
          <w:u w:val="single"/>
        </w:rPr>
        <w:t xml:space="preserve">发包人应向设计人提供项目设计所需的基础资料  </w:t>
      </w:r>
      <w:r>
        <w:rPr>
          <w:rFonts w:hint="eastAsia" w:ascii="宋体" w:hAnsi="宋体" w:eastAsia="宋体" w:cs="宋体"/>
          <w:color w:val="auto"/>
          <w:sz w:val="21"/>
          <w:szCs w:val="21"/>
          <w:highlight w:val="none"/>
        </w:rPr>
        <w:t>。</w:t>
      </w:r>
    </w:p>
    <w:p w14:paraId="28300EA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1FC7B2C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707B2CB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006454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w:t>
      </w:r>
    </w:p>
    <w:p w14:paraId="6470526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401DAFA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38D59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           </w:t>
      </w:r>
      <w:r>
        <w:rPr>
          <w:rFonts w:hint="eastAsia" w:ascii="宋体" w:hAnsi="宋体" w:eastAsia="宋体" w:cs="宋体"/>
          <w:color w:val="auto"/>
          <w:sz w:val="21"/>
          <w:szCs w:val="21"/>
          <w:highlight w:val="none"/>
        </w:rPr>
        <w:t>；</w:t>
      </w:r>
    </w:p>
    <w:p w14:paraId="7428849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41F526D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 xml:space="preserve">代表发包人对本项目设计过程中的设计进度及相关协调工作等进行监督和检查。但涉及工程设计费用变更的确认需发包人盖章方为有效  </w:t>
      </w:r>
      <w:r>
        <w:rPr>
          <w:rFonts w:hint="eastAsia" w:ascii="宋体" w:hAnsi="宋体" w:eastAsia="宋体" w:cs="宋体"/>
          <w:color w:val="auto"/>
          <w:sz w:val="21"/>
          <w:szCs w:val="21"/>
          <w:highlight w:val="none"/>
        </w:rPr>
        <w:t>。</w:t>
      </w:r>
    </w:p>
    <w:p w14:paraId="7C5C302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发包人更换发包人代表的，应当提前</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天书面通知设计人。</w:t>
      </w:r>
    </w:p>
    <w:p w14:paraId="03C59CB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发包人决定</w:t>
      </w:r>
    </w:p>
    <w:p w14:paraId="70F1F7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发包人应在收到书面材料后</w:t>
      </w:r>
      <w:r>
        <w:rPr>
          <w:rFonts w:hint="eastAsia" w:ascii="宋体" w:hAnsi="宋体" w:eastAsia="宋体" w:cs="宋体"/>
          <w:color w:val="auto"/>
          <w:sz w:val="21"/>
          <w:szCs w:val="21"/>
          <w:highlight w:val="none"/>
          <w:u w:val="single"/>
        </w:rPr>
        <w:t>7</w:t>
      </w:r>
      <w:r>
        <w:rPr>
          <w:rFonts w:hint="eastAsia" w:ascii="宋体" w:hAnsi="宋体" w:eastAsia="宋体" w:cs="宋体"/>
          <w:color w:val="auto"/>
          <w:sz w:val="21"/>
          <w:szCs w:val="21"/>
          <w:highlight w:val="none"/>
        </w:rPr>
        <w:t>天内对设计人书面提出的事项作出书面决定。</w:t>
      </w:r>
    </w:p>
    <w:p w14:paraId="37F7E6DC">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 设计人</w:t>
      </w:r>
    </w:p>
    <w:p w14:paraId="0F2BAF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设计人一般义务</w:t>
      </w:r>
    </w:p>
    <w:p w14:paraId="1B3CD58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 设计人</w:t>
      </w:r>
      <w:r>
        <w:rPr>
          <w:rFonts w:hint="eastAsia" w:ascii="宋体" w:hAnsi="宋体" w:eastAsia="宋体" w:cs="宋体"/>
          <w:color w:val="auto"/>
          <w:sz w:val="21"/>
          <w:szCs w:val="21"/>
          <w:highlight w:val="none"/>
          <w:u w:val="single"/>
        </w:rPr>
        <w:t xml:space="preserve"> 需 </w:t>
      </w:r>
      <w:r>
        <w:rPr>
          <w:rFonts w:hint="eastAsia" w:ascii="宋体" w:hAnsi="宋体" w:eastAsia="宋体" w:cs="宋体"/>
          <w:color w:val="auto"/>
          <w:kern w:val="0"/>
          <w:sz w:val="21"/>
          <w:szCs w:val="21"/>
          <w:highlight w:val="none"/>
        </w:rPr>
        <w:t>配合发包人办理有关许可、批准或备案手续。</w:t>
      </w:r>
    </w:p>
    <w:p w14:paraId="15BB375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 设计人其他义务：</w:t>
      </w:r>
      <w:r>
        <w:rPr>
          <w:rFonts w:hint="eastAsia" w:ascii="宋体" w:hAnsi="宋体" w:eastAsia="宋体" w:cs="宋体"/>
          <w:color w:val="auto"/>
          <w:szCs w:val="21"/>
          <w:highlight w:val="none"/>
          <w:u w:val="single"/>
        </w:rPr>
        <w:t>设计人负责本项目各阶段设计文件向有关管理部门的送审报批工作，并负责将报批结果书面通知发包人，按照招投标文件要求和承诺安排设计人员、实施备案、</w:t>
      </w:r>
      <w:r>
        <w:rPr>
          <w:rFonts w:hint="eastAsia" w:ascii="宋体" w:hAnsi="宋体" w:eastAsia="宋体" w:cs="宋体"/>
          <w:color w:val="auto"/>
          <w:szCs w:val="21"/>
          <w:highlight w:val="none"/>
          <w:u w:val="single"/>
          <w:lang w:val="en-US" w:eastAsia="zh-CN"/>
        </w:rPr>
        <w:t>施工图设计、配合</w:t>
      </w:r>
      <w:r>
        <w:rPr>
          <w:rFonts w:hint="eastAsia" w:ascii="宋体" w:hAnsi="宋体" w:eastAsia="宋体" w:cs="宋体"/>
          <w:color w:val="auto"/>
          <w:szCs w:val="21"/>
          <w:highlight w:val="none"/>
          <w:u w:val="single"/>
        </w:rPr>
        <w:t>施工图审查，解决施工中的设计技术问题和竣工验收以及国家规定规范内所有设计成果和服务等与本项目相关一切设计内容及相关伴随服务等工作</w:t>
      </w:r>
      <w:r>
        <w:rPr>
          <w:rFonts w:hint="eastAsia" w:ascii="宋体" w:hAnsi="宋体" w:eastAsia="宋体" w:cs="宋体"/>
          <w:color w:val="auto"/>
          <w:sz w:val="21"/>
          <w:szCs w:val="21"/>
          <w:highlight w:val="none"/>
        </w:rPr>
        <w:t>。</w:t>
      </w:r>
    </w:p>
    <w:p w14:paraId="5FD0864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项目负责人</w:t>
      </w:r>
    </w:p>
    <w:p w14:paraId="1958CD0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项目负责人</w:t>
      </w:r>
    </w:p>
    <w:p w14:paraId="38F39E9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B4442D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执业资格及等级：</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86225A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77325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5BAE7D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4B0E6A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04673E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设计人对项目负责人的授权范围如下：</w:t>
      </w:r>
      <w:r>
        <w:rPr>
          <w:rFonts w:hint="eastAsia" w:ascii="宋体" w:hAnsi="宋体" w:eastAsia="宋体" w:cs="宋体"/>
          <w:color w:val="auto"/>
          <w:sz w:val="21"/>
          <w:szCs w:val="21"/>
          <w:highlight w:val="none"/>
          <w:u w:val="single"/>
        </w:rPr>
        <w:t xml:space="preserve">按要求完成本项目所有招标内容  </w:t>
      </w:r>
      <w:r>
        <w:rPr>
          <w:rFonts w:hint="eastAsia" w:ascii="宋体" w:hAnsi="宋体" w:eastAsia="宋体" w:cs="宋体"/>
          <w:color w:val="auto"/>
          <w:sz w:val="21"/>
          <w:szCs w:val="21"/>
          <w:highlight w:val="none"/>
        </w:rPr>
        <w:t>。</w:t>
      </w:r>
    </w:p>
    <w:p w14:paraId="33D33E6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3.2.2设计人更换项目负责人的，应提前</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天书面通知发包人。</w:t>
      </w:r>
    </w:p>
    <w:p w14:paraId="70D9588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设计人擅自更换项目负责人的违约责任：</w:t>
      </w:r>
      <w:r>
        <w:rPr>
          <w:rFonts w:hint="eastAsia" w:ascii="宋体" w:hAnsi="宋体" w:eastAsia="宋体" w:cs="宋体"/>
          <w:color w:val="auto"/>
          <w:szCs w:val="21"/>
          <w:highlight w:val="none"/>
          <w:u w:val="single"/>
        </w:rPr>
        <w:t>项目负责人（或设计人员）变更必须经发包人批准，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万元违约金，否则不得变更。变更后的项目负责人（或设计人员）必须符合本项目招标文件和投标承诺配备的同等条件人员，并按照相关规定履行变更审批程序。</w:t>
      </w:r>
    </w:p>
    <w:p w14:paraId="3867D60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设计人应在收到书面更换通知后</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天内更换项目负责人。</w:t>
      </w:r>
    </w:p>
    <w:p w14:paraId="45833D2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设计人无正当理由拒绝更换项目负责人的违约责任：</w:t>
      </w:r>
      <w:r>
        <w:rPr>
          <w:rFonts w:hint="eastAsia" w:ascii="宋体" w:hAnsi="宋体" w:eastAsia="宋体" w:cs="宋体"/>
          <w:color w:val="auto"/>
          <w:sz w:val="21"/>
          <w:szCs w:val="21"/>
          <w:highlight w:val="none"/>
          <w:u w:val="single"/>
        </w:rPr>
        <w:t>设计人必须承担给发包人造成的各项损失，发包人有权解除合同，扣除全部履约保证金，所有责任和损失由设计人承担。</w:t>
      </w:r>
    </w:p>
    <w:p w14:paraId="399B41C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设计人人员</w:t>
      </w:r>
    </w:p>
    <w:p w14:paraId="1FBA1DB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设计人提交项目管理机构及人员安排报告的期限：</w:t>
      </w:r>
      <w:r>
        <w:rPr>
          <w:rFonts w:hint="eastAsia" w:ascii="宋体" w:hAnsi="宋体" w:eastAsia="宋体" w:cs="宋体"/>
          <w:color w:val="auto"/>
          <w:sz w:val="21"/>
          <w:szCs w:val="21"/>
          <w:highlight w:val="none"/>
          <w:u w:val="single"/>
        </w:rPr>
        <w:t xml:space="preserve">    合同签订后7天内     </w:t>
      </w:r>
      <w:r>
        <w:rPr>
          <w:rFonts w:hint="eastAsia" w:ascii="宋体" w:hAnsi="宋体" w:eastAsia="宋体" w:cs="宋体"/>
          <w:color w:val="auto"/>
          <w:sz w:val="21"/>
          <w:szCs w:val="21"/>
          <w:highlight w:val="none"/>
        </w:rPr>
        <w:t>。</w:t>
      </w:r>
    </w:p>
    <w:p w14:paraId="5C56467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设计人无正当理由拒绝撤换主要设计人员的违约责任：</w:t>
      </w:r>
      <w:r>
        <w:rPr>
          <w:rFonts w:hint="eastAsia" w:ascii="宋体" w:hAnsi="宋体" w:eastAsia="宋体" w:cs="宋体"/>
          <w:color w:val="auto"/>
          <w:szCs w:val="21"/>
          <w:highlight w:val="none"/>
          <w:u w:val="single"/>
        </w:rPr>
        <w:t>设计人必须承担给发包人造成的各项损失，发包人有权解除合同，扣除全部履约保证金，所有责任和损失由设计人承担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B942A3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3.4 设计分包 </w:t>
      </w:r>
    </w:p>
    <w:p w14:paraId="62C26F1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 设计分包的一般约定</w:t>
      </w:r>
    </w:p>
    <w:p w14:paraId="3B7D513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禁止设计分包的工程包括：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本项目所有内容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1456A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DDD3F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3.4.2设计分包的确定</w:t>
      </w:r>
    </w:p>
    <w:p w14:paraId="7F71090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841DE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72CD0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 设计人向发包人提交有关分包人资料包括：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B5D6B5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 分包工程设计费支付方式：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D393B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联合体</w:t>
      </w:r>
    </w:p>
    <w:p w14:paraId="44CAB87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发包人向联合体支付设计费用的方式：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0C74986F">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5. 工程设计要求</w:t>
      </w:r>
    </w:p>
    <w:p w14:paraId="7284EDC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工程设计一般要求</w:t>
      </w:r>
    </w:p>
    <w:p w14:paraId="5123270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5.1.2.1 工程设计的特殊标准或要求：</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489E0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5.1.2.2 工程设计适用的技术标准：</w:t>
      </w:r>
      <w:r>
        <w:rPr>
          <w:rFonts w:hint="eastAsia" w:ascii="宋体" w:hAnsi="宋体" w:eastAsia="宋体" w:cs="宋体"/>
          <w:color w:val="auto"/>
          <w:sz w:val="21"/>
          <w:szCs w:val="21"/>
          <w:highlight w:val="none"/>
          <w:u w:val="single"/>
        </w:rPr>
        <w:t xml:space="preserve">   专业设计规范及发包人要求                 </w:t>
      </w:r>
      <w:r>
        <w:rPr>
          <w:rFonts w:hint="eastAsia" w:ascii="宋体" w:hAnsi="宋体" w:eastAsia="宋体" w:cs="宋体"/>
          <w:color w:val="auto"/>
          <w:sz w:val="21"/>
          <w:szCs w:val="21"/>
          <w:highlight w:val="none"/>
        </w:rPr>
        <w:t>。</w:t>
      </w:r>
    </w:p>
    <w:p w14:paraId="18426B0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工程设计文件的要求</w:t>
      </w:r>
    </w:p>
    <w:p w14:paraId="751F306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5.3.3 工程设计文件深度规定：</w:t>
      </w:r>
      <w:r>
        <w:rPr>
          <w:rFonts w:hint="eastAsia" w:ascii="宋体" w:hAnsi="宋体" w:eastAsia="宋体" w:cs="宋体"/>
          <w:color w:val="auto"/>
          <w:sz w:val="21"/>
          <w:szCs w:val="21"/>
          <w:highlight w:val="none"/>
          <w:u w:val="single"/>
        </w:rPr>
        <w:t xml:space="preserve">必须满足工程量清单及最高投标限价的编制和施工要求，不得要求发包人对图纸进行二次深化设计 </w:t>
      </w:r>
      <w:r>
        <w:rPr>
          <w:rFonts w:hint="eastAsia" w:ascii="宋体" w:hAnsi="宋体" w:eastAsia="宋体" w:cs="宋体"/>
          <w:color w:val="auto"/>
          <w:sz w:val="21"/>
          <w:szCs w:val="21"/>
          <w:highlight w:val="none"/>
        </w:rPr>
        <w:t xml:space="preserve">。 </w:t>
      </w:r>
    </w:p>
    <w:p w14:paraId="15F567E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5.3.5 工程的合理使用寿命年限：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按国家相关规范文件执行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 xml:space="preserve">  </w:t>
      </w:r>
    </w:p>
    <w:p w14:paraId="37E2A95D">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6. 工程设计进度与周期</w:t>
      </w:r>
    </w:p>
    <w:p w14:paraId="55BCBF8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工程设计进度计划</w:t>
      </w:r>
    </w:p>
    <w:p w14:paraId="2A97761F">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工程设计进度计划的编制</w:t>
      </w:r>
    </w:p>
    <w:p w14:paraId="4AF94C81">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合</w:t>
      </w:r>
      <w:r>
        <w:rPr>
          <w:rFonts w:hint="eastAsia" w:ascii="宋体" w:hAnsi="宋体" w:eastAsia="宋体" w:cs="宋体"/>
          <w:color w:val="auto"/>
          <w:kern w:val="0"/>
          <w:sz w:val="21"/>
          <w:szCs w:val="21"/>
          <w:highlight w:val="none"/>
        </w:rPr>
        <w:t>同当事人约定的工程设计进度计划提交的时间：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lang w:val="en-US" w:eastAsia="zh-CN"/>
        </w:rPr>
        <w:t>按发包人要求执行</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rPr>
        <w:t>。</w:t>
      </w:r>
    </w:p>
    <w:p w14:paraId="0D1CED13">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w:t>
      </w:r>
      <w:r>
        <w:rPr>
          <w:rFonts w:hint="eastAsia" w:ascii="宋体" w:hAnsi="宋体" w:eastAsia="宋体" w:cs="宋体"/>
          <w:color w:val="auto"/>
          <w:kern w:val="0"/>
          <w:sz w:val="21"/>
          <w:szCs w:val="21"/>
          <w:highlight w:val="none"/>
        </w:rPr>
        <w:t>同当事人约定的工程设计进度计划应包括的内容：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按发包人要求执行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C29C1BE">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6.1.2 </w:t>
      </w:r>
      <w:r>
        <w:rPr>
          <w:rFonts w:hint="eastAsia" w:ascii="宋体" w:hAnsi="宋体" w:eastAsia="宋体" w:cs="宋体"/>
          <w:color w:val="auto"/>
          <w:kern w:val="0"/>
          <w:sz w:val="21"/>
          <w:szCs w:val="21"/>
          <w:highlight w:val="none"/>
        </w:rPr>
        <w:t>工程设计进度计划的修订</w:t>
      </w:r>
    </w:p>
    <w:p w14:paraId="0BE9DB8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发包人在收到工程设计进度计划后确认或提出修改意见的期限：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Cs w:val="21"/>
          <w:highlight w:val="none"/>
          <w:u w:val="single"/>
        </w:rPr>
        <w:t>7日内</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B881C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 工程设计进度延误</w:t>
      </w:r>
    </w:p>
    <w:p w14:paraId="39BDFD2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6.3.1 </w:t>
      </w:r>
      <w:r>
        <w:rPr>
          <w:rFonts w:hint="eastAsia" w:ascii="宋体" w:hAnsi="宋体" w:eastAsia="宋体" w:cs="宋体"/>
          <w:color w:val="auto"/>
          <w:kern w:val="0"/>
          <w:sz w:val="21"/>
          <w:szCs w:val="21"/>
          <w:highlight w:val="none"/>
        </w:rPr>
        <w:t>因发包人原因导致工程设计进度延误</w:t>
      </w:r>
    </w:p>
    <w:p w14:paraId="7E58E78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（4）因发包人原因导致工程设计进度延误的其他情形：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E398F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设计人应在发生</w:t>
      </w:r>
      <w:r>
        <w:rPr>
          <w:rFonts w:hint="eastAsia" w:ascii="宋体" w:hAnsi="宋体" w:eastAsia="宋体" w:cs="宋体"/>
          <w:color w:val="auto"/>
          <w:kern w:val="0"/>
          <w:sz w:val="21"/>
          <w:szCs w:val="21"/>
          <w:highlight w:val="none"/>
        </w:rPr>
        <w:t>进度延误的情形</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天内向发包人发出要求延期的书面通知，在发生该情形后</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天内提交要求延期的详细说明。</w:t>
      </w:r>
    </w:p>
    <w:p w14:paraId="136054B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发包人收到设计人要求延期的详细说明后，应在</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天内进行审查并书面答复。</w:t>
      </w:r>
    </w:p>
    <w:p w14:paraId="72BD513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 提前交付工程设计文件</w:t>
      </w:r>
    </w:p>
    <w:p w14:paraId="189949A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6.5.2 提前交付工程设计文件的奖励：</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CAD1CB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w:t>
      </w:r>
      <w:r>
        <w:rPr>
          <w:rFonts w:hint="eastAsia" w:ascii="宋体" w:hAnsi="宋体" w:eastAsia="宋体" w:cs="宋体"/>
          <w:color w:val="auto"/>
          <w:sz w:val="21"/>
          <w:szCs w:val="21"/>
          <w:highlight w:val="none"/>
        </w:rPr>
        <w:t>工程设计文件交付</w:t>
      </w:r>
    </w:p>
    <w:p w14:paraId="1720E2FA">
      <w:pPr>
        <w:pStyle w:val="6"/>
        <w:pageBreakBefore w:val="0"/>
        <w:widowControl w:val="0"/>
        <w:kinsoku/>
        <w:wordWrap/>
        <w:overflowPunct/>
        <w:topLinePunct w:val="0"/>
        <w:bidi w:val="0"/>
        <w:snapToGrid/>
        <w:spacing w:before="0" w:beforeLines="0" w:after="0" w:afterLines="0"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rPr>
        <w:t>7.1 工程设计文件交付的内容</w:t>
      </w:r>
    </w:p>
    <w:p w14:paraId="4E7C5EC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发包人要求设计人提交电子版设计文件的具体形式为：</w:t>
      </w:r>
      <w:r>
        <w:rPr>
          <w:rFonts w:hint="eastAsia" w:ascii="宋体" w:hAnsi="宋体" w:eastAsia="宋体" w:cs="宋体"/>
          <w:color w:val="auto"/>
          <w:szCs w:val="21"/>
          <w:highlight w:val="none"/>
          <w:u w:val="single"/>
        </w:rPr>
        <w:t>提供可编辑的CAD等发包人要求格式</w:t>
      </w:r>
      <w:r>
        <w:rPr>
          <w:rFonts w:hint="eastAsia" w:ascii="宋体" w:hAnsi="宋体" w:eastAsia="宋体" w:cs="宋体"/>
          <w:color w:val="auto"/>
          <w:sz w:val="21"/>
          <w:szCs w:val="21"/>
          <w:highlight w:val="none"/>
        </w:rPr>
        <w:t>。</w:t>
      </w:r>
    </w:p>
    <w:p w14:paraId="0C40893A">
      <w:pPr>
        <w:pStyle w:val="6"/>
        <w:pageBreakBefore w:val="0"/>
        <w:widowControl w:val="0"/>
        <w:kinsoku/>
        <w:wordWrap/>
        <w:overflowPunct/>
        <w:topLinePunct w:val="0"/>
        <w:bidi w:val="0"/>
        <w:snapToGrid/>
        <w:spacing w:before="0" w:beforeLines="0" w:after="0" w:afterLines="0" w:line="44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8. 工程设计文件审查</w:t>
      </w:r>
    </w:p>
    <w:p w14:paraId="3C896DC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发包人对设计人的设计文件审查期限不超过</w:t>
      </w:r>
      <w:r>
        <w:rPr>
          <w:rFonts w:hint="eastAsia" w:ascii="宋体" w:hAnsi="宋体" w:eastAsia="宋体" w:cs="宋体"/>
          <w:color w:val="auto"/>
          <w:sz w:val="21"/>
          <w:szCs w:val="21"/>
          <w:highlight w:val="none"/>
          <w:u w:val="single"/>
        </w:rPr>
        <w:t xml:space="preserve"> 15 </w:t>
      </w:r>
      <w:r>
        <w:rPr>
          <w:rFonts w:hint="eastAsia" w:ascii="宋体" w:hAnsi="宋体" w:eastAsia="宋体" w:cs="宋体"/>
          <w:color w:val="auto"/>
          <w:sz w:val="21"/>
          <w:szCs w:val="21"/>
          <w:highlight w:val="none"/>
        </w:rPr>
        <w:t>天。</w:t>
      </w:r>
    </w:p>
    <w:p w14:paraId="28B2CBC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8.3发包人应在审查同意设计人的工程设计文件后在</w:t>
      </w:r>
      <w:r>
        <w:rPr>
          <w:rFonts w:hint="eastAsia" w:ascii="宋体" w:hAnsi="宋体" w:eastAsia="宋体" w:cs="宋体"/>
          <w:color w:val="auto"/>
          <w:sz w:val="21"/>
          <w:szCs w:val="21"/>
          <w:highlight w:val="none"/>
          <w:u w:val="single"/>
        </w:rPr>
        <w:t xml:space="preserve">  7</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天内，向政府有关部门报送工程设计文件。</w:t>
      </w:r>
    </w:p>
    <w:p w14:paraId="64A708E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8.4工程设计审查形式及时间安排：</w:t>
      </w:r>
      <w:r>
        <w:rPr>
          <w:rFonts w:hint="eastAsia" w:ascii="宋体" w:hAnsi="宋体" w:eastAsia="宋体" w:cs="宋体"/>
          <w:color w:val="auto"/>
          <w:sz w:val="21"/>
          <w:szCs w:val="21"/>
          <w:highlight w:val="none"/>
          <w:u w:val="single"/>
        </w:rPr>
        <w:t>根据发包人时间安排，发包人</w:t>
      </w:r>
      <w:r>
        <w:rPr>
          <w:rFonts w:hint="eastAsia" w:ascii="宋体" w:hAnsi="宋体" w:eastAsia="宋体" w:cs="宋体"/>
          <w:color w:val="auto"/>
          <w:sz w:val="21"/>
          <w:szCs w:val="21"/>
          <w:highlight w:val="none"/>
          <w:u w:val="single"/>
          <w:lang w:val="en-US" w:eastAsia="zh-CN"/>
        </w:rPr>
        <w:t>组织</w:t>
      </w:r>
      <w:r>
        <w:rPr>
          <w:rFonts w:hint="eastAsia" w:ascii="宋体" w:hAnsi="宋体" w:eastAsia="宋体" w:cs="宋体"/>
          <w:color w:val="auto"/>
          <w:sz w:val="21"/>
          <w:szCs w:val="21"/>
          <w:highlight w:val="none"/>
          <w:u w:val="single"/>
        </w:rPr>
        <w:t xml:space="preserve">专项评审会议，由设计人进行专项汇报 </w:t>
      </w:r>
      <w:r>
        <w:rPr>
          <w:rFonts w:hint="eastAsia" w:ascii="宋体" w:hAnsi="宋体" w:eastAsia="宋体" w:cs="宋体"/>
          <w:color w:val="auto"/>
          <w:sz w:val="21"/>
          <w:szCs w:val="21"/>
          <w:highlight w:val="none"/>
        </w:rPr>
        <w:t>。</w:t>
      </w:r>
    </w:p>
    <w:p w14:paraId="7F2F17C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 施工现场配合服务</w:t>
      </w:r>
    </w:p>
    <w:p w14:paraId="0F490E6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9.1 发包人为设计人派赴现场的工作人员提供便利条件的内容包括：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BA050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9.2 设计人应当在交付施工图设计文件并经审查合格后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设计成果汇报、交底、施工指导和服务、验收、保修期服务等发包人需要的</w:t>
      </w:r>
      <w:r>
        <w:rPr>
          <w:rFonts w:hint="eastAsia" w:ascii="宋体" w:hAnsi="宋体" w:eastAsia="宋体" w:cs="宋体"/>
          <w:color w:val="auto"/>
          <w:sz w:val="21"/>
          <w:szCs w:val="21"/>
          <w:highlight w:val="none"/>
        </w:rPr>
        <w:t>时间内提供施工现场配合服务。</w:t>
      </w:r>
    </w:p>
    <w:p w14:paraId="24E65D93">
      <w:pPr>
        <w:pStyle w:val="5"/>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lang w:val="en-US"/>
        </w:rPr>
      </w:pPr>
      <w:r>
        <w:rPr>
          <w:rFonts w:hint="eastAsia" w:ascii="宋体" w:hAnsi="宋体" w:eastAsia="宋体" w:cs="宋体"/>
          <w:b w:val="0"/>
          <w:color w:val="auto"/>
          <w:sz w:val="21"/>
          <w:szCs w:val="21"/>
          <w:highlight w:val="none"/>
          <w:lang w:val="en-US"/>
        </w:rPr>
        <w:t>10. 履约保证金、</w:t>
      </w:r>
      <w:r>
        <w:rPr>
          <w:rFonts w:hint="eastAsia" w:ascii="宋体" w:hAnsi="宋体" w:eastAsia="宋体" w:cs="宋体"/>
          <w:b w:val="0"/>
          <w:color w:val="auto"/>
          <w:sz w:val="21"/>
          <w:szCs w:val="21"/>
          <w:highlight w:val="none"/>
        </w:rPr>
        <w:t>合同价款与支付</w:t>
      </w:r>
    </w:p>
    <w:p w14:paraId="31FC5C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bidi="zh-CN"/>
        </w:rPr>
      </w:pPr>
      <w:r>
        <w:rPr>
          <w:rFonts w:hint="eastAsia" w:ascii="宋体" w:hAnsi="宋体" w:eastAsia="宋体" w:cs="宋体"/>
          <w:bCs/>
          <w:color w:val="auto"/>
          <w:sz w:val="21"/>
          <w:szCs w:val="21"/>
          <w:highlight w:val="none"/>
          <w:lang w:bidi="zh-CN"/>
        </w:rPr>
        <w:t>10.1 履约保证金</w:t>
      </w:r>
    </w:p>
    <w:p w14:paraId="70D4483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本项目无须缴纳履约担保。</w:t>
      </w:r>
    </w:p>
    <w:p w14:paraId="697C6D1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 合同价格形式</w:t>
      </w:r>
    </w:p>
    <w:p w14:paraId="4A6378E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总价</w:t>
      </w:r>
      <w:r>
        <w:rPr>
          <w:rFonts w:hint="eastAsia" w:ascii="宋体" w:hAnsi="宋体" w:eastAsia="宋体" w:cs="宋体"/>
          <w:color w:val="auto"/>
          <w:sz w:val="21"/>
          <w:szCs w:val="21"/>
          <w:highlight w:val="none"/>
        </w:rPr>
        <w:t>合同</w:t>
      </w:r>
    </w:p>
    <w:p w14:paraId="78B1454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总价</w:t>
      </w:r>
      <w:r>
        <w:rPr>
          <w:rFonts w:hint="eastAsia" w:ascii="宋体" w:hAnsi="宋体" w:eastAsia="宋体" w:cs="宋体"/>
          <w:color w:val="auto"/>
          <w:sz w:val="21"/>
          <w:szCs w:val="21"/>
          <w:highlight w:val="none"/>
        </w:rPr>
        <w:t>包含的风险范围：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总价</w:t>
      </w:r>
      <w:r>
        <w:rPr>
          <w:rFonts w:hint="eastAsia" w:ascii="宋体" w:hAnsi="宋体" w:eastAsia="宋体" w:cs="宋体"/>
          <w:color w:val="auto"/>
          <w:sz w:val="21"/>
          <w:szCs w:val="21"/>
          <w:highlight w:val="none"/>
          <w:u w:val="single"/>
        </w:rPr>
        <w:t xml:space="preserve">结算不予调整        </w:t>
      </w:r>
      <w:r>
        <w:rPr>
          <w:rFonts w:hint="eastAsia" w:ascii="宋体" w:hAnsi="宋体" w:eastAsia="宋体" w:cs="宋体"/>
          <w:color w:val="auto"/>
          <w:sz w:val="21"/>
          <w:szCs w:val="21"/>
          <w:highlight w:val="none"/>
        </w:rPr>
        <w:t>。</w:t>
      </w:r>
    </w:p>
    <w:p w14:paraId="5E56C26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由设计人自行考虑并包含在合同价格中           </w:t>
      </w:r>
      <w:r>
        <w:rPr>
          <w:rFonts w:hint="eastAsia" w:ascii="宋体" w:hAnsi="宋体" w:eastAsia="宋体" w:cs="宋体"/>
          <w:color w:val="auto"/>
          <w:sz w:val="21"/>
          <w:szCs w:val="21"/>
          <w:highlight w:val="none"/>
        </w:rPr>
        <w:t>。</w:t>
      </w:r>
    </w:p>
    <w:p w14:paraId="7103CF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0378C5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 预付款</w:t>
      </w:r>
    </w:p>
    <w:p w14:paraId="4D8648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 预付款的比例</w:t>
      </w:r>
    </w:p>
    <w:p w14:paraId="6A21ADB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预付款的比例</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9216BD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10.3.2 预付款的支付</w:t>
      </w:r>
    </w:p>
    <w:p w14:paraId="092BD7E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预付款的支付时间：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，但</w:t>
      </w:r>
      <w:r>
        <w:rPr>
          <w:rFonts w:hint="eastAsia" w:ascii="宋体" w:hAnsi="宋体" w:eastAsia="宋体" w:cs="宋体"/>
          <w:color w:val="auto"/>
          <w:kern w:val="0"/>
          <w:sz w:val="21"/>
          <w:szCs w:val="21"/>
          <w:highlight w:val="none"/>
        </w:rPr>
        <w:t>最迟应在开始设计通知载明的开始设计日期</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天前支付。</w:t>
      </w:r>
    </w:p>
    <w:p w14:paraId="374668A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10.4进度款支付</w:t>
      </w:r>
    </w:p>
    <w:p w14:paraId="71D813D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提交成果文件后一次性付清合同价款。</w:t>
      </w:r>
    </w:p>
    <w:p w14:paraId="388BFA1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工程设计变更与索赔</w:t>
      </w:r>
    </w:p>
    <w:p w14:paraId="1770874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 设计人应于认为有理由提出增加合同价款或延长设计周期的要求事项发生后</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天内书面通知发包人。</w:t>
      </w:r>
    </w:p>
    <w:p w14:paraId="261353D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设计人应在该事项发生后</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天内向发包人提供证明设计人要求的书面声明。</w:t>
      </w:r>
    </w:p>
    <w:p w14:paraId="18382FE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发包人应在接到设计人书面声明后的</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天内，予以书面答复。</w:t>
      </w:r>
    </w:p>
    <w:p w14:paraId="3F54A90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专业责任与保险</w:t>
      </w:r>
    </w:p>
    <w:p w14:paraId="3E2BAF6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设计人</w:t>
      </w:r>
      <w:r>
        <w:rPr>
          <w:rFonts w:hint="eastAsia" w:ascii="宋体" w:hAnsi="宋体" w:eastAsia="宋体" w:cs="宋体"/>
          <w:color w:val="auto"/>
          <w:sz w:val="21"/>
          <w:szCs w:val="21"/>
          <w:highlight w:val="none"/>
          <w:u w:val="single"/>
        </w:rPr>
        <w:t xml:space="preserve"> 需 </w:t>
      </w:r>
      <w:r>
        <w:rPr>
          <w:rFonts w:hint="eastAsia" w:ascii="宋体" w:hAnsi="宋体" w:eastAsia="宋体" w:cs="宋体"/>
          <w:color w:val="auto"/>
          <w:sz w:val="21"/>
          <w:szCs w:val="21"/>
          <w:highlight w:val="none"/>
        </w:rPr>
        <w:t>有发包人认可的工程设计责任保险。</w:t>
      </w:r>
    </w:p>
    <w:p w14:paraId="5E9B650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13. 知识产权</w:t>
      </w:r>
    </w:p>
    <w:p w14:paraId="71A3433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13.1关于发包人提供给设计人的图纸、发包人为实施工程自行编制或委托编制的技术规格以及反映发包人关于合同要求或其他类似性质的文件的著作权的归属：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color w:val="auto"/>
          <w:szCs w:val="21"/>
          <w:highlight w:val="none"/>
          <w:u w:val="single"/>
        </w:rPr>
        <w:t>属于发包人，设计人应保护发包人的知识产权，不得向第三人泄露、转让发包人提交的图纸等技术经济资料。设计人应保证向发包人交付的设计未侵犯第三人知识产权，因设计人侵权导致第三人主张的赔偿应由设计人承担。如发生以上情况并给发包人造成经济损失，发包人有权向设计人索赔</w:t>
      </w:r>
      <w:r>
        <w:rPr>
          <w:rFonts w:hint="eastAsia" w:ascii="宋体" w:hAnsi="宋体" w:eastAsia="宋体" w:cs="宋体"/>
          <w:color w:val="auto"/>
          <w:sz w:val="21"/>
          <w:szCs w:val="21"/>
          <w:highlight w:val="none"/>
        </w:rPr>
        <w:t>。</w:t>
      </w:r>
    </w:p>
    <w:p w14:paraId="7DC4D16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未经发包人同意，不得向任何第三方提供上述文件。</w:t>
      </w:r>
    </w:p>
    <w:p w14:paraId="526C7EE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关于设计人为实施工程所编制文件的著作权的归属：</w:t>
      </w:r>
      <w:r>
        <w:rPr>
          <w:rFonts w:hint="eastAsia" w:ascii="宋体" w:hAnsi="宋体" w:eastAsia="宋体" w:cs="宋体"/>
          <w:color w:val="auto"/>
          <w:sz w:val="21"/>
          <w:szCs w:val="21"/>
          <w:highlight w:val="none"/>
          <w:u w:val="single"/>
        </w:rPr>
        <w:t xml:space="preserve">  属于发包人               </w:t>
      </w:r>
      <w:r>
        <w:rPr>
          <w:rFonts w:hint="eastAsia" w:ascii="宋体" w:hAnsi="宋体" w:eastAsia="宋体" w:cs="宋体"/>
          <w:color w:val="auto"/>
          <w:sz w:val="21"/>
          <w:szCs w:val="21"/>
          <w:highlight w:val="none"/>
        </w:rPr>
        <w:t>。</w:t>
      </w:r>
    </w:p>
    <w:p w14:paraId="675E8C4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关于设计人提供的上述文件的使用限制的要求：</w:t>
      </w:r>
      <w:r>
        <w:rPr>
          <w:rFonts w:hint="eastAsia" w:ascii="宋体" w:hAnsi="宋体" w:eastAsia="宋体" w:cs="宋体"/>
          <w:color w:val="auto"/>
          <w:sz w:val="21"/>
          <w:szCs w:val="21"/>
          <w:highlight w:val="none"/>
          <w:u w:val="single"/>
        </w:rPr>
        <w:t>未经发包人同意，设计人不得向任何第三方提供上述文件。</w:t>
      </w:r>
    </w:p>
    <w:p w14:paraId="1CC17A8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13.5 设计人在设计过程中所采用的专利、专有技术的使用费的承担方式：</w:t>
      </w:r>
      <w:r>
        <w:rPr>
          <w:rFonts w:hint="eastAsia" w:ascii="宋体" w:hAnsi="宋体" w:eastAsia="宋体" w:cs="宋体"/>
          <w:color w:val="auto"/>
          <w:sz w:val="21"/>
          <w:szCs w:val="21"/>
          <w:highlight w:val="none"/>
          <w:u w:val="single"/>
        </w:rPr>
        <w:t xml:space="preserve"> 由设计人自行承担 。</w:t>
      </w:r>
    </w:p>
    <w:p w14:paraId="146FB6E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违约责任</w:t>
      </w:r>
    </w:p>
    <w:p w14:paraId="23C608D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发包人违约责任</w:t>
      </w:r>
    </w:p>
    <w:p w14:paraId="2297F99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14.1.1发包人支付设计人违约金：</w:t>
      </w:r>
      <w:r>
        <w:rPr>
          <w:rFonts w:hint="eastAsia" w:ascii="宋体" w:hAnsi="宋体" w:eastAsia="宋体" w:cs="宋体"/>
          <w:color w:val="auto"/>
          <w:sz w:val="21"/>
          <w:szCs w:val="21"/>
          <w:highlight w:val="none"/>
          <w:u w:val="single"/>
        </w:rPr>
        <w:t>合同生效后，发包人因非设计人原因要求终止或解除合同，设计人未开始设计工作的，</w:t>
      </w:r>
      <w:r>
        <w:rPr>
          <w:rFonts w:hint="eastAsia" w:ascii="宋体" w:hAnsi="宋体" w:eastAsia="宋体" w:cs="宋体"/>
          <w:color w:val="auto"/>
          <w:sz w:val="21"/>
          <w:szCs w:val="21"/>
          <w:highlight w:val="none"/>
          <w:u w:val="single"/>
          <w:lang w:val="en-US" w:eastAsia="zh-CN"/>
        </w:rPr>
        <w:t>不支付任何费用</w:t>
      </w:r>
      <w:r>
        <w:rPr>
          <w:rFonts w:hint="eastAsia" w:ascii="宋体" w:hAnsi="宋体" w:eastAsia="宋体" w:cs="宋体"/>
          <w:color w:val="auto"/>
          <w:sz w:val="21"/>
          <w:szCs w:val="21"/>
          <w:highlight w:val="none"/>
          <w:u w:val="single"/>
        </w:rPr>
        <w:t>；已开始设计工作的，完成工作量不足一半时，按该阶段设计费的</w:t>
      </w:r>
      <w:r>
        <w:rPr>
          <w:rFonts w:hint="eastAsia" w:ascii="宋体" w:hAnsi="宋体" w:eastAsia="宋体" w:cs="宋体"/>
          <w:color w:val="auto"/>
          <w:sz w:val="21"/>
          <w:szCs w:val="21"/>
          <w:highlight w:val="none"/>
          <w:u w:val="single"/>
          <w:lang w:val="en-US" w:eastAsia="zh-CN"/>
        </w:rPr>
        <w:t>30%支付</w:t>
      </w:r>
      <w:r>
        <w:rPr>
          <w:rFonts w:hint="eastAsia" w:ascii="宋体" w:hAnsi="宋体" w:eastAsia="宋体" w:cs="宋体"/>
          <w:color w:val="auto"/>
          <w:sz w:val="21"/>
          <w:szCs w:val="21"/>
          <w:highlight w:val="none"/>
          <w:u w:val="single"/>
        </w:rPr>
        <w:t>设计费；超过一半时，</w:t>
      </w:r>
      <w:r>
        <w:rPr>
          <w:rFonts w:hint="eastAsia" w:ascii="宋体" w:hAnsi="宋体" w:eastAsia="宋体" w:cs="宋体"/>
          <w:color w:val="auto"/>
          <w:sz w:val="21"/>
          <w:szCs w:val="21"/>
          <w:highlight w:val="none"/>
          <w:u w:val="single"/>
          <w:lang w:val="en-US" w:eastAsia="zh-CN"/>
        </w:rPr>
        <w:t>按</w:t>
      </w:r>
      <w:r>
        <w:rPr>
          <w:rFonts w:hint="eastAsia" w:ascii="宋体" w:hAnsi="宋体" w:eastAsia="宋体" w:cs="宋体"/>
          <w:color w:val="auto"/>
          <w:sz w:val="21"/>
          <w:szCs w:val="21"/>
          <w:highlight w:val="none"/>
          <w:u w:val="single"/>
        </w:rPr>
        <w:t>该阶段设计费的一半支付设计费</w:t>
      </w:r>
    </w:p>
    <w:p w14:paraId="1C94E72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设计人违约责任</w:t>
      </w:r>
    </w:p>
    <w:p w14:paraId="41C85B7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14.2.1 设计人支付发包人的违约金：</w:t>
      </w:r>
      <w:r>
        <w:rPr>
          <w:rFonts w:hint="eastAsia" w:ascii="宋体" w:hAnsi="宋体" w:eastAsia="宋体" w:cs="宋体"/>
          <w:color w:val="auto"/>
          <w:sz w:val="21"/>
          <w:szCs w:val="21"/>
          <w:highlight w:val="none"/>
          <w:u w:val="single"/>
        </w:rPr>
        <w:t xml:space="preserve"> 合同生效后，设计人因自身原因要求终止或解除合同，设计人应按合同价款的20%支付违约金及经济赔偿，同时返还发包人已支付的全部费用。</w:t>
      </w:r>
    </w:p>
    <w:p w14:paraId="75FE029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none"/>
        </w:rPr>
        <w:t>14.2.2设计人逾期交付工程设计文件的违约金：</w:t>
      </w:r>
      <w:r>
        <w:rPr>
          <w:rFonts w:hint="eastAsia" w:ascii="宋体" w:hAnsi="宋体" w:eastAsia="宋体" w:cs="宋体"/>
          <w:color w:val="auto"/>
          <w:kern w:val="0"/>
          <w:sz w:val="21"/>
          <w:szCs w:val="21"/>
          <w:highlight w:val="none"/>
          <w:u w:val="single"/>
          <w:lang w:val="en-US" w:eastAsia="zh-CN"/>
        </w:rPr>
        <w:t>设计人</w:t>
      </w:r>
      <w:r>
        <w:rPr>
          <w:rFonts w:hint="eastAsia" w:ascii="宋体" w:hAnsi="宋体" w:eastAsia="宋体" w:cs="宋体"/>
          <w:color w:val="auto"/>
          <w:kern w:val="0"/>
          <w:sz w:val="21"/>
          <w:szCs w:val="21"/>
          <w:highlight w:val="none"/>
          <w:u w:val="single"/>
        </w:rPr>
        <w:t>在</w:t>
      </w:r>
      <w:r>
        <w:rPr>
          <w:rFonts w:hint="eastAsia" w:ascii="宋体" w:hAnsi="宋体" w:eastAsia="宋体" w:cs="宋体"/>
          <w:color w:val="auto"/>
          <w:kern w:val="0"/>
          <w:sz w:val="21"/>
          <w:szCs w:val="21"/>
          <w:highlight w:val="none"/>
          <w:u w:val="single"/>
          <w:lang w:val="en-US" w:eastAsia="zh-CN"/>
        </w:rPr>
        <w:t>发包人</w:t>
      </w:r>
      <w:r>
        <w:rPr>
          <w:rFonts w:hint="eastAsia" w:ascii="宋体" w:hAnsi="宋体" w:eastAsia="宋体" w:cs="宋体"/>
          <w:color w:val="auto"/>
          <w:kern w:val="0"/>
          <w:sz w:val="21"/>
          <w:szCs w:val="21"/>
          <w:highlight w:val="none"/>
          <w:u w:val="single"/>
        </w:rPr>
        <w:t>规定的设计周期内，完成本项目的所有设计任务，提交相应的设计文件，后期提供相应后续服务工作。因设计人自身原因，每延迟一天，从设计费中扣除</w:t>
      </w:r>
      <w:r>
        <w:rPr>
          <w:rFonts w:hint="eastAsia" w:ascii="宋体" w:hAnsi="宋体" w:eastAsia="宋体" w:cs="宋体"/>
          <w:color w:val="auto"/>
          <w:kern w:val="0"/>
          <w:sz w:val="21"/>
          <w:szCs w:val="21"/>
          <w:highlight w:val="none"/>
          <w:u w:val="single"/>
          <w:lang w:val="en-US" w:eastAsia="zh-CN"/>
        </w:rPr>
        <w:t>1000</w:t>
      </w:r>
      <w:r>
        <w:rPr>
          <w:rFonts w:hint="eastAsia" w:ascii="宋体" w:hAnsi="宋体" w:eastAsia="宋体" w:cs="宋体"/>
          <w:color w:val="auto"/>
          <w:kern w:val="0"/>
          <w:sz w:val="21"/>
          <w:szCs w:val="21"/>
          <w:highlight w:val="none"/>
          <w:u w:val="single"/>
        </w:rPr>
        <w:t>元违约金，延期达到50%及以上时，发包人有权解除合同，没收履约保证金并赔偿一切损失。</w:t>
      </w:r>
    </w:p>
    <w:p w14:paraId="30C78E9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设计人逾期交付工程设计文件的违约金的上限：</w:t>
      </w:r>
      <w:r>
        <w:rPr>
          <w:rFonts w:hint="eastAsia" w:ascii="宋体" w:hAnsi="宋体" w:eastAsia="宋体" w:cs="宋体"/>
          <w:color w:val="auto"/>
          <w:kern w:val="0"/>
          <w:sz w:val="21"/>
          <w:szCs w:val="21"/>
          <w:highlight w:val="none"/>
          <w:u w:val="single"/>
          <w:lang w:val="en-US" w:eastAsia="zh-CN"/>
        </w:rPr>
        <w:t>全额履约保证金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212D54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14.2.3 设计人设计文件不合格的损失赔偿金的上限：</w:t>
      </w:r>
      <w:r>
        <w:rPr>
          <w:rFonts w:hint="eastAsia" w:ascii="宋体" w:hAnsi="宋体" w:eastAsia="宋体" w:cs="宋体"/>
          <w:color w:val="auto"/>
          <w:kern w:val="0"/>
          <w:sz w:val="21"/>
          <w:szCs w:val="21"/>
          <w:highlight w:val="none"/>
          <w:u w:val="single"/>
        </w:rPr>
        <w:t>合同金额</w:t>
      </w:r>
      <w:r>
        <w:rPr>
          <w:rFonts w:hint="eastAsia" w:ascii="宋体" w:hAnsi="宋体" w:eastAsia="宋体" w:cs="宋体"/>
          <w:color w:val="auto"/>
          <w:sz w:val="21"/>
          <w:szCs w:val="21"/>
          <w:highlight w:val="none"/>
        </w:rPr>
        <w:t>。</w:t>
      </w:r>
    </w:p>
    <w:p w14:paraId="0056A5E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b w:val="0"/>
          <w:bCs w:val="0"/>
          <w:color w:val="auto"/>
          <w:sz w:val="21"/>
          <w:szCs w:val="21"/>
          <w:highlight w:val="none"/>
          <w:u w:val="single"/>
          <w:lang w:val="en-US" w:eastAsia="zh-CN" w:bidi="ar-SA"/>
        </w:rPr>
      </w:pPr>
      <w:r>
        <w:rPr>
          <w:rFonts w:hint="eastAsia" w:ascii="宋体" w:hAnsi="宋体" w:eastAsia="宋体" w:cs="宋体"/>
          <w:color w:val="auto"/>
          <w:kern w:val="0"/>
          <w:sz w:val="21"/>
          <w:szCs w:val="21"/>
          <w:highlight w:val="none"/>
        </w:rPr>
        <w:t xml:space="preserve">14.2.4 </w:t>
      </w:r>
      <w:r>
        <w:rPr>
          <w:rFonts w:hint="eastAsia" w:ascii="宋体" w:hAnsi="宋体" w:eastAsia="宋体" w:cs="宋体"/>
          <w:color w:val="auto"/>
          <w:sz w:val="21"/>
          <w:szCs w:val="21"/>
          <w:highlight w:val="none"/>
        </w:rPr>
        <w:t>设计人工程设计文件超出主要技术指标控制值比例的违约责任：</w:t>
      </w:r>
      <w:r>
        <w:rPr>
          <w:rFonts w:hint="eastAsia" w:ascii="宋体" w:hAnsi="宋体" w:eastAsia="宋体" w:cs="宋体"/>
          <w:color w:val="auto"/>
          <w:sz w:val="21"/>
          <w:szCs w:val="21"/>
          <w:highlight w:val="none"/>
          <w:u w:val="single"/>
          <w:lang w:val="en-US" w:eastAsia="zh-CN"/>
        </w:rPr>
        <w:t xml:space="preserve">         </w:t>
      </w:r>
    </w:p>
    <w:p w14:paraId="50A67F93">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bCs w:val="0"/>
          <w:color w:val="auto"/>
          <w:sz w:val="21"/>
          <w:szCs w:val="21"/>
          <w:highlight w:val="none"/>
          <w:lang w:val="en-US" w:bidi="ar-SA"/>
        </w:rPr>
      </w:pPr>
      <w:r>
        <w:rPr>
          <w:rFonts w:hint="eastAsia" w:ascii="宋体" w:hAnsi="宋体" w:eastAsia="宋体" w:cs="宋体"/>
          <w:b w:val="0"/>
          <w:color w:val="auto"/>
          <w:sz w:val="21"/>
          <w:szCs w:val="21"/>
          <w:highlight w:val="none"/>
          <w:lang w:val="en-US"/>
        </w:rPr>
        <w:t>14.2.5设计人未经发包人同意擅自对工程设计进行分包的违约责任：</w:t>
      </w:r>
      <w:r>
        <w:rPr>
          <w:rFonts w:hint="eastAsia" w:ascii="宋体" w:hAnsi="宋体" w:eastAsia="宋体" w:cs="宋体"/>
          <w:b w:val="0"/>
          <w:bCs w:val="0"/>
          <w:color w:val="auto"/>
          <w:sz w:val="21"/>
          <w:szCs w:val="21"/>
          <w:highlight w:val="none"/>
          <w:u w:val="single"/>
          <w:lang w:val="en-US" w:eastAsia="zh-CN" w:bidi="ar-SA"/>
        </w:rPr>
        <w:t>发包人</w:t>
      </w:r>
      <w:r>
        <w:rPr>
          <w:rFonts w:hint="eastAsia" w:ascii="宋体" w:hAnsi="宋体" w:eastAsia="宋体" w:cs="宋体"/>
          <w:b w:val="0"/>
          <w:bCs w:val="0"/>
          <w:color w:val="auto"/>
          <w:sz w:val="21"/>
          <w:szCs w:val="21"/>
          <w:highlight w:val="none"/>
          <w:u w:val="single"/>
          <w:lang w:val="en-US" w:bidi="ar-SA"/>
        </w:rPr>
        <w:t>有权单方解除合同，同时履约保证金不予退还。</w:t>
      </w:r>
    </w:p>
    <w:p w14:paraId="377FACB0">
      <w:pPr>
        <w:pageBreakBefore w:val="0"/>
        <w:widowControl w:val="0"/>
        <w:kinsoku/>
        <w:wordWrap/>
        <w:overflowPunct/>
        <w:topLinePunct w:val="0"/>
        <w:bidi w:val="0"/>
        <w:snapToGrid/>
        <w:spacing w:line="44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14.2.6 本合同中约定的所有违约金及罚款，发包人有权直接从履约保证金或设计费中直接扣除。</w:t>
      </w:r>
    </w:p>
    <w:p w14:paraId="450ECF3F">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15. 不可抗力 </w:t>
      </w:r>
    </w:p>
    <w:p w14:paraId="266BB02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不可抗力的确认</w:t>
      </w:r>
    </w:p>
    <w:p w14:paraId="31E94ED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kern w:val="0"/>
          <w:sz w:val="21"/>
          <w:szCs w:val="21"/>
          <w:highlight w:val="none"/>
          <w:u w:val="single"/>
        </w:rPr>
        <w:t xml:space="preserve">政府及主管部门政策性行为  </w:t>
      </w:r>
      <w:r>
        <w:rPr>
          <w:rFonts w:hint="eastAsia" w:ascii="宋体" w:hAnsi="宋体" w:eastAsia="宋体" w:cs="宋体"/>
          <w:color w:val="auto"/>
          <w:kern w:val="0"/>
          <w:sz w:val="21"/>
          <w:szCs w:val="21"/>
          <w:highlight w:val="none"/>
        </w:rPr>
        <w:t>。</w:t>
      </w:r>
    </w:p>
    <w:p w14:paraId="1C784FF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16. 合同解除 </w:t>
      </w:r>
    </w:p>
    <w:p w14:paraId="5B8E5B1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16.2 </w:t>
      </w:r>
      <w:r>
        <w:rPr>
          <w:rFonts w:hint="eastAsia" w:ascii="宋体" w:hAnsi="宋体" w:eastAsia="宋体" w:cs="宋体"/>
          <w:color w:val="auto"/>
          <w:sz w:val="21"/>
          <w:szCs w:val="21"/>
          <w:highlight w:val="none"/>
        </w:rPr>
        <w:t>有下列情形之一的，可以解除合同，因发包人原因导致的解除合同，须返还发包人已支付的设计费：</w:t>
      </w:r>
    </w:p>
    <w:p w14:paraId="07BA2AF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（3）暂停设计期限已连续超过</w:t>
      </w:r>
      <w:r>
        <w:rPr>
          <w:rFonts w:hint="eastAsia" w:ascii="宋体" w:hAnsi="宋体" w:eastAsia="宋体" w:cs="宋体"/>
          <w:color w:val="auto"/>
          <w:kern w:val="0"/>
          <w:sz w:val="21"/>
          <w:szCs w:val="21"/>
          <w:highlight w:val="none"/>
          <w:u w:val="single"/>
        </w:rPr>
        <w:t xml:space="preserve"> 180 </w:t>
      </w:r>
      <w:r>
        <w:rPr>
          <w:rFonts w:hint="eastAsia" w:ascii="宋体" w:hAnsi="宋体" w:eastAsia="宋体" w:cs="宋体"/>
          <w:color w:val="auto"/>
          <w:kern w:val="0"/>
          <w:sz w:val="21"/>
          <w:szCs w:val="21"/>
          <w:highlight w:val="none"/>
        </w:rPr>
        <w:t xml:space="preserve">天。  </w:t>
      </w:r>
    </w:p>
    <w:p w14:paraId="33F9105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16.4 </w:t>
      </w:r>
      <w:r>
        <w:rPr>
          <w:rFonts w:hint="eastAsia" w:ascii="宋体" w:hAnsi="宋体" w:eastAsia="宋体" w:cs="宋体"/>
          <w:color w:val="auto"/>
          <w:sz w:val="21"/>
          <w:szCs w:val="21"/>
          <w:highlight w:val="none"/>
        </w:rPr>
        <w:t>发包人向设计人支付已完工作设计费的期限为</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天内。</w:t>
      </w:r>
    </w:p>
    <w:p w14:paraId="786931B4">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 争议解决</w:t>
      </w:r>
    </w:p>
    <w:p w14:paraId="2911C12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 争议评审</w:t>
      </w:r>
    </w:p>
    <w:p w14:paraId="4926179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33FCC0A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17.3.1 争议评审小组的确定</w:t>
      </w:r>
    </w:p>
    <w:p w14:paraId="6B98A3D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63B0524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65A28FD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评审所发生的费用</w:t>
      </w:r>
      <w:r>
        <w:rPr>
          <w:rFonts w:hint="eastAsia" w:ascii="宋体" w:hAnsi="宋体" w:eastAsia="宋体" w:cs="宋体"/>
          <w:color w:val="auto"/>
          <w:sz w:val="21"/>
          <w:szCs w:val="21"/>
          <w:highlight w:val="none"/>
        </w:rPr>
        <w:t>承担方式：</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222E60C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8042D19">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17.3.2 争议评审小组的决定</w:t>
      </w:r>
    </w:p>
    <w:p w14:paraId="71A18DC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合同当事人关于本事项的约定：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43FFDBF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17.4仲裁或诉讼</w:t>
      </w:r>
    </w:p>
    <w:p w14:paraId="62157D9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kern w:val="0"/>
          <w:sz w:val="21"/>
          <w:szCs w:val="21"/>
          <w:highlight w:val="none"/>
          <w:u w:val="single"/>
        </w:rPr>
        <w:t>（1）</w:t>
      </w:r>
      <w:r>
        <w:rPr>
          <w:rFonts w:hint="eastAsia" w:ascii="宋体" w:hAnsi="宋体" w:eastAsia="宋体" w:cs="宋体"/>
          <w:color w:val="auto"/>
          <w:sz w:val="21"/>
          <w:szCs w:val="21"/>
          <w:highlight w:val="none"/>
        </w:rPr>
        <w:t>种方式解决：</w:t>
      </w:r>
    </w:p>
    <w:p w14:paraId="495E56B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（1）向 </w:t>
      </w:r>
      <w:r>
        <w:rPr>
          <w:rFonts w:hint="eastAsia" w:ascii="宋体" w:hAnsi="宋体" w:eastAsia="宋体" w:cs="宋体"/>
          <w:color w:val="auto"/>
          <w:sz w:val="21"/>
          <w:szCs w:val="21"/>
          <w:highlight w:val="none"/>
          <w:u w:val="single"/>
        </w:rPr>
        <w:t xml:space="preserve">    滁州    </w:t>
      </w:r>
      <w:r>
        <w:rPr>
          <w:rFonts w:hint="eastAsia" w:ascii="宋体" w:hAnsi="宋体" w:eastAsia="宋体" w:cs="宋体"/>
          <w:color w:val="auto"/>
          <w:sz w:val="21"/>
          <w:szCs w:val="21"/>
          <w:highlight w:val="none"/>
        </w:rPr>
        <w:t xml:space="preserve"> 仲裁委员会申请仲裁；</w:t>
      </w:r>
    </w:p>
    <w:p w14:paraId="394892C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（2）向 </w:t>
      </w:r>
      <w:r>
        <w:rPr>
          <w:rFonts w:hint="eastAsia" w:ascii="宋体" w:hAnsi="宋体" w:eastAsia="宋体" w:cs="宋体"/>
          <w:color w:val="auto"/>
          <w:sz w:val="21"/>
          <w:szCs w:val="21"/>
          <w:highlight w:val="none"/>
          <w:u w:val="single"/>
        </w:rPr>
        <w:t xml:space="preserve"> 项目所在地 </w:t>
      </w:r>
      <w:r>
        <w:rPr>
          <w:rFonts w:hint="eastAsia" w:ascii="宋体" w:hAnsi="宋体" w:eastAsia="宋体" w:cs="宋体"/>
          <w:color w:val="auto"/>
          <w:sz w:val="21"/>
          <w:szCs w:val="21"/>
          <w:highlight w:val="none"/>
        </w:rPr>
        <w:t>人民法院起诉。</w:t>
      </w:r>
    </w:p>
    <w:p w14:paraId="2146BAB9">
      <w:pPr>
        <w:spacing w:line="360" w:lineRule="auto"/>
        <w:ind w:firstLine="560" w:firstLineChars="200"/>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6F3A3D55">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80" w:name="_Toc2430"/>
      <w:bookmarkStart w:id="81" w:name="_Toc25148"/>
      <w:r>
        <w:rPr>
          <w:rFonts w:hint="eastAsia" w:asciiTheme="minorEastAsia" w:hAnsiTheme="minorEastAsia" w:eastAsiaTheme="minorEastAsia"/>
          <w:b/>
          <w:color w:val="auto"/>
          <w:sz w:val="28"/>
          <w:highlight w:val="none"/>
        </w:rPr>
        <w:t>第六章  响应文件格式</w:t>
      </w:r>
      <w:bookmarkEnd w:id="80"/>
      <w:bookmarkEnd w:id="81"/>
    </w:p>
    <w:p w14:paraId="3D169DF0">
      <w:pPr>
        <w:spacing w:line="900" w:lineRule="exact"/>
        <w:jc w:val="center"/>
        <w:rPr>
          <w:rFonts w:asciiTheme="minorEastAsia" w:hAnsiTheme="minorEastAsia" w:eastAsiaTheme="minorEastAsia"/>
          <w:b/>
          <w:color w:val="auto"/>
          <w:sz w:val="72"/>
          <w:highlight w:val="none"/>
        </w:rPr>
      </w:pPr>
    </w:p>
    <w:p w14:paraId="512DD135">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32821098">
      <w:pPr>
        <w:spacing w:line="900" w:lineRule="exact"/>
        <w:jc w:val="center"/>
        <w:rPr>
          <w:rFonts w:asciiTheme="minorEastAsia" w:hAnsiTheme="minorEastAsia" w:eastAsiaTheme="minorEastAsia"/>
          <w:b/>
          <w:color w:val="auto"/>
          <w:sz w:val="72"/>
          <w:highlight w:val="none"/>
        </w:rPr>
      </w:pPr>
    </w:p>
    <w:p w14:paraId="395BD88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9FFCBC3">
      <w:pPr>
        <w:spacing w:line="900" w:lineRule="exact"/>
        <w:jc w:val="center"/>
        <w:rPr>
          <w:rFonts w:asciiTheme="minorEastAsia" w:hAnsiTheme="minorEastAsia" w:eastAsiaTheme="minorEastAsia"/>
          <w:b/>
          <w:color w:val="auto"/>
          <w:sz w:val="72"/>
          <w:highlight w:val="none"/>
        </w:rPr>
      </w:pPr>
    </w:p>
    <w:p w14:paraId="718416F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AC718D8">
      <w:pPr>
        <w:spacing w:line="900" w:lineRule="exact"/>
        <w:jc w:val="center"/>
        <w:rPr>
          <w:rFonts w:asciiTheme="minorEastAsia" w:hAnsiTheme="minorEastAsia" w:eastAsiaTheme="minorEastAsia"/>
          <w:b/>
          <w:color w:val="auto"/>
          <w:sz w:val="72"/>
          <w:highlight w:val="none"/>
        </w:rPr>
      </w:pPr>
    </w:p>
    <w:p w14:paraId="6AE0C3FD">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5EFDF93">
      <w:pPr>
        <w:spacing w:after="156" w:afterLines="50"/>
        <w:jc w:val="center"/>
        <w:rPr>
          <w:rFonts w:asciiTheme="minorEastAsia" w:hAnsiTheme="minorEastAsia" w:eastAsiaTheme="minorEastAsia"/>
          <w:b/>
          <w:color w:val="auto"/>
          <w:sz w:val="72"/>
          <w:highlight w:val="none"/>
        </w:rPr>
      </w:pPr>
    </w:p>
    <w:p w14:paraId="072AC3EB">
      <w:pPr>
        <w:spacing w:after="156" w:afterLines="50" w:line="500" w:lineRule="exact"/>
        <w:jc w:val="both"/>
        <w:rPr>
          <w:rFonts w:asciiTheme="minorEastAsia" w:hAnsiTheme="minorEastAsia" w:eastAsiaTheme="minorEastAsia"/>
          <w:b/>
          <w:color w:val="auto"/>
          <w:sz w:val="72"/>
          <w:highlight w:val="none"/>
        </w:rPr>
      </w:pPr>
    </w:p>
    <w:p w14:paraId="5A5F9775">
      <w:pPr>
        <w:spacing w:after="156" w:afterLines="50" w:line="500" w:lineRule="exact"/>
        <w:jc w:val="center"/>
        <w:rPr>
          <w:rFonts w:asciiTheme="minorEastAsia" w:hAnsiTheme="minorEastAsia" w:eastAsiaTheme="minorEastAsia"/>
          <w:b/>
          <w:color w:val="auto"/>
          <w:sz w:val="28"/>
          <w:szCs w:val="28"/>
          <w:highlight w:val="none"/>
        </w:rPr>
      </w:pPr>
    </w:p>
    <w:p w14:paraId="2AB49F3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2DA54D">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9E2EA1">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6E29A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8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82"/>
    </w:p>
    <w:p w14:paraId="5CCF07F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5F700229">
      <w:pPr>
        <w:spacing w:line="360" w:lineRule="auto"/>
        <w:jc w:val="center"/>
        <w:outlineLvl w:val="1"/>
        <w:rPr>
          <w:rFonts w:asciiTheme="minorEastAsia" w:hAnsiTheme="minorEastAsia" w:eastAsiaTheme="minorEastAsia"/>
          <w:b/>
          <w:color w:val="auto"/>
          <w:sz w:val="24"/>
          <w:highlight w:val="none"/>
        </w:rPr>
      </w:pPr>
      <w:bookmarkStart w:id="83" w:name="_Toc461056631"/>
      <w:bookmarkStart w:id="84" w:name="_Toc461053086"/>
      <w:bookmarkStart w:id="85" w:name="_Toc5881"/>
      <w:bookmarkStart w:id="86" w:name="_Toc520983587"/>
      <w:bookmarkStart w:id="87" w:name="_Toc26791"/>
      <w:r>
        <w:rPr>
          <w:rFonts w:hint="eastAsia" w:asciiTheme="minorEastAsia" w:hAnsiTheme="minorEastAsia" w:eastAsiaTheme="minorEastAsia"/>
          <w:b/>
          <w:color w:val="auto"/>
          <w:sz w:val="24"/>
          <w:highlight w:val="none"/>
        </w:rPr>
        <w:t>一</w:t>
      </w:r>
      <w:bookmarkEnd w:id="83"/>
      <w:bookmarkEnd w:id="84"/>
      <w:r>
        <w:rPr>
          <w:rFonts w:hint="eastAsia" w:asciiTheme="minorEastAsia" w:hAnsiTheme="minorEastAsia" w:eastAsiaTheme="minorEastAsia"/>
          <w:b/>
          <w:color w:val="auto"/>
          <w:sz w:val="24"/>
          <w:highlight w:val="none"/>
        </w:rPr>
        <w:t>、报价表格式</w:t>
      </w:r>
      <w:bookmarkEnd w:id="85"/>
      <w:bookmarkEnd w:id="86"/>
      <w:bookmarkEnd w:id="87"/>
    </w:p>
    <w:p w14:paraId="0A79C375">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59BEB3B">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1716051F">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1431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0C47D6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763A7DB">
            <w:pPr>
              <w:spacing w:line="360" w:lineRule="auto"/>
              <w:rPr>
                <w:rFonts w:ascii="宋体" w:hAnsi="宋体" w:eastAsia="宋体"/>
                <w:b/>
                <w:color w:val="auto"/>
                <w:sz w:val="24"/>
                <w:highlight w:val="none"/>
              </w:rPr>
            </w:pPr>
          </w:p>
        </w:tc>
      </w:tr>
      <w:tr w14:paraId="5FB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E60705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0077FA76">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15F7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B5145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4BB70E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2D8627A">
            <w:pPr>
              <w:snapToGrid w:val="0"/>
              <w:spacing w:line="360" w:lineRule="auto"/>
              <w:rPr>
                <w:rFonts w:ascii="宋体" w:hAnsi="宋体" w:eastAsia="宋体"/>
                <w:color w:val="auto"/>
                <w:sz w:val="24"/>
                <w:szCs w:val="28"/>
                <w:highlight w:val="none"/>
              </w:rPr>
            </w:pPr>
          </w:p>
          <w:p w14:paraId="20AFE3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B55E8C0">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371B3D14">
            <w:pPr>
              <w:snapToGrid w:val="0"/>
              <w:spacing w:line="360" w:lineRule="auto"/>
              <w:rPr>
                <w:rFonts w:ascii="宋体" w:hAnsi="宋体" w:eastAsia="宋体"/>
                <w:b/>
                <w:color w:val="auto"/>
                <w:sz w:val="24"/>
                <w:highlight w:val="none"/>
              </w:rPr>
            </w:pPr>
          </w:p>
        </w:tc>
      </w:tr>
      <w:tr w14:paraId="59E4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59CB51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9160AF1">
            <w:pPr>
              <w:spacing w:line="360" w:lineRule="auto"/>
              <w:rPr>
                <w:rFonts w:ascii="宋体" w:hAnsi="宋体" w:eastAsia="宋体"/>
                <w:b/>
                <w:color w:val="auto"/>
                <w:sz w:val="24"/>
                <w:highlight w:val="none"/>
              </w:rPr>
            </w:pPr>
          </w:p>
        </w:tc>
      </w:tr>
    </w:tbl>
    <w:p w14:paraId="40A21985">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185FD30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D7F7DB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5175DB0">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1.本表内容根据磋商文件要求包括了服务及其配套服务</w:t>
      </w:r>
      <w:r>
        <w:rPr>
          <w:rFonts w:hint="eastAsia" w:ascii="宋体" w:hAnsi="宋体" w:eastAsia="宋体"/>
          <w:b/>
          <w:bCs/>
          <w:color w:val="auto"/>
          <w:sz w:val="24"/>
          <w:szCs w:val="28"/>
          <w:highlight w:val="none"/>
          <w:lang w:eastAsia="zh-CN"/>
        </w:rPr>
        <w:t>、</w:t>
      </w:r>
      <w:r>
        <w:rPr>
          <w:rFonts w:hint="eastAsia" w:ascii="宋体" w:hAnsi="宋体" w:eastAsia="宋体"/>
          <w:b/>
          <w:bCs/>
          <w:color w:val="auto"/>
          <w:sz w:val="24"/>
          <w:szCs w:val="28"/>
          <w:highlight w:val="none"/>
        </w:rPr>
        <w:t>售后服务保障等所有费用。</w:t>
      </w:r>
    </w:p>
    <w:p w14:paraId="51B87B1D">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3E7D18A">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698B433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127BDBEA">
      <w:pPr>
        <w:spacing w:line="360" w:lineRule="auto"/>
        <w:jc w:val="center"/>
        <w:outlineLvl w:val="1"/>
        <w:rPr>
          <w:rFonts w:asciiTheme="minorEastAsia" w:hAnsiTheme="minorEastAsia" w:eastAsiaTheme="minorEastAsia"/>
          <w:b/>
          <w:color w:val="auto"/>
          <w:sz w:val="24"/>
          <w:highlight w:val="none"/>
        </w:rPr>
      </w:pPr>
      <w:bookmarkStart w:id="88" w:name="_Toc461053087"/>
      <w:bookmarkStart w:id="89" w:name="_Toc461056632"/>
      <w:bookmarkStart w:id="90" w:name="_Toc520983588"/>
      <w:bookmarkStart w:id="91" w:name="_Toc32436"/>
      <w:bookmarkStart w:id="92" w:name="_Toc28695"/>
      <w:r>
        <w:rPr>
          <w:rFonts w:hint="eastAsia" w:asciiTheme="minorEastAsia" w:hAnsiTheme="minorEastAsia" w:eastAsiaTheme="minorEastAsia"/>
          <w:b/>
          <w:color w:val="auto"/>
          <w:sz w:val="24"/>
          <w:highlight w:val="none"/>
        </w:rPr>
        <w:t>二</w:t>
      </w:r>
      <w:bookmarkEnd w:id="88"/>
      <w:bookmarkEnd w:id="89"/>
      <w:r>
        <w:rPr>
          <w:rFonts w:hint="eastAsia" w:asciiTheme="minorEastAsia" w:hAnsiTheme="minorEastAsia" w:eastAsiaTheme="minorEastAsia"/>
          <w:b/>
          <w:color w:val="auto"/>
          <w:sz w:val="24"/>
          <w:highlight w:val="none"/>
        </w:rPr>
        <w:t>、最后承诺报价表</w:t>
      </w:r>
      <w:bookmarkEnd w:id="90"/>
      <w:bookmarkEnd w:id="91"/>
      <w:bookmarkEnd w:id="92"/>
    </w:p>
    <w:p w14:paraId="75982D36">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742539CD">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64065900">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7A2D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D92E06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03F4937A">
            <w:pPr>
              <w:spacing w:line="360" w:lineRule="auto"/>
              <w:rPr>
                <w:rFonts w:ascii="宋体" w:hAnsi="宋体" w:eastAsia="宋体"/>
                <w:b/>
                <w:color w:val="auto"/>
                <w:sz w:val="24"/>
                <w:highlight w:val="none"/>
              </w:rPr>
            </w:pPr>
          </w:p>
        </w:tc>
      </w:tr>
      <w:tr w14:paraId="620A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BBE8F19">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271A1A1B">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0A9C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831DC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060C5A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91B13C0">
            <w:pPr>
              <w:snapToGrid w:val="0"/>
              <w:spacing w:line="360" w:lineRule="auto"/>
              <w:rPr>
                <w:rFonts w:ascii="宋体" w:hAnsi="宋体" w:eastAsia="宋体"/>
                <w:color w:val="auto"/>
                <w:sz w:val="24"/>
                <w:szCs w:val="28"/>
                <w:highlight w:val="none"/>
              </w:rPr>
            </w:pPr>
          </w:p>
          <w:p w14:paraId="565C77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B58125A">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C41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4C52E41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4CDE244">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736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48C255D9">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18B4847F">
            <w:pPr>
              <w:spacing w:line="360" w:lineRule="auto"/>
              <w:rPr>
                <w:rFonts w:ascii="宋体" w:hAnsi="宋体" w:eastAsia="宋体"/>
                <w:b/>
                <w:color w:val="auto"/>
                <w:sz w:val="24"/>
                <w:highlight w:val="none"/>
              </w:rPr>
            </w:pPr>
          </w:p>
        </w:tc>
      </w:tr>
    </w:tbl>
    <w:p w14:paraId="5729D293">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10199A9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AB51F63">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42BD0B5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78D4A85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r>
        <w:rPr>
          <w:rFonts w:ascii="宋体" w:hAnsi="宋体" w:eastAsia="宋体"/>
          <w:bCs/>
          <w:color w:val="auto"/>
          <w:sz w:val="24"/>
          <w:highlight w:val="none"/>
        </w:rPr>
        <w:br w:type="page"/>
      </w:r>
    </w:p>
    <w:p w14:paraId="2D982F47">
      <w:pPr>
        <w:spacing w:line="360" w:lineRule="auto"/>
        <w:jc w:val="center"/>
        <w:outlineLvl w:val="1"/>
        <w:rPr>
          <w:rFonts w:asciiTheme="minorEastAsia" w:hAnsiTheme="minorEastAsia" w:eastAsiaTheme="minorEastAsia"/>
          <w:b/>
          <w:color w:val="auto"/>
          <w:sz w:val="24"/>
          <w:highlight w:val="none"/>
        </w:rPr>
      </w:pPr>
      <w:bookmarkStart w:id="93" w:name="_Toc32385"/>
      <w:bookmarkStart w:id="94" w:name="_Toc520983591"/>
      <w:bookmarkStart w:id="95" w:name="_Toc11500"/>
      <w:r>
        <w:rPr>
          <w:rFonts w:hint="eastAsia" w:asciiTheme="minorEastAsia" w:hAnsiTheme="minorEastAsia" w:eastAsiaTheme="minorEastAsia"/>
          <w:b/>
          <w:color w:val="auto"/>
          <w:sz w:val="24"/>
          <w:highlight w:val="none"/>
        </w:rPr>
        <w:t>三、磋商响应函</w:t>
      </w:r>
      <w:bookmarkEnd w:id="93"/>
      <w:bookmarkEnd w:id="94"/>
      <w:bookmarkEnd w:id="95"/>
    </w:p>
    <w:p w14:paraId="00CB0B8C">
      <w:pPr>
        <w:pStyle w:val="15"/>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371A421">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6" w:name="_Hlk44287543"/>
      <w:r>
        <w:rPr>
          <w:rFonts w:hint="eastAsia" w:ascii="宋体" w:hAnsi="宋体" w:eastAsia="宋体"/>
          <w:color w:val="auto"/>
          <w:sz w:val="24"/>
          <w:highlight w:val="none"/>
        </w:rPr>
        <w:t>竞争性磋商公告和磋商邀请</w:t>
      </w:r>
      <w:bookmarkEnd w:id="96"/>
      <w:r>
        <w:rPr>
          <w:rFonts w:hint="eastAsia" w:ascii="宋体" w:hAnsi="宋体" w:eastAsia="宋体"/>
          <w:color w:val="auto"/>
          <w:sz w:val="24"/>
          <w:highlight w:val="none"/>
        </w:rPr>
        <w:t>，我方兹宣布同意如下：</w:t>
      </w:r>
    </w:p>
    <w:p w14:paraId="32D0E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144073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14BB35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9AF9C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05E818C5">
      <w:pPr>
        <w:spacing w:line="360" w:lineRule="auto"/>
        <w:ind w:firstLine="480" w:firstLineChars="200"/>
        <w:rPr>
          <w:rFonts w:ascii="宋体" w:hAnsi="宋体" w:eastAsia="宋体"/>
          <w:color w:val="auto"/>
          <w:sz w:val="24"/>
          <w:highlight w:val="none"/>
        </w:rPr>
      </w:pPr>
    </w:p>
    <w:p w14:paraId="77EE4F8B">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6072EE2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413A12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418F147">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7" w:name="_Toc21328"/>
      <w:r>
        <w:rPr>
          <w:rFonts w:hint="eastAsia" w:asciiTheme="minorEastAsia" w:hAnsiTheme="minorEastAsia" w:eastAsiaTheme="minorEastAsia"/>
          <w:b/>
          <w:color w:val="auto"/>
          <w:sz w:val="24"/>
          <w:highlight w:val="none"/>
          <w:lang w:val="en-US" w:eastAsia="zh-CN"/>
        </w:rPr>
        <w:t>四、供应商资格声明书</w:t>
      </w:r>
      <w:bookmarkEnd w:id="97"/>
    </w:p>
    <w:p w14:paraId="0EF14A21">
      <w:pPr>
        <w:pStyle w:val="1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0594E0A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35AFB5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3B7E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4480525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15B811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D2597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92133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23F9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F596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4501" w:type="dxa"/>
          </w:tcPr>
          <w:p w14:paraId="57C46F3E">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681" w:type="dxa"/>
          </w:tcPr>
          <w:p w14:paraId="5776842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639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85E64FC">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4501" w:type="dxa"/>
          </w:tcPr>
          <w:p w14:paraId="2919F0CC">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13E139C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26AB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B28F485">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4501" w:type="dxa"/>
          </w:tcPr>
          <w:p w14:paraId="230F4EF0">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27A8C9F6">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51C5D5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0110ED6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AE583C">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6146823">
      <w:pPr>
        <w:spacing w:line="440" w:lineRule="exact"/>
        <w:ind w:firstLine="4800" w:firstLineChars="2000"/>
        <w:rPr>
          <w:rFonts w:ascii="宋体" w:hAnsi="宋体" w:eastAsia="宋体"/>
          <w:color w:val="auto"/>
          <w:sz w:val="24"/>
          <w:szCs w:val="24"/>
          <w:highlight w:val="none"/>
          <w:u w:val="single"/>
        </w:rPr>
      </w:pPr>
    </w:p>
    <w:p w14:paraId="262DE98E">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7A8F2C8F">
      <w:pPr>
        <w:spacing w:line="360" w:lineRule="auto"/>
        <w:jc w:val="center"/>
        <w:outlineLvl w:val="1"/>
        <w:rPr>
          <w:rFonts w:asciiTheme="minorEastAsia" w:hAnsiTheme="minorEastAsia" w:eastAsiaTheme="minorEastAsia"/>
          <w:b/>
          <w:color w:val="auto"/>
          <w:sz w:val="24"/>
          <w:highlight w:val="none"/>
        </w:rPr>
      </w:pPr>
      <w:bookmarkStart w:id="98" w:name="_Toc516969106"/>
      <w:bookmarkStart w:id="99" w:name="_Toc31518"/>
      <w:bookmarkStart w:id="100" w:name="_Toc26922"/>
      <w:bookmarkStart w:id="101" w:name="_Toc520983594"/>
      <w:bookmarkStart w:id="102" w:name="_Toc121626298"/>
      <w:bookmarkStart w:id="103" w:name="_Toc204594911"/>
      <w:r>
        <w:rPr>
          <w:rFonts w:hint="eastAsia" w:asciiTheme="minorEastAsia" w:hAnsiTheme="minorEastAsia" w:eastAsiaTheme="minorEastAsia"/>
          <w:b/>
          <w:color w:val="auto"/>
          <w:sz w:val="24"/>
          <w:highlight w:val="none"/>
        </w:rPr>
        <w:t>五、授权书</w:t>
      </w:r>
      <w:bookmarkEnd w:id="98"/>
      <w:bookmarkEnd w:id="99"/>
      <w:bookmarkEnd w:id="100"/>
      <w:bookmarkEnd w:id="101"/>
      <w:bookmarkEnd w:id="102"/>
      <w:bookmarkEnd w:id="103"/>
    </w:p>
    <w:p w14:paraId="7E8FCE94">
      <w:pPr>
        <w:spacing w:line="360" w:lineRule="auto"/>
        <w:jc w:val="center"/>
        <w:rPr>
          <w:rFonts w:asciiTheme="minorEastAsia" w:hAnsiTheme="minorEastAsia" w:eastAsiaTheme="minorEastAsia"/>
          <w:b/>
          <w:color w:val="auto"/>
          <w:sz w:val="24"/>
          <w:highlight w:val="none"/>
        </w:rPr>
      </w:pPr>
    </w:p>
    <w:p w14:paraId="4BE3FE62">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2BEBD69B">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28C93F1">
      <w:pPr>
        <w:pStyle w:val="14"/>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3F8263DA">
      <w:pPr>
        <w:pStyle w:val="14"/>
        <w:snapToGrid w:val="0"/>
        <w:spacing w:line="360" w:lineRule="auto"/>
        <w:ind w:firstLine="480" w:firstLineChars="200"/>
        <w:jc w:val="left"/>
        <w:rPr>
          <w:rFonts w:hAnsi="宋体" w:eastAsia="宋体"/>
          <w:color w:val="auto"/>
          <w:sz w:val="24"/>
          <w:highlight w:val="none"/>
        </w:rPr>
      </w:pPr>
    </w:p>
    <w:p w14:paraId="4C22E569">
      <w:pPr>
        <w:pStyle w:val="14"/>
        <w:snapToGrid w:val="0"/>
        <w:spacing w:line="360" w:lineRule="auto"/>
        <w:ind w:firstLine="480" w:firstLineChars="200"/>
        <w:jc w:val="left"/>
        <w:rPr>
          <w:rFonts w:hAnsi="宋体" w:eastAsia="宋体"/>
          <w:color w:val="auto"/>
          <w:sz w:val="24"/>
          <w:highlight w:val="none"/>
        </w:rPr>
      </w:pPr>
    </w:p>
    <w:p w14:paraId="4B1BD0B0">
      <w:pPr>
        <w:pStyle w:val="14"/>
        <w:snapToGrid w:val="0"/>
        <w:spacing w:line="360" w:lineRule="auto"/>
        <w:ind w:firstLine="480" w:firstLineChars="200"/>
        <w:jc w:val="left"/>
        <w:rPr>
          <w:rFonts w:hAnsi="宋体" w:eastAsia="宋体"/>
          <w:color w:val="auto"/>
          <w:sz w:val="24"/>
          <w:highlight w:val="none"/>
        </w:rPr>
      </w:pPr>
    </w:p>
    <w:p w14:paraId="2F8AA598">
      <w:pPr>
        <w:pStyle w:val="14"/>
        <w:snapToGrid w:val="0"/>
        <w:spacing w:line="360" w:lineRule="auto"/>
        <w:ind w:firstLine="480" w:firstLineChars="200"/>
        <w:jc w:val="left"/>
        <w:rPr>
          <w:rFonts w:hAnsi="宋体" w:eastAsia="宋体"/>
          <w:color w:val="auto"/>
          <w:sz w:val="24"/>
          <w:highlight w:val="none"/>
        </w:rPr>
      </w:pPr>
    </w:p>
    <w:p w14:paraId="12AFB188">
      <w:pPr>
        <w:pStyle w:val="14"/>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FD12433">
      <w:pPr>
        <w:pStyle w:val="14"/>
        <w:snapToGrid w:val="0"/>
        <w:spacing w:line="360" w:lineRule="auto"/>
        <w:ind w:firstLine="480" w:firstLineChars="200"/>
        <w:jc w:val="left"/>
        <w:rPr>
          <w:rFonts w:hAnsi="宋体" w:eastAsia="宋体"/>
          <w:color w:val="auto"/>
          <w:sz w:val="24"/>
          <w:szCs w:val="28"/>
          <w:highlight w:val="none"/>
        </w:rPr>
      </w:pPr>
    </w:p>
    <w:p w14:paraId="1479A5E6">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59605DEC">
      <w:pPr>
        <w:spacing w:line="360" w:lineRule="auto"/>
        <w:rPr>
          <w:rFonts w:ascii="宋体" w:hAnsi="宋体" w:eastAsia="宋体"/>
          <w:color w:val="auto"/>
          <w:sz w:val="24"/>
          <w:szCs w:val="28"/>
          <w:highlight w:val="none"/>
        </w:rPr>
      </w:pPr>
    </w:p>
    <w:p w14:paraId="03395A1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B977B21">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4A4D41F">
      <w:pPr>
        <w:spacing w:line="360" w:lineRule="auto"/>
        <w:rPr>
          <w:rFonts w:ascii="宋体" w:hAnsi="宋体" w:eastAsia="宋体"/>
          <w:color w:val="auto"/>
          <w:sz w:val="24"/>
          <w:szCs w:val="28"/>
          <w:highlight w:val="none"/>
        </w:rPr>
      </w:pPr>
    </w:p>
    <w:p w14:paraId="29720E5E">
      <w:pPr>
        <w:spacing w:line="360" w:lineRule="auto"/>
        <w:rPr>
          <w:rFonts w:ascii="宋体" w:hAnsi="宋体" w:eastAsia="宋体"/>
          <w:color w:val="auto"/>
          <w:sz w:val="24"/>
          <w:szCs w:val="28"/>
          <w:highlight w:val="none"/>
        </w:rPr>
      </w:pPr>
    </w:p>
    <w:p w14:paraId="162A1284">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220939B">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29A6F001">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382916DC">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9852BE6">
      <w:pPr>
        <w:spacing w:line="360" w:lineRule="auto"/>
        <w:jc w:val="center"/>
        <w:outlineLvl w:val="1"/>
        <w:rPr>
          <w:rFonts w:asciiTheme="minorEastAsia" w:hAnsiTheme="minorEastAsia" w:eastAsiaTheme="minorEastAsia"/>
          <w:b/>
          <w:color w:val="auto"/>
          <w:sz w:val="24"/>
          <w:highlight w:val="none"/>
        </w:rPr>
      </w:pPr>
      <w:bookmarkStart w:id="104" w:name="_Toc28033"/>
      <w:bookmarkStart w:id="105"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4"/>
      <w:bookmarkEnd w:id="105"/>
    </w:p>
    <w:p w14:paraId="7FAFE4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65"/>
        <w:gridCol w:w="2822"/>
        <w:gridCol w:w="2909"/>
        <w:gridCol w:w="915"/>
      </w:tblGrid>
      <w:tr w14:paraId="299D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07A7EB5">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998FC50">
            <w:pPr>
              <w:pStyle w:val="1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3B3FC803">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135DC64F">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69AD3BF8">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1C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BF59518">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5CAC157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2F697220">
            <w:pPr>
              <w:jc w:val="center"/>
              <w:rPr>
                <w:rFonts w:asciiTheme="minorEastAsia" w:hAnsiTheme="minorEastAsia" w:eastAsiaTheme="minorEastAsia"/>
                <w:color w:val="auto"/>
                <w:sz w:val="24"/>
                <w:highlight w:val="none"/>
              </w:rPr>
            </w:pPr>
          </w:p>
        </w:tc>
        <w:tc>
          <w:tcPr>
            <w:tcW w:w="1510" w:type="pct"/>
            <w:vAlign w:val="center"/>
          </w:tcPr>
          <w:p w14:paraId="26F2D9DC">
            <w:pPr>
              <w:jc w:val="center"/>
              <w:rPr>
                <w:rFonts w:asciiTheme="minorEastAsia" w:hAnsiTheme="minorEastAsia" w:eastAsiaTheme="minorEastAsia"/>
                <w:color w:val="auto"/>
                <w:sz w:val="24"/>
                <w:highlight w:val="none"/>
              </w:rPr>
            </w:pPr>
          </w:p>
        </w:tc>
        <w:tc>
          <w:tcPr>
            <w:tcW w:w="475" w:type="pct"/>
            <w:vAlign w:val="center"/>
          </w:tcPr>
          <w:p w14:paraId="39989FD3">
            <w:pPr>
              <w:jc w:val="center"/>
              <w:rPr>
                <w:rFonts w:asciiTheme="minorEastAsia" w:hAnsiTheme="minorEastAsia" w:eastAsiaTheme="minorEastAsia"/>
                <w:color w:val="auto"/>
                <w:sz w:val="24"/>
                <w:highlight w:val="none"/>
              </w:rPr>
            </w:pPr>
          </w:p>
        </w:tc>
      </w:tr>
      <w:tr w14:paraId="4E6A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6C0AF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4AC5D06A">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52742AAF">
            <w:pPr>
              <w:jc w:val="center"/>
              <w:rPr>
                <w:rFonts w:asciiTheme="minorEastAsia" w:hAnsiTheme="minorEastAsia" w:eastAsiaTheme="minorEastAsia"/>
                <w:color w:val="auto"/>
                <w:sz w:val="24"/>
                <w:highlight w:val="none"/>
              </w:rPr>
            </w:pPr>
          </w:p>
        </w:tc>
        <w:tc>
          <w:tcPr>
            <w:tcW w:w="1510" w:type="pct"/>
            <w:vAlign w:val="center"/>
          </w:tcPr>
          <w:p w14:paraId="3E1D7F7B">
            <w:pPr>
              <w:jc w:val="center"/>
              <w:rPr>
                <w:rFonts w:asciiTheme="minorEastAsia" w:hAnsiTheme="minorEastAsia" w:eastAsiaTheme="minorEastAsia"/>
                <w:color w:val="auto"/>
                <w:sz w:val="24"/>
                <w:highlight w:val="none"/>
              </w:rPr>
            </w:pPr>
          </w:p>
        </w:tc>
        <w:tc>
          <w:tcPr>
            <w:tcW w:w="475" w:type="pct"/>
            <w:vAlign w:val="center"/>
          </w:tcPr>
          <w:p w14:paraId="6A0982CF">
            <w:pPr>
              <w:jc w:val="center"/>
              <w:rPr>
                <w:rFonts w:asciiTheme="minorEastAsia" w:hAnsiTheme="minorEastAsia" w:eastAsiaTheme="minorEastAsia"/>
                <w:color w:val="auto"/>
                <w:sz w:val="24"/>
                <w:highlight w:val="none"/>
              </w:rPr>
            </w:pPr>
          </w:p>
        </w:tc>
      </w:tr>
      <w:tr w14:paraId="0F3A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2DFA8C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775724D2">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73895162">
            <w:pPr>
              <w:jc w:val="center"/>
              <w:rPr>
                <w:rFonts w:asciiTheme="minorEastAsia" w:hAnsiTheme="minorEastAsia" w:eastAsiaTheme="minorEastAsia"/>
                <w:color w:val="auto"/>
                <w:sz w:val="24"/>
                <w:highlight w:val="none"/>
              </w:rPr>
            </w:pPr>
          </w:p>
        </w:tc>
        <w:tc>
          <w:tcPr>
            <w:tcW w:w="1510" w:type="pct"/>
            <w:vAlign w:val="center"/>
          </w:tcPr>
          <w:p w14:paraId="31C77712">
            <w:pPr>
              <w:pStyle w:val="53"/>
              <w:jc w:val="center"/>
              <w:rPr>
                <w:rFonts w:asciiTheme="minorEastAsia" w:hAnsiTheme="minorEastAsia" w:eastAsiaTheme="minorEastAsia"/>
                <w:color w:val="auto"/>
                <w:highlight w:val="none"/>
              </w:rPr>
            </w:pPr>
          </w:p>
        </w:tc>
        <w:tc>
          <w:tcPr>
            <w:tcW w:w="475" w:type="pct"/>
            <w:vAlign w:val="center"/>
          </w:tcPr>
          <w:p w14:paraId="21F36FDA">
            <w:pPr>
              <w:jc w:val="center"/>
              <w:rPr>
                <w:rFonts w:asciiTheme="minorEastAsia" w:hAnsiTheme="minorEastAsia" w:eastAsiaTheme="minorEastAsia"/>
                <w:color w:val="auto"/>
                <w:sz w:val="24"/>
                <w:highlight w:val="none"/>
              </w:rPr>
            </w:pPr>
          </w:p>
        </w:tc>
      </w:tr>
      <w:tr w14:paraId="0319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EE29F9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0BECA8">
            <w:pPr>
              <w:jc w:val="center"/>
              <w:rPr>
                <w:rFonts w:ascii="宋体" w:hAnsi="宋体" w:eastAsia="宋体"/>
                <w:color w:val="auto"/>
                <w:sz w:val="24"/>
                <w:highlight w:val="none"/>
              </w:rPr>
            </w:pPr>
          </w:p>
        </w:tc>
        <w:tc>
          <w:tcPr>
            <w:tcW w:w="1465" w:type="pct"/>
            <w:vAlign w:val="center"/>
          </w:tcPr>
          <w:p w14:paraId="1D810460">
            <w:pPr>
              <w:jc w:val="center"/>
              <w:rPr>
                <w:rFonts w:asciiTheme="minorEastAsia" w:hAnsiTheme="minorEastAsia" w:eastAsiaTheme="minorEastAsia"/>
                <w:color w:val="auto"/>
                <w:sz w:val="24"/>
                <w:highlight w:val="none"/>
              </w:rPr>
            </w:pPr>
          </w:p>
        </w:tc>
        <w:tc>
          <w:tcPr>
            <w:tcW w:w="1510" w:type="pct"/>
            <w:vAlign w:val="center"/>
          </w:tcPr>
          <w:p w14:paraId="20AFDDCF">
            <w:pPr>
              <w:jc w:val="center"/>
              <w:rPr>
                <w:rFonts w:asciiTheme="minorEastAsia" w:hAnsiTheme="minorEastAsia" w:eastAsiaTheme="minorEastAsia"/>
                <w:color w:val="auto"/>
                <w:sz w:val="24"/>
                <w:highlight w:val="none"/>
              </w:rPr>
            </w:pPr>
          </w:p>
        </w:tc>
        <w:tc>
          <w:tcPr>
            <w:tcW w:w="475" w:type="pct"/>
            <w:vAlign w:val="center"/>
          </w:tcPr>
          <w:p w14:paraId="633F1139">
            <w:pPr>
              <w:jc w:val="center"/>
              <w:rPr>
                <w:rFonts w:asciiTheme="minorEastAsia" w:hAnsiTheme="minorEastAsia" w:eastAsiaTheme="minorEastAsia"/>
                <w:color w:val="auto"/>
                <w:sz w:val="24"/>
                <w:highlight w:val="none"/>
              </w:rPr>
            </w:pPr>
          </w:p>
        </w:tc>
      </w:tr>
    </w:tbl>
    <w:p w14:paraId="223EAA57">
      <w:pPr>
        <w:pStyle w:val="15"/>
        <w:spacing w:line="360" w:lineRule="auto"/>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p>
    <w:p w14:paraId="24902D8A">
      <w:pPr>
        <w:spacing w:line="360" w:lineRule="auto"/>
        <w:jc w:val="center"/>
        <w:outlineLvl w:val="1"/>
        <w:rPr>
          <w:rFonts w:asciiTheme="minorEastAsia" w:hAnsiTheme="minorEastAsia" w:eastAsiaTheme="minorEastAsia"/>
          <w:b/>
          <w:color w:val="auto"/>
          <w:sz w:val="24"/>
          <w:highlight w:val="none"/>
        </w:rPr>
      </w:pPr>
      <w:bookmarkStart w:id="106" w:name="_Toc2278"/>
      <w:bookmarkStart w:id="107" w:name="_Toc20592"/>
      <w:bookmarkStart w:id="108" w:name="_Hlk44283088"/>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6"/>
      <w:bookmarkEnd w:id="107"/>
    </w:p>
    <w:p w14:paraId="23B3AC9B">
      <w:pPr>
        <w:spacing w:line="360" w:lineRule="auto"/>
        <w:rPr>
          <w:rFonts w:asciiTheme="minorEastAsia" w:hAnsiTheme="minorEastAsia" w:eastAsiaTheme="minorEastAsia"/>
          <w:b/>
          <w:bCs/>
          <w:color w:val="auto"/>
          <w:sz w:val="24"/>
          <w:highlight w:val="none"/>
        </w:rPr>
      </w:pPr>
    </w:p>
    <w:p w14:paraId="2D9172AB">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681FA82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5405D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623DF74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E05EC8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39109D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579504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03C87D2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679E73C">
      <w:pPr>
        <w:spacing w:line="360" w:lineRule="auto"/>
        <w:rPr>
          <w:rFonts w:asciiTheme="minorEastAsia" w:hAnsiTheme="minorEastAsia" w:eastAsiaTheme="minorEastAsia"/>
          <w:bCs/>
          <w:color w:val="auto"/>
          <w:sz w:val="24"/>
          <w:highlight w:val="none"/>
        </w:rPr>
      </w:pPr>
    </w:p>
    <w:p w14:paraId="3AC189B1">
      <w:pPr>
        <w:spacing w:line="360" w:lineRule="auto"/>
        <w:rPr>
          <w:rFonts w:asciiTheme="minorEastAsia" w:hAnsiTheme="minorEastAsia" w:eastAsiaTheme="minorEastAsia"/>
          <w:bCs/>
          <w:color w:val="auto"/>
          <w:sz w:val="24"/>
          <w:highlight w:val="none"/>
        </w:rPr>
      </w:pPr>
    </w:p>
    <w:p w14:paraId="2DC5E46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0E61E76">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759267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108"/>
    <w:p w14:paraId="74785897">
      <w:pPr>
        <w:spacing w:line="360" w:lineRule="auto"/>
        <w:jc w:val="center"/>
        <w:outlineLvl w:val="1"/>
        <w:rPr>
          <w:rFonts w:asciiTheme="minorEastAsia" w:hAnsiTheme="minorEastAsia" w:eastAsiaTheme="minorEastAsia"/>
          <w:b/>
          <w:color w:val="auto"/>
          <w:sz w:val="24"/>
          <w:highlight w:val="none"/>
        </w:rPr>
      </w:pPr>
      <w:bookmarkStart w:id="109" w:name="_Toc3826"/>
      <w:bookmarkStart w:id="110" w:name="_Toc7807"/>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09"/>
      <w:bookmarkEnd w:id="110"/>
    </w:p>
    <w:p w14:paraId="2B12EE2F">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2B791AD4">
      <w:pPr>
        <w:spacing w:line="360" w:lineRule="auto"/>
        <w:ind w:firstLine="435"/>
        <w:rPr>
          <w:rFonts w:asciiTheme="minorEastAsia" w:hAnsiTheme="minorEastAsia" w:eastAsiaTheme="minorEastAsia"/>
          <w:color w:val="auto"/>
          <w:sz w:val="24"/>
          <w:highlight w:val="none"/>
        </w:rPr>
      </w:pPr>
    </w:p>
    <w:p w14:paraId="17D392CA">
      <w:pPr>
        <w:spacing w:line="360" w:lineRule="auto"/>
        <w:ind w:firstLine="480" w:firstLineChars="200"/>
        <w:rPr>
          <w:rFonts w:asciiTheme="minorEastAsia" w:hAnsiTheme="minorEastAsia" w:eastAsiaTheme="minorEastAsia"/>
          <w:color w:val="auto"/>
          <w:sz w:val="24"/>
          <w:highlight w:val="none"/>
        </w:rPr>
      </w:pPr>
    </w:p>
    <w:p w14:paraId="43969D9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2DBBA7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6107DC36">
      <w:pPr>
        <w:spacing w:line="360" w:lineRule="auto"/>
        <w:jc w:val="center"/>
        <w:rPr>
          <w:rFonts w:asciiTheme="minorEastAsia" w:hAnsiTheme="minorEastAsia" w:eastAsiaTheme="minorEastAsia"/>
          <w:b/>
          <w:color w:val="auto"/>
          <w:sz w:val="24"/>
          <w:highlight w:val="none"/>
        </w:rPr>
      </w:pPr>
    </w:p>
    <w:p w14:paraId="6BB24053">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65BA3DAD">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111" w:name="_Toc63440924"/>
      <w:bookmarkStart w:id="112" w:name="_Toc19418"/>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  采购</w:t>
      </w:r>
      <w:bookmarkEnd w:id="111"/>
      <w:r>
        <w:rPr>
          <w:rFonts w:hint="eastAsia" w:asciiTheme="minorEastAsia" w:hAnsiTheme="minorEastAsia" w:eastAsiaTheme="minorEastAsia"/>
          <w:b/>
          <w:color w:val="auto"/>
          <w:sz w:val="28"/>
          <w:highlight w:val="none"/>
        </w:rPr>
        <w:t>供应商询问函和质疑函范本</w:t>
      </w:r>
      <w:bookmarkEnd w:id="112"/>
    </w:p>
    <w:p w14:paraId="41AC0A3E">
      <w:pPr>
        <w:spacing w:line="360" w:lineRule="auto"/>
        <w:jc w:val="center"/>
        <w:outlineLvl w:val="1"/>
        <w:rPr>
          <w:rFonts w:ascii="仿宋" w:hAnsi="仿宋" w:eastAsia="仿宋" w:cs="仿宋"/>
          <w:b/>
          <w:bCs/>
          <w:color w:val="auto"/>
          <w:sz w:val="32"/>
          <w:szCs w:val="44"/>
          <w:highlight w:val="none"/>
        </w:rPr>
      </w:pPr>
      <w:bookmarkStart w:id="113" w:name="_Toc8735"/>
      <w:bookmarkStart w:id="114" w:name="_Toc2142"/>
      <w:r>
        <w:rPr>
          <w:rFonts w:hint="eastAsia" w:ascii="仿宋" w:hAnsi="仿宋" w:eastAsia="仿宋" w:cs="仿宋"/>
          <w:b/>
          <w:bCs/>
          <w:color w:val="auto"/>
          <w:sz w:val="32"/>
          <w:szCs w:val="44"/>
          <w:highlight w:val="none"/>
        </w:rPr>
        <w:t>询问函范本</w:t>
      </w:r>
      <w:bookmarkEnd w:id="113"/>
      <w:bookmarkEnd w:id="114"/>
    </w:p>
    <w:p w14:paraId="55C1565A">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59C198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518A33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EABB7A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5" w:name="_Toc26386"/>
      <w:bookmarkStart w:id="116" w:name="_Toc9092"/>
      <w:r>
        <w:rPr>
          <w:rFonts w:hint="eastAsia" w:cs="仿宋" w:asciiTheme="minorEastAsia" w:hAnsiTheme="minorEastAsia" w:eastAsiaTheme="minorEastAsia"/>
          <w:color w:val="auto"/>
          <w:sz w:val="24"/>
          <w:szCs w:val="24"/>
          <w:highlight w:val="none"/>
        </w:rPr>
        <w:t>一、(事项一)</w:t>
      </w:r>
      <w:bookmarkEnd w:id="115"/>
      <w:bookmarkEnd w:id="116"/>
    </w:p>
    <w:p w14:paraId="0AB7D1D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3DC16B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890A4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2A8DFE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7" w:name="_Toc17582"/>
      <w:bookmarkStart w:id="118" w:name="_Toc9273"/>
      <w:r>
        <w:rPr>
          <w:rFonts w:hint="eastAsia" w:cs="仿宋" w:asciiTheme="minorEastAsia" w:hAnsiTheme="minorEastAsia" w:eastAsiaTheme="minorEastAsia"/>
          <w:color w:val="auto"/>
          <w:sz w:val="24"/>
          <w:szCs w:val="24"/>
          <w:highlight w:val="none"/>
        </w:rPr>
        <w:t>二、(事项二)</w:t>
      </w:r>
      <w:bookmarkEnd w:id="117"/>
      <w:bookmarkEnd w:id="118"/>
    </w:p>
    <w:p w14:paraId="409BA10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95E469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18CBD3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0BBB51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03A13DDE">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91220EF">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5853935">
      <w:pPr>
        <w:jc w:val="center"/>
        <w:outlineLvl w:val="1"/>
        <w:rPr>
          <w:rFonts w:ascii="仿宋" w:hAnsi="仿宋" w:eastAsia="仿宋" w:cs="仿宋"/>
          <w:b/>
          <w:bCs/>
          <w:color w:val="auto"/>
          <w:sz w:val="32"/>
          <w:szCs w:val="44"/>
          <w:highlight w:val="none"/>
        </w:rPr>
      </w:pPr>
      <w:bookmarkStart w:id="119" w:name="_Toc26673"/>
      <w:bookmarkStart w:id="120" w:name="_Toc6990"/>
      <w:r>
        <w:rPr>
          <w:rFonts w:hint="eastAsia" w:ascii="仿宋" w:hAnsi="仿宋" w:eastAsia="仿宋" w:cs="仿宋"/>
          <w:b/>
          <w:bCs/>
          <w:color w:val="auto"/>
          <w:sz w:val="32"/>
          <w:szCs w:val="44"/>
          <w:highlight w:val="none"/>
        </w:rPr>
        <w:t>质疑函范本</w:t>
      </w:r>
      <w:bookmarkEnd w:id="119"/>
      <w:bookmarkEnd w:id="120"/>
    </w:p>
    <w:p w14:paraId="4816DA33">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1" w:name="_Toc29510"/>
      <w:bookmarkStart w:id="122" w:name="_Toc2994"/>
      <w:r>
        <w:rPr>
          <w:rFonts w:hint="eastAsia" w:cs="仿宋" w:asciiTheme="minorEastAsia" w:hAnsiTheme="minorEastAsia" w:eastAsiaTheme="minorEastAsia"/>
          <w:b/>
          <w:bCs/>
          <w:color w:val="auto"/>
          <w:sz w:val="24"/>
          <w:szCs w:val="24"/>
          <w:highlight w:val="none"/>
        </w:rPr>
        <w:t>一、质疑供应商基本信息</w:t>
      </w:r>
      <w:bookmarkEnd w:id="121"/>
      <w:bookmarkEnd w:id="122"/>
    </w:p>
    <w:p w14:paraId="538C88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5DFF28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C73F5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18CF7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A5B3FC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2FEDE0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294202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3" w:name="_Toc31042"/>
      <w:bookmarkStart w:id="124" w:name="_Toc28130"/>
      <w:r>
        <w:rPr>
          <w:rFonts w:hint="eastAsia" w:cs="仿宋" w:asciiTheme="minorEastAsia" w:hAnsiTheme="minorEastAsia" w:eastAsiaTheme="minorEastAsia"/>
          <w:b/>
          <w:bCs/>
          <w:color w:val="auto"/>
          <w:sz w:val="24"/>
          <w:szCs w:val="24"/>
          <w:highlight w:val="none"/>
        </w:rPr>
        <w:t>二、质疑项目基本情况</w:t>
      </w:r>
      <w:bookmarkEnd w:id="123"/>
      <w:bookmarkEnd w:id="124"/>
    </w:p>
    <w:p w14:paraId="4A96F37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CDD9D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A9D74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A34A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1EDE1B1">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5" w:name="_Toc6486"/>
      <w:bookmarkStart w:id="126" w:name="_Toc20587"/>
      <w:r>
        <w:rPr>
          <w:rFonts w:hint="eastAsia" w:cs="仿宋" w:asciiTheme="minorEastAsia" w:hAnsiTheme="minorEastAsia" w:eastAsiaTheme="minorEastAsia"/>
          <w:b/>
          <w:bCs/>
          <w:color w:val="auto"/>
          <w:sz w:val="24"/>
          <w:szCs w:val="24"/>
          <w:highlight w:val="none"/>
        </w:rPr>
        <w:t>三、质疑事项具体内容</w:t>
      </w:r>
      <w:bookmarkEnd w:id="125"/>
      <w:bookmarkEnd w:id="126"/>
    </w:p>
    <w:p w14:paraId="1F6CE43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3BD8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30C27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036EE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BCE2D1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99FEF1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DB881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24FF52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7" w:name="_Toc20470"/>
      <w:bookmarkStart w:id="128" w:name="_Toc32755"/>
      <w:r>
        <w:rPr>
          <w:rFonts w:hint="eastAsia" w:cs="仿宋" w:asciiTheme="minorEastAsia" w:hAnsiTheme="minorEastAsia" w:eastAsiaTheme="minorEastAsia"/>
          <w:b/>
          <w:bCs/>
          <w:color w:val="auto"/>
          <w:sz w:val="24"/>
          <w:szCs w:val="24"/>
          <w:highlight w:val="none"/>
        </w:rPr>
        <w:t>四、与质疑事项相关的质疑请求</w:t>
      </w:r>
      <w:bookmarkEnd w:id="127"/>
      <w:bookmarkEnd w:id="128"/>
    </w:p>
    <w:p w14:paraId="05572A4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71BB60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812CE0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153234">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4DD1C85">
      <w:pPr>
        <w:outlineLvl w:val="0"/>
        <w:rPr>
          <w:rFonts w:asciiTheme="minorEastAsia" w:hAnsiTheme="minorEastAsia" w:eastAsiaTheme="minorEastAsia"/>
          <w:b/>
          <w:color w:val="auto"/>
          <w:sz w:val="28"/>
          <w:szCs w:val="32"/>
          <w:highlight w:val="none"/>
        </w:rPr>
      </w:pPr>
      <w:bookmarkStart w:id="129" w:name="_Toc8368"/>
      <w:bookmarkStart w:id="130" w:name="_Toc21667"/>
      <w:r>
        <w:rPr>
          <w:rFonts w:hint="eastAsia" w:asciiTheme="minorEastAsia" w:hAnsiTheme="minorEastAsia" w:eastAsiaTheme="minorEastAsia"/>
          <w:b/>
          <w:color w:val="auto"/>
          <w:sz w:val="28"/>
          <w:szCs w:val="32"/>
          <w:highlight w:val="none"/>
        </w:rPr>
        <w:t>质疑函制作说明：</w:t>
      </w:r>
      <w:bookmarkEnd w:id="129"/>
      <w:bookmarkEnd w:id="130"/>
    </w:p>
    <w:p w14:paraId="3A90EE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9E608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BA82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475C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18517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EFDF9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10" w:type="default"/>
      <w:footerReference r:id="rId11" w:type="default"/>
      <w:pgSz w:w="11906" w:h="16838"/>
      <w:pgMar w:top="1247" w:right="1247" w:bottom="1247" w:left="124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BA9794D-A740-41D8-A791-DA9ECDF2429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2AA3462E-2637-4DFB-8EE8-B60C1F53CF07}"/>
  </w:font>
  <w:font w:name="仿宋">
    <w:panose1 w:val="02010609060101010101"/>
    <w:charset w:val="86"/>
    <w:family w:val="modern"/>
    <w:pitch w:val="default"/>
    <w:sig w:usb0="800002BF" w:usb1="38CF7CFA" w:usb2="00000016" w:usb3="00000000" w:csb0="00040001" w:csb1="00000000"/>
    <w:embedRegular r:id="rId3" w:fontKey="{DAC2CEEE-A9D5-4A99-861C-873BF331F64C}"/>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embedRegular r:id="rId4" w:fontKey="{DFA8EB36-7213-43E8-B120-BA81F8C32610}"/>
  </w:font>
  <w:font w:name="仿宋_GB2312">
    <w:altName w:val="仿宋"/>
    <w:panose1 w:val="02010609030101010101"/>
    <w:charset w:val="86"/>
    <w:family w:val="auto"/>
    <w:pitch w:val="default"/>
    <w:sig w:usb0="00000000" w:usb1="00000000" w:usb2="00000000" w:usb3="00000000" w:csb0="00040000" w:csb1="00000000"/>
    <w:embedRegular r:id="rId5" w:fontKey="{8AF1E59C-06F1-481C-8356-6E3B4EFE09DB}"/>
  </w:font>
  <w:font w:name="ModIcon">
    <w:altName w:val="ksdb"/>
    <w:panose1 w:val="00000000000000000000"/>
    <w:charset w:val="00"/>
    <w:family w:val="auto"/>
    <w:pitch w:val="default"/>
    <w:sig w:usb0="00000000" w:usb1="00000000" w:usb2="00000000" w:usb3="00000000" w:csb0="00000000" w:csb1="00000000"/>
  </w:font>
  <w:font w:name="ActionIcon">
    <w:altName w:val="ksdb"/>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24CB3">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47D1E">
    <w:pPr>
      <w:pStyle w:val="18"/>
      <w:rPr>
        <w:b/>
        <w:bCs/>
        <w:kern w:val="0"/>
        <w:sz w:val="21"/>
        <w:szCs w:val="24"/>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85D37">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685D37">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E2C9">
    <w:pPr>
      <w:pStyle w:val="18"/>
      <w:framePr w:wrap="around" w:vAnchor="text" w:hAnchor="margin" w:xAlign="right" w:y="1"/>
      <w:rPr>
        <w:rStyle w:val="30"/>
      </w:rPr>
    </w:pPr>
    <w:r>
      <w:fldChar w:fldCharType="begin"/>
    </w:r>
    <w:r>
      <w:rPr>
        <w:rStyle w:val="30"/>
      </w:rPr>
      <w:instrText xml:space="preserve">PAGE  </w:instrText>
    </w:r>
    <w:r>
      <w:fldChar w:fldCharType="separate"/>
    </w:r>
    <w:r>
      <w:rPr>
        <w:rStyle w:val="30"/>
      </w:rPr>
      <w:t>16</w:t>
    </w:r>
    <w:r>
      <w:fldChar w:fldCharType="end"/>
    </w:r>
  </w:p>
  <w:p w14:paraId="2F089A49">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1608">
    <w:pPr>
      <w:pStyle w:val="18"/>
      <w:jc w:val="both"/>
      <w:rPr>
        <w:b/>
        <w:bCs/>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15AD5">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D15AD5">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FFB6A">
    <w:pPr>
      <w:pStyle w:val="18"/>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448A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02448A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659B">
    <w:pPr>
      <w:pStyle w:val="19"/>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53FC7">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533A9">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7E8B">
    <w:pPr>
      <w:pStyle w:val="19"/>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B9C"/>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30D690E"/>
    <w:rsid w:val="03483348"/>
    <w:rsid w:val="04AA5E67"/>
    <w:rsid w:val="061B09E7"/>
    <w:rsid w:val="06AE129F"/>
    <w:rsid w:val="072D20A4"/>
    <w:rsid w:val="073B420D"/>
    <w:rsid w:val="07FF390C"/>
    <w:rsid w:val="09A909AA"/>
    <w:rsid w:val="09DF22A4"/>
    <w:rsid w:val="0A3D35AB"/>
    <w:rsid w:val="0A424F95"/>
    <w:rsid w:val="0A542106"/>
    <w:rsid w:val="0A6C4667"/>
    <w:rsid w:val="0BB70F2B"/>
    <w:rsid w:val="0BBE711B"/>
    <w:rsid w:val="0BD47173"/>
    <w:rsid w:val="0C1B47F2"/>
    <w:rsid w:val="0C4264AA"/>
    <w:rsid w:val="0C6157E5"/>
    <w:rsid w:val="0DB63633"/>
    <w:rsid w:val="10607C4F"/>
    <w:rsid w:val="106E6418"/>
    <w:rsid w:val="11323C4E"/>
    <w:rsid w:val="12D71D5F"/>
    <w:rsid w:val="138E2FF9"/>
    <w:rsid w:val="151B7FB7"/>
    <w:rsid w:val="1582093B"/>
    <w:rsid w:val="163E2706"/>
    <w:rsid w:val="16534086"/>
    <w:rsid w:val="167B6427"/>
    <w:rsid w:val="16B27D38"/>
    <w:rsid w:val="16CD3E38"/>
    <w:rsid w:val="1930691F"/>
    <w:rsid w:val="1A6528FE"/>
    <w:rsid w:val="1A835004"/>
    <w:rsid w:val="1B0D6EF9"/>
    <w:rsid w:val="1BA61F6F"/>
    <w:rsid w:val="1C1E5DF5"/>
    <w:rsid w:val="1C63029E"/>
    <w:rsid w:val="1C715A71"/>
    <w:rsid w:val="1CC921E7"/>
    <w:rsid w:val="1CF034E2"/>
    <w:rsid w:val="1D1C4205"/>
    <w:rsid w:val="1D444EB6"/>
    <w:rsid w:val="1DA840EB"/>
    <w:rsid w:val="1DCE3BD5"/>
    <w:rsid w:val="1DCF0FA3"/>
    <w:rsid w:val="1EB4768C"/>
    <w:rsid w:val="1FC11A1F"/>
    <w:rsid w:val="20C16461"/>
    <w:rsid w:val="20FF5536"/>
    <w:rsid w:val="213A5CF5"/>
    <w:rsid w:val="21E708E7"/>
    <w:rsid w:val="226F2197"/>
    <w:rsid w:val="230A4932"/>
    <w:rsid w:val="23146520"/>
    <w:rsid w:val="23585502"/>
    <w:rsid w:val="23596C26"/>
    <w:rsid w:val="23780CBF"/>
    <w:rsid w:val="24577437"/>
    <w:rsid w:val="247E191F"/>
    <w:rsid w:val="25757B75"/>
    <w:rsid w:val="262D78EB"/>
    <w:rsid w:val="26685779"/>
    <w:rsid w:val="27CA60F4"/>
    <w:rsid w:val="27E85AF1"/>
    <w:rsid w:val="27F460A8"/>
    <w:rsid w:val="28C929C1"/>
    <w:rsid w:val="295220BC"/>
    <w:rsid w:val="29DA6B0B"/>
    <w:rsid w:val="2A093B18"/>
    <w:rsid w:val="2A8D7B4E"/>
    <w:rsid w:val="2ABD245A"/>
    <w:rsid w:val="2AEE0AE3"/>
    <w:rsid w:val="2B412386"/>
    <w:rsid w:val="2BB34FD2"/>
    <w:rsid w:val="2C300E8E"/>
    <w:rsid w:val="2CAE7E10"/>
    <w:rsid w:val="2CEA687B"/>
    <w:rsid w:val="2D1633EB"/>
    <w:rsid w:val="2DE16C1F"/>
    <w:rsid w:val="2E1B2EA1"/>
    <w:rsid w:val="2E63511A"/>
    <w:rsid w:val="2EB35320"/>
    <w:rsid w:val="2EBD433B"/>
    <w:rsid w:val="2F111D48"/>
    <w:rsid w:val="2F317872"/>
    <w:rsid w:val="2F3F0C54"/>
    <w:rsid w:val="2F4615DA"/>
    <w:rsid w:val="30ED2B9B"/>
    <w:rsid w:val="31197749"/>
    <w:rsid w:val="32382656"/>
    <w:rsid w:val="32691053"/>
    <w:rsid w:val="32A538A5"/>
    <w:rsid w:val="330E360D"/>
    <w:rsid w:val="33B37D2E"/>
    <w:rsid w:val="33FE167D"/>
    <w:rsid w:val="341669C7"/>
    <w:rsid w:val="352620DC"/>
    <w:rsid w:val="35E13004"/>
    <w:rsid w:val="35E5310F"/>
    <w:rsid w:val="3661430F"/>
    <w:rsid w:val="369D587E"/>
    <w:rsid w:val="36CF1D5D"/>
    <w:rsid w:val="370F3BF6"/>
    <w:rsid w:val="38AD0855"/>
    <w:rsid w:val="39293004"/>
    <w:rsid w:val="39882115"/>
    <w:rsid w:val="39E10D60"/>
    <w:rsid w:val="39F942C0"/>
    <w:rsid w:val="3B3170C8"/>
    <w:rsid w:val="3BC431AC"/>
    <w:rsid w:val="3BFC5E74"/>
    <w:rsid w:val="3C0059BB"/>
    <w:rsid w:val="3C5F3E33"/>
    <w:rsid w:val="3E7A3FF6"/>
    <w:rsid w:val="3F5E4365"/>
    <w:rsid w:val="40412C5A"/>
    <w:rsid w:val="413E755D"/>
    <w:rsid w:val="415470E2"/>
    <w:rsid w:val="41AF5742"/>
    <w:rsid w:val="41B94E35"/>
    <w:rsid w:val="41BB759E"/>
    <w:rsid w:val="41FF6CEC"/>
    <w:rsid w:val="42B740A7"/>
    <w:rsid w:val="4353477A"/>
    <w:rsid w:val="436A0DE9"/>
    <w:rsid w:val="43783307"/>
    <w:rsid w:val="43C05511"/>
    <w:rsid w:val="446B6021"/>
    <w:rsid w:val="44CE57BC"/>
    <w:rsid w:val="44E87F0C"/>
    <w:rsid w:val="45FC7108"/>
    <w:rsid w:val="46E22739"/>
    <w:rsid w:val="473A7BED"/>
    <w:rsid w:val="47863A67"/>
    <w:rsid w:val="478F71C4"/>
    <w:rsid w:val="47C4691C"/>
    <w:rsid w:val="4821786A"/>
    <w:rsid w:val="4825146D"/>
    <w:rsid w:val="482B373E"/>
    <w:rsid w:val="4A6169D0"/>
    <w:rsid w:val="4B014864"/>
    <w:rsid w:val="4B1B26BD"/>
    <w:rsid w:val="4B954E7C"/>
    <w:rsid w:val="4E6B046C"/>
    <w:rsid w:val="4E707289"/>
    <w:rsid w:val="4E9E4717"/>
    <w:rsid w:val="4EEA3D40"/>
    <w:rsid w:val="4F00728A"/>
    <w:rsid w:val="4F3F6AB1"/>
    <w:rsid w:val="4F5D071B"/>
    <w:rsid w:val="4F9B688F"/>
    <w:rsid w:val="505B1306"/>
    <w:rsid w:val="50926F7D"/>
    <w:rsid w:val="52EA4B52"/>
    <w:rsid w:val="53C40687"/>
    <w:rsid w:val="54087D99"/>
    <w:rsid w:val="54286C25"/>
    <w:rsid w:val="54A72003"/>
    <w:rsid w:val="56023921"/>
    <w:rsid w:val="5809250B"/>
    <w:rsid w:val="584A135A"/>
    <w:rsid w:val="58CB5722"/>
    <w:rsid w:val="59392054"/>
    <w:rsid w:val="5A156B40"/>
    <w:rsid w:val="5A3617D9"/>
    <w:rsid w:val="5A7F6B6C"/>
    <w:rsid w:val="5ABE7EC5"/>
    <w:rsid w:val="5AFB613D"/>
    <w:rsid w:val="5B884B20"/>
    <w:rsid w:val="5BA5225B"/>
    <w:rsid w:val="5BC0556E"/>
    <w:rsid w:val="5BC81C40"/>
    <w:rsid w:val="5C221AFD"/>
    <w:rsid w:val="5D740137"/>
    <w:rsid w:val="5D792AAE"/>
    <w:rsid w:val="5DA327CA"/>
    <w:rsid w:val="5E0B036F"/>
    <w:rsid w:val="5E6C3469"/>
    <w:rsid w:val="5FD74633"/>
    <w:rsid w:val="60522AB9"/>
    <w:rsid w:val="60947504"/>
    <w:rsid w:val="60E412C0"/>
    <w:rsid w:val="61A83F2D"/>
    <w:rsid w:val="61E323AE"/>
    <w:rsid w:val="62092E18"/>
    <w:rsid w:val="623331AC"/>
    <w:rsid w:val="625772C4"/>
    <w:rsid w:val="62B954B8"/>
    <w:rsid w:val="62F53596"/>
    <w:rsid w:val="636F3034"/>
    <w:rsid w:val="63ED29F1"/>
    <w:rsid w:val="650516A8"/>
    <w:rsid w:val="65330581"/>
    <w:rsid w:val="657472BF"/>
    <w:rsid w:val="65830E72"/>
    <w:rsid w:val="66E81280"/>
    <w:rsid w:val="67281F92"/>
    <w:rsid w:val="69110DD3"/>
    <w:rsid w:val="691D526F"/>
    <w:rsid w:val="69676D3F"/>
    <w:rsid w:val="6A2E3597"/>
    <w:rsid w:val="6C1F5711"/>
    <w:rsid w:val="6C723784"/>
    <w:rsid w:val="6C8639E2"/>
    <w:rsid w:val="6C8D150C"/>
    <w:rsid w:val="6CE35249"/>
    <w:rsid w:val="6DE91597"/>
    <w:rsid w:val="6E39711A"/>
    <w:rsid w:val="6E3B6563"/>
    <w:rsid w:val="6E997D6C"/>
    <w:rsid w:val="6EF616F6"/>
    <w:rsid w:val="6F5D575B"/>
    <w:rsid w:val="705619F8"/>
    <w:rsid w:val="71467526"/>
    <w:rsid w:val="71FF67DD"/>
    <w:rsid w:val="74B231F1"/>
    <w:rsid w:val="74FC2405"/>
    <w:rsid w:val="754058DD"/>
    <w:rsid w:val="75971777"/>
    <w:rsid w:val="771A04F8"/>
    <w:rsid w:val="77AB254F"/>
    <w:rsid w:val="781C344D"/>
    <w:rsid w:val="784A4B73"/>
    <w:rsid w:val="786924FD"/>
    <w:rsid w:val="789518CC"/>
    <w:rsid w:val="79404F19"/>
    <w:rsid w:val="799B26EC"/>
    <w:rsid w:val="7A5B3FA8"/>
    <w:rsid w:val="7BA174E1"/>
    <w:rsid w:val="7BC04FC3"/>
    <w:rsid w:val="7BD14F61"/>
    <w:rsid w:val="7C9C0693"/>
    <w:rsid w:val="7CA72746"/>
    <w:rsid w:val="7DC33C3F"/>
    <w:rsid w:val="7E2B263C"/>
    <w:rsid w:val="7E5A6A7D"/>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link w:val="69"/>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afterLines="0"/>
      <w:ind w:left="420" w:leftChars="200"/>
    </w:pPr>
    <w:rPr>
      <w:rFonts w:ascii="Times New Roman" w:hAnsi="Times New Roman" w:eastAsia="宋体" w:cs="Times New Roman"/>
      <w:szCs w:val="24"/>
    </w:rPr>
  </w:style>
  <w:style w:type="paragraph" w:styleId="12">
    <w:name w:val="envelope return"/>
    <w:basedOn w:val="1"/>
    <w:next w:val="7"/>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13">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49"/>
    <w:qFormat/>
    <w:uiPriority w:val="99"/>
    <w:rPr>
      <w:rFonts w:ascii="宋体" w:hAnsi="Courier New" w:eastAsiaTheme="minorEastAsia" w:cstheme="minorBidi"/>
      <w:szCs w:val="22"/>
    </w:rPr>
  </w:style>
  <w:style w:type="paragraph" w:styleId="15">
    <w:name w:val="Date"/>
    <w:basedOn w:val="1"/>
    <w:next w:val="1"/>
    <w:link w:val="56"/>
    <w:qFormat/>
    <w:uiPriority w:val="0"/>
    <w:rPr>
      <w:rFonts w:ascii="Arial" w:hAnsi="Arial" w:eastAsia="宋体" w:cs="Arial"/>
      <w:b/>
      <w:sz w:val="28"/>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Balloon Text"/>
    <w:basedOn w:val="1"/>
    <w:link w:val="43"/>
    <w:semiHidden/>
    <w:unhideWhenUsed/>
    <w:qFormat/>
    <w:uiPriority w:val="99"/>
    <w:rPr>
      <w:sz w:val="18"/>
      <w:szCs w:val="18"/>
    </w:rPr>
  </w:style>
  <w:style w:type="paragraph" w:styleId="18">
    <w:name w:val="footer"/>
    <w:basedOn w:val="1"/>
    <w:link w:val="4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Body Text First Indent"/>
    <w:basedOn w:val="10"/>
    <w:unhideWhenUsed/>
    <w:qFormat/>
    <w:uiPriority w:val="99"/>
    <w:pPr>
      <w:ind w:firstLine="420" w:firstLineChars="100"/>
    </w:pPr>
  </w:style>
  <w:style w:type="paragraph" w:styleId="25">
    <w:name w:val="Body Text First Indent 2"/>
    <w:basedOn w:val="11"/>
    <w:next w:val="1"/>
    <w:qFormat/>
    <w:uiPriority w:val="0"/>
    <w:pPr>
      <w:tabs>
        <w:tab w:val="left" w:pos="1176"/>
      </w:tabs>
      <w:ind w:firstLine="200" w:firstLineChars="200"/>
    </w:pPr>
  </w:style>
  <w:style w:type="table" w:styleId="27">
    <w:name w:val="Table Grid"/>
    <w:basedOn w:val="2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page number"/>
    <w:qFormat/>
    <w:uiPriority w:val="0"/>
  </w:style>
  <w:style w:type="character" w:styleId="31">
    <w:name w:val="FollowedHyperlink"/>
    <w:basedOn w:val="28"/>
    <w:semiHidden/>
    <w:unhideWhenUsed/>
    <w:qFormat/>
    <w:uiPriority w:val="99"/>
    <w:rPr>
      <w:color w:val="800080"/>
      <w:u w:val="none"/>
    </w:rPr>
  </w:style>
  <w:style w:type="character" w:styleId="32">
    <w:name w:val="Emphasis"/>
    <w:basedOn w:val="28"/>
    <w:qFormat/>
    <w:uiPriority w:val="20"/>
    <w:rPr>
      <w:b/>
      <w:bCs/>
    </w:rPr>
  </w:style>
  <w:style w:type="character" w:styleId="33">
    <w:name w:val="HTML Definition"/>
    <w:basedOn w:val="28"/>
    <w:semiHidden/>
    <w:unhideWhenUsed/>
    <w:qFormat/>
    <w:uiPriority w:val="99"/>
  </w:style>
  <w:style w:type="character" w:styleId="34">
    <w:name w:val="HTML Typewriter"/>
    <w:basedOn w:val="28"/>
    <w:semiHidden/>
    <w:unhideWhenUsed/>
    <w:qFormat/>
    <w:uiPriority w:val="99"/>
    <w:rPr>
      <w:rFonts w:hint="default" w:ascii="monospace" w:hAnsi="monospace" w:eastAsia="monospace" w:cs="monospace"/>
      <w:sz w:val="20"/>
    </w:rPr>
  </w:style>
  <w:style w:type="character" w:styleId="35">
    <w:name w:val="HTML Acronym"/>
    <w:basedOn w:val="28"/>
    <w:semiHidden/>
    <w:unhideWhenUsed/>
    <w:qFormat/>
    <w:uiPriority w:val="99"/>
    <w:rPr>
      <w:bdr w:val="none" w:color="auto" w:sz="0" w:space="0"/>
    </w:rPr>
  </w:style>
  <w:style w:type="character" w:styleId="36">
    <w:name w:val="HTML Variable"/>
    <w:basedOn w:val="28"/>
    <w:semiHidden/>
    <w:unhideWhenUsed/>
    <w:qFormat/>
    <w:uiPriority w:val="99"/>
  </w:style>
  <w:style w:type="character" w:styleId="37">
    <w:name w:val="Hyperlink"/>
    <w:basedOn w:val="28"/>
    <w:unhideWhenUsed/>
    <w:qFormat/>
    <w:uiPriority w:val="99"/>
    <w:rPr>
      <w:color w:val="0000FF" w:themeColor="hyperlink"/>
      <w:u w:val="single"/>
      <w14:textFill>
        <w14:solidFill>
          <w14:schemeClr w14:val="hlink"/>
        </w14:solidFill>
      </w14:textFill>
    </w:rPr>
  </w:style>
  <w:style w:type="character" w:styleId="38">
    <w:name w:val="HTML Code"/>
    <w:basedOn w:val="28"/>
    <w:semiHidden/>
    <w:unhideWhenUsed/>
    <w:qFormat/>
    <w:uiPriority w:val="99"/>
    <w:rPr>
      <w:rFonts w:ascii="monospace" w:hAnsi="monospace" w:eastAsia="monospace" w:cs="monospace"/>
      <w:sz w:val="20"/>
    </w:rPr>
  </w:style>
  <w:style w:type="character" w:styleId="39">
    <w:name w:val="HTML Cite"/>
    <w:basedOn w:val="28"/>
    <w:semiHidden/>
    <w:unhideWhenUsed/>
    <w:qFormat/>
    <w:uiPriority w:val="99"/>
  </w:style>
  <w:style w:type="character" w:styleId="40">
    <w:name w:val="HTML Keyboard"/>
    <w:basedOn w:val="28"/>
    <w:semiHidden/>
    <w:unhideWhenUsed/>
    <w:qFormat/>
    <w:uiPriority w:val="99"/>
    <w:rPr>
      <w:rFonts w:hint="default" w:ascii="monospace" w:hAnsi="monospace" w:eastAsia="monospace" w:cs="monospace"/>
      <w:sz w:val="20"/>
    </w:rPr>
  </w:style>
  <w:style w:type="character" w:styleId="41">
    <w:name w:val="HTML Sample"/>
    <w:basedOn w:val="28"/>
    <w:semiHidden/>
    <w:unhideWhenUsed/>
    <w:qFormat/>
    <w:uiPriority w:val="99"/>
    <w:rPr>
      <w:rFonts w:hint="default" w:ascii="monospace" w:hAnsi="monospace" w:eastAsia="monospace" w:cs="monospace"/>
    </w:rPr>
  </w:style>
  <w:style w:type="paragraph" w:customStyle="1" w:styleId="42">
    <w:name w:val="一级标题"/>
    <w:basedOn w:val="1"/>
    <w:next w:val="10"/>
    <w:qFormat/>
    <w:uiPriority w:val="0"/>
    <w:pPr>
      <w:outlineLvl w:val="0"/>
    </w:pPr>
    <w:rPr>
      <w:b/>
      <w:bCs/>
      <w:sz w:val="32"/>
    </w:rPr>
  </w:style>
  <w:style w:type="character" w:customStyle="1" w:styleId="43">
    <w:name w:val="批注框文本 Char"/>
    <w:basedOn w:val="28"/>
    <w:link w:val="17"/>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Char"/>
    <w:basedOn w:val="28"/>
    <w:link w:val="19"/>
    <w:qFormat/>
    <w:uiPriority w:val="0"/>
    <w:rPr>
      <w:rFonts w:ascii="@仿宋_GB2312" w:hAnsi="@仿宋_GB2312" w:eastAsia="@仿宋_GB2312" w:cs="@仿宋_GB2312"/>
      <w:sz w:val="18"/>
      <w:szCs w:val="18"/>
    </w:rPr>
  </w:style>
  <w:style w:type="character" w:customStyle="1" w:styleId="48">
    <w:name w:val="页脚 Char"/>
    <w:basedOn w:val="28"/>
    <w:link w:val="18"/>
    <w:qFormat/>
    <w:uiPriority w:val="99"/>
    <w:rPr>
      <w:rFonts w:ascii="@仿宋_GB2312" w:hAnsi="@仿宋_GB2312" w:eastAsia="@仿宋_GB2312" w:cs="@仿宋_GB2312"/>
      <w:sz w:val="18"/>
      <w:szCs w:val="18"/>
    </w:rPr>
  </w:style>
  <w:style w:type="character" w:customStyle="1" w:styleId="49">
    <w:name w:val="纯文本 Char"/>
    <w:link w:val="14"/>
    <w:qFormat/>
    <w:uiPriority w:val="0"/>
    <w:rPr>
      <w:rFonts w:ascii="宋体" w:hAnsi="Courier New"/>
    </w:rPr>
  </w:style>
  <w:style w:type="character" w:customStyle="1" w:styleId="50">
    <w:name w:val="纯文本 字符1"/>
    <w:basedOn w:val="28"/>
    <w:semiHidden/>
    <w:qFormat/>
    <w:uiPriority w:val="99"/>
    <w:rPr>
      <w:rFonts w:hAnsi="Courier New" w:cs="Courier New" w:asciiTheme="minorEastAsia"/>
      <w:szCs w:val="20"/>
    </w:rPr>
  </w:style>
  <w:style w:type="character" w:customStyle="1" w:styleId="51">
    <w:name w:val="未处理的提及1"/>
    <w:basedOn w:val="28"/>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8"/>
    <w:semiHidden/>
    <w:qFormat/>
    <w:uiPriority w:val="99"/>
    <w:rPr>
      <w:rFonts w:ascii="@仿宋_GB2312" w:hAnsi="@仿宋_GB2312" w:eastAsia="@仿宋_GB2312" w:cs="@仿宋_GB2312"/>
      <w:szCs w:val="20"/>
    </w:rPr>
  </w:style>
  <w:style w:type="character" w:customStyle="1" w:styleId="56">
    <w:name w:val="日期 Char"/>
    <w:link w:val="15"/>
    <w:qFormat/>
    <w:uiPriority w:val="0"/>
    <w:rPr>
      <w:rFonts w:ascii="Arial" w:hAnsi="Arial" w:eastAsia="宋体" w:cs="Arial"/>
      <w:b/>
      <w:sz w:val="28"/>
      <w:szCs w:val="20"/>
    </w:rPr>
  </w:style>
  <w:style w:type="character" w:customStyle="1" w:styleId="57">
    <w:name w:val="纯文本 Char1"/>
    <w:link w:val="58"/>
    <w:qFormat/>
    <w:locked/>
    <w:uiPriority w:val="0"/>
    <w:rPr>
      <w:rFonts w:ascii="Arial" w:hAnsi="Arial" w:eastAsia="Arial"/>
      <w:kern w:val="2"/>
      <w:sz w:val="21"/>
      <w:lang w:val="en-US" w:eastAsia="zh-CN" w:bidi="ar-SA"/>
    </w:rPr>
  </w:style>
  <w:style w:type="paragraph" w:customStyle="1" w:styleId="58">
    <w:name w:val="纯文本1"/>
    <w:basedOn w:val="1"/>
    <w:link w:val="57"/>
    <w:qFormat/>
    <w:uiPriority w:val="0"/>
    <w:rPr>
      <w:rFonts w:ascii="Arial" w:hAnsi="Arial" w:eastAsia="Arial" w:cstheme="minorBidi"/>
    </w:rPr>
  </w:style>
  <w:style w:type="character" w:customStyle="1" w:styleId="59">
    <w:name w:val="批注文字 Char"/>
    <w:basedOn w:val="28"/>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8"/>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8"/>
    <w:link w:val="4"/>
    <w:semiHidden/>
    <w:qFormat/>
    <w:uiPriority w:val="9"/>
    <w:rPr>
      <w:rFonts w:ascii="@仿宋_GB2312" w:hAnsi="@仿宋_GB2312" w:eastAsia="@仿宋_GB2312" w:cs="@仿宋_GB2312"/>
      <w:b/>
      <w:bCs/>
      <w:sz w:val="32"/>
      <w:szCs w:val="32"/>
    </w:rPr>
  </w:style>
  <w:style w:type="character" w:customStyle="1" w:styleId="64">
    <w:name w:val="fontstyle01"/>
    <w:basedOn w:val="28"/>
    <w:qFormat/>
    <w:uiPriority w:val="0"/>
    <w:rPr>
      <w:rFonts w:hint="eastAsia" w:ascii="宋体" w:hAnsi="宋体" w:eastAsia="宋体"/>
      <w:color w:val="000000"/>
      <w:sz w:val="22"/>
      <w:szCs w:val="22"/>
    </w:rPr>
  </w:style>
  <w:style w:type="character" w:customStyle="1" w:styleId="65">
    <w:name w:val="fontstyle21"/>
    <w:basedOn w:val="28"/>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8"/>
    <w:semiHidden/>
    <w:qFormat/>
    <w:uiPriority w:val="9"/>
    <w:rPr>
      <w:rFonts w:asciiTheme="majorHAnsi" w:hAnsiTheme="majorHAnsi" w:eastAsiaTheme="majorEastAsia" w:cstheme="majorBidi"/>
      <w:b/>
      <w:bCs/>
      <w:sz w:val="28"/>
      <w:szCs w:val="28"/>
    </w:rPr>
  </w:style>
  <w:style w:type="character" w:customStyle="1" w:styleId="68">
    <w:name w:val="标题 4 Char"/>
    <w:link w:val="5"/>
    <w:qFormat/>
    <w:uiPriority w:val="0"/>
    <w:rPr>
      <w:rFonts w:ascii="@仿宋_GB2312" w:hAnsi="@仿宋_GB2312" w:eastAsia="@仿宋_GB2312" w:cs="@仿宋_GB2312"/>
      <w:b/>
      <w:bCs/>
      <w:sz w:val="28"/>
      <w:szCs w:val="28"/>
    </w:rPr>
  </w:style>
  <w:style w:type="character" w:customStyle="1" w:styleId="69">
    <w:name w:val="正文文本 Char"/>
    <w:basedOn w:val="28"/>
    <w:link w:val="10"/>
    <w:qFormat/>
    <w:uiPriority w:val="0"/>
    <w:rPr>
      <w:rFonts w:ascii="@微软简标宋" w:hAnsi="@微软简标宋" w:eastAsia="@微软简标宋" w:cs="@微软简标宋"/>
      <w:szCs w:val="24"/>
      <w:lang w:val="zh-CN" w:eastAsia="zh-CN"/>
    </w:rPr>
  </w:style>
  <w:style w:type="table" w:customStyle="1" w:styleId="70">
    <w:name w:val="网格型1"/>
    <w:basedOn w:val="26"/>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Normal"/>
    <w:semiHidden/>
    <w:unhideWhenUsed/>
    <w:qFormat/>
    <w:uiPriority w:val="0"/>
    <w:tblPr>
      <w:tblCellMar>
        <w:top w:w="0" w:type="dxa"/>
        <w:left w:w="0" w:type="dxa"/>
        <w:bottom w:w="0" w:type="dxa"/>
        <w:right w:w="0" w:type="dxa"/>
      </w:tblCellMar>
    </w:tblPr>
  </w:style>
  <w:style w:type="paragraph" w:customStyle="1" w:styleId="72">
    <w:name w:val="Table Text"/>
    <w:basedOn w:val="1"/>
    <w:semiHidden/>
    <w:qFormat/>
    <w:uiPriority w:val="0"/>
    <w:rPr>
      <w:rFonts w:ascii="Arial" w:hAnsi="Arial" w:eastAsia="Arial" w:cs="Arial"/>
      <w:sz w:val="21"/>
      <w:szCs w:val="21"/>
      <w:lang w:val="en-US" w:eastAsia="en-US" w:bidi="ar-SA"/>
    </w:rPr>
  </w:style>
  <w:style w:type="paragraph" w:customStyle="1" w:styleId="73">
    <w:name w:val="列出段落1"/>
    <w:basedOn w:val="1"/>
    <w:qFormat/>
    <w:uiPriority w:val="0"/>
    <w:pPr>
      <w:ind w:firstLine="420" w:firstLineChars="200"/>
    </w:pPr>
    <w:rPr>
      <w:szCs w:val="24"/>
    </w:rPr>
  </w:style>
  <w:style w:type="paragraph" w:customStyle="1" w:styleId="74">
    <w:name w:val="_Style 10"/>
    <w:basedOn w:val="2"/>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44</Pages>
  <Words>19701</Words>
  <Characters>21179</Characters>
  <Lines>208</Lines>
  <Paragraphs>58</Paragraphs>
  <TotalTime>29</TotalTime>
  <ScaleCrop>false</ScaleCrop>
  <LinksUpToDate>false</LinksUpToDate>
  <CharactersWithSpaces>24696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韦韦</cp:lastModifiedBy>
  <cp:lastPrinted>2026-07-23T11:42:00Z</cp:lastPrinted>
  <dcterms:modified xsi:type="dcterms:W3CDTF">2026-07-28T03:17:24Z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24F906A48D1243F8B80EB73AD427CEB1_13</vt:lpwstr>
  </property>
  <property fmtid="{D5CDD505-2E9C-101B-9397-08002B2CF9AE}" pid="4" name="KSOTemplateDocerSaveRecord">
    <vt:lpwstr>eyJoZGlkIjoiZmQ5MGI3YTdkMjVkZTZjM2ZjZTQ5YjMxYTJjZjRlOWEiLCJ1c2VySWQiOiIzNjE4MjQ5In0=</vt:lpwstr>
  </property>
</Properties>
</file>