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153C">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2ADE5FD3">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4EB8FB45">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5B1211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竞争性谈判文件示范文本（工程类）</w:t>
      </w:r>
    </w:p>
    <w:bookmarkEnd w:id="0"/>
    <w:p w14:paraId="0E15653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p w14:paraId="2814B8CE">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7F9B768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61105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088DF1A">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0DED962E">
      <w:pPr>
        <w:pStyle w:val="4"/>
        <w:rPr>
          <w:color w:val="auto"/>
          <w:highlight w:val="none"/>
        </w:rPr>
      </w:pPr>
    </w:p>
    <w:p w14:paraId="0837F1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C4AC020">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琅琊区铜矿北村等9个老旧小区、丰乐新村等11个老旧小区整治改造弱电项目</w:t>
      </w:r>
    </w:p>
    <w:p w14:paraId="7BFD8B45">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rPr>
        <w:t>czlycg202605-002</w:t>
      </w:r>
    </w:p>
    <w:p w14:paraId="235FF663">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rPr>
        <w:t>滁州市琅琊区住房城乡建设交通局</w:t>
      </w:r>
    </w:p>
    <w:p w14:paraId="76671252">
      <w:pPr>
        <w:tabs>
          <w:tab w:val="left" w:pos="2410"/>
        </w:tabs>
        <w:autoSpaceDE w:val="0"/>
        <w:autoSpaceDN w:val="0"/>
        <w:adjustRightInd w:val="0"/>
        <w:snapToGrid w:val="0"/>
        <w:spacing w:line="360" w:lineRule="auto"/>
        <w:rPr>
          <w:b/>
          <w:bCs/>
          <w:color w:val="auto"/>
          <w:sz w:val="44"/>
          <w:szCs w:val="44"/>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rPr>
        <w:t>滁州市城投工程咨询管理有限公司</w:t>
      </w:r>
    </w:p>
    <w:p w14:paraId="44F9C08D">
      <w:pPr>
        <w:tabs>
          <w:tab w:val="left" w:pos="2410"/>
        </w:tabs>
        <w:autoSpaceDE w:val="0"/>
        <w:autoSpaceDN w:val="0"/>
        <w:adjustRightInd w:val="0"/>
        <w:snapToGrid w:val="0"/>
        <w:spacing w:line="360" w:lineRule="auto"/>
        <w:jc w:val="center"/>
        <w:rPr>
          <w:b/>
          <w:color w:val="auto"/>
          <w:sz w:val="36"/>
          <w:highlight w:val="none"/>
        </w:rPr>
      </w:pPr>
    </w:p>
    <w:p w14:paraId="40147D49">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2026</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5</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03AA45E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3B1E3C6E">
      <w:pPr>
        <w:tabs>
          <w:tab w:val="left" w:pos="2410"/>
        </w:tabs>
        <w:autoSpaceDE w:val="0"/>
        <w:autoSpaceDN w:val="0"/>
        <w:adjustRightInd w:val="0"/>
        <w:snapToGrid w:val="0"/>
        <w:spacing w:line="360" w:lineRule="auto"/>
        <w:jc w:val="center"/>
        <w:rPr>
          <w:b/>
          <w:color w:val="auto"/>
          <w:sz w:val="28"/>
          <w:highlight w:val="none"/>
        </w:rPr>
      </w:pPr>
    </w:p>
    <w:p w14:paraId="53A0B8B2">
      <w:pPr>
        <w:pStyle w:val="35"/>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_Toc12523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谈判邀请</w:t>
      </w:r>
      <w:r>
        <w:rPr>
          <w:color w:val="auto"/>
          <w:highlight w:val="none"/>
        </w:rPr>
        <w:tab/>
      </w:r>
      <w:r>
        <w:rPr>
          <w:color w:val="auto"/>
          <w:highlight w:val="none"/>
        </w:rPr>
        <w:fldChar w:fldCharType="begin"/>
      </w:r>
      <w:r>
        <w:rPr>
          <w:color w:val="auto"/>
          <w:highlight w:val="none"/>
        </w:rPr>
        <w:instrText xml:space="preserve"> PAGEREF _Toc12523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bCs/>
          <w:color w:val="auto"/>
          <w:szCs w:val="24"/>
          <w:highlight w:val="none"/>
        </w:rPr>
        <w:fldChar w:fldCharType="end"/>
      </w:r>
    </w:p>
    <w:p w14:paraId="254DE9AA">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_Toc32399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bCs/>
          <w:color w:val="auto"/>
          <w:szCs w:val="24"/>
          <w:highlight w:val="none"/>
        </w:rPr>
        <w:fldChar w:fldCharType="end"/>
      </w:r>
    </w:p>
    <w:p w14:paraId="4C169DC6">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_Toc6146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_Toc6146 \h </w:instrText>
      </w:r>
      <w:r>
        <w:rPr>
          <w:color w:val="auto"/>
          <w:highlight w:val="none"/>
        </w:rPr>
        <w:fldChar w:fldCharType="separate"/>
      </w:r>
      <w:r>
        <w:rPr>
          <w:color w:val="auto"/>
          <w:highlight w:val="none"/>
        </w:rPr>
        <w:t>24</w:t>
      </w:r>
      <w:r>
        <w:rPr>
          <w:color w:val="auto"/>
          <w:highlight w:val="none"/>
        </w:rPr>
        <w:fldChar w:fldCharType="end"/>
      </w:r>
      <w:r>
        <w:rPr>
          <w:rFonts w:asciiTheme="minorEastAsia" w:hAnsiTheme="minorEastAsia"/>
          <w:bCs/>
          <w:color w:val="auto"/>
          <w:szCs w:val="24"/>
          <w:highlight w:val="none"/>
        </w:rPr>
        <w:fldChar w:fldCharType="end"/>
      </w:r>
    </w:p>
    <w:p w14:paraId="0314B464">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_Toc28266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_Toc28266 \h </w:instrText>
      </w:r>
      <w:r>
        <w:rPr>
          <w:color w:val="auto"/>
          <w:highlight w:val="none"/>
        </w:rPr>
        <w:fldChar w:fldCharType="separate"/>
      </w:r>
      <w:r>
        <w:rPr>
          <w:color w:val="auto"/>
          <w:highlight w:val="none"/>
        </w:rPr>
        <w:t>27</w:t>
      </w:r>
      <w:r>
        <w:rPr>
          <w:color w:val="auto"/>
          <w:highlight w:val="none"/>
        </w:rPr>
        <w:fldChar w:fldCharType="end"/>
      </w:r>
      <w:r>
        <w:rPr>
          <w:rFonts w:asciiTheme="minorEastAsia" w:hAnsiTheme="minorEastAsia"/>
          <w:bCs/>
          <w:color w:val="auto"/>
          <w:szCs w:val="24"/>
          <w:highlight w:val="none"/>
        </w:rPr>
        <w:fldChar w:fldCharType="end"/>
      </w:r>
    </w:p>
    <w:p w14:paraId="18755E1F">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_Toc32646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_Toc32646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bCs/>
          <w:color w:val="auto"/>
          <w:szCs w:val="24"/>
          <w:highlight w:val="none"/>
        </w:rPr>
        <w:fldChar w:fldCharType="end"/>
      </w:r>
    </w:p>
    <w:p w14:paraId="7E6B8483">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_Toc16770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_Toc16770 \h </w:instrText>
      </w:r>
      <w:r>
        <w:rPr>
          <w:color w:val="auto"/>
          <w:highlight w:val="none"/>
        </w:rPr>
        <w:fldChar w:fldCharType="separate"/>
      </w:r>
      <w:r>
        <w:rPr>
          <w:color w:val="auto"/>
          <w:highlight w:val="none"/>
        </w:rPr>
        <w:t>86</w:t>
      </w:r>
      <w:r>
        <w:rPr>
          <w:color w:val="auto"/>
          <w:highlight w:val="none"/>
        </w:rPr>
        <w:fldChar w:fldCharType="end"/>
      </w:r>
      <w:r>
        <w:rPr>
          <w:rFonts w:asciiTheme="minorEastAsia" w:hAnsiTheme="minorEastAsia"/>
          <w:bCs/>
          <w:color w:val="auto"/>
          <w:szCs w:val="24"/>
          <w:highlight w:val="none"/>
        </w:rPr>
        <w:fldChar w:fldCharType="end"/>
      </w:r>
    </w:p>
    <w:p w14:paraId="6BC60794">
      <w:pPr>
        <w:pStyle w:val="3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_Toc25478 </w:instrText>
      </w:r>
      <w:r>
        <w:rPr>
          <w:rFonts w:asciiTheme="minorEastAsia" w:hAnsiTheme="minorEastAsia"/>
          <w:bCs/>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_Toc25478 \h </w:instrText>
      </w:r>
      <w:r>
        <w:rPr>
          <w:color w:val="auto"/>
          <w:highlight w:val="none"/>
        </w:rPr>
        <w:fldChar w:fldCharType="separate"/>
      </w:r>
      <w:r>
        <w:rPr>
          <w:color w:val="auto"/>
          <w:highlight w:val="none"/>
        </w:rPr>
        <w:t>103</w:t>
      </w:r>
      <w:r>
        <w:rPr>
          <w:color w:val="auto"/>
          <w:highlight w:val="none"/>
        </w:rPr>
        <w:fldChar w:fldCharType="end"/>
      </w:r>
      <w:r>
        <w:rPr>
          <w:rFonts w:asciiTheme="minorEastAsia" w:hAnsiTheme="minorEastAsia"/>
          <w:bCs/>
          <w:color w:val="auto"/>
          <w:szCs w:val="24"/>
          <w:highlight w:val="none"/>
        </w:rPr>
        <w:fldChar w:fldCharType="end"/>
      </w:r>
    </w:p>
    <w:p w14:paraId="4968A42E">
      <w:pPr>
        <w:pStyle w:val="45"/>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3E2E4AD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25E06161">
      <w:pPr>
        <w:spacing w:line="360" w:lineRule="auto"/>
        <w:jc w:val="center"/>
        <w:outlineLvl w:val="0"/>
        <w:rPr>
          <w:rFonts w:asciiTheme="minorEastAsia" w:hAnsiTheme="minorEastAsia" w:eastAsiaTheme="minorEastAsia"/>
          <w:b/>
          <w:color w:val="auto"/>
          <w:sz w:val="28"/>
          <w:highlight w:val="none"/>
        </w:rPr>
      </w:pPr>
      <w:bookmarkStart w:id="1" w:name="_Toc12523"/>
      <w:bookmarkStart w:id="2" w:name="_Toc3239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p>
    <w:p w14:paraId="0449009F">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outlineLvl w:val="2"/>
        <w:rPr>
          <w:rFonts w:hint="eastAsia" w:ascii="宋体" w:hAnsi="宋体" w:eastAsia="宋体" w:cs="宋体"/>
          <w:color w:val="auto"/>
          <w:kern w:val="2"/>
          <w:sz w:val="24"/>
          <w:szCs w:val="24"/>
          <w:highlight w:val="none"/>
        </w:rPr>
      </w:pPr>
      <w:bookmarkStart w:id="3" w:name="_Toc8980"/>
      <w:bookmarkStart w:id="4" w:name="_Toc29179"/>
      <w:r>
        <w:rPr>
          <w:rFonts w:hint="eastAsia" w:ascii="宋体" w:hAnsi="宋体" w:eastAsia="宋体" w:cs="宋体"/>
          <w:color w:val="auto"/>
          <w:kern w:val="0"/>
          <w:sz w:val="21"/>
          <w:szCs w:val="21"/>
          <w:highlight w:val="none"/>
          <w:lang w:val="en-US" w:eastAsia="zh-CN"/>
        </w:rPr>
        <w:t xml:space="preserve"> </w:t>
      </w:r>
      <w:bookmarkStart w:id="5" w:name="_Toc1215"/>
      <w:r>
        <w:rPr>
          <w:rFonts w:hint="eastAsia" w:ascii="宋体" w:hAnsi="宋体" w:eastAsia="宋体" w:cs="宋体"/>
          <w:color w:val="auto"/>
          <w:kern w:val="2"/>
          <w:sz w:val="24"/>
          <w:szCs w:val="24"/>
          <w:highlight w:val="none"/>
          <w:lang w:val="en-US" w:eastAsia="zh-CN" w:bidi="ar"/>
        </w:rPr>
        <w:t>项目概况</w:t>
      </w:r>
    </w:p>
    <w:p w14:paraId="3CCE7E4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lang w:val="en-US" w:eastAsia="zh-CN" w:bidi="ar"/>
        </w:rPr>
        <w:t>琅琊区铜矿北村等9个老旧小区、丰乐新村等11个老旧小区整治改造弱电项目</w:t>
      </w:r>
      <w:r>
        <w:rPr>
          <w:rFonts w:hint="eastAsia" w:ascii="宋体" w:hAnsi="宋体" w:eastAsia="宋体" w:cs="宋体"/>
          <w:color w:val="auto"/>
          <w:kern w:val="2"/>
          <w:sz w:val="24"/>
          <w:szCs w:val="24"/>
          <w:highlight w:val="none"/>
          <w:lang w:val="en-US" w:eastAsia="zh-CN" w:bidi="ar"/>
        </w:rPr>
        <w:t>的潜在</w:t>
      </w:r>
      <w:r>
        <w:rPr>
          <w:rFonts w:hint="eastAsia"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lang w:val="en-US" w:eastAsia="zh-CN" w:bidi="ar"/>
        </w:rPr>
        <w:t>应在</w:t>
      </w:r>
      <w:r>
        <w:rPr>
          <w:rFonts w:hint="eastAsia" w:ascii="宋体" w:hAnsi="宋体" w:eastAsia="宋体" w:cs="宋体"/>
          <w:color w:val="auto"/>
          <w:kern w:val="2"/>
          <w:sz w:val="24"/>
          <w:szCs w:val="24"/>
          <w:highlight w:val="none"/>
          <w:u w:val="single"/>
          <w:lang w:val="en-US" w:eastAsia="zh-CN" w:bidi="ar"/>
        </w:rPr>
        <w:t>滁州市公共资源交易中心网（</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"https://ggzy.chuzhou.gov.cn/" </w:instrText>
      </w:r>
      <w:r>
        <w:rPr>
          <w:rFonts w:hint="eastAsia" w:ascii="宋体" w:hAnsi="宋体" w:eastAsia="宋体" w:cs="宋体"/>
          <w:color w:val="auto"/>
          <w:kern w:val="2"/>
          <w:sz w:val="24"/>
          <w:szCs w:val="24"/>
          <w:highlight w:val="none"/>
          <w:lang w:val="en-US" w:eastAsia="zh-CN" w:bidi="ar"/>
        </w:rPr>
        <w:fldChar w:fldCharType="separate"/>
      </w:r>
      <w:r>
        <w:rPr>
          <w:rStyle w:val="66"/>
          <w:rFonts w:hint="eastAsia" w:ascii="宋体" w:hAnsi="宋体" w:eastAsia="宋体" w:cs="宋体"/>
          <w:color w:val="auto"/>
          <w:sz w:val="24"/>
          <w:szCs w:val="24"/>
          <w:highlight w:val="none"/>
          <w:u w:val="single"/>
        </w:rPr>
        <w:t>http://ggzy.chuzhou.gov.cn/</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kern w:val="2"/>
          <w:sz w:val="24"/>
          <w:szCs w:val="24"/>
          <w:highlight w:val="none"/>
          <w:lang w:val="en-US" w:eastAsia="zh-CN" w:bidi="ar"/>
        </w:rPr>
        <w:t>获取</w:t>
      </w:r>
      <w:r>
        <w:rPr>
          <w:rFonts w:hint="eastAsia" w:cs="宋体"/>
          <w:color w:val="auto"/>
          <w:kern w:val="2"/>
          <w:sz w:val="24"/>
          <w:szCs w:val="24"/>
          <w:highlight w:val="none"/>
          <w:lang w:val="en-US" w:eastAsia="zh-CN" w:bidi="ar"/>
        </w:rPr>
        <w:t>采购</w:t>
      </w:r>
      <w:r>
        <w:rPr>
          <w:rFonts w:hint="eastAsia" w:ascii="宋体" w:hAnsi="宋体" w:eastAsia="宋体" w:cs="宋体"/>
          <w:color w:val="auto"/>
          <w:kern w:val="2"/>
          <w:sz w:val="24"/>
          <w:szCs w:val="24"/>
          <w:highlight w:val="none"/>
          <w:lang w:val="en-US" w:eastAsia="zh-CN" w:bidi="ar"/>
        </w:rPr>
        <w:t>文件，并于</w:t>
      </w:r>
      <w:r>
        <w:rPr>
          <w:rFonts w:hint="eastAsia" w:cs="宋体"/>
          <w:color w:val="auto"/>
          <w:kern w:val="2"/>
          <w:sz w:val="24"/>
          <w:szCs w:val="24"/>
          <w:highlight w:val="none"/>
          <w:u w:val="single"/>
          <w:lang w:val="en-US" w:eastAsia="zh-CN" w:bidi="ar"/>
        </w:rPr>
        <w:t>2026年5月21日</w:t>
      </w:r>
      <w:r>
        <w:rPr>
          <w:rFonts w:hint="eastAsia" w:cs="宋体"/>
          <w:bCs/>
          <w:color w:val="auto"/>
          <w:kern w:val="2"/>
          <w:sz w:val="24"/>
          <w:szCs w:val="24"/>
          <w:highlight w:val="none"/>
          <w:u w:val="single"/>
          <w:lang w:val="en-US" w:eastAsia="zh-CN" w:bidi="ar"/>
        </w:rPr>
        <w:t>8</w:t>
      </w:r>
      <w:r>
        <w:rPr>
          <w:rFonts w:hint="eastAsia" w:ascii="宋体" w:hAnsi="宋体" w:eastAsia="宋体" w:cs="宋体"/>
          <w:bCs/>
          <w:color w:val="auto"/>
          <w:kern w:val="2"/>
          <w:sz w:val="24"/>
          <w:szCs w:val="24"/>
          <w:highlight w:val="none"/>
          <w:u w:val="single"/>
          <w:lang w:val="en-US" w:eastAsia="zh-CN" w:bidi="ar"/>
        </w:rPr>
        <w:t>点</w:t>
      </w:r>
      <w:r>
        <w:rPr>
          <w:rFonts w:hint="eastAsia" w:cs="宋体"/>
          <w:bCs/>
          <w:color w:val="auto"/>
          <w:kern w:val="2"/>
          <w:sz w:val="24"/>
          <w:szCs w:val="24"/>
          <w:highlight w:val="none"/>
          <w:u w:val="single"/>
          <w:lang w:val="en-US" w:eastAsia="zh-CN" w:bidi="ar"/>
        </w:rPr>
        <w:t>50分</w:t>
      </w:r>
      <w:r>
        <w:rPr>
          <w:rFonts w:hint="eastAsia" w:ascii="宋体" w:hAnsi="宋体" w:eastAsia="宋体" w:cs="宋体"/>
          <w:bCs/>
          <w:color w:val="auto"/>
          <w:kern w:val="2"/>
          <w:sz w:val="24"/>
          <w:szCs w:val="24"/>
          <w:highlight w:val="none"/>
          <w:lang w:val="en-US" w:eastAsia="zh-CN" w:bidi="ar"/>
        </w:rPr>
        <w:t>（北京时间）前递交</w:t>
      </w:r>
      <w:r>
        <w:rPr>
          <w:rFonts w:hint="eastAsia" w:cs="宋体"/>
          <w:bCs/>
          <w:color w:val="auto"/>
          <w:kern w:val="2"/>
          <w:sz w:val="24"/>
          <w:szCs w:val="24"/>
          <w:highlight w:val="none"/>
          <w:lang w:val="en-US" w:eastAsia="zh-CN" w:bidi="ar"/>
        </w:rPr>
        <w:t>响应</w:t>
      </w:r>
      <w:r>
        <w:rPr>
          <w:rFonts w:hint="eastAsia" w:ascii="宋体" w:hAnsi="宋体" w:eastAsia="宋体" w:cs="宋体"/>
          <w:bCs/>
          <w:color w:val="auto"/>
          <w:kern w:val="2"/>
          <w:sz w:val="24"/>
          <w:szCs w:val="24"/>
          <w:highlight w:val="none"/>
          <w:lang w:val="en-US" w:eastAsia="zh-CN" w:bidi="ar"/>
        </w:rPr>
        <w:t>文件</w:t>
      </w:r>
      <w:r>
        <w:rPr>
          <w:rFonts w:hint="eastAsia" w:ascii="宋体" w:hAnsi="宋体" w:eastAsia="宋体" w:cs="宋体"/>
          <w:color w:val="auto"/>
          <w:kern w:val="2"/>
          <w:sz w:val="24"/>
          <w:szCs w:val="24"/>
          <w:highlight w:val="none"/>
          <w:lang w:val="en-US" w:eastAsia="zh-CN" w:bidi="ar"/>
        </w:rPr>
        <w:t>。</w:t>
      </w:r>
    </w:p>
    <w:p w14:paraId="5A325CEE">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default" w:ascii="宋体" w:hAnsi="宋体" w:eastAsia="宋体"/>
          <w:b/>
          <w:bCs/>
          <w:color w:val="auto"/>
          <w:sz w:val="24"/>
          <w:szCs w:val="18"/>
          <w:highlight w:val="none"/>
          <w:lang w:val="en-US" w:eastAsia="zh-CN"/>
        </w:rPr>
      </w:pPr>
      <w:bookmarkStart w:id="6" w:name="_Toc28359002"/>
      <w:bookmarkEnd w:id="6"/>
      <w:bookmarkStart w:id="7" w:name="_Toc35393790"/>
      <w:bookmarkEnd w:id="7"/>
      <w:bookmarkStart w:id="8" w:name="_Toc28359079"/>
      <w:bookmarkEnd w:id="8"/>
      <w:bookmarkStart w:id="9" w:name="_Toc58430305"/>
      <w:bookmarkEnd w:id="9"/>
      <w:bookmarkStart w:id="10" w:name="_Toc35393621"/>
      <w:bookmarkEnd w:id="10"/>
      <w:bookmarkStart w:id="11" w:name="_Hlk24379207"/>
      <w:r>
        <w:rPr>
          <w:rFonts w:hint="eastAsia" w:ascii="宋体" w:hAnsi="宋体" w:eastAsia="宋体"/>
          <w:b/>
          <w:bCs/>
          <w:color w:val="auto"/>
          <w:sz w:val="24"/>
          <w:szCs w:val="18"/>
          <w:highlight w:val="none"/>
        </w:rPr>
        <w:t>一、</w:t>
      </w:r>
      <w:bookmarkEnd w:id="11"/>
      <w:r>
        <w:rPr>
          <w:rFonts w:hint="eastAsia"/>
          <w:b/>
          <w:bCs/>
          <w:color w:val="auto"/>
          <w:sz w:val="24"/>
          <w:szCs w:val="18"/>
          <w:highlight w:val="none"/>
          <w:lang w:val="en-US" w:eastAsia="zh-CN"/>
        </w:rPr>
        <w:t>项目基本情况</w:t>
      </w:r>
    </w:p>
    <w:p w14:paraId="67EC436E">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i w:val="0"/>
          <w:iCs w:val="0"/>
          <w:color w:val="auto"/>
          <w:kern w:val="2"/>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bidi="ar"/>
        </w:rPr>
        <w:t>项目编号</w:t>
      </w:r>
      <w:r>
        <w:rPr>
          <w:rFonts w:hint="eastAsia" w:cs="宋体"/>
          <w:i w:val="0"/>
          <w:iCs w:val="0"/>
          <w:color w:val="auto"/>
          <w:kern w:val="2"/>
          <w:sz w:val="24"/>
          <w:szCs w:val="24"/>
          <w:highlight w:val="none"/>
          <w:lang w:val="en-US" w:eastAsia="zh-CN" w:bidi="ar"/>
        </w:rPr>
        <w:t xml:space="preserve">：czlycg202605-002 </w:t>
      </w:r>
    </w:p>
    <w:p w14:paraId="73DA6109">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w:t>
      </w:r>
      <w:r>
        <w:rPr>
          <w:rFonts w:hint="eastAsia" w:cs="宋体"/>
          <w:color w:val="auto"/>
          <w:kern w:val="2"/>
          <w:sz w:val="24"/>
          <w:szCs w:val="24"/>
          <w:highlight w:val="none"/>
          <w:lang w:val="en-US" w:eastAsia="zh-CN" w:bidi="ar"/>
        </w:rPr>
        <w:t>琅琊区铜矿北村等9个老旧小区、丰乐新村等11个老旧小区整治改造弱电项目</w:t>
      </w:r>
    </w:p>
    <w:p w14:paraId="455810CC">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采购方式：竞争性谈判</w:t>
      </w:r>
    </w:p>
    <w:p w14:paraId="52FD57A7">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w:t>
      </w:r>
      <w:r>
        <w:rPr>
          <w:rFonts w:hint="eastAsia" w:cs="宋体"/>
          <w:color w:val="auto"/>
          <w:kern w:val="2"/>
          <w:sz w:val="24"/>
          <w:szCs w:val="24"/>
          <w:highlight w:val="none"/>
          <w:lang w:val="en-US" w:eastAsia="zh-CN" w:bidi="ar"/>
        </w:rPr>
        <w:t>约3950000.00元</w:t>
      </w:r>
    </w:p>
    <w:p w14:paraId="1313F39A">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最高限价：本项目最高限价为3850217.93元，高于最高限价的，其响应文件按无效响应处理。</w:t>
      </w:r>
    </w:p>
    <w:p w14:paraId="04B0F8E1">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u w:val="single"/>
        </w:rPr>
      </w:pPr>
      <w:r>
        <w:rPr>
          <w:rFonts w:hint="eastAsia" w:cs="宋体"/>
          <w:color w:val="auto"/>
          <w:kern w:val="2"/>
          <w:sz w:val="24"/>
          <w:szCs w:val="24"/>
          <w:highlight w:val="none"/>
          <w:lang w:val="en-US" w:eastAsia="zh-CN" w:bidi="ar"/>
        </w:rPr>
        <w:t>采购需求：对琅琊区铜矿北村等9个老旧小区、丰乐新村等11个老旧小区弱电改造。主要对小区内电线架空、沿建筑外立面或树木随意拉接、凌乱归并、线路老化等问题进行整治；具体内容详见采购需求及工程量清单。</w:t>
      </w:r>
    </w:p>
    <w:p w14:paraId="2D598500">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w:t>
      </w:r>
      <w:r>
        <w:rPr>
          <w:rFonts w:hint="eastAsia" w:cs="宋体"/>
          <w:color w:val="auto"/>
          <w:kern w:val="2"/>
          <w:sz w:val="24"/>
          <w:szCs w:val="24"/>
          <w:highlight w:val="none"/>
          <w:lang w:val="en-US" w:eastAsia="zh-CN" w:bidi="ar"/>
        </w:rPr>
        <w:t>不高于120个日历天内完工并验收合格。</w:t>
      </w:r>
    </w:p>
    <w:p w14:paraId="5283E10A">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w:t>
      </w:r>
    </w:p>
    <w:p w14:paraId="39B1A883">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bookmarkStart w:id="12" w:name="_Toc58430306"/>
      <w:bookmarkEnd w:id="12"/>
      <w:bookmarkStart w:id="13" w:name="_Toc35393622"/>
      <w:bookmarkEnd w:id="13"/>
      <w:bookmarkStart w:id="14" w:name="_Toc28359003"/>
      <w:bookmarkEnd w:id="14"/>
      <w:bookmarkStart w:id="15" w:name="_Toc35393791"/>
      <w:bookmarkEnd w:id="15"/>
      <w:bookmarkStart w:id="16" w:name="_Toc28359080"/>
      <w:r>
        <w:rPr>
          <w:rFonts w:hint="eastAsia" w:ascii="宋体" w:hAnsi="宋体" w:eastAsia="宋体"/>
          <w:b/>
          <w:bCs/>
          <w:color w:val="auto"/>
          <w:sz w:val="24"/>
          <w:szCs w:val="18"/>
          <w:highlight w:val="none"/>
        </w:rPr>
        <w:t>二、申请人的资格要求</w:t>
      </w:r>
      <w:bookmarkEnd w:id="16"/>
    </w:p>
    <w:p w14:paraId="7E1983C8">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3AA3C7D3">
      <w:pPr>
        <w:spacing w:line="420" w:lineRule="exact"/>
        <w:ind w:firstLine="435"/>
        <w:jc w:val="left"/>
        <w:rPr>
          <w:rFonts w:hint="eastAsia" w:ascii="宋体" w:hAnsi="宋体" w:eastAsia="宋体" w:cs="宋体"/>
          <w:color w:val="auto"/>
          <w:kern w:val="2"/>
          <w:sz w:val="24"/>
          <w:szCs w:val="24"/>
          <w:highlight w:val="none"/>
          <w:lang w:val="en-US" w:eastAsia="zh-CN" w:bidi="ar"/>
        </w:rPr>
      </w:pPr>
      <w:bookmarkStart w:id="17" w:name="_Toc28359081"/>
      <w:bookmarkEnd w:id="17"/>
      <w:bookmarkStart w:id="18" w:name="_Toc28359004"/>
      <w:r>
        <w:rPr>
          <w:rFonts w:hint="eastAsia" w:ascii="宋体" w:hAnsi="宋体" w:eastAsia="宋体" w:cs="宋体"/>
          <w:color w:val="auto"/>
          <w:kern w:val="2"/>
          <w:sz w:val="24"/>
          <w:szCs w:val="24"/>
          <w:highlight w:val="none"/>
          <w:lang w:val="en-US" w:eastAsia="zh-CN" w:bidi="ar"/>
        </w:rPr>
        <w:t>2.落实政府采购政策需满足的资格要求：</w:t>
      </w:r>
      <w:bookmarkEnd w:id="18"/>
      <w:r>
        <w:rPr>
          <w:rFonts w:hint="eastAsia" w:ascii="宋体" w:hAnsi="宋体" w:eastAsia="宋体" w:cs="宋体"/>
          <w:color w:val="auto"/>
          <w:kern w:val="2"/>
          <w:sz w:val="24"/>
          <w:szCs w:val="24"/>
          <w:highlight w:val="none"/>
          <w:lang w:val="en-US" w:eastAsia="zh-CN" w:bidi="ar"/>
        </w:rPr>
        <w:t>按照财政部、工业和信息化部制定的《政府采购促进中小企业发展管理办法》第六条第二款（因确需使用不可替代的专利、专有技术，基础设施限制，或者提供特定公共服务等原因，只能从中小企业之外的供应商处采购的）之规定，本项目为非专门面向中小企业采购项目。</w:t>
      </w:r>
      <w:bookmarkStart w:id="783" w:name="_GoBack"/>
      <w:bookmarkEnd w:id="783"/>
    </w:p>
    <w:p w14:paraId="7B237712">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7B54CA9C">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r>
        <w:rPr>
          <w:rFonts w:hint="eastAsia" w:cs="宋体"/>
          <w:color w:val="auto"/>
          <w:kern w:val="2"/>
          <w:sz w:val="24"/>
          <w:szCs w:val="24"/>
          <w:highlight w:val="none"/>
          <w:lang w:val="en-US" w:eastAsia="zh-CN" w:bidi="ar"/>
        </w:rPr>
        <w:t>须</w:t>
      </w:r>
      <w:r>
        <w:rPr>
          <w:rFonts w:hint="eastAsia" w:ascii="宋体" w:hAnsi="宋体" w:eastAsia="宋体" w:cs="宋体"/>
          <w:color w:val="auto"/>
          <w:kern w:val="2"/>
          <w:sz w:val="24"/>
          <w:szCs w:val="24"/>
          <w:highlight w:val="none"/>
          <w:lang w:val="en-US" w:eastAsia="zh-CN" w:bidi="ar"/>
        </w:rPr>
        <w:t>具有《基础电信业务经营许可证》或《广播电视节目传送业务经营许可证》</w:t>
      </w:r>
      <w:r>
        <w:rPr>
          <w:rFonts w:hint="eastAsia" w:cs="宋体"/>
          <w:color w:val="auto"/>
          <w:kern w:val="2"/>
          <w:sz w:val="24"/>
          <w:szCs w:val="24"/>
          <w:highlight w:val="none"/>
          <w:lang w:val="en-US" w:eastAsia="zh-CN" w:bidi="ar"/>
        </w:rPr>
        <w:t>；</w:t>
      </w:r>
    </w:p>
    <w:p w14:paraId="32BB0C1E">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4.信誉要求：</w:t>
      </w:r>
      <w:r>
        <w:rPr>
          <w:rFonts w:hint="eastAsia"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lang w:val="en-US" w:eastAsia="zh-CN" w:bidi="ar"/>
        </w:rPr>
        <w:t>不得存在以下情形：</w:t>
      </w:r>
    </w:p>
    <w:p w14:paraId="26F08A4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bookmarkStart w:id="19" w:name="_Toc35393792"/>
      <w:bookmarkEnd w:id="19"/>
      <w:bookmarkStart w:id="20" w:name="_Toc35393623"/>
      <w:bookmarkEnd w:id="20"/>
      <w:bookmarkStart w:id="21" w:name="_Toc58430307"/>
      <w:r>
        <w:rPr>
          <w:rFonts w:hint="eastAsia" w:ascii="宋体" w:hAnsi="宋体" w:eastAsia="宋体" w:cs="宋体"/>
          <w:color w:val="auto"/>
          <w:kern w:val="2"/>
          <w:sz w:val="24"/>
          <w:szCs w:val="24"/>
          <w:highlight w:val="none"/>
          <w:lang w:val="en-US" w:eastAsia="zh-CN" w:bidi="ar"/>
        </w:rPr>
        <w:t>①被列入“信用中国”网站“失信被执行人”的；</w:t>
      </w:r>
    </w:p>
    <w:p w14:paraId="43A6DA8A">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3FB55203">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3098D6FD">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3EDD90E">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E113D1D">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44C7D631">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5924563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w:t>
      </w:r>
      <w:r>
        <w:rPr>
          <w:rFonts w:hint="eastAsia"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lang w:val="en-US" w:eastAsia="zh-CN" w:bidi="ar"/>
        </w:rPr>
        <w:t>所属分公司、办事处等分支机构存在第4款信誉要求①-⑦项情形之一的，</w:t>
      </w:r>
      <w:r>
        <w:rPr>
          <w:rFonts w:hint="eastAsia" w:ascii="宋体" w:hAnsi="宋体" w:eastAsia="宋体" w:cs="宋体"/>
          <w:color w:val="auto"/>
          <w:kern w:val="2"/>
          <w:sz w:val="24"/>
          <w:szCs w:val="24"/>
          <w:highlight w:val="none"/>
          <w:u w:val="single"/>
          <w:lang w:val="en-US" w:eastAsia="zh-CN" w:bidi="ar"/>
        </w:rPr>
        <w:t>接受</w:t>
      </w:r>
      <w:r>
        <w:rPr>
          <w:rFonts w:hint="eastAsia"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lang w:val="en-US" w:eastAsia="zh-CN" w:bidi="ar"/>
        </w:rPr>
        <w:t>参加本项目。</w:t>
      </w:r>
    </w:p>
    <w:p w14:paraId="4EB5DD39">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17EAE9FB">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21"/>
      <w:r>
        <w:rPr>
          <w:rFonts w:hint="eastAsia" w:ascii="宋体" w:hAnsi="宋体" w:eastAsia="宋体"/>
          <w:b/>
          <w:bCs/>
          <w:color w:val="auto"/>
          <w:sz w:val="24"/>
          <w:szCs w:val="18"/>
          <w:highlight w:val="none"/>
        </w:rPr>
        <w:t>获取采购文件</w:t>
      </w:r>
    </w:p>
    <w:p w14:paraId="2428D32F">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时间：</w:t>
      </w:r>
      <w:r>
        <w:rPr>
          <w:rFonts w:hint="eastAsia" w:cs="宋体"/>
          <w:color w:val="auto"/>
          <w:kern w:val="2"/>
          <w:sz w:val="24"/>
          <w:szCs w:val="24"/>
          <w:highlight w:val="none"/>
          <w:u w:val="single"/>
          <w:lang w:val="en-US" w:eastAsia="zh-CN" w:bidi="ar"/>
        </w:rPr>
        <w:t>2026年5月15日</w:t>
      </w:r>
      <w:r>
        <w:rPr>
          <w:rFonts w:hint="eastAsia" w:ascii="宋体" w:hAnsi="宋体" w:eastAsia="宋体" w:cs="宋体"/>
          <w:color w:val="auto"/>
          <w:kern w:val="2"/>
          <w:sz w:val="24"/>
          <w:szCs w:val="24"/>
          <w:highlight w:val="none"/>
          <w:lang w:val="en-US" w:eastAsia="zh-CN" w:bidi="ar"/>
        </w:rPr>
        <w:t>至</w:t>
      </w:r>
      <w:r>
        <w:rPr>
          <w:rFonts w:hint="eastAsia" w:cs="宋体"/>
          <w:color w:val="auto"/>
          <w:kern w:val="2"/>
          <w:sz w:val="24"/>
          <w:szCs w:val="24"/>
          <w:highlight w:val="none"/>
          <w:u w:val="single"/>
          <w:lang w:val="en-US" w:eastAsia="zh-CN" w:bidi="ar"/>
        </w:rPr>
        <w:t>2026年5月21日</w:t>
      </w:r>
    </w:p>
    <w:p w14:paraId="380F898C">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5900F000">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74CF013F">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2D6E3D3F">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bookmarkStart w:id="22" w:name="_Toc28359082"/>
      <w:bookmarkEnd w:id="22"/>
      <w:bookmarkStart w:id="23" w:name="_Toc35393624"/>
      <w:bookmarkEnd w:id="23"/>
      <w:bookmarkStart w:id="24" w:name="_Toc35393793"/>
      <w:bookmarkEnd w:id="24"/>
      <w:bookmarkStart w:id="25" w:name="_Toc28359005"/>
      <w:bookmarkEnd w:id="25"/>
      <w:bookmarkStart w:id="26" w:name="_Toc58430308"/>
      <w:r>
        <w:rPr>
          <w:rFonts w:hint="eastAsia" w:ascii="宋体" w:hAnsi="宋体" w:eastAsia="宋体"/>
          <w:b/>
          <w:bCs/>
          <w:color w:val="auto"/>
          <w:sz w:val="24"/>
          <w:szCs w:val="18"/>
          <w:highlight w:val="none"/>
        </w:rPr>
        <w:t>四、</w:t>
      </w:r>
      <w:bookmarkEnd w:id="26"/>
      <w:r>
        <w:rPr>
          <w:rFonts w:hint="eastAsia" w:ascii="宋体" w:hAnsi="宋体" w:eastAsia="宋体"/>
          <w:b/>
          <w:bCs/>
          <w:color w:val="auto"/>
          <w:sz w:val="24"/>
          <w:szCs w:val="18"/>
          <w:highlight w:val="none"/>
        </w:rPr>
        <w:t>响应文件提交</w:t>
      </w:r>
    </w:p>
    <w:p w14:paraId="0C2960E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bCs/>
          <w:color w:val="auto"/>
          <w:kern w:val="2"/>
          <w:sz w:val="24"/>
          <w:szCs w:val="24"/>
          <w:highlight w:val="none"/>
          <w:u w:val="single"/>
        </w:rPr>
      </w:pPr>
      <w:r>
        <w:rPr>
          <w:rFonts w:hint="eastAsia" w:asciiTheme="minorEastAsia" w:hAnsiTheme="minorEastAsia" w:eastAsiaTheme="minorEastAsia" w:cstheme="minorEastAsia"/>
          <w:bCs/>
          <w:color w:val="auto"/>
          <w:sz w:val="24"/>
          <w:szCs w:val="24"/>
          <w:highlight w:val="none"/>
        </w:rPr>
        <w:t>截止时间：</w:t>
      </w:r>
      <w:r>
        <w:rPr>
          <w:rFonts w:hint="eastAsia" w:cs="宋体"/>
          <w:color w:val="auto"/>
          <w:kern w:val="2"/>
          <w:sz w:val="24"/>
          <w:szCs w:val="24"/>
          <w:highlight w:val="none"/>
          <w:u w:val="single"/>
          <w:lang w:val="en-US" w:eastAsia="zh-CN" w:bidi="ar"/>
        </w:rPr>
        <w:t>2026年5月21日</w:t>
      </w:r>
      <w:r>
        <w:rPr>
          <w:rFonts w:hint="eastAsia" w:cs="宋体"/>
          <w:bCs/>
          <w:color w:val="auto"/>
          <w:kern w:val="2"/>
          <w:sz w:val="24"/>
          <w:szCs w:val="24"/>
          <w:highlight w:val="none"/>
          <w:u w:val="single"/>
          <w:lang w:val="en-US" w:eastAsia="zh-CN" w:bidi="ar"/>
        </w:rPr>
        <w:t>8</w:t>
      </w:r>
      <w:r>
        <w:rPr>
          <w:rFonts w:hint="eastAsia" w:ascii="宋体" w:hAnsi="宋体" w:eastAsia="宋体" w:cs="宋体"/>
          <w:bCs/>
          <w:color w:val="auto"/>
          <w:kern w:val="2"/>
          <w:sz w:val="24"/>
          <w:szCs w:val="24"/>
          <w:highlight w:val="none"/>
          <w:u w:val="single"/>
          <w:lang w:val="en-US" w:eastAsia="zh-CN" w:bidi="ar"/>
        </w:rPr>
        <w:t>点</w:t>
      </w:r>
      <w:r>
        <w:rPr>
          <w:rFonts w:hint="eastAsia" w:cs="宋体"/>
          <w:bCs/>
          <w:color w:val="auto"/>
          <w:kern w:val="2"/>
          <w:sz w:val="24"/>
          <w:szCs w:val="24"/>
          <w:highlight w:val="none"/>
          <w:u w:val="single"/>
          <w:lang w:val="en-US" w:eastAsia="zh-CN" w:bidi="ar"/>
        </w:rPr>
        <w:t>50分</w:t>
      </w:r>
      <w:r>
        <w:rPr>
          <w:rFonts w:hint="eastAsia" w:ascii="宋体" w:hAnsi="宋体" w:eastAsia="宋体" w:cs="宋体"/>
          <w:bCs/>
          <w:color w:val="auto"/>
          <w:kern w:val="2"/>
          <w:sz w:val="24"/>
          <w:szCs w:val="24"/>
          <w:highlight w:val="none"/>
          <w:u w:val="single"/>
          <w:lang w:val="en-US" w:eastAsia="zh-CN" w:bidi="ar"/>
        </w:rPr>
        <w:t>（</w:t>
      </w:r>
      <w:r>
        <w:rPr>
          <w:rFonts w:hint="eastAsia" w:ascii="宋体" w:hAnsi="宋体" w:eastAsia="宋体" w:cs="宋体"/>
          <w:bCs/>
          <w:color w:val="auto"/>
          <w:kern w:val="2"/>
          <w:sz w:val="24"/>
          <w:szCs w:val="24"/>
          <w:highlight w:val="none"/>
          <w:lang w:val="en-US" w:eastAsia="zh-CN" w:bidi="ar"/>
        </w:rPr>
        <w:t>北京时间）</w:t>
      </w:r>
      <w:r>
        <w:rPr>
          <w:rFonts w:hint="eastAsia" w:ascii="宋体" w:hAnsi="宋体" w:eastAsia="宋体" w:cs="宋体"/>
          <w:bCs/>
          <w:color w:val="auto"/>
          <w:kern w:val="2"/>
          <w:sz w:val="24"/>
          <w:szCs w:val="24"/>
          <w:highlight w:val="none"/>
          <w:u w:val="single"/>
          <w:lang w:val="en-US" w:eastAsia="zh-CN" w:bidi="ar"/>
        </w:rPr>
        <w:t>（从谈判文件开始发出之日起至供应商提交首次响应文件截止之日止不得少于3个工作日）</w:t>
      </w:r>
    </w:p>
    <w:p w14:paraId="358677C8">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地点：滁州市公共资源交易平台电子交易系统</w:t>
      </w:r>
    </w:p>
    <w:p w14:paraId="5C079F05">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bookmarkStart w:id="27" w:name="_Toc35393625"/>
      <w:bookmarkEnd w:id="27"/>
      <w:bookmarkStart w:id="28" w:name="_Toc58430309"/>
      <w:bookmarkEnd w:id="28"/>
      <w:bookmarkStart w:id="29" w:name="_Toc35393794"/>
      <w:bookmarkEnd w:id="29"/>
      <w:bookmarkStart w:id="30" w:name="_Toc28359007"/>
      <w:bookmarkEnd w:id="30"/>
      <w:bookmarkStart w:id="31" w:name="_Toc8953"/>
      <w:bookmarkStart w:id="32" w:name="_Toc29151"/>
      <w:bookmarkStart w:id="33" w:name="_Toc28359084"/>
      <w:r>
        <w:rPr>
          <w:rFonts w:hint="eastAsia" w:ascii="宋体" w:hAnsi="宋体" w:eastAsia="宋体"/>
          <w:b/>
          <w:bCs/>
          <w:color w:val="auto"/>
          <w:sz w:val="24"/>
          <w:szCs w:val="18"/>
          <w:highlight w:val="none"/>
        </w:rPr>
        <w:t>五、</w:t>
      </w:r>
      <w:bookmarkEnd w:id="31"/>
      <w:r>
        <w:rPr>
          <w:rFonts w:hint="eastAsia" w:ascii="宋体" w:hAnsi="宋体" w:eastAsia="宋体"/>
          <w:b/>
          <w:bCs/>
          <w:color w:val="auto"/>
          <w:sz w:val="24"/>
          <w:szCs w:val="18"/>
          <w:highlight w:val="none"/>
        </w:rPr>
        <w:t>开启</w:t>
      </w:r>
      <w:bookmarkEnd w:id="32"/>
    </w:p>
    <w:p w14:paraId="5A398121">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cs="宋体"/>
          <w:color w:val="auto"/>
          <w:kern w:val="2"/>
          <w:sz w:val="24"/>
          <w:szCs w:val="24"/>
          <w:highlight w:val="none"/>
          <w:u w:val="single"/>
          <w:lang w:val="en-US" w:eastAsia="zh-CN" w:bidi="ar"/>
        </w:rPr>
        <w:t>2026年5月21日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lang w:val="en-US" w:eastAsia="zh-CN"/>
        </w:rPr>
        <w:t>50</w:t>
      </w:r>
      <w:r>
        <w:rPr>
          <w:rFonts w:hint="eastAsia" w:asciiTheme="minorEastAsia" w:hAnsiTheme="minorEastAsia" w:eastAsiaTheme="minorEastAsia" w:cstheme="minorEastAsia"/>
          <w:bCs/>
          <w:color w:val="auto"/>
          <w:sz w:val="24"/>
          <w:szCs w:val="24"/>
          <w:highlight w:val="none"/>
        </w:rPr>
        <w:t>分（北京时间）</w:t>
      </w:r>
    </w:p>
    <w:p w14:paraId="1A1E49B1">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4AF4BA23">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r>
        <w:rPr>
          <w:rFonts w:hint="eastAsia"/>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33"/>
    </w:p>
    <w:p w14:paraId="7805F931">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自本公告发布之日起3个工作日。</w:t>
      </w:r>
    </w:p>
    <w:p w14:paraId="602CDB78">
      <w:pPr>
        <w:keepNext w:val="0"/>
        <w:keepLines w:val="0"/>
        <w:pageBreakBefore w:val="0"/>
        <w:widowControl w:val="0"/>
        <w:kinsoku/>
        <w:wordWrap/>
        <w:overflowPunct/>
        <w:topLinePunct w:val="0"/>
        <w:bidi w:val="0"/>
        <w:spacing w:line="480" w:lineRule="exact"/>
        <w:ind w:firstLine="437"/>
        <w:textAlignment w:val="auto"/>
        <w:outlineLvl w:val="1"/>
        <w:rPr>
          <w:rFonts w:hint="default" w:ascii="宋体" w:hAnsi="宋体" w:eastAsia="宋体"/>
          <w:b/>
          <w:bCs/>
          <w:color w:val="auto"/>
          <w:sz w:val="24"/>
          <w:szCs w:val="18"/>
          <w:highlight w:val="none"/>
          <w:lang w:val="en-US" w:eastAsia="zh-CN"/>
        </w:rPr>
      </w:pPr>
      <w:bookmarkStart w:id="34" w:name="_Toc58430310"/>
      <w:bookmarkEnd w:id="34"/>
      <w:r>
        <w:rPr>
          <w:rFonts w:hint="eastAsia" w:ascii="宋体" w:hAnsi="宋体" w:eastAsia="宋体"/>
          <w:b/>
          <w:bCs/>
          <w:color w:val="auto"/>
          <w:sz w:val="24"/>
          <w:szCs w:val="18"/>
          <w:highlight w:val="none"/>
        </w:rPr>
        <w:t>七、</w:t>
      </w:r>
      <w:r>
        <w:rPr>
          <w:rFonts w:hint="eastAsia" w:ascii="宋体" w:hAnsi="宋体" w:eastAsia="宋体"/>
          <w:b/>
          <w:bCs/>
          <w:color w:val="auto"/>
          <w:sz w:val="24"/>
          <w:szCs w:val="18"/>
          <w:highlight w:val="none"/>
          <w:lang w:val="en-US" w:eastAsia="zh-CN"/>
        </w:rPr>
        <w:t>保证金金额及缴纳账户</w:t>
      </w:r>
    </w:p>
    <w:p w14:paraId="626AAB1C">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是否要求供应商提交保证金：不要求。</w:t>
      </w:r>
    </w:p>
    <w:p w14:paraId="3AE0CC02">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lang w:val="en-US" w:eastAsia="zh-CN"/>
        </w:rPr>
      </w:pPr>
      <w:r>
        <w:rPr>
          <w:rFonts w:hint="eastAsia"/>
          <w:b/>
          <w:bCs/>
          <w:color w:val="auto"/>
          <w:sz w:val="24"/>
          <w:szCs w:val="18"/>
          <w:highlight w:val="none"/>
          <w:lang w:val="en-US" w:eastAsia="zh-CN"/>
        </w:rPr>
        <w:t>八</w:t>
      </w:r>
      <w:r>
        <w:rPr>
          <w:rFonts w:hint="eastAsia" w:ascii="宋体" w:hAnsi="宋体" w:eastAsia="宋体"/>
          <w:b/>
          <w:bCs/>
          <w:color w:val="auto"/>
          <w:sz w:val="24"/>
          <w:szCs w:val="18"/>
          <w:highlight w:val="none"/>
        </w:rPr>
        <w:t>、其他补充事宜</w:t>
      </w:r>
    </w:p>
    <w:p w14:paraId="7E70CFA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color w:val="auto"/>
          <w:sz w:val="24"/>
          <w:szCs w:val="18"/>
          <w:highlight w:val="none"/>
          <w:lang w:eastAsia="zh-CN"/>
        </w:rPr>
        <w:t>400-615-8899</w:t>
      </w:r>
      <w:r>
        <w:rPr>
          <w:rFonts w:hint="eastAsia" w:ascii="宋体" w:hAnsi="宋体" w:eastAsia="宋体"/>
          <w:color w:val="auto"/>
          <w:sz w:val="24"/>
          <w:szCs w:val="18"/>
          <w:highlight w:val="none"/>
        </w:rPr>
        <w:t>、0550-3019013（工作日），CFCA客服025-66085508 、0550-3801669（工作日）；3.市场主体招标环节和投标环节系统使用问题：0512-581885160（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1EE4697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2.请供应商登录滁州市公共资源交易中心网站查看参加本项目的程序。（具体操作步骤和程序请参见服务指南&gt;交易须知&gt;投标人填写投标信息、下载文件及网上提问操作手册）。</w:t>
      </w:r>
    </w:p>
    <w:p w14:paraId="2A0AC51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12A4CA3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18"/>
          <w:highlight w:val="none"/>
          <w:lang w:eastAsia="zh-CN"/>
        </w:rPr>
        <w:t>。</w:t>
      </w:r>
    </w:p>
    <w:bookmarkEnd w:id="5"/>
    <w:p w14:paraId="00AE0BD6">
      <w:pPr>
        <w:keepNext w:val="0"/>
        <w:keepLines w:val="0"/>
        <w:pageBreakBefore w:val="0"/>
        <w:widowControl w:val="0"/>
        <w:kinsoku/>
        <w:overflowPunct/>
        <w:topLinePunct w:val="0"/>
        <w:autoSpaceDE/>
        <w:autoSpaceDN/>
        <w:bidi w:val="0"/>
        <w:adjustRightInd/>
        <w:snapToGrid/>
        <w:spacing w:line="336" w:lineRule="auto"/>
        <w:ind w:firstLine="437"/>
        <w:textAlignment w:val="auto"/>
        <w:outlineLvl w:val="1"/>
        <w:rPr>
          <w:rFonts w:hint="eastAsia" w:ascii="宋体" w:hAnsi="宋体" w:eastAsia="宋体"/>
          <w:b/>
          <w:bCs/>
          <w:color w:val="auto"/>
          <w:sz w:val="24"/>
          <w:szCs w:val="18"/>
          <w:highlight w:val="none"/>
        </w:rPr>
      </w:pPr>
      <w:bookmarkStart w:id="35" w:name="_Toc7265"/>
      <w:bookmarkStart w:id="36" w:name="_Toc3854"/>
      <w:r>
        <w:rPr>
          <w:rFonts w:hint="eastAsia"/>
          <w:b/>
          <w:bCs/>
          <w:color w:val="auto"/>
          <w:sz w:val="24"/>
          <w:szCs w:val="18"/>
          <w:highlight w:val="none"/>
          <w:lang w:val="en-US" w:eastAsia="zh-CN"/>
        </w:rPr>
        <w:t>九</w:t>
      </w:r>
      <w:r>
        <w:rPr>
          <w:rFonts w:hint="eastAsia" w:ascii="宋体" w:hAnsi="宋体" w:eastAsia="宋体"/>
          <w:b/>
          <w:bCs/>
          <w:color w:val="auto"/>
          <w:sz w:val="24"/>
          <w:szCs w:val="18"/>
          <w:highlight w:val="none"/>
        </w:rPr>
        <w:t>、</w:t>
      </w:r>
      <w:bookmarkEnd w:id="35"/>
      <w:r>
        <w:rPr>
          <w:rFonts w:hint="eastAsia" w:ascii="宋体" w:hAnsi="宋体" w:eastAsia="宋体"/>
          <w:b/>
          <w:bCs/>
          <w:color w:val="auto"/>
          <w:sz w:val="24"/>
          <w:szCs w:val="18"/>
          <w:highlight w:val="none"/>
        </w:rPr>
        <w:t>对本次招标提出询问，请按以下方式联系</w:t>
      </w:r>
      <w:bookmarkEnd w:id="36"/>
    </w:p>
    <w:p w14:paraId="7BF55A7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56412A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color w:val="auto"/>
          <w:sz w:val="24"/>
          <w:szCs w:val="18"/>
          <w:highlight w:val="none"/>
          <w:u w:val="singl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滁州市琅琊区住房城乡建设交通局</w:t>
      </w:r>
      <w:r>
        <w:rPr>
          <w:rFonts w:hint="eastAsia"/>
          <w:color w:val="auto"/>
          <w:sz w:val="24"/>
          <w:szCs w:val="18"/>
          <w:highlight w:val="none"/>
          <w:u w:val="single"/>
          <w:lang w:eastAsia="zh-CN"/>
        </w:rPr>
        <w:t xml:space="preserve"> </w:t>
      </w:r>
    </w:p>
    <w:p w14:paraId="270DD523">
      <w:pPr>
        <w:tabs>
          <w:tab w:val="left" w:pos="1600"/>
        </w:tabs>
        <w:wordWrap w:val="0"/>
        <w:autoSpaceDE w:val="0"/>
        <w:ind w:firstLine="480" w:firstLineChars="200"/>
        <w:rPr>
          <w:rFonts w:hint="eastAsia"/>
          <w:color w:val="auto"/>
          <w:sz w:val="24"/>
          <w:szCs w:val="18"/>
          <w:highlight w:val="none"/>
          <w:u w:val="single"/>
          <w:lang w:val="en-US"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color w:val="auto"/>
          <w:sz w:val="24"/>
          <w:szCs w:val="18"/>
          <w:highlight w:val="none"/>
          <w:u w:val="single"/>
          <w:lang w:val="en-US" w:eastAsia="zh-CN"/>
        </w:rPr>
        <w:t>滁州市琅琊区濠河路99号</w:t>
      </w:r>
    </w:p>
    <w:p w14:paraId="0D4E195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eastAsia="zh-CN"/>
        </w:rPr>
        <w:t>黎天畅</w:t>
      </w:r>
    </w:p>
    <w:p w14:paraId="74048A0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eastAsia="zh-CN"/>
        </w:rPr>
        <w:t>0550-3318150</w:t>
      </w:r>
    </w:p>
    <w:p w14:paraId="5AEF0CB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7A06454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滁州市城投工程咨询管理有限公司</w:t>
      </w:r>
      <w:r>
        <w:rPr>
          <w:rFonts w:ascii="宋体" w:hAnsi="宋体" w:eastAsia="宋体"/>
          <w:color w:val="auto"/>
          <w:sz w:val="24"/>
          <w:szCs w:val="18"/>
          <w:highlight w:val="none"/>
          <w:u w:val="single"/>
        </w:rPr>
        <w:t xml:space="preserve">  </w:t>
      </w:r>
    </w:p>
    <w:p w14:paraId="228042B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lang w:eastAsia="zh-CN"/>
        </w:rPr>
        <w:t>滁州市龙蟠大道109号房产商务大厦6楼</w:t>
      </w:r>
      <w:r>
        <w:rPr>
          <w:rFonts w:ascii="宋体" w:hAnsi="宋体" w:eastAsia="宋体"/>
          <w:color w:val="auto"/>
          <w:sz w:val="24"/>
          <w:szCs w:val="18"/>
          <w:highlight w:val="none"/>
          <w:u w:val="single"/>
        </w:rPr>
        <w:t xml:space="preserve">  </w:t>
      </w:r>
    </w:p>
    <w:p w14:paraId="1179599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color w:val="auto"/>
          <w:highlight w:val="none"/>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周晓培</w:t>
      </w:r>
      <w:r>
        <w:rPr>
          <w:rFonts w:ascii="宋体" w:hAnsi="宋体" w:eastAsia="宋体"/>
          <w:color w:val="auto"/>
          <w:sz w:val="24"/>
          <w:szCs w:val="18"/>
          <w:highlight w:val="none"/>
          <w:u w:val="single"/>
        </w:rPr>
        <w:t xml:space="preserve"> </w:t>
      </w:r>
    </w:p>
    <w:p w14:paraId="792A8BE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eastAsia="zh-CN"/>
        </w:rPr>
        <w:t>0550-3519512</w:t>
      </w:r>
      <w:r>
        <w:rPr>
          <w:rFonts w:hint="eastAsia" w:ascii="宋体" w:hAnsi="宋体" w:eastAsia="宋体"/>
          <w:color w:val="auto"/>
          <w:sz w:val="24"/>
          <w:szCs w:val="18"/>
          <w:highlight w:val="none"/>
          <w:u w:val="single"/>
        </w:rPr>
        <w:t>、</w:t>
      </w:r>
      <w:r>
        <w:rPr>
          <w:rFonts w:hint="eastAsia"/>
          <w:color w:val="auto"/>
          <w:sz w:val="24"/>
          <w:szCs w:val="18"/>
          <w:highlight w:val="none"/>
          <w:u w:val="single"/>
          <w:lang w:eastAsia="zh-CN"/>
        </w:rPr>
        <w:t>18255055896</w:t>
      </w:r>
      <w:r>
        <w:rPr>
          <w:rFonts w:ascii="宋体" w:hAnsi="宋体" w:eastAsia="宋体"/>
          <w:color w:val="auto"/>
          <w:sz w:val="24"/>
          <w:szCs w:val="18"/>
          <w:highlight w:val="none"/>
          <w:u w:val="single"/>
        </w:rPr>
        <w:t xml:space="preserve">  </w:t>
      </w:r>
    </w:p>
    <w:p w14:paraId="225286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2EE9D4C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color w:val="auto"/>
          <w:sz w:val="24"/>
          <w:szCs w:val="18"/>
          <w:highlight w:val="none"/>
          <w:u w:val="single"/>
          <w:lang w:eastAsia="zh-CN"/>
        </w:rPr>
        <w:t>滁州市琅琊区财政局</w:t>
      </w:r>
      <w:r>
        <w:rPr>
          <w:rFonts w:ascii="宋体" w:hAnsi="宋体" w:eastAsia="宋体"/>
          <w:color w:val="auto"/>
          <w:sz w:val="24"/>
          <w:szCs w:val="18"/>
          <w:highlight w:val="none"/>
          <w:u w:val="single"/>
        </w:rPr>
        <w:t xml:space="preserve"> </w:t>
      </w:r>
    </w:p>
    <w:p w14:paraId="3D5E7E1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color w:val="auto"/>
          <w:sz w:val="24"/>
          <w:szCs w:val="18"/>
          <w:highlight w:val="none"/>
          <w:u w:val="single"/>
          <w:lang w:val="en-US" w:eastAsia="zh-CN"/>
        </w:rPr>
      </w:pPr>
      <w:r>
        <w:rPr>
          <w:rFonts w:hint="eastAsia" w:ascii="宋体" w:hAnsi="宋体" w:eastAsia="宋体"/>
          <w:color w:val="auto"/>
          <w:sz w:val="24"/>
          <w:szCs w:val="18"/>
          <w:highlight w:val="none"/>
        </w:rPr>
        <w:t>地址：</w:t>
      </w:r>
      <w:r>
        <w:rPr>
          <w:rFonts w:hint="eastAsia"/>
          <w:color w:val="auto"/>
          <w:sz w:val="24"/>
          <w:szCs w:val="18"/>
          <w:highlight w:val="none"/>
          <w:u w:val="single"/>
          <w:lang w:val="en-US" w:eastAsia="zh-CN"/>
        </w:rPr>
        <w:t>滁州市濠河路琅琊新区大楼2楼</w:t>
      </w:r>
    </w:p>
    <w:p w14:paraId="7861973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val="en-US" w:eastAsia="zh-CN"/>
        </w:rPr>
        <w:t>0550-3012595</w:t>
      </w:r>
    </w:p>
    <w:bookmarkEnd w:id="3"/>
    <w:bookmarkEnd w:id="4"/>
    <w:p w14:paraId="7F907F34">
      <w:pPr>
        <w:spacing w:line="360" w:lineRule="auto"/>
        <w:jc w:val="center"/>
        <w:outlineLvl w:val="0"/>
        <w:rPr>
          <w:rFonts w:hint="eastAsia" w:asciiTheme="minorEastAsia" w:hAnsiTheme="minorEastAsia" w:eastAsiaTheme="minorEastAsia"/>
          <w:b/>
          <w:color w:val="auto"/>
          <w:sz w:val="28"/>
          <w:highlight w:val="none"/>
        </w:rPr>
      </w:pPr>
    </w:p>
    <w:p w14:paraId="121AA89E">
      <w:pPr>
        <w:spacing w:line="360" w:lineRule="auto"/>
        <w:jc w:val="center"/>
        <w:outlineLvl w:val="0"/>
        <w:rPr>
          <w:rFonts w:hint="eastAsia" w:asciiTheme="minorEastAsia" w:hAnsiTheme="minorEastAsia" w:eastAsiaTheme="minorEastAsia"/>
          <w:b/>
          <w:color w:val="auto"/>
          <w:sz w:val="28"/>
          <w:highlight w:val="none"/>
        </w:rPr>
      </w:pPr>
    </w:p>
    <w:p w14:paraId="48FA4E46">
      <w:pPr>
        <w:spacing w:line="360" w:lineRule="auto"/>
        <w:jc w:val="center"/>
        <w:outlineLvl w:val="0"/>
        <w:rPr>
          <w:rFonts w:hint="eastAsia" w:asciiTheme="minorEastAsia" w:hAnsiTheme="minorEastAsia" w:eastAsiaTheme="minorEastAsia"/>
          <w:b/>
          <w:color w:val="auto"/>
          <w:sz w:val="28"/>
          <w:highlight w:val="none"/>
        </w:rPr>
      </w:pPr>
    </w:p>
    <w:p w14:paraId="11BD9030">
      <w:pPr>
        <w:spacing w:line="360" w:lineRule="auto"/>
        <w:jc w:val="center"/>
        <w:outlineLvl w:val="0"/>
        <w:rPr>
          <w:rFonts w:hint="eastAsia" w:asciiTheme="minorEastAsia" w:hAnsiTheme="minorEastAsia" w:eastAsiaTheme="minorEastAsia"/>
          <w:b/>
          <w:color w:val="auto"/>
          <w:sz w:val="28"/>
          <w:highlight w:val="none"/>
        </w:rPr>
      </w:pPr>
    </w:p>
    <w:p w14:paraId="365970A3">
      <w:pPr>
        <w:spacing w:line="360" w:lineRule="auto"/>
        <w:jc w:val="center"/>
        <w:outlineLvl w:val="0"/>
        <w:rPr>
          <w:rFonts w:hint="eastAsia" w:asciiTheme="minorEastAsia" w:hAnsiTheme="minorEastAsia" w:eastAsiaTheme="minorEastAsia"/>
          <w:b/>
          <w:color w:val="auto"/>
          <w:sz w:val="28"/>
          <w:highlight w:val="none"/>
        </w:rPr>
      </w:pPr>
    </w:p>
    <w:p w14:paraId="67DF950C">
      <w:pPr>
        <w:spacing w:line="360" w:lineRule="auto"/>
        <w:jc w:val="center"/>
        <w:outlineLvl w:val="0"/>
        <w:rPr>
          <w:rFonts w:hint="eastAsia" w:asciiTheme="minorEastAsia" w:hAnsiTheme="minorEastAsia" w:eastAsiaTheme="minorEastAsia"/>
          <w:b/>
          <w:color w:val="auto"/>
          <w:sz w:val="28"/>
          <w:highlight w:val="none"/>
        </w:rPr>
      </w:pPr>
    </w:p>
    <w:p w14:paraId="5AD59076">
      <w:pPr>
        <w:spacing w:line="360" w:lineRule="auto"/>
        <w:jc w:val="center"/>
        <w:outlineLvl w:val="0"/>
        <w:rPr>
          <w:rFonts w:hint="eastAsia" w:asciiTheme="minorEastAsia" w:hAnsiTheme="minorEastAsia" w:eastAsiaTheme="minorEastAsia"/>
          <w:b/>
          <w:color w:val="auto"/>
          <w:sz w:val="28"/>
          <w:highlight w:val="none"/>
        </w:rPr>
      </w:pPr>
    </w:p>
    <w:p w14:paraId="30A0C53A">
      <w:pPr>
        <w:spacing w:line="360" w:lineRule="auto"/>
        <w:jc w:val="center"/>
        <w:outlineLvl w:val="0"/>
        <w:rPr>
          <w:rFonts w:hint="eastAsia" w:asciiTheme="minorEastAsia" w:hAnsiTheme="minorEastAsia" w:eastAsiaTheme="minorEastAsia"/>
          <w:b/>
          <w:color w:val="auto"/>
          <w:sz w:val="28"/>
          <w:highlight w:val="none"/>
        </w:rPr>
      </w:pPr>
    </w:p>
    <w:p w14:paraId="405DB755">
      <w:pPr>
        <w:spacing w:line="360" w:lineRule="auto"/>
        <w:jc w:val="center"/>
        <w:outlineLvl w:val="0"/>
        <w:rPr>
          <w:rFonts w:hint="eastAsia" w:asciiTheme="minorEastAsia" w:hAnsiTheme="minorEastAsia" w:eastAsiaTheme="minorEastAsia"/>
          <w:b/>
          <w:color w:val="auto"/>
          <w:sz w:val="28"/>
          <w:highlight w:val="none"/>
        </w:rPr>
      </w:pPr>
    </w:p>
    <w:p w14:paraId="73BFA837">
      <w:pPr>
        <w:spacing w:line="360" w:lineRule="auto"/>
        <w:jc w:val="center"/>
        <w:outlineLvl w:val="0"/>
        <w:rPr>
          <w:rFonts w:hint="eastAsia" w:asciiTheme="minorEastAsia" w:hAnsiTheme="minorEastAsia" w:eastAsiaTheme="minorEastAsia"/>
          <w:b/>
          <w:color w:val="auto"/>
          <w:sz w:val="28"/>
          <w:highlight w:val="none"/>
        </w:rPr>
      </w:pPr>
    </w:p>
    <w:p w14:paraId="5BD24C89">
      <w:pPr>
        <w:spacing w:line="360" w:lineRule="auto"/>
        <w:jc w:val="center"/>
        <w:outlineLvl w:val="0"/>
        <w:rPr>
          <w:rFonts w:hint="eastAsia" w:asciiTheme="minorEastAsia" w:hAnsiTheme="minorEastAsia" w:eastAsiaTheme="minorEastAsia"/>
          <w:b/>
          <w:color w:val="auto"/>
          <w:sz w:val="28"/>
          <w:highlight w:val="none"/>
        </w:rPr>
      </w:pPr>
    </w:p>
    <w:p w14:paraId="6FF327CF">
      <w:pPr>
        <w:spacing w:line="360" w:lineRule="auto"/>
        <w:jc w:val="center"/>
        <w:outlineLvl w:val="0"/>
        <w:rPr>
          <w:rFonts w:hint="eastAsia" w:asciiTheme="minorEastAsia" w:hAnsiTheme="minorEastAsia" w:eastAsiaTheme="minorEastAsia"/>
          <w:b/>
          <w:color w:val="auto"/>
          <w:sz w:val="28"/>
          <w:highlight w:val="none"/>
        </w:rPr>
      </w:pPr>
    </w:p>
    <w:p w14:paraId="4A8286B1">
      <w:pPr>
        <w:spacing w:line="360" w:lineRule="auto"/>
        <w:jc w:val="center"/>
        <w:outlineLvl w:val="0"/>
        <w:rPr>
          <w:rFonts w:hint="eastAsia" w:asciiTheme="minorEastAsia" w:hAnsiTheme="minorEastAsia" w:eastAsiaTheme="minorEastAsia"/>
          <w:b/>
          <w:color w:val="auto"/>
          <w:sz w:val="28"/>
          <w:highlight w:val="none"/>
        </w:rPr>
      </w:pPr>
    </w:p>
    <w:p w14:paraId="7C411590">
      <w:pPr>
        <w:spacing w:line="360" w:lineRule="auto"/>
        <w:jc w:val="both"/>
        <w:outlineLvl w:val="0"/>
        <w:rPr>
          <w:rFonts w:hint="eastAsia" w:asciiTheme="minorEastAsia" w:hAnsiTheme="minorEastAsia" w:eastAsiaTheme="minorEastAsia"/>
          <w:b/>
          <w:color w:val="auto"/>
          <w:sz w:val="28"/>
          <w:highlight w:val="none"/>
        </w:rPr>
      </w:pPr>
    </w:p>
    <w:p w14:paraId="0ADAE945">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
    </w:p>
    <w:p w14:paraId="6A6555EE">
      <w:pPr>
        <w:spacing w:line="360" w:lineRule="auto"/>
        <w:jc w:val="center"/>
        <w:outlineLvl w:val="1"/>
        <w:rPr>
          <w:rFonts w:asciiTheme="minorEastAsia" w:hAnsiTheme="minorEastAsia" w:eastAsiaTheme="minorEastAsia"/>
          <w:b/>
          <w:color w:val="auto"/>
          <w:sz w:val="24"/>
          <w:highlight w:val="none"/>
        </w:rPr>
      </w:pPr>
      <w:bookmarkStart w:id="37" w:name="_Toc8634"/>
      <w:bookmarkStart w:id="38" w:name="_Toc1456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7"/>
      <w:bookmarkEnd w:id="38"/>
    </w:p>
    <w:p w14:paraId="116407B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8"/>
        <w:gridCol w:w="6227"/>
      </w:tblGrid>
      <w:tr w14:paraId="010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9C7EBDE">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C91C4C0">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F211920">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63C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48A085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977" w:type="pct"/>
            <w:vAlign w:val="center"/>
          </w:tcPr>
          <w:p w14:paraId="51F58959">
            <w:pPr>
              <w:pStyle w:val="76"/>
              <w:widowControl w:val="0"/>
              <w:spacing w:before="0" w:beforeAutospacing="0" w:after="0" w:afterAutospacing="0" w:line="360" w:lineRule="auto"/>
              <w:jc w:val="left"/>
              <w:rPr>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56" w:type="pct"/>
            <w:vAlign w:val="center"/>
          </w:tcPr>
          <w:p w14:paraId="62339049">
            <w:pPr>
              <w:spacing w:line="360" w:lineRule="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7B60B1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3A37BD62">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bCs/>
                <w:color w:val="auto"/>
                <w:sz w:val="24"/>
                <w:highlight w:val="none"/>
                <w:u w:val="single"/>
                <w:lang w:val="en-US" w:eastAsia="zh-CN"/>
              </w:rPr>
              <w:t>/</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bCs/>
                <w:color w:val="auto"/>
                <w:sz w:val="24"/>
                <w:highlight w:val="none"/>
                <w:u w:val="single"/>
                <w:lang w:val="en-US" w:eastAsia="zh-CN"/>
              </w:rPr>
              <w:t>/</w:t>
            </w:r>
            <w:r>
              <w:rPr>
                <w:rFonts w:hint="eastAsia" w:ascii="宋体" w:hAnsi="宋体" w:eastAsia="宋体"/>
                <w:bCs/>
                <w:color w:val="auto"/>
                <w:sz w:val="24"/>
                <w:highlight w:val="none"/>
              </w:rPr>
              <w:t>日</w:t>
            </w:r>
            <w:r>
              <w:rPr>
                <w:rFonts w:hint="eastAsia"/>
                <w:bCs/>
                <w:color w:val="auto"/>
                <w:sz w:val="24"/>
                <w:highlight w:val="none"/>
                <w:u w:val="single"/>
                <w:lang w:val="en-US" w:eastAsia="zh-CN"/>
              </w:rPr>
              <w:t>/</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bCs/>
                <w:color w:val="auto"/>
                <w:sz w:val="24"/>
                <w:highlight w:val="none"/>
                <w:u w:val="single"/>
                <w:lang w:val="en-US" w:eastAsia="zh-CN"/>
              </w:rPr>
              <w:t>/</w:t>
            </w:r>
            <w:r>
              <w:rPr>
                <w:rFonts w:hint="eastAsia" w:ascii="宋体" w:hAnsi="宋体" w:eastAsia="宋体"/>
                <w:bCs/>
                <w:color w:val="auto"/>
                <w:sz w:val="24"/>
                <w:highlight w:val="none"/>
              </w:rPr>
              <w:t>分</w:t>
            </w:r>
          </w:p>
          <w:p w14:paraId="3C9EDCA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hint="eastAsia"/>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D36AA9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hint="eastAsia"/>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1A7C695">
            <w:pPr>
              <w:pStyle w:val="76"/>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14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06FDED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59C3BDCB">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30BC76A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2026年5月20日17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lang w:val="en-US" w:eastAsia="zh-CN"/>
              </w:rPr>
              <w:t>分</w:t>
            </w:r>
          </w:p>
        </w:tc>
      </w:tr>
      <w:tr w14:paraId="0AC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427C2F7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5EDA745A">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20D81A6D">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5D3718AB">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供应商参加多个包谈判的成交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51CE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5" w:type="pct"/>
            <w:vAlign w:val="center"/>
          </w:tcPr>
          <w:p w14:paraId="6E2106DC">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1D8125DE">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谈判保证金</w:t>
            </w:r>
          </w:p>
        </w:tc>
        <w:tc>
          <w:tcPr>
            <w:tcW w:w="3556" w:type="pct"/>
            <w:vAlign w:val="center"/>
          </w:tcPr>
          <w:p w14:paraId="4D82D9E0">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3AB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49B2B8">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7B17347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谈判有效期</w:t>
            </w:r>
          </w:p>
        </w:tc>
        <w:tc>
          <w:tcPr>
            <w:tcW w:w="3556" w:type="pct"/>
            <w:vAlign w:val="center"/>
          </w:tcPr>
          <w:p w14:paraId="3FD54C4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F9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16B802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60F5626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296DC7F">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59D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C551F2">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0EC5B27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70099C8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最低评标价法</w:t>
            </w:r>
          </w:p>
        </w:tc>
      </w:tr>
      <w:tr w14:paraId="7601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42DF7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79AEAA74">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53283B8B">
            <w:pPr>
              <w:pStyle w:val="76"/>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2933765">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对小型和微型企业的价格给予10%的扣除后参与评审；其评审价=最终响应报价*（90%）</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5321CC1">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67AE0551">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7647B7DF">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4C5BC6DB">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82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22C7B35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7B3C0CC6">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5949D84F">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tc>
      </w:tr>
      <w:tr w14:paraId="6D4B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53C43950">
            <w:pPr>
              <w:pStyle w:val="77"/>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BF9055B">
            <w:pPr>
              <w:pStyle w:val="76"/>
              <w:widowControl w:val="0"/>
              <w:spacing w:before="0" w:beforeAutospacing="0" w:after="0" w:afterAutospacing="0" w:line="360" w:lineRule="auto"/>
              <w:jc w:val="both"/>
              <w:rPr>
                <w:b w:val="0"/>
                <w:color w:val="auto"/>
                <w:sz w:val="24"/>
                <w:highlight w:val="none"/>
              </w:rPr>
            </w:pPr>
          </w:p>
        </w:tc>
        <w:tc>
          <w:tcPr>
            <w:tcW w:w="3556" w:type="pct"/>
            <w:vAlign w:val="center"/>
          </w:tcPr>
          <w:p w14:paraId="4A320CC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64631F0">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A8"/>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44FC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06D5EA2">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703AA66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7D472B27">
            <w:pPr>
              <w:pStyle w:val="7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D108ECD">
            <w:pPr>
              <w:pStyle w:val="76"/>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67B7DFFF">
            <w:pPr>
              <w:pStyle w:val="76"/>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b w:val="0"/>
                <w:color w:val="auto"/>
                <w:sz w:val="24"/>
                <w:highlight w:val="none"/>
                <w:u w:val="none"/>
                <w:lang w:eastAsia="zh-CN"/>
              </w:rPr>
              <w:t>；</w:t>
            </w:r>
          </w:p>
        </w:tc>
      </w:tr>
      <w:tr w14:paraId="563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D994CAF">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DE63D5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67DF36F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3C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79EF4">
            <w:pPr>
              <w:pStyle w:val="77"/>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5805A565">
            <w:pPr>
              <w:pStyle w:val="76"/>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556" w:type="pct"/>
            <w:vAlign w:val="center"/>
          </w:tcPr>
          <w:p w14:paraId="672421D7">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56FB7CFC">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386E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FD45EB">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6CB0998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0FEE1612">
            <w:pPr>
              <w:spacing w:line="360" w:lineRule="auto"/>
              <w:rPr>
                <w:rFonts w:cs="@仿宋_GB2312"/>
                <w:bCs/>
                <w:color w:val="auto"/>
                <w:sz w:val="24"/>
                <w:szCs w:val="28"/>
                <w:highlight w:val="none"/>
              </w:rPr>
            </w:pPr>
            <w:r>
              <w:rPr>
                <w:rFonts w:hint="eastAsia" w:cs="@仿宋_GB2312"/>
                <w:bCs/>
                <w:color w:val="auto"/>
                <w:sz w:val="24"/>
                <w:szCs w:val="28"/>
                <w:highlight w:val="none"/>
              </w:rPr>
              <w:t>（1）金额：</w:t>
            </w:r>
          </w:p>
          <w:p w14:paraId="58099F16">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rPr>
              <w:t>免收</w:t>
            </w:r>
          </w:p>
          <w:p w14:paraId="251E4953">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rPr>
              <w:t>合同价的</w:t>
            </w:r>
            <w:r>
              <w:rPr>
                <w:rFonts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cs="@仿宋_GB2312"/>
                <w:bCs/>
                <w:color w:val="auto"/>
                <w:sz w:val="24"/>
                <w:szCs w:val="28"/>
                <w:highlight w:val="none"/>
                <w:u w:val="single"/>
              </w:rPr>
              <w:t xml:space="preserve"> </w:t>
            </w:r>
            <w:r>
              <w:rPr>
                <w:rFonts w:cs="@仿宋_GB2312"/>
                <w:bCs/>
                <w:color w:val="auto"/>
                <w:sz w:val="24"/>
                <w:szCs w:val="28"/>
                <w:highlight w:val="none"/>
              </w:rPr>
              <w:t>%</w:t>
            </w:r>
          </w:p>
          <w:p w14:paraId="411947E8">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定额收取：人民币</w:t>
            </w:r>
            <w:r>
              <w:rPr>
                <w:rFonts w:hint="eastAsia"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hint="eastAsia" w:cs="@仿宋_GB2312"/>
                <w:bCs/>
                <w:color w:val="auto"/>
                <w:sz w:val="24"/>
                <w:szCs w:val="28"/>
                <w:highlight w:val="none"/>
                <w:u w:val="single"/>
              </w:rPr>
              <w:t xml:space="preserve">     </w:t>
            </w:r>
            <w:r>
              <w:rPr>
                <w:rFonts w:hint="eastAsia" w:cs="@仿宋_GB2312"/>
                <w:bCs/>
                <w:color w:val="auto"/>
                <w:sz w:val="24"/>
                <w:szCs w:val="28"/>
                <w:highlight w:val="none"/>
              </w:rPr>
              <w:t>元</w:t>
            </w:r>
          </w:p>
          <w:p w14:paraId="267F1048">
            <w:pPr>
              <w:spacing w:line="360" w:lineRule="auto"/>
              <w:rPr>
                <w:rFonts w:cs="@仿宋_GB2312"/>
                <w:bCs/>
                <w:color w:val="auto"/>
                <w:sz w:val="24"/>
                <w:szCs w:val="28"/>
                <w:highlight w:val="none"/>
              </w:rPr>
            </w:pPr>
            <w:r>
              <w:rPr>
                <w:rFonts w:hint="eastAsia" w:cs="@仿宋_GB2312"/>
                <w:bCs/>
                <w:color w:val="auto"/>
                <w:sz w:val="24"/>
                <w:szCs w:val="28"/>
                <w:highlight w:val="none"/>
              </w:rPr>
              <w:t>（2）支付方式：</w:t>
            </w:r>
          </w:p>
          <w:p w14:paraId="0DC9A10D">
            <w:pPr>
              <w:spacing w:line="360" w:lineRule="auto"/>
              <w:rPr>
                <w:rFonts w:cs="@仿宋_GB2312"/>
                <w:bCs/>
                <w:color w:val="auto"/>
                <w:sz w:val="24"/>
                <w:szCs w:val="28"/>
                <w:highlight w:val="none"/>
              </w:rPr>
            </w:pPr>
            <w:r>
              <w:rPr>
                <w:rFonts w:hint="eastAsia" w:cs="@仿宋_GB2312"/>
                <w:bCs/>
                <w:color w:val="auto"/>
                <w:sz w:val="24"/>
                <w:szCs w:val="28"/>
                <w:highlight w:val="none"/>
              </w:rPr>
              <w:sym w:font="Wingdings" w:char="00A8"/>
            </w:r>
            <w:r>
              <w:rPr>
                <w:rFonts w:cs="@仿宋_GB2312"/>
                <w:bCs/>
                <w:color w:val="auto"/>
                <w:sz w:val="24"/>
                <w:szCs w:val="28"/>
                <w:highlight w:val="none"/>
              </w:rPr>
              <w:t>转账/电汇</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cs="@仿宋_GB2312"/>
                <w:bCs/>
                <w:color w:val="auto"/>
                <w:sz w:val="24"/>
                <w:szCs w:val="28"/>
                <w:highlight w:val="none"/>
              </w:rPr>
              <w:t xml:space="preserve">支票 </w:t>
            </w:r>
            <w:r>
              <w:rPr>
                <w:rFonts w:hint="eastAsia" w:cs="@仿宋_GB2312"/>
                <w:bCs/>
                <w:color w:val="auto"/>
                <w:sz w:val="24"/>
                <w:szCs w:val="28"/>
                <w:highlight w:val="none"/>
              </w:rPr>
              <w:sym w:font="Wingdings" w:char="00A8"/>
            </w:r>
            <w:r>
              <w:rPr>
                <w:rFonts w:cs="@仿宋_GB2312"/>
                <w:bCs/>
                <w:color w:val="auto"/>
                <w:sz w:val="24"/>
                <w:szCs w:val="28"/>
                <w:highlight w:val="none"/>
              </w:rPr>
              <w:t>汇票</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hint="eastAsia" w:cs="@仿宋_GB2312"/>
                <w:bCs/>
                <w:color w:val="auto"/>
                <w:sz w:val="24"/>
                <w:szCs w:val="28"/>
                <w:highlight w:val="none"/>
              </w:rPr>
              <w:t xml:space="preserve">本票 </w:t>
            </w:r>
            <w:r>
              <w:rPr>
                <w:rFonts w:hint="eastAsia" w:cs="@仿宋_GB2312"/>
                <w:bCs/>
                <w:color w:val="auto"/>
                <w:sz w:val="24"/>
                <w:szCs w:val="28"/>
                <w:highlight w:val="none"/>
              </w:rPr>
              <w:sym w:font="Wingdings" w:char="00A8"/>
            </w:r>
            <w:r>
              <w:rPr>
                <w:rFonts w:cs="@仿宋_GB2312"/>
                <w:bCs/>
                <w:color w:val="auto"/>
                <w:sz w:val="24"/>
                <w:szCs w:val="28"/>
                <w:highlight w:val="none"/>
              </w:rPr>
              <w:t>保</w:t>
            </w:r>
            <w:r>
              <w:rPr>
                <w:rFonts w:hint="eastAsia" w:cs="@仿宋_GB2312"/>
                <w:bCs/>
                <w:color w:val="auto"/>
                <w:sz w:val="24"/>
                <w:szCs w:val="28"/>
                <w:highlight w:val="none"/>
              </w:rPr>
              <w:t xml:space="preserve">险 </w:t>
            </w:r>
            <w:r>
              <w:rPr>
                <w:rFonts w:hint="eastAsia" w:cs="@仿宋_GB2312"/>
                <w:bCs/>
                <w:color w:val="auto"/>
                <w:sz w:val="24"/>
                <w:szCs w:val="28"/>
                <w:highlight w:val="none"/>
              </w:rPr>
              <w:sym w:font="Wingdings" w:char="00A8"/>
            </w:r>
            <w:r>
              <w:rPr>
                <w:rFonts w:hint="eastAsia" w:cs="@仿宋_GB2312"/>
                <w:bCs/>
                <w:color w:val="auto"/>
                <w:sz w:val="24"/>
                <w:szCs w:val="28"/>
                <w:highlight w:val="none"/>
              </w:rPr>
              <w:t>保</w:t>
            </w:r>
            <w:r>
              <w:rPr>
                <w:rFonts w:cs="@仿宋_GB2312"/>
                <w:bCs/>
                <w:color w:val="auto"/>
                <w:sz w:val="24"/>
                <w:szCs w:val="28"/>
                <w:highlight w:val="none"/>
              </w:rPr>
              <w:t>函</w:t>
            </w:r>
          </w:p>
          <w:p w14:paraId="1D5EEB9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hint="eastAsia" w:cs="@仿宋_GB2312"/>
                <w:bCs/>
                <w:color w:val="auto"/>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F3466F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hint="eastAsia" w:cs="@仿宋_GB2312"/>
                <w:bCs/>
                <w:color w:val="auto"/>
                <w:sz w:val="24"/>
                <w:szCs w:val="28"/>
                <w:highlight w:val="none"/>
                <w:u w:val="single"/>
              </w:rPr>
              <w:t xml:space="preserve">     </w:t>
            </w:r>
          </w:p>
          <w:p w14:paraId="71639C4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hint="eastAsia" w:cs="@仿宋_GB2312"/>
                <w:bCs/>
                <w:color w:val="auto"/>
                <w:sz w:val="24"/>
                <w:szCs w:val="28"/>
                <w:highlight w:val="none"/>
                <w:u w:val="single"/>
              </w:rPr>
              <w:t xml:space="preserve">     </w:t>
            </w:r>
          </w:p>
          <w:p w14:paraId="1D5CD9C3">
            <w:pPr>
              <w:spacing w:line="360" w:lineRule="auto"/>
              <w:rPr>
                <w:rFonts w:cs="@仿宋_GB2312"/>
                <w:b/>
                <w:bCs/>
                <w:color w:val="auto"/>
                <w:sz w:val="24"/>
                <w:szCs w:val="24"/>
                <w:highlight w:val="none"/>
              </w:rPr>
            </w:pPr>
            <w:r>
              <w:rPr>
                <w:rFonts w:hint="eastAsia" w:cs="@仿宋_GB2312"/>
                <w:b/>
                <w:bCs/>
                <w:color w:val="auto"/>
                <w:sz w:val="24"/>
                <w:szCs w:val="24"/>
                <w:highlight w:val="none"/>
              </w:rPr>
              <w:t>注意事项：</w:t>
            </w:r>
          </w:p>
          <w:p w14:paraId="3684A74C">
            <w:pPr>
              <w:spacing w:line="360" w:lineRule="auto"/>
              <w:rPr>
                <w:rFonts w:cs="@仿宋_GB2312"/>
                <w:b/>
                <w:bCs/>
                <w:color w:val="auto"/>
                <w:sz w:val="24"/>
                <w:szCs w:val="24"/>
                <w:highlight w:val="none"/>
              </w:rPr>
            </w:pPr>
            <w:r>
              <w:rPr>
                <w:rFonts w:hint="eastAsia" w:cs="@仿宋_GB2312"/>
                <w:b/>
                <w:bCs/>
                <w:color w:val="auto"/>
                <w:sz w:val="24"/>
                <w:szCs w:val="24"/>
                <w:highlight w:val="none"/>
              </w:rPr>
              <w:t>（1）以上各类机构出具的以担保函、保证保险承担责任的方式均须满足无条件见索即付条件。</w:t>
            </w:r>
          </w:p>
          <w:p w14:paraId="7D3446E7">
            <w:pPr>
              <w:pStyle w:val="76"/>
              <w:widowControl w:val="0"/>
              <w:spacing w:before="0" w:beforeAutospacing="0" w:after="0" w:afterAutospacing="0" w:line="360" w:lineRule="auto"/>
              <w:jc w:val="both"/>
              <w:rPr>
                <w:color w:val="auto"/>
                <w:sz w:val="24"/>
                <w:highlight w:val="none"/>
              </w:rPr>
            </w:pPr>
            <w:r>
              <w:rPr>
                <w:rFonts w:hint="eastAsia" w:cs="@仿宋_GB2312"/>
                <w:bCs w:val="0"/>
                <w:color w:val="auto"/>
                <w:sz w:val="24"/>
                <w:szCs w:val="24"/>
                <w:highlight w:val="none"/>
              </w:rPr>
              <w:t>（2）以担保函、保证保险形式缴纳履约保证金的，受益人和收取单位须为采购人。</w:t>
            </w:r>
          </w:p>
        </w:tc>
      </w:tr>
      <w:tr w14:paraId="6611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6A2189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04B4F0F8">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4BCCB96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bCs/>
                <w:color w:val="auto"/>
                <w:kern w:val="0"/>
                <w:sz w:val="24"/>
                <w:szCs w:val="28"/>
                <w:highlight w:val="none"/>
                <w:lang w:val="en-US" w:eastAsia="zh-CN"/>
              </w:rPr>
              <w:t>成交供应商</w:t>
            </w:r>
          </w:p>
          <w:p w14:paraId="4E765F4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cs="宋体"/>
                <w:color w:val="auto"/>
                <w:sz w:val="24"/>
                <w:szCs w:val="24"/>
                <w:highlight w:val="none"/>
                <w:u w:val="single"/>
                <w:lang w:val="en-US" w:eastAsia="zh-CN"/>
              </w:rPr>
              <w:t>成</w:t>
            </w:r>
            <w:r>
              <w:rPr>
                <w:rFonts w:hint="eastAsia" w:cs="宋体"/>
                <w:color w:val="auto"/>
                <w:sz w:val="24"/>
                <w:szCs w:val="24"/>
                <w:highlight w:val="none"/>
                <w:u w:val="single" w:color="auto"/>
                <w:lang w:val="en-US" w:eastAsia="zh-CN"/>
              </w:rPr>
              <w:t>交供应商</w:t>
            </w:r>
            <w:r>
              <w:rPr>
                <w:rFonts w:hint="eastAsia" w:ascii="宋体" w:hAnsi="宋体" w:eastAsia="宋体" w:cs="宋体"/>
                <w:b w:val="0"/>
                <w:bCs w:val="0"/>
                <w:color w:val="auto"/>
                <w:kern w:val="2"/>
                <w:sz w:val="24"/>
                <w:szCs w:val="24"/>
                <w:highlight w:val="none"/>
                <w:u w:val="single" w:color="auto"/>
                <w:lang w:val="en-US" w:eastAsia="zh-CN" w:bidi="ar-SA"/>
              </w:rPr>
              <w:t>领取成交通知书时一次性支付给代理机构。</w:t>
            </w:r>
            <w:r>
              <w:rPr>
                <w:rFonts w:ascii="宋体" w:hAnsi="宋体" w:eastAsia="宋体" w:cs="宋体"/>
                <w:color w:val="auto"/>
                <w:sz w:val="24"/>
                <w:szCs w:val="24"/>
                <w:highlight w:val="none"/>
                <w:u w:val="single" w:color="auto"/>
              </w:rPr>
              <w:t xml:space="preserve"> </w:t>
            </w:r>
          </w:p>
          <w:p w14:paraId="469B97A4">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color w:val="auto"/>
                <w:sz w:val="24"/>
                <w:szCs w:val="24"/>
                <w:highlight w:val="none"/>
                <w:u w:val="single" w:color="auto"/>
              </w:rPr>
              <w:t xml:space="preserve"> </w:t>
            </w:r>
            <w:r>
              <w:rPr>
                <w:rFonts w:hint="eastAsia" w:cs="@仿宋_GB2312"/>
                <w:b w:val="0"/>
                <w:bCs/>
                <w:color w:val="auto"/>
                <w:kern w:val="0"/>
                <w:sz w:val="24"/>
                <w:szCs w:val="28"/>
                <w:highlight w:val="none"/>
                <w:u w:val="single" w:color="auto"/>
                <w:lang w:val="en-US" w:eastAsia="zh-CN" w:bidi="ar-SA"/>
              </w:rPr>
              <w:t>16850.00</w:t>
            </w:r>
            <w:r>
              <w:rPr>
                <w:rFonts w:hint="eastAsia" w:ascii="宋体" w:hAnsi="宋体" w:eastAsia="宋体" w:cs="宋体"/>
                <w:b w:val="0"/>
                <w:bCs w:val="0"/>
                <w:color w:val="auto"/>
                <w:kern w:val="2"/>
                <w:sz w:val="24"/>
                <w:szCs w:val="24"/>
                <w:highlight w:val="none"/>
                <w:u w:val="single" w:color="auto"/>
                <w:lang w:val="en-US" w:eastAsia="zh-CN" w:bidi="ar-SA"/>
              </w:rPr>
              <w:t>元</w:t>
            </w:r>
            <w:r>
              <w:rPr>
                <w:rFonts w:hint="eastAsia" w:cs="宋体"/>
                <w:b w:val="0"/>
                <w:bCs w:val="0"/>
                <w:color w:val="auto"/>
                <w:kern w:val="2"/>
                <w:sz w:val="24"/>
                <w:szCs w:val="24"/>
                <w:highlight w:val="none"/>
                <w:u w:val="single" w:color="auto"/>
                <w:lang w:val="en-US" w:eastAsia="zh-CN" w:bidi="ar-SA"/>
              </w:rPr>
              <w:t>，参考《国家计委关于印发〈招标代理服务收费管理暂行办法〉的通知》（计价格〔2002〕1980 号）文件规定的55%计算。</w:t>
            </w:r>
            <w:r>
              <w:rPr>
                <w:rFonts w:ascii="宋体" w:hAnsi="宋体" w:eastAsia="宋体" w:cs="宋体"/>
                <w:color w:val="auto"/>
                <w:sz w:val="24"/>
                <w:szCs w:val="24"/>
                <w:highlight w:val="none"/>
                <w:u w:val="single" w:color="auto"/>
              </w:rPr>
              <w:t xml:space="preserve"> </w:t>
            </w:r>
          </w:p>
        </w:tc>
      </w:tr>
      <w:tr w14:paraId="788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2295D0C">
            <w:pPr>
              <w:pStyle w:val="77"/>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0109D72">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16C84AB">
            <w:pPr>
              <w:pStyle w:val="76"/>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4DFFE19F">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B7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ED4C51">
            <w:pPr>
              <w:pStyle w:val="77"/>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F960EC8">
            <w:pPr>
              <w:pStyle w:val="76"/>
              <w:widowControl w:val="0"/>
              <w:spacing w:before="0" w:beforeAutospacing="0" w:after="0" w:afterAutospacing="0" w:line="360" w:lineRule="auto"/>
              <w:jc w:val="both"/>
              <w:rPr>
                <w:b w:val="0"/>
                <w:bCs/>
                <w:color w:val="auto"/>
                <w:sz w:val="24"/>
                <w:highlight w:val="none"/>
              </w:rPr>
            </w:pPr>
            <w:r>
              <w:rPr>
                <w:rFonts w:hint="eastAsia"/>
                <w:b w:val="0"/>
                <w:bCs/>
                <w:color w:val="auto"/>
                <w:sz w:val="24"/>
                <w:highlight w:val="none"/>
              </w:rPr>
              <w:t>质疑函递交方式、接收部门、联系电话和通讯地址</w:t>
            </w:r>
          </w:p>
        </w:tc>
        <w:tc>
          <w:tcPr>
            <w:tcW w:w="3556" w:type="pct"/>
            <w:vAlign w:val="center"/>
          </w:tcPr>
          <w:p w14:paraId="2608271D">
            <w:pPr>
              <w:pStyle w:val="76"/>
              <w:widowControl w:val="0"/>
              <w:spacing w:before="0" w:beforeAutospacing="0" w:after="0" w:afterAutospacing="0" w:line="360" w:lineRule="auto"/>
              <w:jc w:val="both"/>
              <w:rPr>
                <w:rFonts w:hint="eastAsia"/>
                <w:b w:val="0"/>
                <w:bCs/>
                <w:color w:val="auto"/>
                <w:sz w:val="24"/>
                <w:highlight w:val="none"/>
                <w:u w:val="single"/>
                <w:lang w:eastAsia="zh-CN"/>
              </w:rPr>
            </w:pPr>
            <w:r>
              <w:rPr>
                <w:rFonts w:hint="eastAsia" w:ascii="宋体" w:hAnsi="宋体" w:eastAsia="宋体"/>
                <w:b w:val="0"/>
                <w:bCs/>
                <w:color w:val="auto"/>
                <w:sz w:val="24"/>
                <w:highlight w:val="none"/>
              </w:rPr>
              <w:t>递交方式：</w:t>
            </w:r>
            <w:r>
              <w:rPr>
                <w:rFonts w:hint="eastAsia" w:ascii="宋体" w:hAnsi="宋体" w:eastAsia="宋体"/>
                <w:b w:val="0"/>
                <w:bCs/>
                <w:color w:val="auto"/>
                <w:sz w:val="24"/>
                <w:highlight w:val="none"/>
                <w:u w:val="single"/>
              </w:rPr>
              <w:t>如供应商对谈判文件有质疑，依据中华人民共和国财政部令第 94 号《政府采购质疑和投诉办法》规定提出质疑</w:t>
            </w:r>
            <w:r>
              <w:rPr>
                <w:rFonts w:hint="eastAsia"/>
                <w:b w:val="0"/>
                <w:bCs/>
                <w:color w:val="auto"/>
                <w:sz w:val="24"/>
                <w:highlight w:val="none"/>
                <w:u w:val="single"/>
                <w:lang w:eastAsia="zh-CN"/>
              </w:rPr>
              <w:t>；</w:t>
            </w:r>
          </w:p>
          <w:p w14:paraId="67B4B4D1">
            <w:pPr>
              <w:pStyle w:val="76"/>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kern w:val="0"/>
                <w:sz w:val="24"/>
                <w:szCs w:val="28"/>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b w:val="0"/>
                <w:bCs/>
                <w:color w:val="auto"/>
                <w:kern w:val="0"/>
                <w:sz w:val="24"/>
                <w:szCs w:val="28"/>
                <w:highlight w:val="none"/>
                <w:u w:val="single"/>
                <w:lang w:eastAsia="zh-CN"/>
              </w:rPr>
              <w:t>。</w:t>
            </w:r>
          </w:p>
          <w:p w14:paraId="5BD2979D">
            <w:pPr>
              <w:pStyle w:val="76"/>
              <w:widowControl w:val="0"/>
              <w:spacing w:before="0" w:beforeAutospacing="0" w:after="0" w:afterAutospacing="0" w:line="360" w:lineRule="auto"/>
              <w:jc w:val="both"/>
              <w:rPr>
                <w:rFonts w:hint="eastAsia" w:ascii="宋体" w:hAnsi="宋体" w:eastAsia="宋体"/>
                <w:b w:val="0"/>
                <w:bCs/>
                <w:color w:val="auto"/>
                <w:sz w:val="24"/>
                <w:szCs w:val="18"/>
                <w:highlight w:val="none"/>
                <w:lang w:eastAsia="zh-CN"/>
              </w:rPr>
            </w:pPr>
            <w:r>
              <w:rPr>
                <w:rFonts w:hint="eastAsia" w:ascii="宋体" w:hAnsi="宋体" w:eastAsia="宋体"/>
                <w:b w:val="0"/>
                <w:bCs/>
                <w:color w:val="auto"/>
                <w:sz w:val="24"/>
                <w:highlight w:val="none"/>
              </w:rPr>
              <w:t>接收部门：</w:t>
            </w:r>
            <w:r>
              <w:rPr>
                <w:rFonts w:hint="eastAsia" w:ascii="宋体" w:hAnsi="宋体" w:eastAsia="宋体"/>
                <w:b w:val="0"/>
                <w:bCs/>
                <w:color w:val="auto"/>
                <w:kern w:val="0"/>
                <w:sz w:val="24"/>
                <w:szCs w:val="28"/>
                <w:highlight w:val="none"/>
                <w:u w:val="single"/>
                <w:lang w:eastAsia="zh-CN"/>
              </w:rPr>
              <w:t>滁州市琅琊区住房城乡建设交通局</w:t>
            </w:r>
            <w:r>
              <w:rPr>
                <w:rFonts w:hint="eastAsia" w:ascii="宋体" w:hAnsi="宋体" w:eastAsia="宋体"/>
                <w:b w:val="0"/>
                <w:bCs/>
                <w:color w:val="auto"/>
                <w:kern w:val="0"/>
                <w:sz w:val="24"/>
                <w:szCs w:val="28"/>
                <w:highlight w:val="none"/>
                <w:u w:val="single"/>
                <w:lang w:val="en-US" w:eastAsia="zh-CN"/>
              </w:rPr>
              <w:t>、</w:t>
            </w:r>
            <w:r>
              <w:rPr>
                <w:rFonts w:hint="eastAsia" w:ascii="宋体" w:hAnsi="宋体" w:eastAsia="宋体"/>
                <w:b w:val="0"/>
                <w:bCs/>
                <w:color w:val="auto"/>
                <w:kern w:val="0"/>
                <w:sz w:val="24"/>
                <w:szCs w:val="28"/>
                <w:highlight w:val="none"/>
                <w:u w:val="single"/>
                <w:lang w:eastAsia="zh-CN"/>
              </w:rPr>
              <w:t>滁州市城投工程咨询管理有限公司；</w:t>
            </w:r>
          </w:p>
          <w:p w14:paraId="0EB546D7">
            <w:pPr>
              <w:pStyle w:val="76"/>
              <w:widowControl w:val="0"/>
              <w:spacing w:before="0" w:beforeAutospacing="0" w:after="0" w:afterAutospacing="0" w:line="360" w:lineRule="auto"/>
              <w:jc w:val="both"/>
              <w:rPr>
                <w:rFonts w:hint="eastAsia" w:ascii="宋体" w:hAnsi="宋体" w:eastAsia="宋体"/>
                <w:b w:val="0"/>
                <w:bCs/>
                <w:color w:val="auto"/>
                <w:kern w:val="0"/>
                <w:sz w:val="24"/>
                <w:szCs w:val="28"/>
                <w:highlight w:val="none"/>
                <w:u w:val="single"/>
              </w:rPr>
            </w:pPr>
            <w:r>
              <w:rPr>
                <w:rFonts w:ascii="宋体" w:hAnsi="宋体" w:eastAsia="宋体"/>
                <w:b w:val="0"/>
                <w:bCs/>
                <w:color w:val="auto"/>
                <w:sz w:val="24"/>
                <w:highlight w:val="none"/>
              </w:rPr>
              <w:t>联系电话：</w:t>
            </w:r>
            <w:r>
              <w:rPr>
                <w:rFonts w:hint="eastAsia"/>
                <w:b w:val="0"/>
                <w:bCs/>
                <w:color w:val="auto"/>
                <w:kern w:val="0"/>
                <w:sz w:val="24"/>
                <w:szCs w:val="28"/>
                <w:highlight w:val="none"/>
                <w:u w:val="single"/>
                <w:lang w:eastAsia="zh-CN"/>
              </w:rPr>
              <w:t>0550-3318150</w:t>
            </w:r>
            <w:r>
              <w:rPr>
                <w:rFonts w:hint="eastAsia" w:ascii="宋体" w:hAnsi="宋体" w:eastAsia="宋体"/>
                <w:b w:val="0"/>
                <w:bCs/>
                <w:color w:val="auto"/>
                <w:kern w:val="0"/>
                <w:sz w:val="24"/>
                <w:szCs w:val="28"/>
                <w:highlight w:val="none"/>
                <w:u w:val="single"/>
                <w:lang w:eastAsia="zh-CN"/>
              </w:rPr>
              <w:t>、</w:t>
            </w:r>
            <w:r>
              <w:rPr>
                <w:rFonts w:hint="eastAsia"/>
                <w:b w:val="0"/>
                <w:bCs/>
                <w:color w:val="auto"/>
                <w:kern w:val="0"/>
                <w:sz w:val="24"/>
                <w:szCs w:val="28"/>
                <w:highlight w:val="none"/>
                <w:u w:val="single"/>
                <w:lang w:eastAsia="zh-CN"/>
              </w:rPr>
              <w:t>0550-3519512</w:t>
            </w:r>
            <w:r>
              <w:rPr>
                <w:rFonts w:hint="eastAsia" w:ascii="宋体" w:hAnsi="宋体" w:eastAsia="宋体"/>
                <w:b w:val="0"/>
                <w:bCs/>
                <w:color w:val="auto"/>
                <w:kern w:val="0"/>
                <w:sz w:val="24"/>
                <w:szCs w:val="28"/>
                <w:highlight w:val="none"/>
                <w:u w:val="single"/>
                <w:lang w:eastAsia="zh-CN"/>
              </w:rPr>
              <w:t>、</w:t>
            </w:r>
            <w:r>
              <w:rPr>
                <w:rFonts w:hint="eastAsia"/>
                <w:b w:val="0"/>
                <w:bCs/>
                <w:color w:val="auto"/>
                <w:kern w:val="0"/>
                <w:sz w:val="24"/>
                <w:szCs w:val="28"/>
                <w:highlight w:val="none"/>
                <w:u w:val="single"/>
                <w:lang w:val="en-US" w:eastAsia="zh-CN"/>
              </w:rPr>
              <w:t>18255055896</w:t>
            </w:r>
            <w:r>
              <w:rPr>
                <w:rFonts w:hint="eastAsia" w:ascii="宋体" w:hAnsi="宋体" w:eastAsia="宋体"/>
                <w:b w:val="0"/>
                <w:bCs/>
                <w:color w:val="auto"/>
                <w:kern w:val="0"/>
                <w:sz w:val="24"/>
                <w:szCs w:val="28"/>
                <w:highlight w:val="none"/>
                <w:u w:val="single"/>
                <w:lang w:eastAsia="zh-CN"/>
              </w:rPr>
              <w:t>；</w:t>
            </w:r>
          </w:p>
          <w:p w14:paraId="6D5A19AF">
            <w:pPr>
              <w:pStyle w:val="76"/>
              <w:widowControl w:val="0"/>
              <w:spacing w:before="0" w:beforeAutospacing="0" w:after="0" w:afterAutospacing="0" w:line="360" w:lineRule="auto"/>
              <w:jc w:val="both"/>
              <w:rPr>
                <w:b w:val="0"/>
                <w:bCs/>
                <w:color w:val="auto"/>
                <w:sz w:val="24"/>
                <w:highlight w:val="none"/>
              </w:rPr>
            </w:pPr>
            <w:r>
              <w:rPr>
                <w:rFonts w:hint="eastAsia" w:ascii="宋体" w:hAnsi="宋体" w:eastAsia="宋体"/>
                <w:b w:val="0"/>
                <w:bCs/>
                <w:color w:val="auto"/>
                <w:sz w:val="24"/>
                <w:highlight w:val="none"/>
              </w:rPr>
              <w:t>通讯地址：</w:t>
            </w:r>
            <w:r>
              <w:rPr>
                <w:rFonts w:hint="eastAsia"/>
                <w:b w:val="0"/>
                <w:bCs/>
                <w:color w:val="auto"/>
                <w:kern w:val="0"/>
                <w:sz w:val="24"/>
                <w:szCs w:val="28"/>
                <w:highlight w:val="none"/>
                <w:u w:val="single"/>
                <w:lang w:eastAsia="zh-CN"/>
              </w:rPr>
              <w:t>滁州市琅琊区濠河路99号、滁州市龙蟠大道109号房产大厦6楼。</w:t>
            </w:r>
          </w:p>
        </w:tc>
      </w:tr>
      <w:tr w14:paraId="383E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E0AB3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5945593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77DD2C73">
            <w:pPr>
              <w:pStyle w:val="76"/>
              <w:widowControl w:val="0"/>
              <w:spacing w:before="0" w:beforeAutospacing="0" w:after="0" w:afterAutospacing="0" w:line="360" w:lineRule="auto"/>
              <w:jc w:val="both"/>
              <w:rPr>
                <w:b w:val="0"/>
                <w:color w:val="auto"/>
                <w:sz w:val="24"/>
                <w:highlight w:val="none"/>
              </w:rPr>
            </w:pPr>
          </w:p>
        </w:tc>
      </w:tr>
      <w:tr w14:paraId="22BD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202F17B">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49AEC23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421F755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141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FBCCB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431E8E9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CD456D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4C925E6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2BC6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03E31A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2AAE3E6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79E7B275">
            <w:pPr>
              <w:pStyle w:val="76"/>
              <w:widowControl w:val="0"/>
              <w:spacing w:before="0" w:beforeAutospacing="0" w:after="0" w:afterAutospacing="0" w:line="360" w:lineRule="auto"/>
              <w:jc w:val="both"/>
              <w:rPr>
                <w:rFonts w:hint="eastAsia"/>
                <w:b w:val="0"/>
                <w:color w:val="auto"/>
                <w:sz w:val="24"/>
                <w:highlight w:val="none"/>
                <w:lang w:eastAsia="zh-CN"/>
              </w:rPr>
            </w:pPr>
            <w:r>
              <w:rPr>
                <w:rFonts w:hint="eastAsia"/>
                <w:b w:val="0"/>
                <w:color w:val="auto"/>
                <w:sz w:val="24"/>
                <w:highlight w:val="none"/>
              </w:rPr>
              <w:t>计划</w:t>
            </w:r>
            <w:r>
              <w:rPr>
                <w:rFonts w:hint="eastAsia"/>
                <w:b w:val="0"/>
                <w:color w:val="auto"/>
                <w:sz w:val="24"/>
                <w:highlight w:val="none"/>
                <w:lang w:eastAsia="zh-CN"/>
              </w:rPr>
              <w:t>不高于</w:t>
            </w:r>
            <w:r>
              <w:rPr>
                <w:rFonts w:hint="eastAsia"/>
                <w:b w:val="0"/>
                <w:color w:val="auto"/>
                <w:sz w:val="24"/>
                <w:highlight w:val="none"/>
                <w:lang w:val="en-US" w:eastAsia="zh-CN"/>
              </w:rPr>
              <w:t>1</w:t>
            </w:r>
            <w:r>
              <w:rPr>
                <w:rFonts w:hint="eastAsia"/>
                <w:b w:val="0"/>
                <w:color w:val="auto"/>
                <w:sz w:val="24"/>
                <w:highlight w:val="none"/>
                <w:lang w:eastAsia="zh-CN"/>
              </w:rPr>
              <w:t>20个日历天内完工并验收合格。</w:t>
            </w:r>
          </w:p>
          <w:p w14:paraId="203FEA9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供应商自报的承诺工期为考核标准。因供应商原因造成的工期延误，每推迟一天，按合同价款（扣除暂估价和暂列金）万分之一处以违约金。</w:t>
            </w:r>
          </w:p>
          <w:p w14:paraId="6E9E61B9">
            <w:pPr>
              <w:pStyle w:val="76"/>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39" w:name="EB2a2e1a22d449405a860670c095486ab8"/>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日，具体开工时间以开工令</w:t>
            </w:r>
            <w:r>
              <w:rPr>
                <w:rFonts w:hint="eastAsia" w:cs="宋体"/>
                <w:b w:val="0"/>
                <w:color w:val="auto"/>
                <w:sz w:val="24"/>
                <w:szCs w:val="24"/>
                <w:highlight w:val="none"/>
                <w:lang w:eastAsia="zh-CN"/>
              </w:rPr>
              <w:t>（</w:t>
            </w:r>
            <w:r>
              <w:rPr>
                <w:rFonts w:hint="eastAsia" w:cs="宋体"/>
                <w:b w:val="0"/>
                <w:color w:val="auto"/>
                <w:sz w:val="24"/>
                <w:szCs w:val="24"/>
                <w:highlight w:val="none"/>
                <w:lang w:val="en-US" w:eastAsia="zh-CN"/>
              </w:rPr>
              <w:t>或采购人下达通知</w:t>
            </w: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载明的时间</w:t>
            </w:r>
            <w:r>
              <w:rPr>
                <w:rFonts w:hint="eastAsia" w:ascii="宋体" w:hAnsi="宋体" w:eastAsia="宋体" w:cs="宋体"/>
                <w:b w:val="0"/>
                <w:color w:val="auto"/>
                <w:sz w:val="24"/>
                <w:szCs w:val="24"/>
                <w:highlight w:val="none"/>
              </w:rPr>
              <w:t>为准</w:t>
            </w:r>
            <w:r>
              <w:rPr>
                <w:rFonts w:hint="eastAsia" w:cs="宋体"/>
                <w:b w:val="0"/>
                <w:color w:val="auto"/>
                <w:sz w:val="24"/>
                <w:szCs w:val="24"/>
                <w:highlight w:val="none"/>
                <w:lang w:eastAsia="zh-CN"/>
              </w:rPr>
              <w:t>。</w:t>
            </w:r>
            <w:bookmarkEnd w:id="39"/>
          </w:p>
        </w:tc>
      </w:tr>
      <w:tr w14:paraId="390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CAC9B">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7A0900A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3D1C0FE3">
            <w:pPr>
              <w:pStyle w:val="103"/>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9F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5106DAD">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75694E6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33E2959C">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12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77045FB">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6A6E7595">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536D5D8D">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供应商不得在成交后将工程转包给其它施工单位。</w:t>
            </w:r>
          </w:p>
          <w:p w14:paraId="441E8D4A">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702ACFB1">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3A0A62D9">
            <w:pPr>
              <w:pStyle w:val="76"/>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0C4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53E4D8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0C4B1F9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26B910B7">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58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10ACE18">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4FFF08CE">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4960A9C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谈判文件</w:t>
            </w:r>
          </w:p>
          <w:p w14:paraId="5707010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1F62BD6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2C288B3B">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2E46A5F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0638D47D">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上述资料请供应商在获取谈判文件后，自行登录电子交易系统下载本项目附件。</w:t>
            </w:r>
          </w:p>
        </w:tc>
      </w:tr>
      <w:tr w14:paraId="436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BBCB68F">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0712F22D">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05101BA2">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u w:val="single" w:color="auto"/>
              </w:rPr>
              <w:t xml:space="preserve"> </w:t>
            </w:r>
            <w:r>
              <w:rPr>
                <w:rFonts w:hint="eastAsia" w:cs="宋体"/>
                <w:color w:val="auto"/>
                <w:sz w:val="24"/>
                <w:szCs w:val="24"/>
                <w:highlight w:val="none"/>
                <w:u w:val="single" w:color="auto"/>
                <w:lang w:val="en-US" w:eastAsia="zh-CN"/>
              </w:rPr>
              <w:t xml:space="preserve"> 采购人</w:t>
            </w:r>
            <w:r>
              <w:rPr>
                <w:rFonts w:ascii="宋体" w:hAnsi="宋体" w:eastAsia="宋体" w:cs="宋体"/>
                <w:color w:val="auto"/>
                <w:sz w:val="24"/>
                <w:szCs w:val="24"/>
                <w:highlight w:val="none"/>
                <w:u w:val="single" w:color="auto"/>
              </w:rPr>
              <w:t xml:space="preserve">   </w:t>
            </w:r>
          </w:p>
          <w:p w14:paraId="7C3F0E7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cs="宋体"/>
                <w:color w:val="auto"/>
                <w:sz w:val="24"/>
                <w:szCs w:val="24"/>
                <w:highlight w:val="none"/>
                <w:u w:val="single" w:color="auto"/>
                <w:lang w:val="en-US" w:eastAsia="zh-CN"/>
              </w:rPr>
              <w:t>转账</w:t>
            </w:r>
            <w:r>
              <w:rPr>
                <w:rFonts w:ascii="宋体" w:hAnsi="宋体" w:eastAsia="宋体" w:cs="宋体"/>
                <w:color w:val="auto"/>
                <w:sz w:val="24"/>
                <w:szCs w:val="24"/>
                <w:highlight w:val="none"/>
                <w:u w:val="single" w:color="auto"/>
              </w:rPr>
              <w:t xml:space="preserve">     </w:t>
            </w:r>
          </w:p>
          <w:p w14:paraId="717274E2">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color w:val="auto"/>
                <w:sz w:val="24"/>
                <w:szCs w:val="24"/>
                <w:highlight w:val="none"/>
                <w:u w:val="single" w:color="auto"/>
              </w:rPr>
              <w:t xml:space="preserve"> </w:t>
            </w:r>
            <w:r>
              <w:rPr>
                <w:rFonts w:ascii="宋体" w:hAnsi="宋体" w:eastAsia="宋体" w:cs="宋体"/>
                <w:b w:val="0"/>
                <w:bCs w:val="0"/>
                <w:color w:val="auto"/>
                <w:sz w:val="24"/>
                <w:szCs w:val="24"/>
                <w:highlight w:val="none"/>
                <w:u w:val="single" w:color="auto"/>
                <w:lang w:val="en-US" w:eastAsia="zh-CN" w:bidi="ar-SA"/>
              </w:rPr>
              <w:t xml:space="preserve"> </w:t>
            </w:r>
            <w:r>
              <w:rPr>
                <w:rFonts w:hint="eastAsia" w:ascii="宋体" w:hAnsi="宋体" w:eastAsia="宋体" w:cs="宋体"/>
                <w:b w:val="0"/>
                <w:bCs w:val="0"/>
                <w:color w:val="auto"/>
                <w:sz w:val="24"/>
                <w:szCs w:val="24"/>
                <w:highlight w:val="none"/>
                <w:u w:val="single" w:color="auto"/>
                <w:lang w:val="en-US" w:eastAsia="zh-CN" w:bidi="ar-SA"/>
              </w:rPr>
              <w:t>双方约定为准</w:t>
            </w:r>
            <w:r>
              <w:rPr>
                <w:rFonts w:ascii="宋体" w:hAnsi="宋体" w:eastAsia="宋体" w:cs="宋体"/>
                <w:color w:val="auto"/>
                <w:sz w:val="24"/>
                <w:szCs w:val="24"/>
                <w:highlight w:val="none"/>
                <w:u w:val="single" w:color="auto"/>
              </w:rPr>
              <w:t xml:space="preserve">  </w:t>
            </w:r>
          </w:p>
        </w:tc>
      </w:tr>
      <w:tr w14:paraId="52D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B7CF1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623167A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0A43038A">
            <w:pPr>
              <w:numPr>
                <w:ilvl w:val="0"/>
                <w:numId w:val="0"/>
              </w:num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1、解释权：</w:t>
            </w:r>
          </w:p>
          <w:p w14:paraId="719D2DC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6519BD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714D7B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CC208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F3DE934">
            <w:pPr>
              <w:pStyle w:val="76"/>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3557575B">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2、</w:t>
            </w:r>
            <w:r>
              <w:rPr>
                <w:rFonts w:hint="eastAsia"/>
                <w:b w:val="0"/>
                <w:color w:val="auto"/>
                <w:sz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2B9C0A47">
            <w:pPr>
              <w:pStyle w:val="7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16772A67">
            <w:pPr>
              <w:pStyle w:val="76"/>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6FA6B932">
            <w:pPr>
              <w:pStyle w:val="76"/>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琅琊区</w:t>
            </w:r>
          </w:p>
          <w:p w14:paraId="7050C5B3">
            <w:pPr>
              <w:pStyle w:val="76"/>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 xml:space="preserve">金融机构名称：滁州皖东农村商业银行城中支行 </w:t>
            </w:r>
          </w:p>
          <w:p w14:paraId="3D369AFD">
            <w:pPr>
              <w:pStyle w:val="76"/>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地址：滁州经济技术开发区清流西路248号</w:t>
            </w:r>
          </w:p>
          <w:p w14:paraId="723162ED">
            <w:pPr>
              <w:pStyle w:val="76"/>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
              </w:rPr>
              <w:t>联系人及电话：杨行长13855011150刘经理18019805345</w:t>
            </w:r>
          </w:p>
        </w:tc>
      </w:tr>
      <w:tr w14:paraId="306B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A36A39B">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30.11</w:t>
            </w:r>
          </w:p>
        </w:tc>
        <w:tc>
          <w:tcPr>
            <w:tcW w:w="977" w:type="pct"/>
            <w:vAlign w:val="center"/>
          </w:tcPr>
          <w:p w14:paraId="714DD7F2">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特别提示</w:t>
            </w:r>
          </w:p>
        </w:tc>
        <w:tc>
          <w:tcPr>
            <w:tcW w:w="3556" w:type="pct"/>
            <w:vAlign w:val="center"/>
          </w:tcPr>
          <w:p w14:paraId="06250ECD">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（1）供应商应填写信息并下载谈判文件，否则无法上传响应文件。</w:t>
            </w:r>
          </w:p>
          <w:p w14:paraId="42F7367F">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响应文件制作错误，如因此导致谈判小组否决其参与资格，责任自负。如有技术问题请联系0550-3801701，4009980000。</w:t>
            </w:r>
          </w:p>
          <w:p w14:paraId="595865C0">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（3）如果过程中出现谈判文件更改，应以最后发布的答疑澄清文件中的模板制作本项目最新响应文件。</w:t>
            </w:r>
          </w:p>
          <w:p w14:paraId="0A0E6F73">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 xml:space="preserve">（4）供应商应当用本单位CA数字证书制作响应文件，制作成功后进行响应文件上传。 </w:t>
            </w:r>
          </w:p>
          <w:p w14:paraId="67A7336D">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BDCC5E8">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（6）请供应商注意加密响应文件CA数字证书的有效期，不在有效期的CA数字证书无法解密响应文件。</w:t>
            </w:r>
          </w:p>
          <w:p w14:paraId="039E5753">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（7）供应商投标MAC地址或供应商联系人或联系电话相同的，由谈判小组否决其资格，并报告监管部门作不良行为处理和进一步调查。</w:t>
            </w:r>
          </w:p>
          <w:p w14:paraId="148546AB">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（8）供应商单方面出现其他供应商材料的（组成联合体响应的除外），由谈判小组否决其响应。</w:t>
            </w:r>
          </w:p>
          <w:p w14:paraId="29648BAC">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9）评审时查询响应文件制作机器码、文件创建标识码及造价软件加密锁号。若存在响应文件制作机器码或创建标识码或造价软件加密锁号信息与其他供应商雷同的，由谈判小组否决其资格，依法依规予以处理。</w:t>
            </w:r>
          </w:p>
          <w:p w14:paraId="6B3001DF">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10）电子加密响应文件上传到系统后，需要供应商和代理公司到响应文件提交截止后共同解锁，不存在商务报价等信息通过系统泄密的风险；响应文件提交截止时间前，已上传的响应文件也可以撤回修改。集中到响应文件提交截止时间前上传电子加密响应文件，可能出现由于供应商制作电子响应文件不熟练、网络拥堵等不可预知的情况而且无法及时解决，丧失响应机会，请各供应商提前制作、上传电子加密响应文件，否则由于无法及时上传电子加密响应文件而无效响应的情况，责任自负！</w:t>
            </w:r>
          </w:p>
        </w:tc>
      </w:tr>
      <w:tr w14:paraId="3041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1EB96F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30.12</w:t>
            </w:r>
          </w:p>
        </w:tc>
        <w:tc>
          <w:tcPr>
            <w:tcW w:w="977" w:type="pct"/>
            <w:vAlign w:val="center"/>
          </w:tcPr>
          <w:p w14:paraId="55E6D4A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评审过程中</w:t>
            </w:r>
          </w:p>
          <w:p w14:paraId="358D4661">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的澄清、说明</w:t>
            </w:r>
          </w:p>
          <w:p w14:paraId="5B7FEE0A">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或补正</w:t>
            </w:r>
          </w:p>
        </w:tc>
        <w:tc>
          <w:tcPr>
            <w:tcW w:w="3556" w:type="pct"/>
            <w:vAlign w:val="center"/>
          </w:tcPr>
          <w:p w14:paraId="0DE238E8">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仿宋_GB2312" w:asciiTheme="minorEastAsia" w:hAnsiTheme="minorEastAsia" w:eastAsiaTheme="minorEastAsia"/>
                <w:b w:val="0"/>
                <w:bCs/>
                <w:color w:val="auto"/>
                <w:kern w:val="2"/>
                <w:sz w:val="24"/>
                <w:szCs w:val="24"/>
                <w:highlight w:val="none"/>
                <w:u w:val="none"/>
                <w:lang w:val="en-US" w:eastAsia="zh-CN" w:bidi="ar-SA"/>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1）谈判小组通过网上招投标系统将需要澄清、说明或补正的内容以询标函的形式发送给供应商，供应商应安排专人登录网上招投标系统并保持在线状态，并确保联系方式有效，以便及时接收谈判小组可能发出的询标函。</w:t>
            </w:r>
          </w:p>
          <w:p w14:paraId="2EF07C75">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2）因供应商未登录网上招投标系统导致无法及时接收询标函（远程网上询标）或未在规定时间内按谈判小组要求进行澄清、说明或补正内容的视同供应商放弃澄清、说明或补正内容的权利，谈判小组可按对供应商不利的解释进行判定。</w:t>
            </w:r>
          </w:p>
        </w:tc>
      </w:tr>
      <w:tr w14:paraId="4D18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0AE0CD1">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30.13</w:t>
            </w:r>
          </w:p>
        </w:tc>
        <w:tc>
          <w:tcPr>
            <w:tcW w:w="977" w:type="pct"/>
            <w:vAlign w:val="center"/>
          </w:tcPr>
          <w:p w14:paraId="1A14C254">
            <w:pPr>
              <w:pStyle w:val="76"/>
              <w:widowControl w:val="0"/>
              <w:spacing w:before="0" w:beforeAutospacing="0" w:after="0" w:afterAutospacing="0" w:line="360" w:lineRule="auto"/>
              <w:jc w:val="center"/>
              <w:rPr>
                <w:rFonts w:hint="eastAsia"/>
                <w:b w:val="0"/>
                <w:color w:val="auto"/>
                <w:sz w:val="24"/>
                <w:highlight w:val="none"/>
              </w:rPr>
            </w:pPr>
            <w:r>
              <w:rPr>
                <w:rFonts w:hint="eastAsia"/>
                <w:b w:val="0"/>
                <w:color w:val="auto"/>
                <w:sz w:val="24"/>
                <w:highlight w:val="none"/>
                <w:lang w:val="en-US" w:eastAsia="zh-CN"/>
              </w:rPr>
              <w:t>投诉</w:t>
            </w:r>
          </w:p>
        </w:tc>
        <w:tc>
          <w:tcPr>
            <w:tcW w:w="3556" w:type="pct"/>
            <w:vAlign w:val="center"/>
          </w:tcPr>
          <w:p w14:paraId="560E28DC">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cs="@仿宋_GB2312" w:asciiTheme="minorEastAsia" w:hAnsiTheme="minorEastAsia" w:eastAsiaTheme="minorEastAsia"/>
                <w:b w:val="0"/>
                <w:bCs/>
                <w:color w:val="auto"/>
                <w:kern w:val="2"/>
                <w:sz w:val="24"/>
                <w:szCs w:val="24"/>
                <w:highlight w:val="none"/>
                <w:u w:val="none"/>
                <w:lang w:val="en-US" w:eastAsia="zh-CN" w:bidi="ar-SA"/>
              </w:rPr>
              <w:t>供应商对采购人或采购代理机构的答复不满意，或者采购人或采购代理机构未在规定的时间内答复的，可以在答复期满后十五个工作日内按有关规定，以书面形式向同级政府采购监督管理部门提出投诉。</w:t>
            </w:r>
          </w:p>
        </w:tc>
      </w:tr>
      <w:tr w14:paraId="52D2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0C7B282">
            <w:pPr>
              <w:pStyle w:val="77"/>
              <w:pBdr>
                <w:bottom w:val="none" w:color="auto" w:sz="0" w:space="0"/>
              </w:pBdr>
              <w:tabs>
                <w:tab w:val="clear" w:pos="4153"/>
                <w:tab w:val="clear" w:pos="8306"/>
              </w:tabs>
              <w:adjustRightInd/>
              <w:spacing w:line="360" w:lineRule="auto"/>
              <w:textAlignment w:val="auto"/>
              <w:rPr>
                <w:rFonts w:hint="default"/>
                <w:b/>
                <w:bCs w:val="0"/>
                <w:color w:val="auto"/>
                <w:kern w:val="2"/>
                <w:highlight w:val="none"/>
                <w:lang w:val="en-US" w:eastAsia="zh-CN"/>
              </w:rPr>
            </w:pPr>
            <w:r>
              <w:rPr>
                <w:rFonts w:hint="eastAsia"/>
                <w:b/>
                <w:bCs w:val="0"/>
                <w:color w:val="auto"/>
                <w:kern w:val="2"/>
                <w:highlight w:val="none"/>
                <w:lang w:val="en-US" w:eastAsia="zh-CN"/>
              </w:rPr>
              <w:t>30.14</w:t>
            </w:r>
          </w:p>
        </w:tc>
        <w:tc>
          <w:tcPr>
            <w:tcW w:w="977" w:type="pct"/>
            <w:vAlign w:val="center"/>
          </w:tcPr>
          <w:p w14:paraId="0E06F0A7">
            <w:pPr>
              <w:pStyle w:val="76"/>
              <w:widowControl w:val="0"/>
              <w:spacing w:before="0" w:beforeAutospacing="0" w:after="0" w:afterAutospacing="0" w:line="360" w:lineRule="auto"/>
              <w:jc w:val="center"/>
              <w:rPr>
                <w:rFonts w:hint="default"/>
                <w:b/>
                <w:bCs w:val="0"/>
                <w:color w:val="auto"/>
                <w:sz w:val="24"/>
                <w:highlight w:val="none"/>
                <w:lang w:val="en-US" w:eastAsia="zh-CN"/>
              </w:rPr>
            </w:pPr>
            <w:r>
              <w:rPr>
                <w:rFonts w:hint="eastAsia"/>
                <w:b/>
                <w:bCs w:val="0"/>
                <w:color w:val="auto"/>
                <w:sz w:val="24"/>
                <w:highlight w:val="none"/>
                <w:lang w:val="en-US" w:eastAsia="zh-CN"/>
              </w:rPr>
              <w:t>重要说明</w:t>
            </w:r>
          </w:p>
        </w:tc>
        <w:tc>
          <w:tcPr>
            <w:tcW w:w="3556" w:type="pct"/>
            <w:vAlign w:val="center"/>
          </w:tcPr>
          <w:p w14:paraId="5C90B15D">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cs="@仿宋_GB2312" w:asciiTheme="minorEastAsia" w:hAnsiTheme="minorEastAsia" w:eastAsiaTheme="minorEastAsia"/>
                <w:b/>
                <w:bCs w:val="0"/>
                <w:color w:val="auto"/>
                <w:kern w:val="2"/>
                <w:sz w:val="24"/>
                <w:szCs w:val="24"/>
                <w:highlight w:val="none"/>
                <w:u w:val="none"/>
                <w:lang w:val="en-US" w:eastAsia="zh-CN" w:bidi="ar-SA"/>
              </w:rPr>
            </w:pPr>
            <w:r>
              <w:rPr>
                <w:rFonts w:hint="eastAsia" w:cs="@仿宋_GB2312" w:asciiTheme="minorEastAsia" w:hAnsiTheme="minorEastAsia" w:eastAsiaTheme="minorEastAsia"/>
                <w:b/>
                <w:bCs w:val="0"/>
                <w:color w:val="auto"/>
                <w:kern w:val="2"/>
                <w:sz w:val="24"/>
                <w:szCs w:val="24"/>
                <w:highlight w:val="none"/>
                <w:u w:val="none"/>
                <w:lang w:val="en-US" w:eastAsia="zh-CN" w:bidi="ar-SA"/>
              </w:rPr>
              <w:t>（1）供应商若为银行、保险、石油化工、电力、电信、邮政等有行业特殊情况的企业，接受总公司或其分支机构（分公司）参加投标；</w:t>
            </w:r>
          </w:p>
          <w:p w14:paraId="0AEA118A">
            <w:pPr>
              <w:pStyle w:val="7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cs="@仿宋_GB2312" w:asciiTheme="minorEastAsia" w:hAnsiTheme="minorEastAsia" w:eastAsiaTheme="minorEastAsia"/>
                <w:b/>
                <w:bCs w:val="0"/>
                <w:color w:val="auto"/>
                <w:kern w:val="2"/>
                <w:sz w:val="24"/>
                <w:szCs w:val="24"/>
                <w:highlight w:val="none"/>
                <w:u w:val="none"/>
                <w:lang w:val="en-US" w:eastAsia="zh-CN" w:bidi="ar-SA"/>
              </w:rPr>
            </w:pPr>
            <w:r>
              <w:rPr>
                <w:rFonts w:hint="eastAsia" w:cs="@仿宋_GB2312" w:asciiTheme="minorEastAsia" w:hAnsiTheme="minorEastAsia" w:eastAsiaTheme="minorEastAsia"/>
                <w:b/>
                <w:bCs w:val="0"/>
                <w:color w:val="auto"/>
                <w:kern w:val="2"/>
                <w:sz w:val="24"/>
                <w:szCs w:val="24"/>
                <w:highlight w:val="none"/>
                <w:u w:val="none"/>
                <w:lang w:val="en-US" w:eastAsia="zh-CN" w:bidi="ar-SA"/>
              </w:rPr>
              <w:t>（2）若供应商为分支机构，竞争性谈判中对法定代表人的相关要求、材料及签字或盖章对应的为该分支机构负责人的相关要求、材料及签字或盖章。</w:t>
            </w:r>
          </w:p>
        </w:tc>
      </w:tr>
    </w:tbl>
    <w:p w14:paraId="4FBA781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0" w:name="_Toc19323"/>
      <w:bookmarkStart w:id="41" w:name="_Toc3246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40"/>
      <w:bookmarkEnd w:id="41"/>
    </w:p>
    <w:p w14:paraId="269101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385C07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07B79D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635536E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1058DC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7D57A1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1BA9BAF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47262D3E">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40262F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color w:val="auto"/>
          <w:sz w:val="24"/>
          <w:highlight w:val="none"/>
        </w:rPr>
        <w:t>联合体参加谈判的，</w:t>
      </w:r>
      <w:r>
        <w:rPr>
          <w:rFonts w:hint="eastAsia"/>
          <w:b w:val="0"/>
          <w:color w:val="auto"/>
          <w:sz w:val="24"/>
          <w:highlight w:val="none"/>
        </w:rPr>
        <w:t>谈判文件获取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4EA75F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345496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589AF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2E12BA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324E27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D82216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3138B2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A68294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80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0BA97B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04B83825">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57C909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E16B6C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302FA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30B62AB9">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105A853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0E4B2CA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CD27D5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D46834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E716FF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3686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EB873D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7EF0B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F8B5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3A256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3E7A2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D10B7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2" w:name="_Hlk16458572"/>
      <w:r>
        <w:rPr>
          <w:rFonts w:hint="eastAsia"/>
          <w:color w:val="auto"/>
          <w:sz w:val="24"/>
          <w:szCs w:val="18"/>
          <w:highlight w:val="none"/>
        </w:rPr>
        <w:t>安徽省政府采购网</w:t>
      </w:r>
      <w:bookmarkEnd w:id="42"/>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691791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A040FBE">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99F7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A78C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C000B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41F4A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1D27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AFA75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D9BF40F">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619B9C3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3" w:name="_Hlk11703583"/>
      <w:r>
        <w:rPr>
          <w:rFonts w:hint="eastAsia" w:asciiTheme="minorEastAsia" w:hAnsiTheme="minorEastAsia" w:eastAsiaTheme="minorEastAsia"/>
          <w:color w:val="auto"/>
          <w:sz w:val="24"/>
          <w:highlight w:val="none"/>
        </w:rPr>
        <w:t>。</w:t>
      </w:r>
    </w:p>
    <w:bookmarkEnd w:id="43"/>
    <w:p w14:paraId="61402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31499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BB1E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7B4CC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431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F7D8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B057C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A74DA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.1本项目不收取谈判保证金。</w:t>
      </w:r>
    </w:p>
    <w:p w14:paraId="6D4678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39F8C1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F13B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7BFDD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6768CE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1B3134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10ABF8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286E03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254EE214">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2CD9B1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谈判小组</w:t>
      </w:r>
    </w:p>
    <w:p w14:paraId="0C0B5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B17E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0C8FD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E63474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5810FC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025074F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3CC290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2911639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2FF65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50D897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C5435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77D2BC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CE9D7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。初审合格后，谈判小组将按网上加密电子响应文件提交顺序集中与单一供应商分别进行谈判，并给予所有参加谈判的供应商平等的谈判机会。</w:t>
      </w:r>
    </w:p>
    <w:p w14:paraId="38962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color w:val="auto"/>
          <w:sz w:val="24"/>
          <w:highlight w:val="none"/>
          <w:lang w:val="en-US" w:eastAsia="zh-CN"/>
        </w:rPr>
        <w:t>谈判</w:t>
      </w:r>
      <w:r>
        <w:rPr>
          <w:rFonts w:hint="eastAsia" w:ascii="宋体" w:hAnsi="宋体" w:eastAsia="宋体"/>
          <w:color w:val="auto"/>
          <w:sz w:val="24"/>
          <w:highlight w:val="none"/>
          <w:lang w:val="en-US" w:eastAsia="zh-CN"/>
        </w:rPr>
        <w:t>小组进行异常低价响应审查。</w:t>
      </w:r>
    </w:p>
    <w:p w14:paraId="2B2F9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132A6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17441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3D7200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F649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C7758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F562C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17778E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544E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CDFB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D6632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F47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13A6F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7ADFBD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B8B610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79AFD74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而无法接受谈判小组询标的，供应商自行承担相关风险。</w:t>
      </w:r>
    </w:p>
    <w:p w14:paraId="58A6577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7D7FE4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938B2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本项目约定为二轮报价</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w:t>
      </w:r>
    </w:p>
    <w:p w14:paraId="3AD2882D">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lang w:eastAsia="zh-CN"/>
        </w:rPr>
        <w:t>本次</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lang w:eastAsia="zh-CN"/>
        </w:rPr>
        <w:t>实行</w:t>
      </w:r>
      <w:r>
        <w:rPr>
          <w:rFonts w:hint="eastAsia" w:asciiTheme="minorEastAsia" w:hAnsiTheme="minorEastAsia" w:eastAsiaTheme="minorEastAsia"/>
          <w:color w:val="auto"/>
          <w:sz w:val="24"/>
          <w:highlight w:val="none"/>
          <w:lang w:val="en-US" w:eastAsia="zh-CN"/>
        </w:rPr>
        <w:t>二轮报价</w:t>
      </w:r>
      <w:r>
        <w:rPr>
          <w:rFonts w:hint="eastAsia" w:asciiTheme="minorEastAsia" w:hAnsiTheme="minorEastAsia" w:eastAsiaTheme="minorEastAsia"/>
          <w:color w:val="auto"/>
          <w:sz w:val="24"/>
          <w:highlight w:val="none"/>
          <w:lang w:eastAsia="zh-CN"/>
        </w:rPr>
        <w:t>。第一</w:t>
      </w:r>
      <w:r>
        <w:rPr>
          <w:rFonts w:hint="eastAsia" w:asciiTheme="minorEastAsia" w:hAnsiTheme="minorEastAsia" w:eastAsiaTheme="minorEastAsia"/>
          <w:color w:val="auto"/>
          <w:sz w:val="24"/>
          <w:highlight w:val="none"/>
          <w:lang w:val="en-US" w:eastAsia="zh-CN"/>
        </w:rPr>
        <w:t>轮</w:t>
      </w:r>
      <w:r>
        <w:rPr>
          <w:rFonts w:hint="eastAsia" w:asciiTheme="minorEastAsia" w:hAnsiTheme="minorEastAsia" w:eastAsiaTheme="minorEastAsia"/>
          <w:color w:val="auto"/>
          <w:sz w:val="24"/>
          <w:highlight w:val="none"/>
          <w:lang w:eastAsia="zh-CN"/>
        </w:rPr>
        <w:t>报价为供应商在响应文件中填报的报价，第</w:t>
      </w:r>
      <w:r>
        <w:rPr>
          <w:rFonts w:hint="eastAsia" w:asciiTheme="minorEastAsia" w:hAnsiTheme="minorEastAsia" w:eastAsiaTheme="minorEastAsia"/>
          <w:color w:val="auto"/>
          <w:sz w:val="24"/>
          <w:highlight w:val="none"/>
          <w:lang w:val="en-US" w:eastAsia="zh-CN"/>
        </w:rPr>
        <w:t>二轮</w:t>
      </w:r>
      <w:r>
        <w:rPr>
          <w:rFonts w:hint="eastAsia" w:asciiTheme="minorEastAsia" w:hAnsiTheme="minorEastAsia" w:eastAsiaTheme="minorEastAsia"/>
          <w:color w:val="auto"/>
          <w:sz w:val="24"/>
          <w:highlight w:val="none"/>
          <w:lang w:eastAsia="zh-CN"/>
        </w:rPr>
        <w:t>报价在响应文件通过评审后，由谈判小组通过评标系统以询标方式，向响应文件评审有效的各供应商进行询标，各供应商应在评标系统询标规定的时间内，通过“评标澄清回复”进行第</w:t>
      </w:r>
      <w:r>
        <w:rPr>
          <w:rFonts w:hint="eastAsia" w:asciiTheme="minorEastAsia" w:hAnsiTheme="minorEastAsia" w:eastAsiaTheme="minorEastAsia"/>
          <w:color w:val="auto"/>
          <w:sz w:val="24"/>
          <w:highlight w:val="none"/>
          <w:lang w:val="en-US" w:eastAsia="zh-CN"/>
        </w:rPr>
        <w:t>二轮</w:t>
      </w:r>
      <w:r>
        <w:rPr>
          <w:rFonts w:hint="eastAsia" w:asciiTheme="minorEastAsia" w:hAnsiTheme="minorEastAsia" w:eastAsiaTheme="minorEastAsia"/>
          <w:color w:val="auto"/>
          <w:sz w:val="24"/>
          <w:highlight w:val="none"/>
          <w:lang w:eastAsia="zh-CN"/>
        </w:rPr>
        <w:t>报价。各供应商应及时查看系统质询问题并及时进行第</w:t>
      </w:r>
      <w:r>
        <w:rPr>
          <w:rFonts w:hint="eastAsia" w:asciiTheme="minorEastAsia" w:hAnsiTheme="minorEastAsia" w:eastAsiaTheme="minorEastAsia"/>
          <w:color w:val="auto"/>
          <w:sz w:val="24"/>
          <w:highlight w:val="none"/>
          <w:lang w:val="en-US" w:eastAsia="zh-CN"/>
        </w:rPr>
        <w:t>二轮</w:t>
      </w:r>
      <w:r>
        <w:rPr>
          <w:rFonts w:hint="eastAsia" w:asciiTheme="minorEastAsia" w:hAnsiTheme="minorEastAsia" w:eastAsiaTheme="minorEastAsia"/>
          <w:color w:val="auto"/>
          <w:sz w:val="24"/>
          <w:highlight w:val="none"/>
          <w:lang w:eastAsia="zh-CN"/>
        </w:rPr>
        <w:t>报价，第</w:t>
      </w:r>
      <w:r>
        <w:rPr>
          <w:rFonts w:hint="eastAsia" w:asciiTheme="minorEastAsia" w:hAnsiTheme="minorEastAsia" w:eastAsiaTheme="minorEastAsia"/>
          <w:color w:val="auto"/>
          <w:sz w:val="24"/>
          <w:highlight w:val="none"/>
          <w:lang w:val="en-US" w:eastAsia="zh-CN"/>
        </w:rPr>
        <w:t>二轮</w:t>
      </w:r>
      <w:r>
        <w:rPr>
          <w:rFonts w:hint="eastAsia" w:asciiTheme="minorEastAsia" w:hAnsiTheme="minorEastAsia" w:eastAsiaTheme="minorEastAsia"/>
          <w:color w:val="auto"/>
          <w:sz w:val="24"/>
          <w:highlight w:val="none"/>
          <w:lang w:eastAsia="zh-CN"/>
        </w:rPr>
        <w:t>报价即为最后报价，若供应商未在系统询标规定的时间内进行第</w:t>
      </w:r>
      <w:r>
        <w:rPr>
          <w:rFonts w:hint="eastAsia" w:asciiTheme="minorEastAsia" w:hAnsiTheme="minorEastAsia" w:eastAsiaTheme="minorEastAsia"/>
          <w:color w:val="auto"/>
          <w:sz w:val="24"/>
          <w:highlight w:val="none"/>
          <w:lang w:val="en-US" w:eastAsia="zh-CN"/>
        </w:rPr>
        <w:t>二轮报价</w:t>
      </w:r>
      <w:r>
        <w:rPr>
          <w:rFonts w:hint="eastAsia" w:asciiTheme="minorEastAsia" w:hAnsiTheme="minorEastAsia" w:eastAsiaTheme="minorEastAsia"/>
          <w:color w:val="auto"/>
          <w:sz w:val="24"/>
          <w:highlight w:val="none"/>
          <w:lang w:eastAsia="zh-CN"/>
        </w:rPr>
        <w:t>（最后报价）或第</w:t>
      </w:r>
      <w:r>
        <w:rPr>
          <w:rFonts w:hint="eastAsia" w:asciiTheme="minorEastAsia" w:hAnsiTheme="minorEastAsia" w:eastAsiaTheme="minorEastAsia"/>
          <w:color w:val="auto"/>
          <w:sz w:val="24"/>
          <w:highlight w:val="none"/>
          <w:lang w:val="en-US" w:eastAsia="zh-CN"/>
        </w:rPr>
        <w:t>二轮</w:t>
      </w:r>
      <w:r>
        <w:rPr>
          <w:rFonts w:hint="eastAsia" w:asciiTheme="minorEastAsia" w:hAnsiTheme="minorEastAsia" w:eastAsiaTheme="minorEastAsia"/>
          <w:color w:val="auto"/>
          <w:sz w:val="24"/>
          <w:highlight w:val="none"/>
          <w:lang w:eastAsia="zh-CN"/>
        </w:rPr>
        <w:t>报价被谈判小组认为不符合要求的，谈判小组默认其响应文件中填报的价格为供应商的最后报价，</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lang w:eastAsia="zh-CN"/>
        </w:rPr>
        <w:t>价格以供应商的最后报价为准。望各供应商务必全程在线，及时进行回复，否则，因此给其造成相关后果，自行承担。采用分项报价的项目，最后报价的各分项结合第</w:t>
      </w:r>
      <w:r>
        <w:rPr>
          <w:rFonts w:hint="eastAsia" w:asciiTheme="minorEastAsia" w:hAnsiTheme="minorEastAsia" w:eastAsiaTheme="minorEastAsia"/>
          <w:color w:val="auto"/>
          <w:sz w:val="24"/>
          <w:highlight w:val="none"/>
          <w:lang w:val="en-US" w:eastAsia="zh-CN"/>
        </w:rPr>
        <w:t>一轮</w:t>
      </w:r>
      <w:r>
        <w:rPr>
          <w:rFonts w:hint="eastAsia" w:asciiTheme="minorEastAsia" w:hAnsiTheme="minorEastAsia" w:eastAsiaTheme="minorEastAsia"/>
          <w:color w:val="auto"/>
          <w:sz w:val="24"/>
          <w:highlight w:val="none"/>
          <w:lang w:eastAsia="zh-CN"/>
        </w:rPr>
        <w:t>报价中的各项单价按总价同比例下浮，价款结算时按成交下浮比率进行调整。</w:t>
      </w:r>
    </w:p>
    <w:p w14:paraId="5206E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93DE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C95EBB0">
      <w:pPr>
        <w:spacing w:line="360" w:lineRule="auto"/>
        <w:ind w:firstLine="435"/>
        <w:rPr>
          <w:rFonts w:asciiTheme="majorEastAsia" w:hAnsiTheme="majorEastAsia" w:eastAsiaTheme="majorEastAsia"/>
          <w:color w:val="auto"/>
          <w:sz w:val="24"/>
          <w:highlight w:val="none"/>
        </w:rPr>
      </w:pPr>
      <w:bookmarkStart w:id="44"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4D5F45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6762D60C">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4"/>
      <w:r>
        <w:rPr>
          <w:rFonts w:hint="eastAsia" w:cs="@仿宋_GB2312"/>
          <w:color w:val="auto"/>
          <w:kern w:val="2"/>
          <w:sz w:val="24"/>
          <w:szCs w:val="22"/>
          <w:highlight w:val="none"/>
        </w:rPr>
        <w:t xml:space="preserve"> </w:t>
      </w:r>
    </w:p>
    <w:p w14:paraId="3642DE69">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37136E4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7C02B71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1343D9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5422345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5B34769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.1本工程确定成交供应商后，工程总造价在谈判范围内包定，除经批准的设计变更、经济签证外，其它工程造价增减均不予签证计价。</w:t>
      </w:r>
    </w:p>
    <w:p w14:paraId="172C13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03F7A8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5E4437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462966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16546C3E">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21871D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B92A1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603FF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CC313E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197D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A0920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C3938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FD22819">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43589B5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1A5DC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876E1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03B500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34D966C">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17FB189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9F1377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561E5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2145BF26">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30DE9C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D3F0B23">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390F4F1E">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63E24A8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BD1633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551AF6">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CF8F279">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8725039">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95E0C4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733B3D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57F6F5CE">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C55A343">
      <w:pPr>
        <w:spacing w:line="360" w:lineRule="auto"/>
        <w:ind w:firstLine="470" w:firstLineChars="196"/>
        <w:rPr>
          <w:color w:val="auto"/>
          <w:sz w:val="24"/>
          <w:highlight w:val="none"/>
        </w:rPr>
      </w:pPr>
      <w:bookmarkStart w:id="45"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5"/>
    </w:p>
    <w:p w14:paraId="1F80FD09">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80852E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254E11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4230B93">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9BCE05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42F6E03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4D1FC7EB">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25D9971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AF8E0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4A7E6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CA581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5D1707A">
      <w:pPr>
        <w:spacing w:line="360" w:lineRule="auto"/>
        <w:jc w:val="center"/>
        <w:outlineLvl w:val="0"/>
        <w:rPr>
          <w:rFonts w:asciiTheme="minorEastAsia" w:hAnsiTheme="minorEastAsia" w:eastAsiaTheme="minorEastAsia"/>
          <w:b/>
          <w:color w:val="auto"/>
          <w:sz w:val="28"/>
          <w:highlight w:val="none"/>
        </w:rPr>
      </w:pPr>
      <w:bookmarkStart w:id="46" w:name="_Toc6146"/>
      <w:r>
        <w:rPr>
          <w:rFonts w:hint="eastAsia" w:asciiTheme="minorEastAsia" w:hAnsiTheme="minorEastAsia" w:eastAsiaTheme="minorEastAsia"/>
          <w:b/>
          <w:color w:val="auto"/>
          <w:sz w:val="28"/>
          <w:highlight w:val="none"/>
        </w:rPr>
        <w:t>第三章  采购需求</w:t>
      </w:r>
      <w:bookmarkEnd w:id="46"/>
    </w:p>
    <w:tbl>
      <w:tblPr>
        <w:tblStyle w:val="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65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03F3C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11E73D9D">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41B96D2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F6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F89C6B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E63A09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3749930">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谈判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B5B62BB">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谈判时所报项目经理及项目部主要管理人员。确需更换时，须报采购人同意，更换后人员不得低于成交供应商谈判时所报人员资质和技术水平。采购人如认为有必要，可要求对上述人员中的部分人员作出更好的调整。</w:t>
            </w:r>
          </w:p>
          <w:p w14:paraId="15AF58B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r>
              <w:rPr>
                <w:rFonts w:hint="eastAsia" w:cs="@仿宋_GB2312" w:asciiTheme="minorEastAsia" w:hAnsiTheme="minorEastAsia" w:eastAsiaTheme="minorEastAsia"/>
                <w:color w:val="auto"/>
                <w:kern w:val="2"/>
                <w:sz w:val="24"/>
                <w:szCs w:val="22"/>
                <w:highlight w:val="none"/>
                <w:lang w:eastAsia="zh-CN"/>
              </w:rPr>
              <w:t>。</w:t>
            </w:r>
          </w:p>
          <w:p w14:paraId="16A0A81E">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其他要求：</w:t>
            </w:r>
          </w:p>
          <w:p w14:paraId="6B5268E2">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1、施工过程中，项目管理及施工人员以外的无关人员一律不得留宿施工现场，项目负责人负责管理及清理出场；</w:t>
            </w:r>
          </w:p>
          <w:p w14:paraId="2F2CBC7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2、施工过程中，严格执行国家及地方针对环保、禁噪、防尘、防护等措施，必须满足当地行政主管部门相关规定及要求。</w:t>
            </w:r>
          </w:p>
          <w:p w14:paraId="3D1B8815">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、施工场地及周边场地、道路、绿化、管线、围墙等，若被施工方损坏，施工方必须无偿按照原貌恢复。</w:t>
            </w:r>
          </w:p>
          <w:p w14:paraId="6BCBF303">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、供应商自行勘察施工现场情况，因供应商未踏勘现场而造成的损失由供应商承担。</w:t>
            </w:r>
          </w:p>
          <w:p w14:paraId="2809CEDC">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、在工程建设过程中，出现质量、安全、进度、文明施工、扬尘污染、人员不在岗履职等违约行为的，发包人将给予违约处罚。</w:t>
            </w:r>
          </w:p>
          <w:p w14:paraId="6748D6C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6</w:t>
            </w:r>
            <w:r>
              <w:rPr>
                <w:rFonts w:hint="eastAsia" w:cs="@仿宋_GB2312" w:asciiTheme="minorEastAsia" w:hAnsiTheme="minorEastAsia" w:eastAsiaTheme="minorEastAsia"/>
                <w:color w:val="auto"/>
                <w:kern w:val="2"/>
                <w:sz w:val="24"/>
                <w:szCs w:val="22"/>
                <w:highlight w:val="none"/>
              </w:rPr>
              <w:t>、施工现场和取、弃土场内的施工便道、机械整平以及协调渣土、环保等相关部门办理相关手续由供应商自行承担。施工渣土、淤泥、建筑垃圾等弃置点需经相关部门批准，并报发包人备案后，方可施工，严禁违规倾倒堆存。否则，责任自负。</w:t>
            </w:r>
          </w:p>
        </w:tc>
      </w:tr>
      <w:tr w14:paraId="3C0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4715C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0C9A1BF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AACC42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所有进场材料必须符合国家质量标准、环保标准；所有货物（包括零部件）须为全新的、未使用过的原装正品，并完全符合国家质量标准，提供厂家出具的合格证书、有国家强制性认证要求的产品须提供相应证书。承包人采购的所有设备及主要材料进场报监理单位审核，经发包人认可后方可进场；</w:t>
            </w:r>
          </w:p>
        </w:tc>
      </w:tr>
      <w:tr w14:paraId="238D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2EDE65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30B4B10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54DB141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3C9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97EC7F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0D45DB3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6D42C246">
            <w:pPr>
              <w:spacing w:line="360" w:lineRule="auto"/>
              <w:rPr>
                <w:color w:val="auto"/>
                <w:kern w:val="2"/>
                <w:sz w:val="21"/>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620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7DC1D6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6B9EB0C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4742E962">
            <w:pPr>
              <w:spacing w:line="360" w:lineRule="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03466509">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C82E3E7">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7A30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6D4E2BD">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5D1E94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7E8E931A">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见第一章《</w:t>
            </w:r>
            <w:r>
              <w:rPr>
                <w:rFonts w:hint="eastAsia" w:cs="@仿宋_GB2312"/>
                <w:color w:val="auto"/>
                <w:kern w:val="2"/>
                <w:sz w:val="24"/>
                <w:szCs w:val="22"/>
                <w:highlight w:val="none"/>
                <w:lang w:val="en-US" w:eastAsia="zh-CN"/>
              </w:rPr>
              <w:t>谈判</w:t>
            </w:r>
            <w:r>
              <w:rPr>
                <w:rFonts w:hint="eastAsia" w:ascii="宋体" w:hAnsi="宋体" w:eastAsia="宋体" w:cs="@仿宋_GB2312"/>
                <w:color w:val="auto"/>
                <w:kern w:val="2"/>
                <w:sz w:val="24"/>
                <w:szCs w:val="22"/>
                <w:highlight w:val="none"/>
                <w:lang w:val="en-US" w:eastAsia="zh-CN"/>
              </w:rPr>
              <w:t>邀请》</w:t>
            </w:r>
          </w:p>
        </w:tc>
      </w:tr>
      <w:tr w14:paraId="35C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57151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40B4608B">
            <w:pPr>
              <w:pStyle w:val="76"/>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25B707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标的名称：琅琊区铜矿北村等9个老旧小区、丰乐新村等11个老旧小区整治改造弱电项目</w:t>
            </w:r>
            <w:r>
              <w:rPr>
                <w:rFonts w:hint="eastAsia" w:asciiTheme="minorEastAsia" w:hAnsiTheme="minorEastAsia" w:eastAsiaTheme="minorEastAsia"/>
                <w:color w:val="auto"/>
                <w:kern w:val="2"/>
                <w:sz w:val="24"/>
                <w:szCs w:val="22"/>
                <w:highlight w:val="none"/>
                <w:lang w:val="en-US" w:eastAsia="zh-CN"/>
              </w:rPr>
              <w:t xml:space="preserve"> </w:t>
            </w:r>
          </w:p>
          <w:p w14:paraId="37DB6969">
            <w:pPr>
              <w:spacing w:line="480" w:lineRule="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所属行业：信息传输业</w:t>
            </w:r>
          </w:p>
          <w:p w14:paraId="092949AE">
            <w:pPr>
              <w:rPr>
                <w:rFonts w:asciiTheme="minorHAnsi" w:hAnsiTheme="minorHAnsi" w:eastAsiaTheme="minorEastAsia"/>
                <w:color w:val="auto"/>
                <w:kern w:val="2"/>
                <w:sz w:val="24"/>
                <w:szCs w:val="22"/>
                <w:highlight w:val="none"/>
              </w:rPr>
            </w:pPr>
          </w:p>
        </w:tc>
      </w:tr>
    </w:tbl>
    <w:p w14:paraId="0195BF3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DECDF0">
      <w:pPr>
        <w:spacing w:line="360" w:lineRule="auto"/>
        <w:jc w:val="center"/>
        <w:outlineLvl w:val="0"/>
        <w:rPr>
          <w:rFonts w:asciiTheme="minorEastAsia" w:hAnsiTheme="minorEastAsia" w:eastAsiaTheme="minorEastAsia"/>
          <w:b/>
          <w:color w:val="auto"/>
          <w:sz w:val="28"/>
          <w:highlight w:val="none"/>
        </w:rPr>
      </w:pPr>
      <w:bookmarkStart w:id="47" w:name="_Toc28266"/>
      <w:r>
        <w:rPr>
          <w:rFonts w:hint="eastAsia" w:asciiTheme="minorEastAsia" w:hAnsiTheme="minorEastAsia" w:eastAsiaTheme="minorEastAsia"/>
          <w:b/>
          <w:color w:val="auto"/>
          <w:sz w:val="28"/>
          <w:highlight w:val="none"/>
        </w:rPr>
        <w:t>第四章  评审方法和标准</w:t>
      </w:r>
      <w:bookmarkEnd w:id="47"/>
    </w:p>
    <w:p w14:paraId="505F2FB1">
      <w:pPr>
        <w:spacing w:line="360" w:lineRule="auto"/>
        <w:ind w:firstLine="437"/>
        <w:outlineLvl w:val="1"/>
        <w:rPr>
          <w:rFonts w:asciiTheme="minorEastAsia" w:hAnsiTheme="minorEastAsia" w:eastAsiaTheme="minorEastAsia"/>
          <w:b/>
          <w:color w:val="auto"/>
          <w:sz w:val="24"/>
          <w:highlight w:val="none"/>
        </w:rPr>
      </w:pPr>
      <w:bookmarkStart w:id="48" w:name="_Toc7817"/>
      <w:bookmarkStart w:id="49" w:name="_Toc7278"/>
      <w:r>
        <w:rPr>
          <w:rFonts w:hint="eastAsia" w:asciiTheme="minorEastAsia" w:hAnsiTheme="minorEastAsia" w:eastAsiaTheme="minorEastAsia"/>
          <w:b/>
          <w:color w:val="auto"/>
          <w:sz w:val="24"/>
          <w:highlight w:val="none"/>
        </w:rPr>
        <w:t>一、总则</w:t>
      </w:r>
      <w:bookmarkEnd w:id="48"/>
      <w:bookmarkEnd w:id="49"/>
    </w:p>
    <w:p w14:paraId="533674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9C0FF9E">
      <w:pPr>
        <w:numPr>
          <w:ilvl w:val="0"/>
          <w:numId w:val="2"/>
        </w:numPr>
        <w:spacing w:line="360" w:lineRule="auto"/>
        <w:ind w:firstLine="437"/>
        <w:outlineLvl w:val="1"/>
        <w:rPr>
          <w:rFonts w:hint="eastAsia" w:asciiTheme="minorEastAsia" w:hAnsiTheme="minorEastAsia" w:eastAsiaTheme="minorEastAsia"/>
          <w:b/>
          <w:color w:val="auto"/>
          <w:sz w:val="24"/>
          <w:highlight w:val="none"/>
        </w:rPr>
      </w:pPr>
      <w:bookmarkStart w:id="50" w:name="_Toc31007"/>
      <w:bookmarkStart w:id="51" w:name="_Toc31558"/>
      <w:r>
        <w:rPr>
          <w:rFonts w:hint="eastAsia" w:asciiTheme="minorEastAsia" w:hAnsiTheme="minorEastAsia" w:eastAsiaTheme="minorEastAsia"/>
          <w:b/>
          <w:color w:val="auto"/>
          <w:sz w:val="24"/>
          <w:highlight w:val="none"/>
        </w:rPr>
        <w:t>评审方法</w:t>
      </w:r>
      <w:bookmarkEnd w:id="50"/>
      <w:bookmarkEnd w:id="51"/>
    </w:p>
    <w:p w14:paraId="6F0ECC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CC625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55"/>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553"/>
        <w:gridCol w:w="3777"/>
        <w:gridCol w:w="2438"/>
      </w:tblGrid>
      <w:tr w14:paraId="65F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18B3E0F7">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323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2" w:type="pct"/>
            <w:tcBorders>
              <w:bottom w:val="single" w:color="auto" w:sz="4" w:space="0"/>
            </w:tcBorders>
            <w:vAlign w:val="center"/>
          </w:tcPr>
          <w:p w14:paraId="42B9ED5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01" w:type="pct"/>
            <w:tcBorders>
              <w:bottom w:val="single" w:color="auto" w:sz="4" w:space="0"/>
            </w:tcBorders>
            <w:vAlign w:val="center"/>
          </w:tcPr>
          <w:p w14:paraId="5EEB0161">
            <w:pPr>
              <w:pStyle w:val="77"/>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191" w:type="pct"/>
            <w:tcBorders>
              <w:bottom w:val="single" w:color="auto" w:sz="4" w:space="0"/>
            </w:tcBorders>
            <w:vAlign w:val="center"/>
          </w:tcPr>
          <w:p w14:paraId="68ABB77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414" w:type="pct"/>
            <w:tcBorders>
              <w:bottom w:val="single" w:color="auto" w:sz="4" w:space="0"/>
            </w:tcBorders>
            <w:vAlign w:val="center"/>
          </w:tcPr>
          <w:p w14:paraId="71EA4505">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7C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bottom w:val="single" w:color="auto" w:sz="4" w:space="0"/>
            </w:tcBorders>
            <w:vAlign w:val="center"/>
          </w:tcPr>
          <w:p w14:paraId="27A7CD8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01" w:type="pct"/>
            <w:tcBorders>
              <w:bottom w:val="single" w:color="auto" w:sz="4" w:space="0"/>
            </w:tcBorders>
            <w:vAlign w:val="center"/>
          </w:tcPr>
          <w:p w14:paraId="614DAAC0">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191" w:type="pct"/>
            <w:tcBorders>
              <w:bottom w:val="single" w:color="auto" w:sz="4" w:space="0"/>
            </w:tcBorders>
            <w:vAlign w:val="center"/>
          </w:tcPr>
          <w:p w14:paraId="3584368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6FA5344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E909C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B16C0A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325DDE9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414" w:type="pct"/>
            <w:tcBorders>
              <w:bottom w:val="single" w:color="auto" w:sz="4" w:space="0"/>
            </w:tcBorders>
            <w:vAlign w:val="center"/>
          </w:tcPr>
          <w:p w14:paraId="0E7AE123">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62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7C6C4F8">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01" w:type="pct"/>
            <w:vAlign w:val="center"/>
          </w:tcPr>
          <w:p w14:paraId="05622CC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191" w:type="pct"/>
            <w:vAlign w:val="center"/>
          </w:tcPr>
          <w:p w14:paraId="4AB3C6EF">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414" w:type="pct"/>
            <w:vAlign w:val="center"/>
          </w:tcPr>
          <w:p w14:paraId="437D4B04">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5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47D40C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3</w:t>
            </w:r>
          </w:p>
        </w:tc>
        <w:tc>
          <w:tcPr>
            <w:tcW w:w="901" w:type="pct"/>
            <w:vAlign w:val="center"/>
          </w:tcPr>
          <w:p w14:paraId="1F85686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04C7821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14" w:type="pct"/>
            <w:vAlign w:val="center"/>
          </w:tcPr>
          <w:p w14:paraId="167A79D3">
            <w:pPr>
              <w:spacing w:line="360" w:lineRule="auto"/>
              <w:jc w:val="left"/>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E47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50414D2F">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4</w:t>
            </w:r>
          </w:p>
        </w:tc>
        <w:tc>
          <w:tcPr>
            <w:tcW w:w="901" w:type="pct"/>
            <w:vAlign w:val="center"/>
          </w:tcPr>
          <w:p w14:paraId="1B128A1B">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191" w:type="pct"/>
            <w:vAlign w:val="top"/>
          </w:tcPr>
          <w:p w14:paraId="4F999FF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AF19DF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7BDE8C4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414" w:type="pct"/>
            <w:vAlign w:val="center"/>
          </w:tcPr>
          <w:p w14:paraId="088E328E">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77D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1AB4F71">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color w:val="auto"/>
                <w:sz w:val="24"/>
                <w:highlight w:val="none"/>
                <w:lang w:val="en-US" w:eastAsia="zh-CN"/>
              </w:rPr>
              <w:t>5</w:t>
            </w:r>
          </w:p>
        </w:tc>
        <w:tc>
          <w:tcPr>
            <w:tcW w:w="901" w:type="pct"/>
            <w:vAlign w:val="center"/>
          </w:tcPr>
          <w:p w14:paraId="41F81BE3">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191" w:type="pct"/>
            <w:vAlign w:val="center"/>
          </w:tcPr>
          <w:p w14:paraId="3A8D1D35">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val="en-US" w:eastAsia="zh-CN"/>
              </w:rPr>
              <w:t>谈判</w:t>
            </w:r>
            <w:r>
              <w:rPr>
                <w:rFonts w:ascii="宋体" w:hAnsi="宋体" w:eastAsia="宋体" w:cs="宋体"/>
                <w:color w:val="auto"/>
                <w:spacing w:val="-2"/>
                <w:sz w:val="24"/>
                <w:szCs w:val="24"/>
                <w:highlight w:val="none"/>
              </w:rPr>
              <w:t>邀请》</w:t>
            </w:r>
          </w:p>
        </w:tc>
        <w:tc>
          <w:tcPr>
            <w:tcW w:w="1414" w:type="pct"/>
            <w:vAlign w:val="center"/>
          </w:tcPr>
          <w:p w14:paraId="411E3B59">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9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DAF626E">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asciiTheme="majorEastAsia" w:hAnsiTheme="majorEastAsia" w:eastAsiaTheme="majorEastAsia"/>
                <w:color w:val="auto"/>
                <w:sz w:val="24"/>
                <w:highlight w:val="none"/>
                <w:lang w:val="en-US" w:eastAsia="zh-CN"/>
              </w:rPr>
              <w:t>6</w:t>
            </w:r>
          </w:p>
        </w:tc>
        <w:tc>
          <w:tcPr>
            <w:tcW w:w="901" w:type="pct"/>
            <w:vAlign w:val="center"/>
          </w:tcPr>
          <w:p w14:paraId="5C5B72BC">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191" w:type="pct"/>
            <w:vAlign w:val="center"/>
          </w:tcPr>
          <w:p w14:paraId="5749B2A9">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谈判</w:t>
            </w:r>
            <w:r>
              <w:rPr>
                <w:rFonts w:ascii="宋体" w:hAnsi="宋体" w:eastAsia="宋体" w:cs="宋体"/>
                <w:color w:val="auto"/>
                <w:spacing w:val="10"/>
                <w:sz w:val="24"/>
                <w:szCs w:val="24"/>
                <w:highlight w:val="none"/>
              </w:rPr>
              <w:t>邀请》</w:t>
            </w:r>
          </w:p>
        </w:tc>
        <w:tc>
          <w:tcPr>
            <w:tcW w:w="1414" w:type="pct"/>
            <w:vAlign w:val="center"/>
          </w:tcPr>
          <w:p w14:paraId="4E1AB3F4">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51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5299DD2">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901" w:type="pct"/>
            <w:vAlign w:val="center"/>
          </w:tcPr>
          <w:p w14:paraId="277A8B42">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191" w:type="pct"/>
            <w:vAlign w:val="center"/>
          </w:tcPr>
          <w:p w14:paraId="7D9C972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1D07597F">
            <w:pPr>
              <w:spacing w:after="50" w:line="360" w:lineRule="auto"/>
              <w:ind w:right="-1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详见第六章响应文件 </w:t>
            </w:r>
          </w:p>
          <w:p w14:paraId="62302154">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格式</w:t>
            </w:r>
          </w:p>
        </w:tc>
      </w:tr>
      <w:tr w14:paraId="44CE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45A5EB">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8</w:t>
            </w:r>
          </w:p>
        </w:tc>
        <w:tc>
          <w:tcPr>
            <w:tcW w:w="901" w:type="pct"/>
            <w:vAlign w:val="center"/>
          </w:tcPr>
          <w:p w14:paraId="73D8CB05">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谈判响应函</w:t>
            </w:r>
          </w:p>
        </w:tc>
        <w:tc>
          <w:tcPr>
            <w:tcW w:w="2191" w:type="pct"/>
            <w:vAlign w:val="center"/>
          </w:tcPr>
          <w:p w14:paraId="486C717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2252802A">
            <w:pPr>
              <w:spacing w:after="50" w:line="360" w:lineRule="auto"/>
              <w:ind w:right="-1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详见第六章响应文件 </w:t>
            </w:r>
          </w:p>
          <w:p w14:paraId="5A7D1305">
            <w:pPr>
              <w:adjustRightInd w:val="0"/>
              <w:snapToGrid w:val="0"/>
              <w:spacing w:line="360" w:lineRule="auto"/>
              <w:ind w:right="-10" w:rightChars="0"/>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格式</w:t>
            </w:r>
          </w:p>
        </w:tc>
      </w:tr>
      <w:tr w14:paraId="4675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17A2EE0">
            <w:pPr>
              <w:adjustRightInd w:val="0"/>
              <w:snapToGrid w:val="0"/>
              <w:spacing w:line="360" w:lineRule="auto"/>
              <w:ind w:right="-10" w:rightChars="0"/>
              <w:jc w:val="center"/>
              <w:rPr>
                <w:rFonts w:hint="eastAsia" w:eastAsia="宋体" w:cs="Times New Roman" w:asciiTheme="minorEastAsia" w:hAnsiTheme="minorEastAsia"/>
                <w:color w:val="auto"/>
                <w:kern w:val="2"/>
                <w:sz w:val="24"/>
                <w:szCs w:val="22"/>
                <w:highlight w:val="none"/>
                <w:lang w:eastAsia="zh-CN"/>
              </w:rPr>
            </w:pPr>
            <w:r>
              <w:rPr>
                <w:rFonts w:hint="eastAsia"/>
                <w:color w:val="auto"/>
                <w:sz w:val="24"/>
                <w:highlight w:val="none"/>
                <w:lang w:val="en-US" w:eastAsia="zh-CN"/>
              </w:rPr>
              <w:t>9</w:t>
            </w:r>
          </w:p>
        </w:tc>
        <w:tc>
          <w:tcPr>
            <w:tcW w:w="901" w:type="pct"/>
            <w:vAlign w:val="center"/>
          </w:tcPr>
          <w:p w14:paraId="3FF25C10">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191" w:type="pct"/>
            <w:vAlign w:val="center"/>
          </w:tcPr>
          <w:p w14:paraId="2A2117F6">
            <w:pPr>
              <w:spacing w:after="50" w:line="360" w:lineRule="auto"/>
              <w:ind w:right="-10" w:rightChars="0"/>
              <w:jc w:val="both"/>
              <w:rPr>
                <w:rFonts w:hint="eastAsia" w:ascii="Calibri" w:hAnsi="Calibri" w:cs="Times New Roman"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4" w:type="pct"/>
            <w:vAlign w:val="center"/>
          </w:tcPr>
          <w:p w14:paraId="309E490C">
            <w:pPr>
              <w:spacing w:after="50" w:line="360" w:lineRule="auto"/>
              <w:ind w:right="-1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详见第六章响应文件 </w:t>
            </w:r>
          </w:p>
          <w:p w14:paraId="5591EA75">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格式</w:t>
            </w:r>
          </w:p>
        </w:tc>
      </w:tr>
      <w:tr w14:paraId="5D1A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1864492">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olor w:val="auto"/>
                <w:sz w:val="24"/>
                <w:highlight w:val="none"/>
                <w:lang w:val="en-US" w:eastAsia="zh-CN"/>
              </w:rPr>
              <w:t>10</w:t>
            </w:r>
          </w:p>
        </w:tc>
        <w:tc>
          <w:tcPr>
            <w:tcW w:w="901" w:type="pct"/>
            <w:vAlign w:val="center"/>
          </w:tcPr>
          <w:p w14:paraId="49E769E2">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rPr>
              <w:t>诚信履约承诺函</w:t>
            </w:r>
          </w:p>
        </w:tc>
        <w:tc>
          <w:tcPr>
            <w:tcW w:w="2191" w:type="pct"/>
            <w:vAlign w:val="center"/>
          </w:tcPr>
          <w:p w14:paraId="72E9A76D">
            <w:pPr>
              <w:spacing w:after="50" w:line="360" w:lineRule="auto"/>
              <w:ind w:right="-10" w:rightChars="0"/>
              <w:jc w:val="center"/>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414" w:type="pct"/>
            <w:vAlign w:val="center"/>
          </w:tcPr>
          <w:p w14:paraId="706D2FC4">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szCs w:val="28"/>
                <w:highlight w:val="none"/>
              </w:rPr>
              <w:t>详见第六章</w:t>
            </w: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文件格式</w:t>
            </w:r>
            <w:r>
              <w:rPr>
                <w:rFonts w:hint="eastAsia" w:asciiTheme="minorEastAsia" w:hAnsiTheme="minorEastAsia" w:eastAsiaTheme="minorEastAsia"/>
                <w:color w:val="auto"/>
                <w:sz w:val="24"/>
                <w:szCs w:val="28"/>
                <w:highlight w:val="none"/>
                <w:lang w:eastAsia="zh-CN"/>
              </w:rPr>
              <w:t>。</w:t>
            </w:r>
          </w:p>
        </w:tc>
      </w:tr>
      <w:tr w14:paraId="7543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5" w:type="pct"/>
            <w:gridSpan w:val="3"/>
            <w:tcBorders>
              <w:bottom w:val="single" w:color="auto" w:sz="4" w:space="0"/>
            </w:tcBorders>
            <w:vAlign w:val="center"/>
          </w:tcPr>
          <w:p w14:paraId="20484E4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414" w:type="pct"/>
            <w:tcBorders>
              <w:bottom w:val="single" w:color="auto" w:sz="4" w:space="0"/>
            </w:tcBorders>
            <w:vAlign w:val="center"/>
          </w:tcPr>
          <w:p w14:paraId="35C2FB42">
            <w:pPr>
              <w:adjustRightInd w:val="0"/>
              <w:snapToGrid w:val="0"/>
              <w:ind w:right="-10"/>
              <w:jc w:val="left"/>
              <w:rPr>
                <w:rFonts w:hint="eastAsia" w:ascii="Calibri" w:hAnsi="Calibri" w:cs="Times New Roman"/>
                <w:color w:val="auto"/>
                <w:kern w:val="2"/>
                <w:sz w:val="24"/>
                <w:szCs w:val="22"/>
                <w:highlight w:val="none"/>
              </w:rPr>
            </w:pPr>
          </w:p>
        </w:tc>
      </w:tr>
    </w:tbl>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（4）谈判小组基于专业判断，认为供应商报价过低，有可能影响产品质量或者不能诚信履约的其他情形。</w:t>
            </w:r>
          </w:p>
          <w:p w14:paraId="14FCFEF9">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0BE4D07D">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4095AB60">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57170614">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根据《关于推进解决政府采购异常低价问题的通知》（财库〔2026〕2号），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0B411230">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 xml:space="preserve">小组应当将其作为无效响应处理。 </w:t>
      </w:r>
    </w:p>
    <w:p w14:paraId="03E83FE5">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color w:val="auto"/>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p>
    <w:p w14:paraId="59EF441E">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无效响应条款</w:t>
      </w:r>
    </w:p>
    <w:p w14:paraId="274E54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.1响应文件有下列情形之一的,其响应文件拒收:</w:t>
      </w:r>
    </w:p>
    <w:p w14:paraId="4D76C8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3A61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1BE974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.2供应商有下列情形之一的,资格审查后其作无效响应处理：</w:t>
      </w:r>
    </w:p>
    <w:p w14:paraId="037609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17C600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1EAC98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03F6CCB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竞争性谈判公告</w:t>
      </w:r>
      <w:r>
        <w:rPr>
          <w:rFonts w:hint="eastAsia" w:asciiTheme="minorEastAsia" w:hAnsiTheme="minorEastAsia" w:eastAsiaTheme="minorEastAsia"/>
          <w:color w:val="auto"/>
          <w:sz w:val="24"/>
          <w:highlight w:val="none"/>
        </w:rPr>
        <w:t>写明专门面向中小企业采购，供应商提供的货物非中小企业制造的；</w:t>
      </w:r>
    </w:p>
    <w:p w14:paraId="6A2454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1C4F16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30A9ED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（7）无法查看并检验电子响应文件中相关资料的；</w:t>
      </w:r>
    </w:p>
    <w:p w14:paraId="294378B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2670009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6BE31C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暂停或者取消参与政府采购项目资格的；</w:t>
      </w:r>
    </w:p>
    <w:p w14:paraId="65BBE8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401B78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）供应商基本资格条件和特定资格条件中有一项及以上不符合要求的；</w:t>
      </w:r>
    </w:p>
    <w:p w14:paraId="554C0E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1CAC2C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）其它情形按无效响应处理，并经公共资源交易监督部门核准的；</w:t>
      </w:r>
    </w:p>
    <w:p w14:paraId="14D298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）供应商响应MAC地址或供应商联系人或联系电话相同的，由</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否决其响应，并报告监管部门作不良行为处理和进一步调查；</w:t>
      </w:r>
    </w:p>
    <w:p w14:paraId="1D59AA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）供应商单方面出现其他供应商材料的</w:t>
      </w:r>
      <w:r>
        <w:rPr>
          <w:rFonts w:hint="eastAsia" w:cs="@仿宋_GB2312" w:asciiTheme="minorEastAsia" w:hAnsiTheme="minorEastAsia" w:eastAsiaTheme="minorEastAsia"/>
          <w:b w:val="0"/>
          <w:bCs/>
          <w:color w:val="auto"/>
          <w:kern w:val="2"/>
          <w:sz w:val="24"/>
          <w:szCs w:val="24"/>
          <w:highlight w:val="none"/>
          <w:u w:val="none"/>
          <w:lang w:val="en-US" w:eastAsia="zh-CN" w:bidi="ar-SA"/>
        </w:rPr>
        <w:t>（组成联合体响应的除外）</w:t>
      </w:r>
      <w:r>
        <w:rPr>
          <w:rFonts w:hint="eastAsia" w:asciiTheme="minorEastAsia" w:hAnsiTheme="minorEastAsia" w:eastAsiaTheme="minorEastAsia"/>
          <w:color w:val="auto"/>
          <w:sz w:val="24"/>
          <w:highlight w:val="none"/>
        </w:rPr>
        <w:t>；</w:t>
      </w:r>
    </w:p>
    <w:p w14:paraId="2DF91E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竞争性谈判公告</w:t>
      </w:r>
      <w:r>
        <w:rPr>
          <w:rFonts w:hint="eastAsia" w:asciiTheme="minorEastAsia" w:hAnsiTheme="minorEastAsia" w:eastAsiaTheme="minorEastAsia"/>
          <w:color w:val="auto"/>
          <w:sz w:val="24"/>
          <w:highlight w:val="none"/>
        </w:rPr>
        <w:t>未写明允许采购进口产品，供应商所投产品为进口产品的；</w:t>
      </w:r>
    </w:p>
    <w:p w14:paraId="2BBD003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规定的其它无效情形。</w:t>
      </w:r>
    </w:p>
    <w:p w14:paraId="0D972B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746876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一致认定对响应内容有实质性影响并经公共资源交易监督部门核准的；</w:t>
      </w:r>
    </w:p>
    <w:p w14:paraId="5FE77F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483A4E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规定提交备选方案的除外；</w:t>
      </w:r>
    </w:p>
    <w:p w14:paraId="15387D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的实质性要求和条件作出响应；</w:t>
      </w:r>
    </w:p>
    <w:p w14:paraId="7886A9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给定的单价最高限价；</w:t>
      </w:r>
    </w:p>
    <w:p w14:paraId="28AEFD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要求澄清、说明或补正的，或者</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的计算错误进行修正后，供应商不接受修正的报价的。</w:t>
      </w:r>
    </w:p>
    <w:p w14:paraId="118741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提出按无效响应处理，并经公共资源交易监督部门核准的；</w:t>
      </w:r>
    </w:p>
    <w:p w14:paraId="5B62CC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5E0EC3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规定的其它无效响应情形。</w:t>
      </w:r>
    </w:p>
    <w:p w14:paraId="6EAEE8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220B99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629CED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05648E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10DB1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566EE3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评审修正的响应无效；</w:t>
      </w:r>
    </w:p>
    <w:p w14:paraId="5FAA99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w:t>
      </w:r>
      <w:r>
        <w:rPr>
          <w:rFonts w:hint="eastAsia" w:asciiTheme="minorEastAsia" w:hAnsiTheme="minorEastAsia" w:eastAsiaTheme="minorEastAsia"/>
          <w:color w:val="auto"/>
          <w:sz w:val="24"/>
          <w:highlight w:val="none"/>
          <w:lang w:eastAsia="zh-CN"/>
        </w:rPr>
        <w:t>谈判小组</w:t>
      </w:r>
      <w:r>
        <w:rPr>
          <w:rFonts w:hint="eastAsia" w:asciiTheme="minorEastAsia" w:hAnsiTheme="minorEastAsia" w:eastAsiaTheme="minorEastAsia"/>
          <w:color w:val="auto"/>
          <w:sz w:val="24"/>
          <w:highlight w:val="none"/>
        </w:rPr>
        <w:t>提出按无效响应处理，并经公共资源交易监督部门核准的；</w:t>
      </w:r>
    </w:p>
    <w:p w14:paraId="2B9DF6F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规定的其它无效响应情形。</w:t>
      </w:r>
    </w:p>
    <w:p w14:paraId="5E887C38">
      <w:pPr>
        <w:widowControl/>
        <w:jc w:val="left"/>
        <w:rPr>
          <w:rFonts w:asciiTheme="minorEastAsia" w:hAnsiTheme="minorEastAsia" w:eastAsiaTheme="minorEastAsia"/>
          <w:color w:val="auto"/>
          <w:sz w:val="24"/>
          <w:highlight w:val="none"/>
        </w:rPr>
      </w:pPr>
    </w:p>
    <w:p w14:paraId="708EE31F">
      <w:pPr>
        <w:rPr>
          <w:rFonts w:hint="eastAsia" w:asciiTheme="minorEastAsia" w:hAnsiTheme="minorEastAsia" w:eastAsiaTheme="minorEastAsia"/>
          <w:b/>
          <w:color w:val="auto"/>
          <w:sz w:val="28"/>
          <w:highlight w:val="none"/>
        </w:rPr>
      </w:pPr>
      <w:bookmarkStart w:id="52" w:name="_Toc32646"/>
      <w:r>
        <w:rPr>
          <w:rFonts w:hint="eastAsia" w:asciiTheme="minorEastAsia" w:hAnsiTheme="minorEastAsia" w:eastAsiaTheme="minorEastAsia"/>
          <w:b/>
          <w:color w:val="auto"/>
          <w:sz w:val="28"/>
          <w:highlight w:val="none"/>
        </w:rPr>
        <w:br w:type="page"/>
      </w:r>
    </w:p>
    <w:p w14:paraId="7D2009A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2"/>
    </w:p>
    <w:p w14:paraId="2153758B">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53" w:name="_Toc28799376"/>
      <w:bookmarkStart w:id="54" w:name="_Toc130919120"/>
      <w:bookmarkStart w:id="55" w:name="_Toc25807"/>
      <w:r>
        <w:rPr>
          <w:rFonts w:hint="eastAsia" w:cs="宋体"/>
          <w:b/>
          <w:bCs/>
          <w:color w:val="auto"/>
          <w:sz w:val="21"/>
          <w:szCs w:val="21"/>
          <w:highlight w:val="none"/>
        </w:rPr>
        <w:t>第一节  合同协议书</w:t>
      </w:r>
      <w:bookmarkEnd w:id="53"/>
      <w:bookmarkEnd w:id="54"/>
      <w:bookmarkEnd w:id="55"/>
    </w:p>
    <w:p w14:paraId="03331CF6">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滁州市琅琊区住房城乡建设交通局</w:t>
      </w:r>
    </w:p>
    <w:p w14:paraId="7B604D2C">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4C80084">
      <w:pPr>
        <w:spacing w:line="360" w:lineRule="auto"/>
        <w:rPr>
          <w:rFonts w:ascii="Times New Roman" w:hAnsi="Times New Roman" w:eastAsia="仿宋_GB2312" w:cs="Times New Roman"/>
          <w:b/>
          <w:color w:val="auto"/>
          <w:kern w:val="2"/>
          <w:sz w:val="30"/>
          <w:szCs w:val="30"/>
          <w:highlight w:val="none"/>
          <w:u w:val="single"/>
        </w:rPr>
      </w:pPr>
    </w:p>
    <w:p w14:paraId="1318D2A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琅琊区铜矿北村等9个老旧小区、丰乐新村等11个老旧小区整治改造弱电项目 </w:t>
      </w:r>
      <w:r>
        <w:rPr>
          <w:rFonts w:hint="eastAsia" w:cs="宋体"/>
          <w:color w:val="auto"/>
          <w:sz w:val="21"/>
          <w:szCs w:val="21"/>
          <w:highlight w:val="none"/>
        </w:rPr>
        <w:t>工程施工及有关事项协商一致，共同达成如下协议：</w:t>
      </w:r>
    </w:p>
    <w:p w14:paraId="6546FDA2">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14A44332">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琅琊区铜矿北村等9个老旧小区、丰乐新村等11个老旧小区整治改造弱电项目 </w:t>
      </w:r>
      <w:r>
        <w:rPr>
          <w:rFonts w:hint="eastAsia" w:cs="宋体"/>
          <w:color w:val="auto"/>
          <w:sz w:val="21"/>
          <w:szCs w:val="21"/>
          <w:highlight w:val="none"/>
        </w:rPr>
        <w:t>。</w:t>
      </w:r>
    </w:p>
    <w:p w14:paraId="30A5D40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滁州市内</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F897DA">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6C51DC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财政资金</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5AB1206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以施工图纸及工程量清单内容为准</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75ECFD5D">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7C05F729">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1A148694">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施工图纸和工程量清单载明的施工内容及施工过程中的变更调整内容。</w:t>
      </w:r>
    </w:p>
    <w:p w14:paraId="0C5B67DC">
      <w:pPr>
        <w:snapToGrid w:val="0"/>
        <w:spacing w:line="360" w:lineRule="auto"/>
        <w:ind w:firstLine="422" w:firstLineChars="200"/>
        <w:rPr>
          <w:rFonts w:cs="宋体"/>
          <w:b/>
          <w:color w:val="auto"/>
          <w:sz w:val="21"/>
          <w:szCs w:val="21"/>
          <w:highlight w:val="none"/>
        </w:rPr>
      </w:pPr>
      <w:bookmarkStart w:id="56" w:name="_Toc351203482"/>
      <w:r>
        <w:rPr>
          <w:rFonts w:hint="eastAsia" w:cs="宋体"/>
          <w:b/>
          <w:color w:val="auto"/>
          <w:sz w:val="21"/>
          <w:szCs w:val="21"/>
          <w:highlight w:val="none"/>
        </w:rPr>
        <w:t>二、合同工期</w:t>
      </w:r>
      <w:bookmarkEnd w:id="56"/>
    </w:p>
    <w:p w14:paraId="597DA637">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4C01604C">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85852DC">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36423D2B">
      <w:pPr>
        <w:snapToGrid w:val="0"/>
        <w:spacing w:line="360" w:lineRule="auto"/>
        <w:ind w:firstLine="422" w:firstLineChars="200"/>
        <w:rPr>
          <w:rFonts w:cs="宋体"/>
          <w:b/>
          <w:color w:val="auto"/>
          <w:sz w:val="21"/>
          <w:szCs w:val="21"/>
          <w:highlight w:val="none"/>
        </w:rPr>
      </w:pPr>
      <w:bookmarkStart w:id="57" w:name="_Toc351203483"/>
      <w:r>
        <w:rPr>
          <w:rFonts w:hint="eastAsia" w:cs="宋体"/>
          <w:b/>
          <w:color w:val="auto"/>
          <w:sz w:val="21"/>
          <w:szCs w:val="21"/>
          <w:highlight w:val="none"/>
        </w:rPr>
        <w:t>三、质量标准</w:t>
      </w:r>
      <w:bookmarkEnd w:id="57"/>
    </w:p>
    <w:p w14:paraId="07730271">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05143F2">
      <w:pPr>
        <w:snapToGrid w:val="0"/>
        <w:spacing w:line="360" w:lineRule="auto"/>
        <w:ind w:firstLine="422" w:firstLineChars="200"/>
        <w:rPr>
          <w:rFonts w:cs="宋体"/>
          <w:b/>
          <w:color w:val="auto"/>
          <w:sz w:val="21"/>
          <w:szCs w:val="21"/>
          <w:highlight w:val="none"/>
        </w:rPr>
      </w:pPr>
      <w:bookmarkStart w:id="58" w:name="_Toc351203484"/>
      <w:r>
        <w:rPr>
          <w:rFonts w:hint="eastAsia" w:cs="宋体"/>
          <w:b/>
          <w:color w:val="auto"/>
          <w:sz w:val="21"/>
          <w:szCs w:val="21"/>
          <w:highlight w:val="none"/>
        </w:rPr>
        <w:t>四、签约合同价与合同价格形式</w:t>
      </w:r>
      <w:bookmarkEnd w:id="58"/>
    </w:p>
    <w:p w14:paraId="7F3B653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129632A7">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ED830C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7F693DD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2DB16038">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0D4AA7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697FFBD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2B3B4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7C7A6BCD">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D6ECD3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1C11D09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F56559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ascii="宋体" w:hAnsi="宋体" w:eastAsia="宋体" w:cs="宋体"/>
          <w:b w:val="0"/>
          <w:bCs w:val="0"/>
          <w:color w:val="auto"/>
          <w:kern w:val="2"/>
          <w:sz w:val="21"/>
          <w:szCs w:val="21"/>
          <w:highlight w:val="none"/>
          <w:u w:val="single"/>
          <w:lang w:val="en-US" w:eastAsia="zh-CN" w:bidi="ar"/>
        </w:rPr>
        <w:t>固定单价合同，采用工程量清单方式计价</w:t>
      </w:r>
      <w:r>
        <w:rPr>
          <w:rFonts w:hint="eastAsia" w:cs="宋体"/>
          <w:color w:val="auto"/>
          <w:sz w:val="21"/>
          <w:szCs w:val="21"/>
          <w:highlight w:val="none"/>
        </w:rPr>
        <w:t>。</w:t>
      </w:r>
    </w:p>
    <w:p w14:paraId="6D528935">
      <w:pPr>
        <w:snapToGrid w:val="0"/>
        <w:spacing w:line="360" w:lineRule="auto"/>
        <w:ind w:firstLine="422" w:firstLineChars="200"/>
        <w:rPr>
          <w:rFonts w:cs="宋体"/>
          <w:b/>
          <w:color w:val="auto"/>
          <w:sz w:val="21"/>
          <w:szCs w:val="21"/>
          <w:highlight w:val="none"/>
        </w:rPr>
      </w:pPr>
      <w:bookmarkStart w:id="59" w:name="_Toc351203485"/>
      <w:r>
        <w:rPr>
          <w:rFonts w:hint="eastAsia" w:cs="宋体"/>
          <w:b/>
          <w:color w:val="auto"/>
          <w:sz w:val="21"/>
          <w:szCs w:val="21"/>
          <w:highlight w:val="none"/>
        </w:rPr>
        <w:t>五、</w:t>
      </w:r>
      <w:bookmarkEnd w:id="59"/>
      <w:r>
        <w:rPr>
          <w:rFonts w:hint="eastAsia" w:cs="宋体"/>
          <w:b/>
          <w:color w:val="auto"/>
          <w:sz w:val="21"/>
          <w:szCs w:val="21"/>
          <w:highlight w:val="none"/>
        </w:rPr>
        <w:t>项目经理</w:t>
      </w:r>
    </w:p>
    <w:p w14:paraId="03AC37F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4394614E">
      <w:pPr>
        <w:snapToGrid w:val="0"/>
        <w:spacing w:line="360" w:lineRule="auto"/>
        <w:ind w:firstLine="422" w:firstLineChars="200"/>
        <w:rPr>
          <w:rFonts w:cs="宋体"/>
          <w:b/>
          <w:color w:val="auto"/>
          <w:sz w:val="21"/>
          <w:szCs w:val="21"/>
          <w:highlight w:val="none"/>
        </w:rPr>
      </w:pPr>
      <w:bookmarkStart w:id="60" w:name="_Toc351203486"/>
      <w:r>
        <w:rPr>
          <w:rFonts w:hint="eastAsia" w:cs="宋体"/>
          <w:b/>
          <w:color w:val="auto"/>
          <w:sz w:val="21"/>
          <w:szCs w:val="21"/>
          <w:highlight w:val="none"/>
        </w:rPr>
        <w:t>六、合同文件构成</w:t>
      </w:r>
      <w:bookmarkEnd w:id="60"/>
    </w:p>
    <w:p w14:paraId="7812D1A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1646773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50EAF69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E1F7E2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49F08D6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69D19D2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620547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1EBFEEF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6E93CBF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770AF2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A0460A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E845D7">
      <w:pPr>
        <w:snapToGrid w:val="0"/>
        <w:spacing w:line="360" w:lineRule="auto"/>
        <w:ind w:firstLine="422" w:firstLineChars="200"/>
        <w:rPr>
          <w:rFonts w:cs="宋体"/>
          <w:b/>
          <w:color w:val="auto"/>
          <w:sz w:val="21"/>
          <w:szCs w:val="21"/>
          <w:highlight w:val="none"/>
        </w:rPr>
      </w:pPr>
      <w:bookmarkStart w:id="61" w:name="_Toc351203487"/>
      <w:r>
        <w:rPr>
          <w:rFonts w:hint="eastAsia" w:cs="宋体"/>
          <w:b/>
          <w:color w:val="auto"/>
          <w:sz w:val="21"/>
          <w:szCs w:val="21"/>
          <w:highlight w:val="none"/>
        </w:rPr>
        <w:t>七、承诺</w:t>
      </w:r>
      <w:bookmarkEnd w:id="61"/>
    </w:p>
    <w:p w14:paraId="69632DE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1B5342C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5282AD7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5C0269BA">
      <w:pPr>
        <w:snapToGrid w:val="0"/>
        <w:spacing w:line="360" w:lineRule="auto"/>
        <w:ind w:firstLine="422" w:firstLineChars="200"/>
        <w:rPr>
          <w:rFonts w:cs="宋体"/>
          <w:b/>
          <w:color w:val="auto"/>
          <w:sz w:val="21"/>
          <w:szCs w:val="21"/>
          <w:highlight w:val="none"/>
        </w:rPr>
      </w:pPr>
      <w:bookmarkStart w:id="62" w:name="_Toc351203488"/>
      <w:r>
        <w:rPr>
          <w:rFonts w:hint="eastAsia" w:cs="宋体"/>
          <w:b/>
          <w:color w:val="auto"/>
          <w:sz w:val="21"/>
          <w:szCs w:val="21"/>
          <w:highlight w:val="none"/>
        </w:rPr>
        <w:t>八、词语含义</w:t>
      </w:r>
      <w:bookmarkEnd w:id="62"/>
    </w:p>
    <w:p w14:paraId="7EE9317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753B7C5F">
      <w:pPr>
        <w:snapToGrid w:val="0"/>
        <w:spacing w:line="360" w:lineRule="auto"/>
        <w:ind w:firstLine="422" w:firstLineChars="200"/>
        <w:rPr>
          <w:rFonts w:cs="宋体"/>
          <w:b/>
          <w:color w:val="auto"/>
          <w:sz w:val="21"/>
          <w:szCs w:val="21"/>
          <w:highlight w:val="none"/>
        </w:rPr>
      </w:pPr>
      <w:bookmarkStart w:id="63" w:name="_Toc351203489"/>
      <w:r>
        <w:rPr>
          <w:rFonts w:hint="eastAsia" w:cs="宋体"/>
          <w:b/>
          <w:color w:val="auto"/>
          <w:sz w:val="21"/>
          <w:szCs w:val="21"/>
          <w:highlight w:val="none"/>
        </w:rPr>
        <w:t>九、签订时间</w:t>
      </w:r>
      <w:bookmarkEnd w:id="63"/>
    </w:p>
    <w:p w14:paraId="04500B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32ACB81F">
      <w:pPr>
        <w:snapToGrid w:val="0"/>
        <w:spacing w:line="360" w:lineRule="auto"/>
        <w:ind w:firstLine="422" w:firstLineChars="200"/>
        <w:rPr>
          <w:rFonts w:cs="宋体"/>
          <w:b/>
          <w:color w:val="auto"/>
          <w:sz w:val="21"/>
          <w:szCs w:val="21"/>
          <w:highlight w:val="none"/>
        </w:rPr>
      </w:pPr>
      <w:bookmarkStart w:id="64" w:name="_Toc351203490"/>
      <w:r>
        <w:rPr>
          <w:rFonts w:hint="eastAsia" w:cs="宋体"/>
          <w:b/>
          <w:color w:val="auto"/>
          <w:sz w:val="21"/>
          <w:szCs w:val="21"/>
          <w:highlight w:val="none"/>
        </w:rPr>
        <w:t>十、签订地点</w:t>
      </w:r>
      <w:bookmarkEnd w:id="64"/>
    </w:p>
    <w:p w14:paraId="66A2560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18D22CD4">
      <w:pPr>
        <w:snapToGrid w:val="0"/>
        <w:spacing w:line="360" w:lineRule="auto"/>
        <w:ind w:firstLine="422" w:firstLineChars="200"/>
        <w:rPr>
          <w:rFonts w:cs="宋体"/>
          <w:b/>
          <w:color w:val="auto"/>
          <w:sz w:val="21"/>
          <w:szCs w:val="21"/>
          <w:highlight w:val="none"/>
        </w:rPr>
      </w:pPr>
      <w:bookmarkStart w:id="65" w:name="_Toc351203491"/>
      <w:r>
        <w:rPr>
          <w:rFonts w:hint="eastAsia" w:cs="宋体"/>
          <w:b/>
          <w:color w:val="auto"/>
          <w:sz w:val="21"/>
          <w:szCs w:val="21"/>
          <w:highlight w:val="none"/>
        </w:rPr>
        <w:t>十一、补充协议</w:t>
      </w:r>
      <w:bookmarkEnd w:id="65"/>
    </w:p>
    <w:p w14:paraId="0B0E2A01">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2B0FE9FC">
      <w:pPr>
        <w:snapToGrid w:val="0"/>
        <w:spacing w:line="360" w:lineRule="auto"/>
        <w:ind w:firstLine="422" w:firstLineChars="200"/>
        <w:rPr>
          <w:rFonts w:cs="宋体"/>
          <w:b/>
          <w:color w:val="auto"/>
          <w:sz w:val="21"/>
          <w:szCs w:val="21"/>
          <w:highlight w:val="none"/>
        </w:rPr>
      </w:pPr>
      <w:bookmarkStart w:id="66" w:name="_Toc351203492"/>
      <w:r>
        <w:rPr>
          <w:rFonts w:hint="eastAsia" w:cs="宋体"/>
          <w:b/>
          <w:color w:val="auto"/>
          <w:sz w:val="21"/>
          <w:szCs w:val="21"/>
          <w:highlight w:val="none"/>
        </w:rPr>
        <w:t>十二、合同生效</w:t>
      </w:r>
      <w:bookmarkEnd w:id="66"/>
    </w:p>
    <w:p w14:paraId="00C20F4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5F7D8B16">
      <w:pPr>
        <w:snapToGrid w:val="0"/>
        <w:spacing w:line="360" w:lineRule="auto"/>
        <w:ind w:firstLine="422" w:firstLineChars="200"/>
        <w:rPr>
          <w:rFonts w:cs="宋体"/>
          <w:b/>
          <w:color w:val="auto"/>
          <w:sz w:val="21"/>
          <w:szCs w:val="21"/>
          <w:highlight w:val="none"/>
        </w:rPr>
      </w:pPr>
      <w:bookmarkStart w:id="67" w:name="_Toc351203493"/>
      <w:r>
        <w:rPr>
          <w:rFonts w:hint="eastAsia" w:cs="宋体"/>
          <w:b/>
          <w:color w:val="auto"/>
          <w:sz w:val="21"/>
          <w:szCs w:val="21"/>
          <w:highlight w:val="none"/>
        </w:rPr>
        <w:t>十三、合同份数</w:t>
      </w:r>
      <w:bookmarkEnd w:id="67"/>
    </w:p>
    <w:p w14:paraId="7A569A2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7E89A59D">
      <w:pPr>
        <w:snapToGrid w:val="0"/>
        <w:spacing w:line="360" w:lineRule="auto"/>
        <w:rPr>
          <w:rFonts w:cs="宋体"/>
          <w:bCs/>
          <w:color w:val="auto"/>
          <w:sz w:val="21"/>
          <w:szCs w:val="21"/>
          <w:highlight w:val="none"/>
        </w:rPr>
      </w:pPr>
    </w:p>
    <w:p w14:paraId="58BEE7BC">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3677787B">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699D27FA">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192FB81">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902536F">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37A3F8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037C37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18B0E23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0A74ACCC">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666967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55FFE3B">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518A163">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3B2C3C83">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FFBF994">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8" w:name="_Toc28799377"/>
      <w:bookmarkStart w:id="69" w:name="_Toc8613"/>
      <w:bookmarkStart w:id="70" w:name="_Toc130919121"/>
      <w:r>
        <w:rPr>
          <w:rFonts w:hint="eastAsia" w:ascii="等线" w:hAnsi="等线" w:eastAsia="等线" w:cs="@仿宋_GB2312"/>
          <w:b/>
          <w:color w:val="auto"/>
          <w:kern w:val="2"/>
          <w:sz w:val="24"/>
          <w:highlight w:val="none"/>
        </w:rPr>
        <w:t>第二节  通用合同条款</w:t>
      </w:r>
      <w:bookmarkEnd w:id="68"/>
      <w:bookmarkEnd w:id="69"/>
      <w:bookmarkEnd w:id="70"/>
    </w:p>
    <w:p w14:paraId="5EE1623A">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8334E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1" w:name="_Toc25217"/>
      <w:bookmarkStart w:id="72" w:name="_Toc28799378"/>
      <w:bookmarkStart w:id="73" w:name="_Toc130919122"/>
      <w:r>
        <w:rPr>
          <w:rFonts w:hint="eastAsia" w:ascii="等线" w:hAnsi="等线" w:eastAsia="等线" w:cs="@仿宋_GB2312"/>
          <w:b/>
          <w:color w:val="auto"/>
          <w:kern w:val="2"/>
          <w:sz w:val="24"/>
          <w:highlight w:val="none"/>
        </w:rPr>
        <w:t>第三节  专用合同条款</w:t>
      </w:r>
      <w:bookmarkEnd w:id="71"/>
      <w:bookmarkEnd w:id="72"/>
      <w:bookmarkEnd w:id="73"/>
    </w:p>
    <w:p w14:paraId="7218925E">
      <w:pPr>
        <w:snapToGrid w:val="0"/>
        <w:spacing w:before="312" w:beforeLines="100" w:after="312" w:afterLines="100" w:line="360" w:lineRule="auto"/>
        <w:jc w:val="center"/>
        <w:outlineLvl w:val="2"/>
        <w:rPr>
          <w:rFonts w:cs="宋体"/>
          <w:color w:val="auto"/>
          <w:sz w:val="21"/>
          <w:szCs w:val="21"/>
          <w:highlight w:val="none"/>
        </w:rPr>
      </w:pPr>
      <w:bookmarkStart w:id="74" w:name="_Toc351203633"/>
      <w:r>
        <w:rPr>
          <w:rFonts w:hint="eastAsia" w:cs="宋体"/>
          <w:color w:val="auto"/>
          <w:sz w:val="21"/>
          <w:szCs w:val="21"/>
          <w:highlight w:val="none"/>
        </w:rPr>
        <w:t>专用合同条款数据表</w:t>
      </w:r>
    </w:p>
    <w:p w14:paraId="73EC3998">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C20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4DB18A7">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3A74A2F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61D69FF4">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391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874A7F7">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2135A0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4E325A2D">
            <w:pPr>
              <w:pageBreakBefore w:val="0"/>
              <w:widowControl w:val="0"/>
              <w:kinsoku/>
              <w:wordWrap/>
              <w:overflowPunct/>
              <w:topLinePunct w:val="0"/>
              <w:autoSpaceDE/>
              <w:autoSpaceDN/>
              <w:bidi w:val="0"/>
              <w:snapToGrid w:val="0"/>
              <w:spacing w:beforeAutospacing="0" w:line="360" w:lineRule="auto"/>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发包人提供资金来源证明的期限要求：</w:t>
            </w:r>
            <w:r>
              <w:rPr>
                <w:rFonts w:hint="eastAsia" w:cs="宋体"/>
                <w:bCs/>
                <w:color w:val="auto"/>
                <w:sz w:val="21"/>
                <w:szCs w:val="21"/>
                <w:highlight w:val="none"/>
                <w:u w:val="single"/>
                <w:lang w:val="en-US" w:eastAsia="zh-CN"/>
              </w:rPr>
              <w:t xml:space="preserve">    /      </w:t>
            </w:r>
          </w:p>
          <w:p w14:paraId="240AA769">
            <w:pPr>
              <w:pageBreakBefore w:val="0"/>
              <w:widowControl w:val="0"/>
              <w:kinsoku/>
              <w:wordWrap/>
              <w:overflowPunct/>
              <w:topLinePunct w:val="0"/>
              <w:autoSpaceDE/>
              <w:autoSpaceDN/>
              <w:bidi w:val="0"/>
              <w:snapToGrid w:val="0"/>
              <w:spacing w:beforeAutospacing="0" w:line="360" w:lineRule="auto"/>
              <w:textAlignment w:val="auto"/>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发包人是否提供支付担保：</w:t>
            </w:r>
            <w:r>
              <w:rPr>
                <w:rFonts w:hint="eastAsia" w:cs="宋体"/>
                <w:bCs/>
                <w:color w:val="auto"/>
                <w:sz w:val="21"/>
                <w:szCs w:val="21"/>
                <w:highlight w:val="none"/>
                <w:u w:val="single"/>
                <w:lang w:val="en-US" w:eastAsia="zh-CN"/>
              </w:rPr>
              <w:t xml:space="preserve">  /      </w:t>
            </w:r>
          </w:p>
          <w:p w14:paraId="1E933AB5">
            <w:pPr>
              <w:snapToGrid w:val="0"/>
              <w:spacing w:line="360" w:lineRule="auto"/>
              <w:rPr>
                <w:rFonts w:cs="宋体"/>
                <w:bCs/>
                <w:color w:val="auto"/>
                <w:sz w:val="21"/>
                <w:szCs w:val="21"/>
                <w:highlight w:val="none"/>
                <w:u w:val="single"/>
              </w:rPr>
            </w:pPr>
            <w:r>
              <w:rPr>
                <w:rFonts w:hint="eastAsia" w:ascii="宋体" w:hAnsi="宋体" w:eastAsia="宋体" w:cs="宋体"/>
                <w:bCs/>
                <w:color w:val="auto"/>
                <w:sz w:val="21"/>
                <w:szCs w:val="21"/>
                <w:highlight w:val="none"/>
              </w:rPr>
              <w:t>发包人提供支付担保的形式</w:t>
            </w:r>
            <w:r>
              <w:rPr>
                <w:rFonts w:hint="eastAsia" w:cs="宋体"/>
                <w:bCs/>
                <w:color w:val="auto"/>
                <w:sz w:val="21"/>
                <w:szCs w:val="21"/>
                <w:highlight w:val="none"/>
                <w:lang w:val="en-US" w:eastAsia="zh-CN"/>
              </w:rPr>
              <w:t>:</w:t>
            </w:r>
            <w:r>
              <w:rPr>
                <w:rFonts w:hint="eastAsia" w:cs="宋体"/>
                <w:bCs/>
                <w:color w:val="auto"/>
                <w:sz w:val="21"/>
                <w:szCs w:val="21"/>
                <w:highlight w:val="none"/>
                <w:u w:val="single"/>
                <w:lang w:val="en-US" w:eastAsia="zh-CN"/>
              </w:rPr>
              <w:t xml:space="preserve">  /       </w:t>
            </w:r>
          </w:p>
        </w:tc>
      </w:tr>
      <w:tr w14:paraId="4F3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3BBFEB">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610E140B">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271372CF">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0F5C038F">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4C67304E">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57A4CCD">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6ABE8199">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13629165">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546D708B">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22</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727F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006690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585EF13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40B0337A">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承包人是否提供履约保证金：</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D95AEF8">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承包人提供履约保证金的形式：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支持</w:t>
            </w:r>
            <w:r>
              <w:rPr>
                <w:rFonts w:hint="eastAsia" w:ascii="宋体" w:hAnsi="宋体" w:eastAsia="宋体" w:cs="宋体"/>
                <w:bCs/>
                <w:color w:val="auto"/>
                <w:sz w:val="21"/>
                <w:szCs w:val="21"/>
                <w:highlight w:val="none"/>
                <w:u w:val="single"/>
              </w:rPr>
              <w:t xml:space="preserve">转账/电汇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支票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汇票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本票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保险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保函</w:t>
            </w:r>
            <w:r>
              <w:rPr>
                <w:rFonts w:hint="eastAsia" w:ascii="宋体" w:hAnsi="宋体" w:eastAsia="宋体" w:cs="宋体"/>
                <w:bCs/>
                <w:color w:val="auto"/>
                <w:sz w:val="21"/>
                <w:szCs w:val="21"/>
                <w:highlight w:val="none"/>
                <w:u w:val="single"/>
                <w:lang w:eastAsia="zh-CN"/>
              </w:rPr>
              <w:t>。</w:t>
            </w:r>
          </w:p>
          <w:p w14:paraId="046835D2">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履约保证金的金额：中标合同金额的</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7830AF2A">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履约保证金提交期限的要求：</w:t>
            </w:r>
            <w:r>
              <w:rPr>
                <w:rFonts w:hint="eastAsia"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u w:val="single"/>
              </w:rPr>
              <w:t>。</w:t>
            </w:r>
          </w:p>
          <w:p w14:paraId="11726ABB">
            <w:pPr>
              <w:pageBreakBefore w:val="0"/>
              <w:widowControl w:val="0"/>
              <w:kinsoku/>
              <w:wordWrap/>
              <w:overflowPunct/>
              <w:topLinePunct w:val="0"/>
              <w:autoSpaceDE/>
              <w:autoSpaceDN/>
              <w:bidi w:val="0"/>
              <w:snapToGrid w:val="0"/>
              <w:spacing w:beforeAutospacing="0" w:line="520" w:lineRule="exact"/>
              <w:textAlignment w:val="auto"/>
              <w:rPr>
                <w:rFonts w:cs="宋体"/>
                <w:bCs/>
                <w:color w:val="auto"/>
                <w:kern w:val="2"/>
                <w:sz w:val="21"/>
                <w:szCs w:val="21"/>
                <w:highlight w:val="none"/>
              </w:rPr>
            </w:pPr>
            <w:r>
              <w:rPr>
                <w:rFonts w:hint="eastAsia" w:ascii="宋体" w:hAnsi="宋体" w:eastAsia="宋体" w:cs="宋体"/>
                <w:bCs/>
                <w:color w:val="auto"/>
                <w:sz w:val="21"/>
                <w:szCs w:val="21"/>
                <w:highlight w:val="none"/>
              </w:rPr>
              <w:t>履约保证金退还时限：</w:t>
            </w:r>
            <w:r>
              <w:rPr>
                <w:rFonts w:hint="eastAsia" w:cs="宋体"/>
                <w:bCs/>
                <w:color w:val="auto"/>
                <w:sz w:val="21"/>
                <w:szCs w:val="21"/>
                <w:highlight w:val="none"/>
                <w:u w:val="single"/>
                <w:lang w:val="en-US" w:eastAsia="zh-CN"/>
              </w:rPr>
              <w:t xml:space="preserve"> / </w:t>
            </w:r>
            <w:r>
              <w:rPr>
                <w:rFonts w:hint="eastAsia" w:ascii="宋体" w:hAnsi="宋体" w:eastAsia="宋体" w:cs="宋体"/>
                <w:bCs/>
                <w:color w:val="auto"/>
                <w:sz w:val="21"/>
                <w:szCs w:val="21"/>
                <w:highlight w:val="none"/>
              </w:rPr>
              <w:t>。</w:t>
            </w:r>
          </w:p>
        </w:tc>
      </w:tr>
      <w:tr w14:paraId="6FF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54EE46F">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0125390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32FBA9A3">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5.1.1 特殊质量标准和要求：</w:t>
            </w:r>
            <w:r>
              <w:rPr>
                <w:rFonts w:hint="eastAsia" w:ascii="宋体" w:hAnsi="宋体" w:eastAsia="宋体" w:cs="宋体"/>
                <w:bCs/>
                <w:color w:val="auto"/>
                <w:sz w:val="21"/>
                <w:szCs w:val="21"/>
                <w:highlight w:val="none"/>
                <w:u w:val="single"/>
              </w:rPr>
              <w:t>工程质量必须达到国家工程施工质量验收合格标准 。</w:t>
            </w:r>
          </w:p>
          <w:p w14:paraId="50830FE9">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关于工程奖项的约定：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8AD9894">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关于建造要求：</w:t>
            </w:r>
          </w:p>
          <w:p w14:paraId="5547BC54">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（1）绿色建筑等级要求：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C16CC3A">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（2）智慧工地管理要求：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7679D1B7">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（3）建筑垃圾减量化目标：</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285E829B">
            <w:pPr>
              <w:snapToGrid w:val="0"/>
              <w:spacing w:line="360" w:lineRule="auto"/>
              <w:rPr>
                <w:rFonts w:cs="宋体"/>
                <w:bCs/>
                <w:color w:val="auto"/>
                <w:sz w:val="21"/>
                <w:szCs w:val="21"/>
                <w:highlight w:val="none"/>
              </w:rPr>
            </w:pPr>
            <w:r>
              <w:rPr>
                <w:rFonts w:hint="eastAsia" w:ascii="宋体" w:hAnsi="宋体" w:eastAsia="宋体" w:cs="宋体"/>
                <w:bCs/>
                <w:color w:val="auto"/>
                <w:sz w:val="21"/>
                <w:szCs w:val="21"/>
                <w:highlight w:val="none"/>
              </w:rPr>
              <w:t>（4）装配式建筑装配率要求：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72D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6E786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71B03A8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5D2C347D">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lang w:eastAsia="zh-CN"/>
              </w:rPr>
              <w:t>每推迟一天，按合同价款（扣除暂估价和暂列金）</w:t>
            </w:r>
            <w:r>
              <w:rPr>
                <w:rFonts w:hint="eastAsia" w:cs="宋体"/>
                <w:b/>
                <w:bCs w:val="0"/>
                <w:color w:val="auto"/>
                <w:kern w:val="2"/>
                <w:sz w:val="21"/>
                <w:szCs w:val="21"/>
                <w:highlight w:val="none"/>
                <w:u w:val="single"/>
                <w:lang w:eastAsia="zh-CN"/>
              </w:rPr>
              <w:t>万分之一</w:t>
            </w:r>
            <w:r>
              <w:rPr>
                <w:rFonts w:hint="eastAsia" w:cs="宋体"/>
                <w:bCs/>
                <w:color w:val="auto"/>
                <w:kern w:val="2"/>
                <w:sz w:val="21"/>
                <w:szCs w:val="21"/>
                <w:highlight w:val="none"/>
                <w:u w:val="single"/>
                <w:lang w:eastAsia="zh-CN"/>
              </w:rPr>
              <w:t>处以违约金</w:t>
            </w:r>
            <w:r>
              <w:rPr>
                <w:rFonts w:hint="eastAsia" w:ascii="宋体" w:hAnsi="宋体" w:eastAsia="宋体" w:cs="宋体"/>
                <w:bCs/>
                <w:color w:val="auto"/>
                <w:kern w:val="2"/>
                <w:sz w:val="21"/>
                <w:szCs w:val="21"/>
                <w:highlight w:val="none"/>
                <w:u w:val="single"/>
              </w:rPr>
              <w:t>。</w:t>
            </w:r>
          </w:p>
          <w:p w14:paraId="68B6DCD7">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合同价款的5%</w:t>
            </w:r>
            <w:r>
              <w:rPr>
                <w:rFonts w:hint="eastAsia"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rPr>
              <w:t>。</w:t>
            </w:r>
          </w:p>
        </w:tc>
      </w:tr>
      <w:tr w14:paraId="1E5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CCBC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1D656FA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6CCA2188">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56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BD0177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EFB0A5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7FCEB78C">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不调</w:t>
            </w:r>
            <w:r>
              <w:rPr>
                <w:rFonts w:hint="eastAsia" w:cs="宋体"/>
                <w:bCs/>
                <w:color w:val="auto"/>
                <w:kern w:val="2"/>
                <w:sz w:val="21"/>
                <w:szCs w:val="21"/>
                <w:highlight w:val="none"/>
                <w:u w:val="single"/>
                <w:lang w:val="en-US" w:eastAsia="zh-CN"/>
              </w:rPr>
              <w:t>价</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78B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7821737">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74CA64A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36C7022">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合同价格形式</w:t>
            </w:r>
          </w:p>
          <w:p w14:paraId="4CB899FF">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(1)单价合同。</w:t>
            </w:r>
          </w:p>
          <w:p w14:paraId="6EEF11E1">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综合单价包含的风险范围：</w:t>
            </w:r>
            <w:r>
              <w:rPr>
                <w:rFonts w:hint="eastAsia" w:ascii="宋体" w:hAnsi="宋体" w:eastAsia="宋体"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交易文件及合同条款内容等所有费用</w:t>
            </w:r>
            <w:r>
              <w:rPr>
                <w:rFonts w:hint="eastAsia" w:cs="宋体"/>
                <w:color w:val="auto"/>
                <w:sz w:val="21"/>
                <w:szCs w:val="21"/>
                <w:highlight w:val="none"/>
                <w:u w:val="single"/>
                <w:lang w:eastAsia="zh-CN"/>
              </w:rPr>
              <w:t>，</w:t>
            </w:r>
            <w:r>
              <w:rPr>
                <w:color w:val="auto"/>
                <w:spacing w:val="-4"/>
                <w:sz w:val="21"/>
                <w:szCs w:val="21"/>
                <w:highlight w:val="none"/>
                <w:u w:val="single" w:color="auto"/>
              </w:rPr>
              <w:t>综合单价今后将不作任何调整</w:t>
            </w:r>
            <w:r>
              <w:rPr>
                <w:rFonts w:hint="eastAsia"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w:t>
            </w:r>
          </w:p>
          <w:p w14:paraId="25307468">
            <w:pPr>
              <w:pageBreakBefore w:val="0"/>
              <w:kinsoku/>
              <w:wordWrap/>
              <w:topLinePunct w:val="0"/>
              <w:bidi w:val="0"/>
              <w:adjustRightInd w:val="0"/>
              <w:snapToGrid w:val="0"/>
              <w:spacing w:beforeAutospacing="0" w:line="52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承包人自行考虑，包含在报价中 。</w:t>
            </w:r>
          </w:p>
          <w:p w14:paraId="1D431FE6">
            <w:pPr>
              <w:pageBreakBefore w:val="0"/>
              <w:kinsoku/>
              <w:wordWrap/>
              <w:topLinePunct w:val="0"/>
              <w:bidi w:val="0"/>
              <w:adjustRightInd w:val="0"/>
              <w:snapToGrid w:val="0"/>
              <w:spacing w:beforeAutospacing="0" w:line="52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按照国家级省市政策要求。 </w:t>
            </w:r>
          </w:p>
          <w:p w14:paraId="20F5FB4D">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(2)总价合同。</w:t>
            </w:r>
          </w:p>
          <w:p w14:paraId="48C6009D">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总价包含的风险范围：</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141EE6BB">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7DB5761E">
            <w:pPr>
              <w:pStyle w:val="33"/>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6217A63A">
            <w:pPr>
              <w:pStyle w:val="33"/>
              <w:tabs>
                <w:tab w:val="clear" w:pos="4153"/>
                <w:tab w:val="clear" w:pos="8306"/>
              </w:tabs>
              <w:spacing w:line="360" w:lineRule="auto"/>
              <w:rPr>
                <w:rFonts w:cs="宋体"/>
                <w:bCs/>
                <w:color w:val="auto"/>
                <w:sz w:val="21"/>
                <w:szCs w:val="21"/>
                <w:highlight w:val="none"/>
              </w:rPr>
            </w:pPr>
            <w:r>
              <w:rPr>
                <w:rFonts w:hint="eastAsia" w:ascii="宋体" w:hAnsi="宋体" w:eastAsia="宋体" w:cs="宋体"/>
                <w:bCs/>
                <w:color w:val="auto"/>
                <w:sz w:val="21"/>
                <w:szCs w:val="21"/>
                <w:highlight w:val="none"/>
              </w:rPr>
              <w:t>（3）其他价格方式：</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1CF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36255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640B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4EF19F4E">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预付款的支付</w:t>
            </w:r>
          </w:p>
          <w:p w14:paraId="5D5282F9">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预付款支付比例或金额：</w:t>
            </w:r>
            <w:r>
              <w:rPr>
                <w:rFonts w:hint="eastAsia" w:ascii="宋体" w:hAnsi="宋体" w:eastAsia="宋体"/>
                <w:color w:val="auto"/>
                <w:spacing w:val="8"/>
                <w:sz w:val="21"/>
                <w:szCs w:val="21"/>
                <w:highlight w:val="none"/>
                <w:u w:val="single" w:color="auto"/>
              </w:rPr>
              <w:t>合同价款的40%预付款（预付款支付前，成交人须提供同等金额的见索即付保函)。</w:t>
            </w:r>
          </w:p>
          <w:p w14:paraId="667BFF3B">
            <w:pPr>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olor w:val="auto"/>
                <w:spacing w:val="8"/>
                <w:sz w:val="21"/>
                <w:szCs w:val="21"/>
                <w:highlight w:val="none"/>
                <w:u w:val="single" w:color="auto"/>
              </w:rPr>
            </w:pPr>
            <w:r>
              <w:rPr>
                <w:rFonts w:hint="eastAsia" w:ascii="宋体" w:hAnsi="宋体" w:eastAsia="宋体" w:cs="宋体"/>
                <w:bCs/>
                <w:color w:val="auto"/>
                <w:sz w:val="21"/>
                <w:szCs w:val="21"/>
                <w:highlight w:val="none"/>
              </w:rPr>
              <w:t>预付款支付期限：</w:t>
            </w:r>
            <w:r>
              <w:rPr>
                <w:rFonts w:hint="eastAsia" w:ascii="宋体" w:hAnsi="宋体" w:eastAsia="宋体"/>
                <w:color w:val="auto"/>
                <w:spacing w:val="8"/>
                <w:sz w:val="21"/>
                <w:szCs w:val="21"/>
                <w:highlight w:val="none"/>
                <w:u w:val="single" w:color="auto"/>
              </w:rPr>
              <w:t xml:space="preserve">合同签订具备实施条件后支付合同价的40%预付款 </w:t>
            </w:r>
            <w:r>
              <w:rPr>
                <w:rFonts w:hint="eastAsia"/>
                <w:color w:val="auto"/>
                <w:spacing w:val="8"/>
                <w:sz w:val="21"/>
                <w:szCs w:val="21"/>
                <w:highlight w:val="none"/>
                <w:u w:val="single" w:color="auto"/>
                <w:lang w:eastAsia="zh-CN"/>
              </w:rPr>
              <w:t>。</w:t>
            </w:r>
            <w:r>
              <w:rPr>
                <w:rFonts w:hint="eastAsia" w:ascii="宋体" w:hAnsi="宋体" w:eastAsia="宋体"/>
                <w:color w:val="auto"/>
                <w:spacing w:val="8"/>
                <w:sz w:val="21"/>
                <w:szCs w:val="21"/>
                <w:highlight w:val="none"/>
                <w:u w:val="single" w:color="auto"/>
              </w:rPr>
              <w:t xml:space="preserve"> </w:t>
            </w:r>
          </w:p>
          <w:p w14:paraId="68980733">
            <w:pPr>
              <w:adjustRightInd w:val="0"/>
              <w:snapToGrid w:val="0"/>
              <w:spacing w:line="360" w:lineRule="auto"/>
              <w:rPr>
                <w:rFonts w:hint="eastAsia" w:eastAsia="宋体" w:cs="宋体"/>
                <w:bCs/>
                <w:color w:val="auto"/>
                <w:kern w:val="2"/>
                <w:sz w:val="21"/>
                <w:szCs w:val="21"/>
                <w:highlight w:val="none"/>
                <w:lang w:eastAsia="zh-CN"/>
              </w:rPr>
            </w:pPr>
            <w:r>
              <w:rPr>
                <w:rFonts w:hint="eastAsia" w:ascii="宋体" w:hAnsi="宋体" w:eastAsia="宋体" w:cs="宋体"/>
                <w:bCs/>
                <w:color w:val="auto"/>
                <w:sz w:val="21"/>
                <w:szCs w:val="21"/>
                <w:highlight w:val="none"/>
              </w:rPr>
              <w:t>预付款扣回的方式：</w:t>
            </w:r>
            <w:r>
              <w:rPr>
                <w:rFonts w:hint="eastAsia" w:ascii="宋体" w:hAnsi="宋体" w:eastAsia="宋体"/>
                <w:color w:val="auto"/>
                <w:spacing w:val="8"/>
                <w:sz w:val="21"/>
                <w:szCs w:val="21"/>
                <w:highlight w:val="none"/>
                <w:u w:val="single" w:color="auto"/>
              </w:rPr>
              <w:t>合同总价款支付前一次性扣回</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eastAsia="zh-CN"/>
              </w:rPr>
              <w:t>。</w:t>
            </w:r>
          </w:p>
        </w:tc>
      </w:tr>
      <w:tr w14:paraId="20D2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960C55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421C9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685187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481BB563">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color w:val="auto"/>
                <w:spacing w:val="9"/>
                <w:sz w:val="21"/>
                <w:szCs w:val="21"/>
                <w:highlight w:val="none"/>
                <w:u w:val="single" w:color="auto"/>
              </w:rPr>
              <w:t>预付款支付前</w:t>
            </w:r>
            <w:r>
              <w:rPr>
                <w:rFonts w:hint="eastAsia" w:cs="宋体"/>
                <w:bCs/>
                <w:color w:val="auto"/>
                <w:sz w:val="21"/>
                <w:szCs w:val="21"/>
                <w:highlight w:val="none"/>
                <w:u w:val="single"/>
              </w:rPr>
              <w:t xml:space="preserve">  </w:t>
            </w:r>
          </w:p>
          <w:p w14:paraId="663942E4">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保函</w:t>
            </w:r>
            <w:r>
              <w:rPr>
                <w:rFonts w:hint="eastAsia" w:cs="宋体"/>
                <w:bCs/>
                <w:color w:val="auto"/>
                <w:sz w:val="21"/>
                <w:szCs w:val="21"/>
                <w:highlight w:val="none"/>
                <w:u w:val="single"/>
              </w:rPr>
              <w:t xml:space="preserve"> </w:t>
            </w:r>
            <w:r>
              <w:rPr>
                <w:color w:val="auto"/>
                <w:spacing w:val="8"/>
                <w:sz w:val="21"/>
                <w:szCs w:val="21"/>
                <w:highlight w:val="none"/>
                <w:u w:val="single" w:color="auto"/>
              </w:rPr>
              <w:t>（见索即付）</w:t>
            </w:r>
            <w:r>
              <w:rPr>
                <w:rFonts w:hint="eastAsia" w:cs="宋体"/>
                <w:bCs/>
                <w:color w:val="auto"/>
                <w:sz w:val="21"/>
                <w:szCs w:val="21"/>
                <w:highlight w:val="none"/>
                <w:u w:val="single"/>
              </w:rPr>
              <w:t xml:space="preserve">  </w:t>
            </w:r>
          </w:p>
        </w:tc>
      </w:tr>
      <w:tr w14:paraId="69C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AA4B661">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406AEDD2">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23F99C7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0D988FD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签订合同并具备实施条件后支付合同总价的40%预付款(预付款支付前，承包人须提供同等金额的银行、保险公司、担保公司等金融机构出具见索即付保函)，竣工验收合格后付至已完合格工程量价款的85%为进度款;完成竣工结算审计后付至结算总造价的100%，同时承包人须提交结算总造价的2%(作为工程质量保证金)至发包人处。质量保证金支持保函(银行保函、担保机构担保、保证保险)使用，保函有效期须与工程缺陷责任期截止时间保持一致。</w:t>
            </w:r>
            <w:r>
              <w:rPr>
                <w:rFonts w:hint="eastAsia" w:cs="宋体"/>
                <w:bCs/>
                <w:color w:val="auto"/>
                <w:sz w:val="21"/>
                <w:szCs w:val="21"/>
                <w:highlight w:val="none"/>
                <w:u w:val="single"/>
              </w:rPr>
              <w:t xml:space="preserve"> </w:t>
            </w:r>
          </w:p>
        </w:tc>
      </w:tr>
      <w:tr w14:paraId="6F9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80E1B2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CE4C8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7B50F07E">
            <w:pPr>
              <w:pStyle w:val="50"/>
              <w:keepNext w:val="0"/>
              <w:keepLines w:val="0"/>
              <w:widowControl/>
              <w:suppressLineNumbers w:val="0"/>
              <w:spacing w:line="240" w:lineRule="auto"/>
              <w:ind w:left="0" w:firstLine="0"/>
              <w:jc w:val="right"/>
              <w:textAlignment w:val="center"/>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t>12 个月(缺陷责任期从竣工验收合格之日起计算)</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3A7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7CCC38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FB0122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6FBFE774">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36AE17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工程结算总造价的2% </w:t>
            </w:r>
            <w:r>
              <w:rPr>
                <w:rFonts w:hint="eastAsia" w:cs="宋体"/>
                <w:color w:val="auto"/>
                <w:sz w:val="21"/>
                <w:szCs w:val="21"/>
                <w:highlight w:val="none"/>
                <w:u w:val="single"/>
              </w:rPr>
              <w:t>；</w:t>
            </w:r>
          </w:p>
          <w:p w14:paraId="073073E4">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工程结算总造价的2% 的工程款</w:t>
            </w:r>
            <w:r>
              <w:rPr>
                <w:rFonts w:hint="eastAsia" w:cs="宋体"/>
                <w:color w:val="auto"/>
                <w:sz w:val="21"/>
                <w:szCs w:val="21"/>
                <w:highlight w:val="none"/>
                <w:u w:val="single"/>
              </w:rPr>
              <w:t xml:space="preserve"> ；</w:t>
            </w:r>
          </w:p>
          <w:p w14:paraId="7D1ACF70">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64B51448">
            <w:pPr>
              <w:pStyle w:val="4"/>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5C7B345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75" w:name="_Toc296503156"/>
      <w:bookmarkStart w:id="76" w:name="_Toc297048342"/>
      <w:bookmarkStart w:id="77" w:name="_Toc296944495"/>
      <w:bookmarkStart w:id="78" w:name="_Toc296890984"/>
      <w:bookmarkStart w:id="79" w:name="_Toc296346657"/>
      <w:bookmarkStart w:id="80" w:name="_Toc292559866"/>
      <w:bookmarkStart w:id="81" w:name="_Toc292559361"/>
      <w:bookmarkStart w:id="82" w:name="_Toc296347155"/>
      <w:bookmarkStart w:id="83" w:name="_Toc296891196"/>
      <w:bookmarkStart w:id="84" w:name="_Toc297120456"/>
      <w:r>
        <w:rPr>
          <w:rFonts w:hint="eastAsia" w:cs="宋体"/>
          <w:color w:val="auto"/>
          <w:sz w:val="21"/>
          <w:szCs w:val="21"/>
          <w:highlight w:val="none"/>
        </w:rPr>
        <w:t>. 一般约定</w:t>
      </w:r>
    </w:p>
    <w:bookmarkEnd w:id="75"/>
    <w:bookmarkEnd w:id="76"/>
    <w:bookmarkEnd w:id="77"/>
    <w:bookmarkEnd w:id="78"/>
    <w:bookmarkEnd w:id="79"/>
    <w:bookmarkEnd w:id="80"/>
    <w:bookmarkEnd w:id="81"/>
    <w:bookmarkEnd w:id="82"/>
    <w:bookmarkEnd w:id="83"/>
    <w:bookmarkEnd w:id="84"/>
    <w:p w14:paraId="6379581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E276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6CF47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本项目招标文件、在合同订立及履行过程中形成的与合同有关的文件均构成合同文件组成部分</w:t>
      </w:r>
      <w:r>
        <w:rPr>
          <w:rFonts w:hint="eastAsia" w:cs="宋体"/>
          <w:color w:val="auto"/>
          <w:sz w:val="21"/>
          <w:szCs w:val="21"/>
          <w:highlight w:val="none"/>
          <w:u w:val="single"/>
        </w:rPr>
        <w:t></w:t>
      </w:r>
    </w:p>
    <w:p w14:paraId="2CD546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1FADBA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26DB08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asciiTheme="majorEastAsia" w:hAnsiTheme="majorEastAsia" w:eastAsiaTheme="majorEastAsia" w:cstheme="majorEastAsia"/>
          <w:color w:val="auto"/>
          <w:spacing w:val="6"/>
          <w:sz w:val="19"/>
          <w:szCs w:val="19"/>
          <w:highlight w:val="none"/>
          <w:u w:val="single" w:color="auto"/>
        </w:rPr>
        <w:t>详见监理合同</w:t>
      </w:r>
      <w:r>
        <w:rPr>
          <w:rFonts w:hint="eastAsia" w:asciiTheme="majorEastAsia" w:hAnsiTheme="majorEastAsia" w:eastAsiaTheme="majorEastAsia" w:cstheme="majorEastAsia"/>
          <w:color w:val="auto"/>
          <w:spacing w:val="1"/>
          <w:sz w:val="19"/>
          <w:szCs w:val="19"/>
          <w:highlight w:val="none"/>
          <w:u w:val="single" w:color="auto"/>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CC8B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asciiTheme="majorEastAsia" w:hAnsiTheme="majorEastAsia" w:eastAsiaTheme="majorEastAsia" w:cstheme="majorEastAsia"/>
          <w:color w:val="auto"/>
          <w:spacing w:val="6"/>
          <w:sz w:val="19"/>
          <w:szCs w:val="19"/>
          <w:highlight w:val="none"/>
          <w:u w:val="single" w:color="auto"/>
        </w:rPr>
        <w:t>详见监理合同</w:t>
      </w:r>
      <w:r>
        <w:rPr>
          <w:rFonts w:hint="eastAsia" w:asciiTheme="majorEastAsia" w:hAnsiTheme="majorEastAsia" w:eastAsiaTheme="majorEastAsia" w:cstheme="majorEastAsia"/>
          <w:color w:val="auto"/>
          <w:spacing w:val="1"/>
          <w:sz w:val="19"/>
          <w:szCs w:val="19"/>
          <w:highlight w:val="none"/>
          <w:u w:val="single" w:color="auto"/>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B98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asciiTheme="majorEastAsia" w:hAnsiTheme="majorEastAsia" w:eastAsiaTheme="majorEastAsia" w:cstheme="majorEastAsia"/>
          <w:color w:val="auto"/>
          <w:spacing w:val="6"/>
          <w:sz w:val="19"/>
          <w:szCs w:val="19"/>
          <w:highlight w:val="none"/>
          <w:u w:val="single" w:color="auto"/>
        </w:rPr>
        <w:t>详见监理合同</w:t>
      </w:r>
      <w:r>
        <w:rPr>
          <w:rFonts w:hint="eastAsia" w:asciiTheme="majorEastAsia" w:hAnsiTheme="majorEastAsia" w:eastAsiaTheme="majorEastAsia" w:cstheme="majorEastAsia"/>
          <w:color w:val="auto"/>
          <w:spacing w:val="1"/>
          <w:sz w:val="19"/>
          <w:szCs w:val="19"/>
          <w:highlight w:val="none"/>
          <w:u w:val="single" w:color="auto"/>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DED6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asciiTheme="majorEastAsia" w:hAnsiTheme="majorEastAsia" w:eastAsiaTheme="majorEastAsia" w:cstheme="majorEastAsia"/>
          <w:color w:val="auto"/>
          <w:spacing w:val="6"/>
          <w:sz w:val="19"/>
          <w:szCs w:val="19"/>
          <w:highlight w:val="none"/>
          <w:u w:val="single" w:color="auto"/>
        </w:rPr>
        <w:t>详见监理合同</w:t>
      </w:r>
      <w:r>
        <w:rPr>
          <w:rFonts w:hint="eastAsia" w:asciiTheme="majorEastAsia" w:hAnsiTheme="majorEastAsia" w:eastAsiaTheme="majorEastAsia" w:cstheme="majorEastAsia"/>
          <w:color w:val="auto"/>
          <w:spacing w:val="1"/>
          <w:sz w:val="19"/>
          <w:szCs w:val="19"/>
          <w:highlight w:val="none"/>
          <w:u w:val="single" w:color="auto"/>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6DCA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asciiTheme="majorEastAsia" w:hAnsiTheme="majorEastAsia" w:eastAsiaTheme="majorEastAsia" w:cstheme="majorEastAsia"/>
          <w:color w:val="auto"/>
          <w:spacing w:val="6"/>
          <w:sz w:val="19"/>
          <w:szCs w:val="19"/>
          <w:highlight w:val="none"/>
          <w:u w:val="single" w:color="auto"/>
        </w:rPr>
        <w:t>详见监理合同</w:t>
      </w:r>
      <w:r>
        <w:rPr>
          <w:rFonts w:hint="eastAsia" w:asciiTheme="majorEastAsia" w:hAnsiTheme="majorEastAsia" w:eastAsiaTheme="majorEastAsia" w:cstheme="majorEastAsia"/>
          <w:color w:val="auto"/>
          <w:spacing w:val="1"/>
          <w:sz w:val="19"/>
          <w:szCs w:val="19"/>
          <w:highlight w:val="none"/>
          <w:u w:val="single" w:color="auto"/>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3840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4F7734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2DBB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9558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32E5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59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54A3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1FD664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见施工图纸并现场确定</w:t>
      </w:r>
      <w:r>
        <w:rPr>
          <w:rFonts w:hint="eastAsia" w:cs="宋体"/>
          <w:color w:val="auto"/>
          <w:sz w:val="21"/>
          <w:szCs w:val="21"/>
          <w:highlight w:val="none"/>
        </w:rPr>
        <w:t>。</w:t>
      </w:r>
    </w:p>
    <w:p w14:paraId="5382FD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见施工图纸</w:t>
      </w:r>
      <w:r>
        <w:rPr>
          <w:rFonts w:hint="eastAsia" w:cs="宋体"/>
          <w:color w:val="auto"/>
          <w:sz w:val="21"/>
          <w:szCs w:val="21"/>
          <w:highlight w:val="none"/>
        </w:rPr>
        <w:t>。</w:t>
      </w:r>
    </w:p>
    <w:p w14:paraId="140A68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现场确定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F62FB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032CFB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600D438B">
      <w:pPr>
        <w:keepNext/>
        <w:keepLines/>
        <w:pageBreakBefore w:val="0"/>
        <w:kinsoku/>
        <w:wordWrap/>
        <w:topLinePunct w:val="0"/>
        <w:bidi w:val="0"/>
        <w:snapToGrid w:val="0"/>
        <w:spacing w:beforeAutospacing="0" w:line="520" w:lineRule="exact"/>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260CF701">
      <w:pPr>
        <w:pageBreakBefore w:val="0"/>
        <w:kinsoku/>
        <w:wordWrap/>
        <w:topLinePunct w:val="0"/>
        <w:bidi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ascii="宋体" w:hAnsi="宋体" w:eastAsia="宋体" w:cs="宋体"/>
          <w:color w:val="auto"/>
          <w:sz w:val="21"/>
          <w:szCs w:val="21"/>
          <w:highlight w:val="none"/>
          <w:u w:val="single"/>
        </w:rPr>
        <w:t>中华人民共和国住房和城乡建设部等部门及省、市发布的有关文件</w:t>
      </w:r>
      <w:r>
        <w:rPr>
          <w:rFonts w:hint="eastAsia" w:ascii="宋体" w:hAnsi="宋体" w:eastAsia="宋体" w:cs="宋体"/>
          <w:color w:val="auto"/>
          <w:sz w:val="21"/>
          <w:szCs w:val="21"/>
          <w:highlight w:val="none"/>
        </w:rPr>
        <w:t>。</w:t>
      </w:r>
    </w:p>
    <w:p w14:paraId="223ED615">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承包人自备国内现行适用的标准、规范</w:t>
      </w:r>
      <w:r>
        <w:rPr>
          <w:rFonts w:hint="eastAsia" w:cs="宋体"/>
          <w:color w:val="auto"/>
          <w:sz w:val="21"/>
          <w:szCs w:val="21"/>
          <w:highlight w:val="none"/>
        </w:rPr>
        <w:t>；</w:t>
      </w:r>
    </w:p>
    <w:p w14:paraId="65334E9E">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5BC2F1">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11062E">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按现行规范执行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CAB923">
      <w:pPr>
        <w:keepNext/>
        <w:keepLines/>
        <w:pageBreakBefore w:val="0"/>
        <w:kinsoku/>
        <w:wordWrap/>
        <w:topLinePunct w:val="0"/>
        <w:bidi w:val="0"/>
        <w:snapToGrid w:val="0"/>
        <w:spacing w:beforeAutospacing="0" w:line="520" w:lineRule="exact"/>
        <w:ind w:firstLine="420" w:firstLineChars="200"/>
        <w:outlineLvl w:val="3"/>
        <w:rPr>
          <w:rFonts w:hint="eastAsia" w:cs="宋体"/>
          <w:bCs/>
          <w:color w:val="auto"/>
          <w:sz w:val="21"/>
          <w:szCs w:val="21"/>
          <w:highlight w:val="none"/>
        </w:rPr>
      </w:pPr>
      <w:r>
        <w:rPr>
          <w:rFonts w:hint="eastAsia" w:cs="宋体"/>
          <w:bCs/>
          <w:color w:val="auto"/>
          <w:sz w:val="21"/>
          <w:szCs w:val="21"/>
          <w:highlight w:val="none"/>
        </w:rPr>
        <w:t>1.5 合同文件的优先顺序</w:t>
      </w:r>
    </w:p>
    <w:p w14:paraId="71210E3C">
      <w:pPr>
        <w:keepNext/>
        <w:keepLines/>
        <w:pageBreakBefore w:val="0"/>
        <w:kinsoku/>
        <w:wordWrap/>
        <w:topLinePunct w:val="0"/>
        <w:bidi w:val="0"/>
        <w:snapToGrid w:val="0"/>
        <w:spacing w:beforeAutospacing="0" w:line="520" w:lineRule="exact"/>
        <w:ind w:firstLine="420" w:firstLineChars="200"/>
        <w:outlineLvl w:val="3"/>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1）合同协议书；（2）中标通知书；（3）投标函及其附录；（4）招标文件；（5）专用合同条款及其附件；（6）通用合同条款；（7）技术标准和要求；（8）图纸；（9）已标价工程量清单或预算书；（10）其他合同文件。</w:t>
      </w:r>
    </w:p>
    <w:p w14:paraId="1D7F752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47C996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248E16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开工前 14 天 </w:t>
      </w:r>
      <w:r>
        <w:rPr>
          <w:rFonts w:hint="eastAsia" w:cs="宋体"/>
          <w:color w:val="auto"/>
          <w:sz w:val="21"/>
          <w:szCs w:val="21"/>
          <w:highlight w:val="none"/>
        </w:rPr>
        <w:t>；</w:t>
      </w:r>
    </w:p>
    <w:p w14:paraId="5BD6D8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w:t>
      </w:r>
      <w:r>
        <w:rPr>
          <w:rFonts w:hint="eastAsia" w:cs="宋体"/>
          <w:color w:val="auto"/>
          <w:sz w:val="21"/>
          <w:szCs w:val="21"/>
          <w:highlight w:val="none"/>
          <w:u w:val="single"/>
          <w:lang w:val="en-US" w:eastAsia="zh-CN"/>
        </w:rPr>
        <w:t>1</w:t>
      </w:r>
      <w:r>
        <w:rPr>
          <w:rFonts w:hint="eastAsia" w:cs="宋体"/>
          <w:color w:val="auto"/>
          <w:sz w:val="21"/>
          <w:szCs w:val="21"/>
          <w:highlight w:val="none"/>
          <w:u w:val="single"/>
        </w:rPr>
        <w:t>套（含竣工图</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套），不足的由承包人自行复制，费用自理；</w:t>
      </w:r>
    </w:p>
    <w:p w14:paraId="649F1B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全套施工图 </w:t>
      </w:r>
      <w:r>
        <w:rPr>
          <w:rFonts w:hint="eastAsia" w:cs="宋体"/>
          <w:color w:val="auto"/>
          <w:sz w:val="21"/>
          <w:szCs w:val="21"/>
          <w:highlight w:val="none"/>
        </w:rPr>
        <w:t>。</w:t>
      </w:r>
    </w:p>
    <w:p w14:paraId="72E3AF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A904339">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auto"/>
          <w:sz w:val="21"/>
          <w:szCs w:val="21"/>
          <w:highlight w:val="none"/>
          <w:u w:val="singl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按监理要求执行，包括但不限于施工组织设计、总进度计划、阶段性进度计划、 月度进度计划、工程计量报告、竣工资料、归档资料电子档、影像资料及工程结算送审资料及发包人、监理人要求提供的等其他文件</w:t>
      </w:r>
      <w:r>
        <w:rPr>
          <w:rFonts w:hint="eastAsia" w:ascii="宋体" w:hAnsi="宋体" w:eastAsia="宋体" w:cs="宋体"/>
          <w:color w:val="auto"/>
          <w:sz w:val="21"/>
          <w:szCs w:val="21"/>
          <w:highlight w:val="none"/>
          <w:u w:val="single"/>
        </w:rPr>
        <w:t>；</w:t>
      </w:r>
    </w:p>
    <w:p w14:paraId="4538A130">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按照合同相关约定或发包人、监理人书面要求执行    </w:t>
      </w:r>
      <w:r>
        <w:rPr>
          <w:rFonts w:hint="eastAsia" w:ascii="宋体" w:hAnsi="宋体" w:eastAsia="宋体" w:cs="宋体"/>
          <w:color w:val="auto"/>
          <w:sz w:val="21"/>
          <w:szCs w:val="21"/>
          <w:highlight w:val="none"/>
        </w:rPr>
        <w:t>；</w:t>
      </w:r>
    </w:p>
    <w:p w14:paraId="4B740A8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按照合同相关约定或发包人、监理人书面要求执行   </w:t>
      </w:r>
      <w:r>
        <w:rPr>
          <w:rFonts w:hint="eastAsia" w:ascii="宋体" w:hAnsi="宋体" w:eastAsia="宋体" w:cs="宋体"/>
          <w:color w:val="auto"/>
          <w:sz w:val="21"/>
          <w:szCs w:val="21"/>
          <w:highlight w:val="none"/>
        </w:rPr>
        <w:t>；</w:t>
      </w:r>
    </w:p>
    <w:p w14:paraId="5BD12AC4">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按照合同相关约定或发包人、监理人书面要求执行  </w:t>
      </w:r>
      <w:r>
        <w:rPr>
          <w:rFonts w:hint="eastAsia" w:ascii="宋体" w:hAnsi="宋体" w:eastAsia="宋体" w:cs="宋体"/>
          <w:color w:val="auto"/>
          <w:sz w:val="21"/>
          <w:szCs w:val="21"/>
          <w:highlight w:val="none"/>
        </w:rPr>
        <w:t>；</w:t>
      </w:r>
    </w:p>
    <w:p w14:paraId="36C1302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按照合同相关约定或发包人、监理人书面要求执行</w:t>
      </w:r>
      <w:r>
        <w:rPr>
          <w:rFonts w:hint="eastAsia" w:ascii="宋体" w:hAnsi="宋体" w:eastAsia="宋体" w:cs="宋体"/>
          <w:color w:val="auto"/>
          <w:sz w:val="21"/>
          <w:szCs w:val="21"/>
          <w:highlight w:val="none"/>
        </w:rPr>
        <w:t>。</w:t>
      </w:r>
    </w:p>
    <w:p w14:paraId="03AC73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74F491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rPr>
        <w:t>。</w:t>
      </w:r>
    </w:p>
    <w:p w14:paraId="2E43EF2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FF9A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031BD0EE">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发包人办公室  </w:t>
      </w:r>
      <w:r>
        <w:rPr>
          <w:rFonts w:hint="eastAsia" w:ascii="宋体" w:hAnsi="宋体" w:eastAsia="宋体" w:cs="宋体"/>
          <w:color w:val="auto"/>
          <w:kern w:val="0"/>
          <w:sz w:val="21"/>
          <w:szCs w:val="21"/>
          <w:highlight w:val="none"/>
        </w:rPr>
        <w:t>；</w:t>
      </w:r>
    </w:p>
    <w:p w14:paraId="62E39037">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发包人指派的项目负责人</w:t>
      </w:r>
      <w:r>
        <w:rPr>
          <w:rFonts w:hint="eastAsia" w:ascii="宋体" w:hAnsi="宋体" w:eastAsia="宋体" w:cs="宋体"/>
          <w:color w:val="auto"/>
          <w:kern w:val="0"/>
          <w:sz w:val="21"/>
          <w:szCs w:val="21"/>
          <w:highlight w:val="none"/>
        </w:rPr>
        <w:t>；</w:t>
      </w:r>
    </w:p>
    <w:p w14:paraId="42B5686E">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项目部</w:t>
      </w:r>
      <w:r>
        <w:rPr>
          <w:rFonts w:hint="eastAsia" w:ascii="宋体" w:hAnsi="宋体" w:eastAsia="宋体" w:cs="宋体"/>
          <w:color w:val="auto"/>
          <w:kern w:val="0"/>
          <w:sz w:val="21"/>
          <w:szCs w:val="21"/>
          <w:highlight w:val="none"/>
        </w:rPr>
        <w:t>；</w:t>
      </w:r>
    </w:p>
    <w:p w14:paraId="0D370D6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项目负责人</w:t>
      </w:r>
      <w:r>
        <w:rPr>
          <w:rFonts w:hint="eastAsia" w:ascii="宋体" w:hAnsi="宋体" w:eastAsia="宋体" w:cs="宋体"/>
          <w:color w:val="auto"/>
          <w:kern w:val="0"/>
          <w:sz w:val="21"/>
          <w:szCs w:val="21"/>
          <w:highlight w:val="none"/>
        </w:rPr>
        <w:t>。</w:t>
      </w:r>
    </w:p>
    <w:p w14:paraId="663784FF">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监理部</w:t>
      </w:r>
      <w:r>
        <w:rPr>
          <w:rFonts w:hint="eastAsia" w:ascii="宋体" w:hAnsi="宋体" w:eastAsia="宋体" w:cs="宋体"/>
          <w:color w:val="auto"/>
          <w:kern w:val="0"/>
          <w:sz w:val="21"/>
          <w:szCs w:val="21"/>
          <w:highlight w:val="none"/>
        </w:rPr>
        <w:t>；</w:t>
      </w:r>
    </w:p>
    <w:p w14:paraId="46DBBBA9">
      <w:pPr>
        <w:keepNext/>
        <w:keepLines/>
        <w:pageBreakBefore w:val="0"/>
        <w:kinsoku/>
        <w:wordWrap/>
        <w:topLinePunct w:val="0"/>
        <w:bidi w:val="0"/>
        <w:snapToGrid w:val="0"/>
        <w:spacing w:beforeAutospacing="0" w:line="520" w:lineRule="exact"/>
        <w:ind w:firstLine="420" w:firstLineChars="200"/>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总监理工程师</w:t>
      </w:r>
      <w:r>
        <w:rPr>
          <w:rFonts w:hint="eastAsia" w:ascii="宋体" w:hAnsi="宋体" w:eastAsia="宋体" w:cs="宋体"/>
          <w:color w:val="auto"/>
          <w:kern w:val="0"/>
          <w:sz w:val="21"/>
          <w:szCs w:val="21"/>
          <w:highlight w:val="none"/>
        </w:rPr>
        <w:t>。</w:t>
      </w:r>
    </w:p>
    <w:p w14:paraId="104752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0B0F174E">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bookmarkStart w:id="85" w:name="_Toc318581157"/>
      <w:r>
        <w:rPr>
          <w:rFonts w:hint="eastAsia" w:cs="宋体"/>
          <w:color w:val="auto"/>
          <w:sz w:val="21"/>
          <w:szCs w:val="21"/>
          <w:highlight w:val="none"/>
        </w:rPr>
        <w:t>1.10.1 出入现场的权利</w:t>
      </w:r>
    </w:p>
    <w:p w14:paraId="49048C36">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403F8EA1">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73FFE97D">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1.10.3 场内交通</w:t>
      </w:r>
    </w:p>
    <w:p w14:paraId="5941EADB">
      <w:pPr>
        <w:pageBreakBefore w:val="0"/>
        <w:kinsoku/>
        <w:wordWrap/>
        <w:topLinePunct w:val="0"/>
        <w:bidi w:val="0"/>
        <w:snapToGrid w:val="0"/>
        <w:spacing w:beforeAutospacing="0" w:line="520" w:lineRule="exact"/>
        <w:ind w:firstLine="420" w:firstLineChars="200"/>
        <w:jc w:val="left"/>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rPr>
        <w:t>场内交通设施和道路由承包人负责建设，发包人不另支付费用，场内交通边界现场确定</w:t>
      </w:r>
      <w:r>
        <w:rPr>
          <w:rFonts w:hint="eastAsia" w:ascii="宋体" w:hAnsi="宋体" w:eastAsia="宋体" w:cs="宋体"/>
          <w:color w:val="auto"/>
          <w:sz w:val="21"/>
          <w:szCs w:val="21"/>
          <w:highlight w:val="none"/>
        </w:rPr>
        <w:t>。</w:t>
      </w:r>
    </w:p>
    <w:p w14:paraId="09EBF8E7">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自行踏勘，自行解决</w:t>
      </w:r>
      <w:r>
        <w:rPr>
          <w:rFonts w:hint="eastAsia" w:cs="宋体"/>
          <w:color w:val="auto"/>
          <w:sz w:val="21"/>
          <w:szCs w:val="21"/>
          <w:highlight w:val="none"/>
        </w:rPr>
        <w:t>。</w:t>
      </w:r>
    </w:p>
    <w:p w14:paraId="5FCC0676">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5E8A04BF">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5"/>
    <w:p w14:paraId="2F6DF4C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0D1BA467">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1CA9E5">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未经发包人同意不得复制，不得向承包人以外的人员泄漏有关图纸内容，工程竣工后，原图全部收回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90AA9B">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8DC662">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F75941">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7DEE1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400A1559">
      <w:pPr>
        <w:pStyle w:val="31"/>
        <w:pageBreakBefore w:val="0"/>
        <w:kinsoku/>
        <w:wordWrap/>
        <w:topLinePunct w:val="0"/>
        <w:bidi w:val="0"/>
        <w:spacing w:beforeAutospacing="0" w:line="520" w:lineRule="exact"/>
        <w:ind w:firstLine="468" w:firstLineChars="200"/>
        <w:rPr>
          <w:rFonts w:hint="eastAsia" w:ascii="宋体" w:hAnsi="宋体" w:eastAsia="宋体" w:cs="宋体"/>
          <w:color w:val="auto"/>
          <w:sz w:val="21"/>
          <w:szCs w:val="21"/>
          <w:highlight w:val="none"/>
        </w:rPr>
      </w:pPr>
      <w:bookmarkStart w:id="86" w:name="_Toc351203634"/>
      <w:r>
        <w:rPr>
          <w:rFonts w:hint="eastAsia"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是，具体调整方式见下款</w:t>
      </w:r>
      <w:r>
        <w:rPr>
          <w:rFonts w:hint="eastAsia" w:ascii="宋体" w:hAnsi="宋体" w:eastAsia="宋体" w:cs="宋体"/>
          <w:color w:val="auto"/>
          <w:sz w:val="21"/>
          <w:szCs w:val="21"/>
          <w:highlight w:val="none"/>
        </w:rPr>
        <w:t>。</w:t>
      </w:r>
    </w:p>
    <w:p w14:paraId="18608630">
      <w:pPr>
        <w:adjustRightInd w:val="0"/>
        <w:snapToGrid w:val="0"/>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允许调整合同价格的工程量偏差范围：工程量按实计量，结算工程量减少0-100%或增加15%以内部分，执行中标单价；超出15％以外部分的，若中标综合单价高于（最高投标限价中综合单价×投标让利幅度）时，按（最高投标限价中综合单价×投标让利幅度）计算；若中标综合单价低于（最高投标限价中综合单价×投标让利幅度）时，执行中标单价(组价明显错误的予以纠正) 。新增项目单价按照最高投标限价的编制原则重新组价乘以中标价/最高投标限价，重新组价价格最终以审计部门审核结算价为准。</w:t>
      </w:r>
    </w:p>
    <w:p w14:paraId="6D52D499">
      <w:pPr>
        <w:adjustRightInd w:val="0"/>
        <w:snapToGrid w:val="0"/>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注：投标让利幅度为中标价/最高投标限价，其中中标价和最高投标限价均扣除暂定金额、暂估价</w:t>
      </w:r>
      <w:r>
        <w:rPr>
          <w:rFonts w:hint="eastAsia" w:ascii="宋体" w:hAnsi="宋体" w:eastAsia="宋体" w:cs="宋体"/>
          <w:color w:val="auto"/>
          <w:sz w:val="21"/>
          <w:szCs w:val="21"/>
          <w:highlight w:val="none"/>
          <w:u w:val="single"/>
          <w:lang w:eastAsia="zh-CN"/>
        </w:rPr>
        <w:t>。</w:t>
      </w:r>
    </w:p>
    <w:p w14:paraId="012E5F4C">
      <w:pPr>
        <w:adjustRightInd w:val="0"/>
        <w:snapToGrid w:val="0"/>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技术措施费调整：</w:t>
      </w:r>
      <w:r>
        <w:rPr>
          <w:rFonts w:hint="eastAsia" w:ascii="宋体" w:hAnsi="宋体" w:eastAsia="宋体" w:cs="宋体"/>
          <w:color w:val="auto"/>
          <w:sz w:val="21"/>
          <w:szCs w:val="21"/>
          <w:highlight w:val="none"/>
          <w:u w:val="single"/>
        </w:rPr>
        <w:t>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6DED1A78">
      <w:pPr>
        <w:adjustRightInd w:val="0"/>
        <w:snapToGrid w:val="0"/>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组织措施费调整：由于分部分项清单工程量增减导致措施费用变化的，按实调整。 </w:t>
      </w:r>
    </w:p>
    <w:p w14:paraId="70A8CAF7">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w:t>
      </w:r>
      <w:bookmarkStart w:id="87" w:name="_Toc296890985"/>
      <w:bookmarkStart w:id="88" w:name="_Toc297048343"/>
      <w:bookmarkStart w:id="89" w:name="_Toc296891197"/>
      <w:bookmarkStart w:id="90" w:name="_Toc292559362"/>
      <w:bookmarkStart w:id="91" w:name="_Toc292559867"/>
      <w:bookmarkStart w:id="92" w:name="_Toc296503157"/>
      <w:bookmarkStart w:id="93" w:name="_Toc297120457"/>
      <w:bookmarkStart w:id="94" w:name="_Toc296346658"/>
      <w:bookmarkStart w:id="95" w:name="_Toc296347156"/>
      <w:bookmarkStart w:id="96" w:name="_Toc296944496"/>
      <w:r>
        <w:rPr>
          <w:rFonts w:hint="eastAsia" w:cs="宋体"/>
          <w:color w:val="auto"/>
          <w:sz w:val="21"/>
          <w:szCs w:val="21"/>
          <w:highlight w:val="none"/>
        </w:rPr>
        <w:t>. 发包人</w:t>
      </w:r>
      <w:bookmarkEnd w:id="86"/>
    </w:p>
    <w:bookmarkEnd w:id="87"/>
    <w:bookmarkEnd w:id="88"/>
    <w:bookmarkEnd w:id="89"/>
    <w:bookmarkEnd w:id="90"/>
    <w:bookmarkEnd w:id="91"/>
    <w:bookmarkEnd w:id="92"/>
    <w:bookmarkEnd w:id="93"/>
    <w:bookmarkEnd w:id="94"/>
    <w:bookmarkEnd w:id="95"/>
    <w:bookmarkEnd w:id="96"/>
    <w:p w14:paraId="4D4653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2E67E7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2D52B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7C83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74CF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723D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5AB8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5919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56C010">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施工组织设计和总进度计划的审核、工程变更、签证的审核、工程款的审核等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922E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6E97F5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412943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开工前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F26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626737B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不提供，本项目施工所需要的条件及手续和工程未完全交付发包人前所有的水电费用均由承包人自行办理且相关费用已包含在合同价款中，由承包人承担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0837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CF180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BDA5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5CA06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9F0B0C">
      <w:pPr>
        <w:snapToGrid w:val="0"/>
        <w:spacing w:before="312" w:beforeLines="100" w:after="312" w:afterLines="100" w:line="360" w:lineRule="auto"/>
        <w:outlineLvl w:val="2"/>
        <w:rPr>
          <w:rFonts w:cs="宋体"/>
          <w:color w:val="auto"/>
          <w:sz w:val="21"/>
          <w:szCs w:val="21"/>
          <w:highlight w:val="none"/>
        </w:rPr>
      </w:pPr>
      <w:bookmarkStart w:id="97" w:name="_Toc351203635"/>
      <w:r>
        <w:rPr>
          <w:rFonts w:hint="eastAsia" w:cs="宋体"/>
          <w:color w:val="auto"/>
          <w:sz w:val="21"/>
          <w:szCs w:val="21"/>
          <w:highlight w:val="none"/>
        </w:rPr>
        <w:t>3</w:t>
      </w:r>
      <w:bookmarkStart w:id="98" w:name="_Toc296347157"/>
      <w:bookmarkStart w:id="99" w:name="_Toc296503158"/>
      <w:bookmarkStart w:id="100" w:name="_Toc296944497"/>
      <w:bookmarkStart w:id="101" w:name="_Toc296346659"/>
      <w:bookmarkStart w:id="102" w:name="_Toc297120458"/>
      <w:bookmarkStart w:id="103" w:name="_Toc296891198"/>
      <w:bookmarkStart w:id="104" w:name="_Toc292559363"/>
      <w:bookmarkStart w:id="105" w:name="_Toc297048344"/>
      <w:bookmarkStart w:id="106" w:name="_Toc292559868"/>
      <w:bookmarkStart w:id="107" w:name="_Toc296890986"/>
      <w:r>
        <w:rPr>
          <w:rFonts w:hint="eastAsia" w:cs="宋体"/>
          <w:color w:val="auto"/>
          <w:sz w:val="21"/>
          <w:szCs w:val="21"/>
          <w:highlight w:val="none"/>
        </w:rPr>
        <w:t>. 承包人</w:t>
      </w:r>
      <w:bookmarkEnd w:id="97"/>
    </w:p>
    <w:bookmarkEnd w:id="98"/>
    <w:bookmarkEnd w:id="99"/>
    <w:bookmarkEnd w:id="100"/>
    <w:bookmarkEnd w:id="101"/>
    <w:bookmarkEnd w:id="102"/>
    <w:bookmarkEnd w:id="103"/>
    <w:bookmarkEnd w:id="104"/>
    <w:bookmarkEnd w:id="105"/>
    <w:bookmarkEnd w:id="106"/>
    <w:bookmarkEnd w:id="107"/>
    <w:p w14:paraId="62C8268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340C0F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42AC2581">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按相关要求执行     </w:t>
      </w:r>
      <w:r>
        <w:rPr>
          <w:rFonts w:hint="eastAsia" w:cs="宋体"/>
          <w:color w:val="auto"/>
          <w:sz w:val="21"/>
          <w:szCs w:val="21"/>
          <w:highlight w:val="none"/>
        </w:rPr>
        <w:t>。</w:t>
      </w:r>
    </w:p>
    <w:p w14:paraId="77571BD6">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36143EAE">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个</w:t>
      </w:r>
      <w:r>
        <w:rPr>
          <w:rFonts w:hint="eastAsia" w:cs="宋体"/>
          <w:color w:val="auto"/>
          <w:sz w:val="21"/>
          <w:szCs w:val="21"/>
          <w:highlight w:val="none"/>
          <w:u w:val="single"/>
          <w:lang w:val="en-US" w:eastAsia="zh-CN"/>
        </w:rPr>
        <w:t>工作日内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079F1D">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纸质材料和电子资料</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4D9596">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ascii="宋体" w:hAnsi="宋体" w:eastAsia="宋体" w:cs="宋体"/>
          <w:color w:val="auto"/>
          <w:sz w:val="21"/>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等相关单位关于项目管理、扬尘治理、大气、农民工工资支付、工程款支付等方面的通知、规定和相关要求。</w:t>
      </w:r>
    </w:p>
    <w:p w14:paraId="458512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637BE0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BC85D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9F5E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3C3A9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90DB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FFC3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137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82D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357A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ED84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418D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83DE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0A670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2ABC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227A8C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F9E61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2B66B3">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承包人不得擅自更换</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3610E1A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546AA0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承包人应在</w:t>
      </w:r>
      <w:r>
        <w:rPr>
          <w:rFonts w:hint="eastAsia"/>
          <w:color w:val="auto"/>
          <w:sz w:val="21"/>
          <w:szCs w:val="21"/>
          <w:highlight w:val="none"/>
          <w:u w:val="single"/>
          <w:shd w:val="clear" w:color="auto" w:fill="auto"/>
        </w:rPr>
        <w:t>合同签订</w:t>
      </w:r>
      <w:r>
        <w:rPr>
          <w:rFonts w:hint="eastAsia" w:ascii="宋体" w:cs="宋体"/>
          <w:color w:val="auto"/>
          <w:sz w:val="21"/>
          <w:szCs w:val="21"/>
          <w:highlight w:val="none"/>
          <w:u w:val="single"/>
          <w:shd w:val="clear" w:color="auto" w:fill="auto"/>
          <w:lang w:val="en-US" w:eastAsia="zh-CN"/>
        </w:rPr>
        <w:t>时</w:t>
      </w:r>
      <w:r>
        <w:rPr>
          <w:rFonts w:hint="eastAsia" w:ascii="宋体" w:cs="宋体"/>
          <w:color w:val="auto"/>
          <w:sz w:val="21"/>
          <w:szCs w:val="21"/>
          <w:highlight w:val="none"/>
          <w:u w:val="single"/>
          <w:shd w:val="clear" w:color="auto" w:fill="auto"/>
        </w:rPr>
        <w:t>，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B820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5000元/天，直至更换符合发包人要求的项目施工管理人员为止，由此增加的费用和（或）延误的工期及其它责任由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76511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需离开时必须事先征得发包人和监理人同意后方可离开</w:t>
      </w:r>
      <w:r>
        <w:rPr>
          <w:rFonts w:hint="eastAsia" w:cs="宋体"/>
          <w:color w:val="auto"/>
          <w:sz w:val="21"/>
          <w:szCs w:val="21"/>
          <w:highlight w:val="none"/>
        </w:rPr>
        <w:t>。</w:t>
      </w:r>
    </w:p>
    <w:p w14:paraId="2C1E956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2DD966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color w:val="auto"/>
          <w:spacing w:val="1"/>
          <w:sz w:val="21"/>
          <w:szCs w:val="21"/>
          <w:highlight w:val="none"/>
          <w:u w:val="single" w:color="auto"/>
        </w:rPr>
        <w:t>承包人主要施工管理人员擅自离开施</w:t>
      </w:r>
      <w:r>
        <w:rPr>
          <w:color w:val="auto"/>
          <w:sz w:val="21"/>
          <w:szCs w:val="21"/>
          <w:highlight w:val="none"/>
          <w:u w:val="single" w:color="auto"/>
        </w:rPr>
        <w:t>工现场的，承包人向发</w:t>
      </w:r>
      <w:r>
        <w:rPr>
          <w:color w:val="auto"/>
          <w:spacing w:val="-1"/>
          <w:sz w:val="21"/>
          <w:szCs w:val="21"/>
          <w:highlight w:val="none"/>
          <w:u w:val="single" w:color="auto"/>
        </w:rPr>
        <w:t>包人支付违约金 2000 元/人·天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C359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8" w:name="_Toc304295523"/>
      <w:bookmarkStart w:id="109" w:name="_Toc296503159"/>
      <w:bookmarkStart w:id="110" w:name="_Toc312677988"/>
      <w:bookmarkStart w:id="111" w:name="_Toc296346660"/>
      <w:bookmarkStart w:id="112" w:name="_Toc303539102"/>
      <w:bookmarkStart w:id="113" w:name="_Toc297048345"/>
      <w:bookmarkStart w:id="114" w:name="_Toc296890987"/>
      <w:bookmarkStart w:id="115" w:name="_Toc292559869"/>
      <w:bookmarkStart w:id="116" w:name="_Toc292559364"/>
      <w:bookmarkStart w:id="117" w:name="_Toc296347158"/>
      <w:bookmarkStart w:id="118" w:name="_Toc300934945"/>
      <w:bookmarkStart w:id="119" w:name="_Toc297123492"/>
      <w:bookmarkStart w:id="120" w:name="_Toc297120459"/>
      <w:bookmarkStart w:id="121" w:name="_Toc296944498"/>
      <w:bookmarkStart w:id="122" w:name="_Toc296891199"/>
      <w:bookmarkStart w:id="123" w:name="_Toc297216151"/>
      <w:r>
        <w:rPr>
          <w:rFonts w:hint="eastAsia" w:cs="宋体"/>
          <w:bCs/>
          <w:color w:val="auto"/>
          <w:sz w:val="21"/>
          <w:szCs w:val="21"/>
          <w:highlight w:val="non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6675FC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4" w:name="_Toc300934946"/>
      <w:bookmarkStart w:id="125" w:name="_Toc297048346"/>
      <w:bookmarkStart w:id="126" w:name="_Toc297120460"/>
      <w:bookmarkStart w:id="127" w:name="_Toc296944499"/>
      <w:bookmarkStart w:id="128" w:name="_Toc296346661"/>
      <w:bookmarkStart w:id="129" w:name="_Toc296347159"/>
      <w:bookmarkStart w:id="130" w:name="_Toc296503160"/>
      <w:bookmarkStart w:id="131" w:name="_Toc297123493"/>
      <w:bookmarkStart w:id="132" w:name="_Toc292559870"/>
      <w:bookmarkStart w:id="133" w:name="_Toc296890988"/>
      <w:bookmarkStart w:id="134" w:name="_Toc292559365"/>
      <w:bookmarkStart w:id="135" w:name="_Toc297216152"/>
      <w:bookmarkStart w:id="136" w:name="_Toc296891200"/>
      <w:bookmarkStart w:id="137" w:name="_Toc303539103"/>
      <w:bookmarkStart w:id="138" w:name="_Toc304295524"/>
      <w:bookmarkStart w:id="139" w:name="_Toc318581158"/>
      <w:bookmarkStart w:id="140" w:name="_Toc312677989"/>
      <w:r>
        <w:rPr>
          <w:rFonts w:hint="eastAsia" w:cs="宋体"/>
          <w:color w:val="auto"/>
          <w:sz w:val="21"/>
          <w:szCs w:val="21"/>
          <w:highlight w:val="none"/>
        </w:rPr>
        <w:t>.5.1 分包的一般约定</w:t>
      </w:r>
    </w:p>
    <w:p w14:paraId="60AAE4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color w:val="auto"/>
          <w:spacing w:val="-7"/>
          <w:sz w:val="21"/>
          <w:szCs w:val="21"/>
          <w:highlight w:val="none"/>
          <w:u w:val="single" w:color="auto"/>
        </w:rPr>
        <w:t>按照发包人及相关国家规范要求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AD1A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1" w:name="_Toc296891201"/>
      <w:bookmarkStart w:id="142" w:name="_Toc304295525"/>
      <w:bookmarkStart w:id="143" w:name="_Toc303539104"/>
      <w:bookmarkStart w:id="144" w:name="_Toc300934947"/>
      <w:bookmarkStart w:id="145" w:name="_Toc297048347"/>
      <w:bookmarkStart w:id="146" w:name="_Toc297120461"/>
      <w:bookmarkStart w:id="147" w:name="_Toc296347160"/>
      <w:bookmarkStart w:id="148" w:name="_Toc296944500"/>
      <w:bookmarkStart w:id="149" w:name="_Toc296503161"/>
      <w:bookmarkStart w:id="150" w:name="_Toc297123494"/>
      <w:bookmarkStart w:id="151" w:name="_Toc297216153"/>
      <w:bookmarkStart w:id="152" w:name="_Toc296346662"/>
      <w:bookmarkStart w:id="153" w:name="_Toc296890989"/>
      <w:r>
        <w:rPr>
          <w:rFonts w:hint="eastAsia" w:cs="宋体"/>
          <w:color w:val="auto"/>
          <w:sz w:val="21"/>
          <w:szCs w:val="21"/>
          <w:highlight w:val="none"/>
          <w:u w:val="single"/>
        </w:rPr>
        <w:t xml:space="preserve"> </w:t>
      </w:r>
      <w:r>
        <w:rPr>
          <w:color w:val="auto"/>
          <w:spacing w:val="-7"/>
          <w:sz w:val="21"/>
          <w:szCs w:val="21"/>
          <w:highlight w:val="none"/>
          <w:u w:val="single" w:color="auto"/>
        </w:rPr>
        <w:t>按照发包人及相关国家规范要求</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08C3B7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4" w:name="_Toc312677990"/>
      <w:bookmarkStart w:id="155" w:name="_Toc318581159"/>
      <w:r>
        <w:rPr>
          <w:rFonts w:hint="eastAsia" w:cs="宋体"/>
          <w:color w:val="auto"/>
          <w:sz w:val="21"/>
          <w:szCs w:val="21"/>
          <w:highlight w:val="none"/>
        </w:rPr>
        <w:t>.5.2 分包的确定</w:t>
      </w:r>
    </w:p>
    <w:p w14:paraId="1C1411CF">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ascii="宋体" w:cs="宋体"/>
          <w:color w:val="auto"/>
          <w:sz w:val="21"/>
          <w:szCs w:val="21"/>
          <w:highlight w:val="none"/>
          <w:u w:val="single"/>
          <w:shd w:val="clear" w:color="auto" w:fill="auto"/>
        </w:rPr>
        <w:t>主专业工程暂估价中涉及的专业工程、住房和城乡建设部发布的建市[2014]159 号文件《建筑业企业资质标准》中的专业承包序列中涉及的专业工程</w:t>
      </w:r>
      <w:r>
        <w:rPr>
          <w:rFonts w:hint="eastAsia" w:cs="宋体"/>
          <w:color w:val="auto"/>
          <w:sz w:val="21"/>
          <w:szCs w:val="21"/>
          <w:highlight w:val="none"/>
        </w:rPr>
        <w:t>。</w:t>
      </w:r>
    </w:p>
    <w:p w14:paraId="0B5E2D9D">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ascii="宋体" w:cs="宋体"/>
          <w:color w:val="auto"/>
          <w:sz w:val="21"/>
          <w:szCs w:val="21"/>
          <w:highlight w:val="none"/>
          <w:u w:val="single"/>
          <w:shd w:val="clear" w:color="auto" w:fill="auto"/>
        </w:rPr>
        <w:t>劳务分包人或专业分包人完成的工作经发包人或监理人检查屡次（3次及以上）发生同类缺陷或错误， 发包人有权指令承包人更换此专业承包人，承包人必须在接到指令后立即执行，不能以发包人同意该分包行为为由推阻， 相关一切工期延误和费用损失等均由承包人承担</w:t>
      </w:r>
      <w:r>
        <w:rPr>
          <w:rFonts w:hint="eastAsia" w:cs="宋体"/>
          <w:color w:val="auto"/>
          <w:sz w:val="21"/>
          <w:szCs w:val="21"/>
          <w:highlight w:val="none"/>
        </w:rPr>
        <w:t>。</w:t>
      </w:r>
    </w:p>
    <w:p w14:paraId="6CC72C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F4621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4"/>
    <w:bookmarkEnd w:id="155"/>
    <w:p w14:paraId="4500D8A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7B8C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5D1072C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415D14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409E33">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766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CF67C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52183C4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7CC36B66">
      <w:pPr>
        <w:snapToGrid w:val="0"/>
        <w:spacing w:before="312" w:beforeLines="100" w:after="312" w:afterLines="100" w:line="360" w:lineRule="auto"/>
        <w:outlineLvl w:val="2"/>
        <w:rPr>
          <w:rFonts w:cs="宋体"/>
          <w:color w:val="auto"/>
          <w:sz w:val="21"/>
          <w:szCs w:val="21"/>
          <w:highlight w:val="none"/>
        </w:rPr>
      </w:pPr>
      <w:bookmarkStart w:id="156" w:name="_Toc351203636"/>
      <w:r>
        <w:rPr>
          <w:rFonts w:hint="eastAsia" w:cs="宋体"/>
          <w:color w:val="auto"/>
          <w:sz w:val="21"/>
          <w:szCs w:val="21"/>
          <w:highlight w:val="none"/>
        </w:rPr>
        <w:t>4</w:t>
      </w:r>
      <w:bookmarkStart w:id="157" w:name="_Toc297120462"/>
      <w:bookmarkStart w:id="158" w:name="_Toc292559366"/>
      <w:bookmarkStart w:id="159" w:name="_Toc296944501"/>
      <w:bookmarkStart w:id="160" w:name="_Toc296891202"/>
      <w:bookmarkStart w:id="161" w:name="_Toc296346663"/>
      <w:bookmarkStart w:id="162" w:name="_Toc296503162"/>
      <w:bookmarkStart w:id="163" w:name="_Toc297048348"/>
      <w:bookmarkStart w:id="164" w:name="_Toc296890990"/>
      <w:bookmarkStart w:id="165" w:name="_Toc267251413"/>
      <w:bookmarkStart w:id="166" w:name="_Toc296347161"/>
      <w:bookmarkStart w:id="167" w:name="_Toc292559871"/>
      <w:r>
        <w:rPr>
          <w:rFonts w:hint="eastAsia" w:cs="宋体"/>
          <w:color w:val="auto"/>
          <w:sz w:val="21"/>
          <w:szCs w:val="21"/>
          <w:highlight w:val="none"/>
        </w:rPr>
        <w:t>. 监</w:t>
      </w:r>
      <w:bookmarkEnd w:id="157"/>
      <w:bookmarkEnd w:id="158"/>
      <w:bookmarkEnd w:id="159"/>
      <w:bookmarkEnd w:id="160"/>
      <w:bookmarkEnd w:id="161"/>
      <w:bookmarkEnd w:id="162"/>
      <w:bookmarkEnd w:id="163"/>
      <w:bookmarkEnd w:id="164"/>
      <w:bookmarkEnd w:id="165"/>
      <w:bookmarkEnd w:id="166"/>
      <w:bookmarkEnd w:id="167"/>
      <w:r>
        <w:rPr>
          <w:rFonts w:hint="eastAsia" w:cs="宋体"/>
          <w:color w:val="auto"/>
          <w:sz w:val="21"/>
          <w:szCs w:val="21"/>
          <w:highlight w:val="none"/>
        </w:rPr>
        <w:t>理人</w:t>
      </w:r>
      <w:bookmarkEnd w:id="156"/>
    </w:p>
    <w:p w14:paraId="7C4CDC5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249397D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7D06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ascii="宋体" w:hAnsi="宋体" w:eastAsia="宋体" w:cs="宋体"/>
          <w:color w:val="auto"/>
          <w:sz w:val="21"/>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间的组织协调的主持权；撤换不合格的工程建设分包单位和注册建造师及有关人员的建议权；分包单位资质及能力的审查权及《建设工程监理规范》规定的法定职权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B55F0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承包人提供和承担，含在签约合同价之内，同时为跟踪审计人员在施工现场提供必要的办公场所、办公家具、办公设备等</w:t>
      </w:r>
      <w:r>
        <w:rPr>
          <w:rFonts w:hint="eastAsia" w:cs="宋体"/>
          <w:color w:val="auto"/>
          <w:sz w:val="21"/>
          <w:szCs w:val="21"/>
          <w:highlight w:val="none"/>
        </w:rPr>
        <w:t>。</w:t>
      </w:r>
    </w:p>
    <w:p w14:paraId="3C6307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1E7C30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161F65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C7C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14B8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0C31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40B9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0441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D16E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5D8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28D9F6BD">
      <w:pPr>
        <w:adjustRightInd w:val="0"/>
        <w:snapToGrid w:val="0"/>
        <w:spacing w:line="360" w:lineRule="auto"/>
        <w:ind w:firstLine="420" w:firstLineChars="200"/>
        <w:rPr>
          <w:rFonts w:cs="宋体"/>
          <w:color w:val="auto"/>
          <w:sz w:val="21"/>
          <w:szCs w:val="21"/>
          <w:highlight w:val="none"/>
        </w:rPr>
      </w:pPr>
      <w:bookmarkStart w:id="168" w:name="_Toc267251418"/>
      <w:r>
        <w:rPr>
          <w:rFonts w:hint="eastAsia" w:cs="宋体"/>
          <w:color w:val="auto"/>
          <w:sz w:val="21"/>
          <w:szCs w:val="21"/>
          <w:highlight w:val="none"/>
        </w:rPr>
        <w:t>在发包人和承包人不能通过协商达成一致意见时，发包人授权监理人对以下事项进行确定：</w:t>
      </w:r>
    </w:p>
    <w:p w14:paraId="1DB96B72">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bookmarkStart w:id="169" w:name="_Toc351203637"/>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施工方案</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57D788">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索赔事项等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347AF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w:t>
      </w:r>
      <w:bookmarkEnd w:id="168"/>
      <w:bookmarkStart w:id="170" w:name="_Toc296944502"/>
      <w:bookmarkStart w:id="171" w:name="_Toc292559872"/>
      <w:bookmarkStart w:id="172" w:name="_Toc296503163"/>
      <w:bookmarkStart w:id="173" w:name="_Toc296890991"/>
      <w:bookmarkStart w:id="174" w:name="_Toc296346664"/>
      <w:bookmarkStart w:id="175" w:name="_Toc296891203"/>
      <w:bookmarkStart w:id="176" w:name="_Toc296347162"/>
      <w:bookmarkStart w:id="177" w:name="_Toc297048349"/>
      <w:bookmarkStart w:id="178" w:name="_Toc297120463"/>
      <w:bookmarkStart w:id="179" w:name="_Toc292559367"/>
      <w:r>
        <w:rPr>
          <w:rFonts w:hint="eastAsia" w:cs="宋体"/>
          <w:color w:val="auto"/>
          <w:sz w:val="21"/>
          <w:szCs w:val="21"/>
          <w:highlight w:val="none"/>
        </w:rPr>
        <w:t>. 工程质量</w:t>
      </w:r>
      <w:bookmarkEnd w:id="169"/>
    </w:p>
    <w:p w14:paraId="258106F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3D4E0C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80" w:name="_Toc297216155"/>
      <w:bookmarkStart w:id="181" w:name="_Toc297123496"/>
      <w:bookmarkStart w:id="182" w:name="_Toc318581164"/>
      <w:bookmarkStart w:id="183" w:name="_Toc303539106"/>
      <w:bookmarkStart w:id="184" w:name="_Toc304295527"/>
      <w:bookmarkStart w:id="185" w:name="_Toc312677997"/>
      <w:bookmarkStart w:id="186" w:name="_Toc300934949"/>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B1251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CBE334">
      <w:pPr>
        <w:snapToGrid w:val="0"/>
        <w:spacing w:line="360" w:lineRule="auto"/>
        <w:ind w:firstLine="420" w:firstLineChars="200"/>
        <w:jc w:val="left"/>
        <w:rPr>
          <w:rFonts w:cs="宋体"/>
          <w:color w:val="auto"/>
          <w:sz w:val="21"/>
          <w:szCs w:val="21"/>
          <w:highlight w:val="none"/>
        </w:rPr>
      </w:pPr>
      <w:bookmarkStart w:id="187" w:name="_Toc351203638"/>
      <w:r>
        <w:rPr>
          <w:rFonts w:hint="eastAsia" w:cs="宋体"/>
          <w:color w:val="auto"/>
          <w:sz w:val="21"/>
          <w:szCs w:val="21"/>
          <w:highlight w:val="none"/>
        </w:rPr>
        <w:t>关于建造要求：</w:t>
      </w:r>
    </w:p>
    <w:p w14:paraId="3F044857">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1F91B8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7ED1556">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502758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FFB5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4909A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2DEB1B97">
      <w:pPr>
        <w:pageBreakBefore w:val="0"/>
        <w:kinsoku/>
        <w:wordWrap/>
        <w:topLinePunct w:val="0"/>
        <w:bidi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ascii="宋体" w:hAnsi="宋体" w:eastAsia="宋体" w:cs="宋体"/>
          <w:color w:val="auto"/>
          <w:sz w:val="21"/>
          <w:szCs w:val="21"/>
          <w:highlight w:val="none"/>
          <w:u w:val="single"/>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解除本合同并责令承包人清退其出场，承包人给发包人造成损失的，还应并赔偿因此而造成的一切损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27D5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24</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1CF08B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48</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10BAD66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8" w:name="_Toc337558762"/>
      <w:r>
        <w:rPr>
          <w:rFonts w:hint="eastAsia" w:cs="宋体"/>
          <w:bCs/>
          <w:color w:val="auto"/>
          <w:sz w:val="21"/>
          <w:szCs w:val="21"/>
          <w:highlight w:val="none"/>
        </w:rPr>
        <w:t>.4 不合格工程的处理</w:t>
      </w:r>
    </w:p>
    <w:bookmarkEnd w:id="188"/>
    <w:p w14:paraId="4C64446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05C9CA2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74735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759532C6">
      <w:pPr>
        <w:keepNext/>
        <w:keepLines/>
        <w:snapToGrid w:val="0"/>
        <w:spacing w:before="120" w:after="120" w:line="360" w:lineRule="auto"/>
        <w:ind w:firstLine="420" w:firstLineChars="200"/>
        <w:outlineLvl w:val="3"/>
        <w:rPr>
          <w:rFonts w:cs="宋体"/>
          <w:bCs/>
          <w:color w:val="auto"/>
          <w:sz w:val="21"/>
          <w:szCs w:val="21"/>
          <w:highlight w:val="none"/>
        </w:rPr>
      </w:pPr>
      <w:bookmarkStart w:id="189" w:name="_Toc532377348"/>
      <w:r>
        <w:rPr>
          <w:rFonts w:hint="eastAsia" w:cs="宋体"/>
          <w:bCs/>
          <w:color w:val="auto"/>
          <w:sz w:val="21"/>
          <w:szCs w:val="21"/>
          <w:highlight w:val="none"/>
        </w:rPr>
        <w:t>5.6 质量事故的处理</w:t>
      </w:r>
      <w:bookmarkEnd w:id="189"/>
    </w:p>
    <w:p w14:paraId="7BA0405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0523149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6DAA38B">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7"/>
    </w:p>
    <w:p w14:paraId="34BCC7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523DFC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D867B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承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承包人管辖区的治安保卫工作 。 </w:t>
      </w:r>
    </w:p>
    <w:p w14:paraId="51F8E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承包人编制，监理人审核，其它按照通用合同条款约定执行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597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6090A8D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FCA0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80"/>
    <w:bookmarkEnd w:id="181"/>
    <w:bookmarkEnd w:id="182"/>
    <w:bookmarkEnd w:id="183"/>
    <w:bookmarkEnd w:id="184"/>
    <w:bookmarkEnd w:id="185"/>
    <w:bookmarkEnd w:id="186"/>
    <w:p w14:paraId="429D84BA">
      <w:pPr>
        <w:snapToGrid w:val="0"/>
        <w:spacing w:before="312" w:beforeLines="100" w:after="312" w:afterLines="100" w:line="360" w:lineRule="auto"/>
        <w:outlineLvl w:val="2"/>
        <w:rPr>
          <w:rFonts w:cs="宋体"/>
          <w:color w:val="auto"/>
          <w:sz w:val="21"/>
          <w:szCs w:val="21"/>
          <w:highlight w:val="none"/>
        </w:rPr>
      </w:pPr>
      <w:bookmarkStart w:id="190" w:name="_Toc351203639"/>
      <w:r>
        <w:rPr>
          <w:rFonts w:hint="eastAsia" w:cs="宋体"/>
          <w:color w:val="auto"/>
          <w:sz w:val="21"/>
          <w:szCs w:val="21"/>
          <w:highlight w:val="none"/>
        </w:rPr>
        <w:t>7. 工期和进度</w:t>
      </w:r>
      <w:bookmarkEnd w:id="190"/>
    </w:p>
    <w:p w14:paraId="29C833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19371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0EAD09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2FDAB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图纸会审及设计交底后一周内提供标后施工组织设计和进度计划、机械设备进场计划、物资计划、劳动力计划</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F55A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w:t>
      </w:r>
      <w:r>
        <w:rPr>
          <w:rFonts w:hint="eastAsia" w:cs="宋体"/>
          <w:color w:val="auto"/>
          <w:sz w:val="21"/>
          <w:szCs w:val="21"/>
          <w:highlight w:val="none"/>
        </w:rPr>
        <w:t>。</w:t>
      </w:r>
    </w:p>
    <w:p w14:paraId="220EF9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1" w:name="_Toc300934966"/>
      <w:bookmarkStart w:id="192" w:name="_Toc304295541"/>
      <w:bookmarkStart w:id="193" w:name="_Toc312677479"/>
      <w:bookmarkStart w:id="194" w:name="_Toc303539123"/>
      <w:bookmarkStart w:id="195" w:name="_Toc297216173"/>
      <w:bookmarkStart w:id="196" w:name="_Toc297123514"/>
      <w:bookmarkStart w:id="197" w:name="_Toc312678005"/>
      <w:r>
        <w:rPr>
          <w:rFonts w:hint="eastAsia" w:cs="宋体"/>
          <w:bCs/>
          <w:color w:val="auto"/>
          <w:sz w:val="21"/>
          <w:szCs w:val="21"/>
          <w:highlight w:val="none"/>
        </w:rPr>
        <w:t>.2 施工进度计划</w:t>
      </w:r>
    </w:p>
    <w:p w14:paraId="508B5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27290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B2A7F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51D93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157F1E62">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rPr>
        <w:t>。</w:t>
      </w:r>
    </w:p>
    <w:p w14:paraId="4F3569AB">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rPr>
        <w:t>。</w:t>
      </w:r>
    </w:p>
    <w:p w14:paraId="7C731CA4">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rPr>
        <w:t>。</w:t>
      </w:r>
    </w:p>
    <w:p w14:paraId="6360A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50953C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91"/>
    <w:bookmarkEnd w:id="192"/>
    <w:bookmarkEnd w:id="193"/>
    <w:bookmarkEnd w:id="194"/>
    <w:bookmarkEnd w:id="195"/>
    <w:bookmarkEnd w:id="196"/>
    <w:bookmarkEnd w:id="197"/>
    <w:p w14:paraId="530E5E4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24B1D9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4499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8" w:name="_Toc300934968"/>
      <w:bookmarkStart w:id="199" w:name="_Toc312678010"/>
      <w:bookmarkStart w:id="200" w:name="_Toc297123516"/>
      <w:bookmarkStart w:id="201" w:name="_Toc303539125"/>
      <w:bookmarkStart w:id="202" w:name="_Toc312677484"/>
      <w:bookmarkStart w:id="203" w:name="_Toc297216175"/>
      <w:bookmarkStart w:id="204" w:name="_Toc304295546"/>
      <w:r>
        <w:rPr>
          <w:rFonts w:hint="eastAsia" w:cs="宋体"/>
          <w:bCs/>
          <w:color w:val="auto"/>
          <w:sz w:val="21"/>
          <w:szCs w:val="21"/>
          <w:highlight w:val="none"/>
        </w:rPr>
        <w:t>.5 工期延误</w:t>
      </w:r>
    </w:p>
    <w:bookmarkEnd w:id="198"/>
    <w:bookmarkEnd w:id="199"/>
    <w:bookmarkEnd w:id="200"/>
    <w:bookmarkEnd w:id="201"/>
    <w:bookmarkEnd w:id="202"/>
    <w:bookmarkEnd w:id="203"/>
    <w:bookmarkEnd w:id="204"/>
    <w:p w14:paraId="5EEDA7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5E68C7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AFCC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5" w:name="_Toc312678012"/>
      <w:bookmarkStart w:id="206" w:name="_Toc312677486"/>
      <w:bookmarkStart w:id="207" w:name="_Toc318581169"/>
      <w:bookmarkStart w:id="208" w:name="_Toc303539127"/>
      <w:bookmarkStart w:id="209" w:name="_Toc297123518"/>
      <w:bookmarkStart w:id="210" w:name="_Toc304295548"/>
      <w:bookmarkStart w:id="211" w:name="_Toc300934970"/>
      <w:bookmarkStart w:id="212" w:name="_Toc297216177"/>
      <w:r>
        <w:rPr>
          <w:rFonts w:hint="eastAsia" w:cs="宋体"/>
          <w:color w:val="auto"/>
          <w:sz w:val="21"/>
          <w:szCs w:val="21"/>
          <w:highlight w:val="none"/>
        </w:rPr>
        <w:t>.5.2 因承包人原因导致工期延误</w:t>
      </w:r>
    </w:p>
    <w:bookmarkEnd w:id="205"/>
    <w:bookmarkEnd w:id="206"/>
    <w:bookmarkEnd w:id="207"/>
    <w:p w14:paraId="491500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3" w:name="_Toc312677487"/>
      <w:bookmarkStart w:id="214" w:name="_Toc312678013"/>
      <w:bookmarkStart w:id="215"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8"/>
      <w:bookmarkEnd w:id="209"/>
      <w:bookmarkEnd w:id="210"/>
      <w:bookmarkEnd w:id="211"/>
      <w:bookmarkEnd w:id="212"/>
      <w:bookmarkEnd w:id="213"/>
      <w:bookmarkEnd w:id="214"/>
    </w:p>
    <w:bookmarkEnd w:id="215"/>
    <w:p w14:paraId="10C48868">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6" w:name="_Toc318581171"/>
      <w:bookmarkStart w:id="217"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6"/>
    <w:bookmarkEnd w:id="217"/>
    <w:p w14:paraId="4DBB4E1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8" w:name="_Toc303539128"/>
      <w:bookmarkStart w:id="219" w:name="_Toc297123519"/>
      <w:bookmarkStart w:id="220" w:name="_Toc312678015"/>
      <w:bookmarkStart w:id="221" w:name="_Toc300934971"/>
      <w:bookmarkStart w:id="222" w:name="_Toc304295549"/>
      <w:bookmarkStart w:id="223" w:name="_Toc297216178"/>
      <w:r>
        <w:rPr>
          <w:rFonts w:hint="eastAsia" w:cs="宋体"/>
          <w:bCs/>
          <w:color w:val="auto"/>
          <w:sz w:val="21"/>
          <w:szCs w:val="21"/>
          <w:highlight w:val="none"/>
        </w:rPr>
        <w:t>.6 不</w:t>
      </w:r>
      <w:bookmarkEnd w:id="218"/>
      <w:bookmarkEnd w:id="219"/>
      <w:bookmarkEnd w:id="220"/>
      <w:bookmarkEnd w:id="221"/>
      <w:bookmarkEnd w:id="222"/>
      <w:bookmarkEnd w:id="223"/>
      <w:r>
        <w:rPr>
          <w:rFonts w:hint="eastAsia" w:cs="宋体"/>
          <w:bCs/>
          <w:color w:val="auto"/>
          <w:sz w:val="21"/>
          <w:szCs w:val="21"/>
          <w:highlight w:val="none"/>
        </w:rPr>
        <w:t>利物质条件</w:t>
      </w:r>
    </w:p>
    <w:p w14:paraId="137EFA1E">
      <w:pPr>
        <w:adjustRightInd w:val="0"/>
        <w:snapToGrid w:val="0"/>
        <w:spacing w:line="360" w:lineRule="auto"/>
        <w:ind w:firstLine="420" w:firstLineChars="200"/>
        <w:rPr>
          <w:rFonts w:cs="宋体"/>
          <w:b/>
          <w:color w:val="auto"/>
          <w:sz w:val="21"/>
          <w:szCs w:val="21"/>
          <w:highlight w:val="none"/>
          <w:u w:val="single"/>
        </w:rPr>
      </w:pPr>
      <w:bookmarkStart w:id="224" w:name="_Toc297123520"/>
      <w:bookmarkStart w:id="225" w:name="_Toc300934972"/>
      <w:bookmarkStart w:id="226" w:name="_Toc297216179"/>
      <w:bookmarkStart w:id="227" w:name="_Toc318581172"/>
      <w:bookmarkStart w:id="228" w:name="_Toc303539129"/>
      <w:bookmarkStart w:id="229" w:name="_Toc304295550"/>
      <w:bookmarkStart w:id="230" w:name="_Toc312678016"/>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承包人应了解</w:t>
      </w:r>
      <w:r>
        <w:rPr>
          <w:rFonts w:hint="eastAsia" w:cs="宋体"/>
          <w:color w:val="auto"/>
          <w:sz w:val="21"/>
          <w:szCs w:val="21"/>
          <w:highlight w:val="none"/>
          <w:u w:val="single"/>
          <w:lang w:val="en-US" w:eastAsia="zh-CN"/>
        </w:rPr>
        <w:t>本项配电安装工程所有内容</w:t>
      </w:r>
      <w:r>
        <w:rPr>
          <w:rFonts w:hint="eastAsia" w:ascii="宋体" w:hAnsi="宋体" w:eastAsia="宋体" w:cs="宋体"/>
          <w:color w:val="auto"/>
          <w:sz w:val="21"/>
          <w:szCs w:val="21"/>
          <w:highlight w:val="none"/>
          <w:u w:val="single"/>
        </w:rPr>
        <w:t>，中标后不得以不利物质条件为由提出索赔</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24"/>
    <w:bookmarkEnd w:id="225"/>
    <w:bookmarkEnd w:id="226"/>
    <w:bookmarkEnd w:id="227"/>
    <w:bookmarkEnd w:id="228"/>
    <w:bookmarkEnd w:id="229"/>
    <w:bookmarkEnd w:id="230"/>
    <w:p w14:paraId="13EBF0E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1" w:name="_Toc297216180"/>
      <w:bookmarkStart w:id="232" w:name="_Toc300934973"/>
      <w:bookmarkStart w:id="233" w:name="_Toc304295551"/>
      <w:bookmarkStart w:id="234" w:name="_Toc297123521"/>
      <w:bookmarkStart w:id="235" w:name="_Toc312678017"/>
      <w:bookmarkStart w:id="236" w:name="_Toc303539130"/>
      <w:r>
        <w:rPr>
          <w:rFonts w:hint="eastAsia" w:cs="宋体"/>
          <w:bCs/>
          <w:color w:val="auto"/>
          <w:sz w:val="21"/>
          <w:szCs w:val="21"/>
          <w:highlight w:val="none"/>
        </w:rPr>
        <w:t>.7 异常恶劣的气候条件</w:t>
      </w:r>
    </w:p>
    <w:bookmarkEnd w:id="231"/>
    <w:bookmarkEnd w:id="232"/>
    <w:bookmarkEnd w:id="233"/>
    <w:bookmarkEnd w:id="234"/>
    <w:bookmarkEnd w:id="235"/>
    <w:bookmarkEnd w:id="236"/>
    <w:p w14:paraId="7DC2D4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1C83B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83AD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DC6A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C73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54B35C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8A5DDA">
      <w:pPr>
        <w:snapToGrid w:val="0"/>
        <w:spacing w:before="312" w:beforeLines="100" w:after="312" w:afterLines="100" w:line="360" w:lineRule="auto"/>
        <w:outlineLvl w:val="2"/>
        <w:rPr>
          <w:rFonts w:cs="宋体"/>
          <w:color w:val="auto"/>
          <w:sz w:val="21"/>
          <w:szCs w:val="21"/>
          <w:highlight w:val="none"/>
        </w:rPr>
      </w:pPr>
      <w:bookmarkStart w:id="237" w:name="_Toc351203640"/>
      <w:r>
        <w:rPr>
          <w:rFonts w:hint="eastAsia" w:cs="宋体"/>
          <w:color w:val="auto"/>
          <w:sz w:val="21"/>
          <w:szCs w:val="21"/>
          <w:highlight w:val="none"/>
        </w:rPr>
        <w:t>8. 材料与设备</w:t>
      </w:r>
      <w:bookmarkEnd w:id="237"/>
    </w:p>
    <w:bookmarkEnd w:id="170"/>
    <w:bookmarkEnd w:id="171"/>
    <w:bookmarkEnd w:id="172"/>
    <w:bookmarkEnd w:id="173"/>
    <w:bookmarkEnd w:id="174"/>
    <w:bookmarkEnd w:id="175"/>
    <w:bookmarkEnd w:id="176"/>
    <w:bookmarkEnd w:id="177"/>
    <w:bookmarkEnd w:id="178"/>
    <w:bookmarkEnd w:id="179"/>
    <w:p w14:paraId="295D12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8" w:name="_Toc297120467"/>
      <w:bookmarkStart w:id="239" w:name="_Toc292559877"/>
      <w:bookmarkStart w:id="240" w:name="_Toc280868654"/>
      <w:bookmarkStart w:id="241" w:name="_Toc297123527"/>
      <w:bookmarkStart w:id="242" w:name="_Toc312677493"/>
      <w:bookmarkStart w:id="243" w:name="_Toc312678019"/>
      <w:bookmarkStart w:id="244" w:name="_Toc296503167"/>
      <w:bookmarkStart w:id="245" w:name="_Toc300934979"/>
      <w:bookmarkStart w:id="246" w:name="_Toc296944506"/>
      <w:bookmarkStart w:id="247" w:name="_Toc296891207"/>
      <w:bookmarkStart w:id="248" w:name="_Toc296347166"/>
      <w:bookmarkStart w:id="249" w:name="_Toc304295556"/>
      <w:bookmarkStart w:id="250" w:name="_Toc303539136"/>
      <w:bookmarkStart w:id="251" w:name="_Toc296346668"/>
      <w:bookmarkStart w:id="252" w:name="_Toc297216186"/>
      <w:bookmarkStart w:id="253" w:name="_Toc292559372"/>
      <w:bookmarkStart w:id="254" w:name="_Toc297048353"/>
      <w:bookmarkStart w:id="255" w:name="_Toc296890995"/>
      <w:bookmarkStart w:id="256" w:name="_Toc280868656"/>
      <w:bookmarkStart w:id="257" w:name="_Toc280868655"/>
      <w:bookmarkStart w:id="258" w:name="_Toc267251424"/>
      <w:r>
        <w:rPr>
          <w:rFonts w:hint="eastAsia" w:cs="宋体"/>
          <w:color w:val="auto"/>
          <w:sz w:val="21"/>
          <w:szCs w:val="21"/>
          <w:highlight w:val="none"/>
        </w:rPr>
        <w:t>.4 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71821A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9" w:name="_Toc292559878"/>
      <w:bookmarkStart w:id="260" w:name="_Toc292559373"/>
      <w:bookmarkStart w:id="261" w:name="_Toc297123528"/>
      <w:bookmarkStart w:id="262" w:name="_Toc303539137"/>
      <w:bookmarkStart w:id="263" w:name="_Toc297120468"/>
      <w:bookmarkStart w:id="264" w:name="_Toc296347167"/>
      <w:bookmarkStart w:id="265" w:name="_Toc296944507"/>
      <w:bookmarkStart w:id="266" w:name="_Toc300934980"/>
      <w:bookmarkStart w:id="267" w:name="_Toc304295557"/>
      <w:bookmarkStart w:id="268" w:name="_Toc296890996"/>
      <w:bookmarkStart w:id="269" w:name="_Toc318581173"/>
      <w:bookmarkStart w:id="270" w:name="_Toc296891208"/>
      <w:bookmarkStart w:id="271" w:name="_Toc297048354"/>
      <w:bookmarkStart w:id="272" w:name="_Toc297216187"/>
      <w:bookmarkStart w:id="273" w:name="_Toc296346669"/>
      <w:bookmarkStart w:id="274" w:name="_Toc312677494"/>
      <w:bookmarkStart w:id="275" w:name="_Toc312678020"/>
      <w:bookmarkStart w:id="276" w:name="_Toc296503168"/>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承包人承担</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含在工程费用内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9"/>
      <w:bookmarkEnd w:id="260"/>
    </w:p>
    <w:p w14:paraId="48BDE58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1DC6FF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44B6AD6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按监理或发包人要求确定 </w:t>
      </w:r>
      <w:r>
        <w:rPr>
          <w:rFonts w:hint="eastAsia" w:cs="宋体"/>
          <w:color w:val="auto"/>
          <w:sz w:val="21"/>
          <w:szCs w:val="21"/>
          <w:highlight w:val="none"/>
        </w:rPr>
        <w:t>。</w:t>
      </w:r>
    </w:p>
    <w:p w14:paraId="00F1F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2D3F9B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3F888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由承包人自行承担费用 </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费用含在工程款内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707EBB75">
      <w:pPr>
        <w:snapToGrid w:val="0"/>
        <w:spacing w:before="312" w:beforeLines="100" w:after="312" w:afterLines="100" w:line="360" w:lineRule="auto"/>
        <w:outlineLvl w:val="2"/>
        <w:rPr>
          <w:rFonts w:cs="宋体"/>
          <w:color w:val="auto"/>
          <w:sz w:val="21"/>
          <w:szCs w:val="21"/>
          <w:highlight w:val="none"/>
        </w:rPr>
      </w:pPr>
      <w:bookmarkStart w:id="277" w:name="_Toc351203641"/>
      <w:r>
        <w:rPr>
          <w:rFonts w:hint="eastAsia" w:cs="宋体"/>
          <w:color w:val="auto"/>
          <w:sz w:val="21"/>
          <w:szCs w:val="21"/>
          <w:highlight w:val="none"/>
        </w:rPr>
        <w:t>9</w:t>
      </w:r>
      <w:bookmarkEnd w:id="256"/>
      <w:bookmarkEnd w:id="257"/>
      <w:bookmarkEnd w:id="258"/>
      <w:bookmarkStart w:id="278" w:name="_Toc303539139"/>
      <w:bookmarkStart w:id="279" w:name="_Toc312678021"/>
      <w:bookmarkStart w:id="280" w:name="_Toc297216192"/>
      <w:bookmarkStart w:id="281" w:name="_Toc297123533"/>
      <w:bookmarkStart w:id="282" w:name="_Toc304295559"/>
      <w:bookmarkStart w:id="283" w:name="_Toc300934982"/>
      <w:bookmarkStart w:id="284" w:name="_Toc312677495"/>
      <w:bookmarkStart w:id="285" w:name="_Toc267251427"/>
      <w:bookmarkStart w:id="286" w:name="_Toc296347172"/>
      <w:bookmarkStart w:id="287" w:name="_Toc296944512"/>
      <w:bookmarkStart w:id="288" w:name="_Toc292559883"/>
      <w:bookmarkStart w:id="289" w:name="_Toc296503173"/>
      <w:bookmarkStart w:id="290" w:name="_Toc297048359"/>
      <w:bookmarkStart w:id="291" w:name="_Toc296891001"/>
      <w:bookmarkStart w:id="292" w:name="_Toc292559378"/>
      <w:bookmarkStart w:id="293" w:name="_Toc297120473"/>
      <w:bookmarkStart w:id="294" w:name="_Toc267251428"/>
      <w:bookmarkStart w:id="295" w:name="_Toc296346674"/>
      <w:bookmarkStart w:id="296" w:name="_Toc296891213"/>
      <w:r>
        <w:rPr>
          <w:rFonts w:hint="eastAsia" w:cs="宋体"/>
          <w:color w:val="auto"/>
          <w:sz w:val="21"/>
          <w:szCs w:val="21"/>
          <w:highlight w:val="none"/>
        </w:rPr>
        <w:t>. 试验与检验</w:t>
      </w:r>
      <w:bookmarkEnd w:id="277"/>
    </w:p>
    <w:bookmarkEnd w:id="278"/>
    <w:bookmarkEnd w:id="279"/>
    <w:bookmarkEnd w:id="280"/>
    <w:bookmarkEnd w:id="281"/>
    <w:bookmarkEnd w:id="282"/>
    <w:bookmarkEnd w:id="283"/>
    <w:bookmarkEnd w:id="284"/>
    <w:p w14:paraId="5305077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7" w:name="_Toc300934983"/>
      <w:bookmarkStart w:id="298" w:name="_Toc304295560"/>
      <w:bookmarkStart w:id="299" w:name="_Toc312678022"/>
      <w:bookmarkStart w:id="300" w:name="_Toc312677496"/>
      <w:bookmarkStart w:id="301" w:name="_Toc297216193"/>
      <w:bookmarkStart w:id="302" w:name="_Toc303539140"/>
      <w:bookmarkStart w:id="303" w:name="_Toc297123534"/>
      <w:r>
        <w:rPr>
          <w:rFonts w:hint="eastAsia" w:cs="宋体"/>
          <w:bCs/>
          <w:color w:val="auto"/>
          <w:sz w:val="21"/>
          <w:szCs w:val="21"/>
          <w:highlight w:val="none"/>
        </w:rPr>
        <w:t>.1 试验设备与试验人员</w:t>
      </w:r>
    </w:p>
    <w:bookmarkEnd w:id="297"/>
    <w:bookmarkEnd w:id="298"/>
    <w:bookmarkEnd w:id="299"/>
    <w:bookmarkEnd w:id="300"/>
    <w:bookmarkEnd w:id="301"/>
    <w:bookmarkEnd w:id="302"/>
    <w:bookmarkEnd w:id="303"/>
    <w:p w14:paraId="392DE3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4" w:name="_Toc297216194"/>
      <w:bookmarkStart w:id="305" w:name="_Toc297123535"/>
      <w:bookmarkStart w:id="306" w:name="_Toc304295561"/>
      <w:bookmarkStart w:id="307" w:name="_Toc312678023"/>
      <w:bookmarkStart w:id="308" w:name="_Toc300934984"/>
      <w:bookmarkStart w:id="309" w:name="_Toc312677497"/>
      <w:bookmarkStart w:id="310" w:name="_Toc303539141"/>
      <w:bookmarkStart w:id="311" w:name="_Toc318581174"/>
      <w:r>
        <w:rPr>
          <w:rFonts w:hint="eastAsia" w:cs="宋体"/>
          <w:color w:val="auto"/>
          <w:sz w:val="21"/>
          <w:szCs w:val="21"/>
          <w:highlight w:val="none"/>
        </w:rPr>
        <w:t>.1.2 试验设备</w:t>
      </w:r>
    </w:p>
    <w:bookmarkEnd w:id="304"/>
    <w:bookmarkEnd w:id="305"/>
    <w:bookmarkEnd w:id="306"/>
    <w:bookmarkEnd w:id="307"/>
    <w:bookmarkEnd w:id="308"/>
    <w:bookmarkEnd w:id="309"/>
    <w:bookmarkEnd w:id="310"/>
    <w:p w14:paraId="00D710C5">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bookmarkStart w:id="312" w:name="_Toc297123536"/>
      <w:bookmarkStart w:id="313" w:name="_Toc304295562"/>
      <w:bookmarkStart w:id="314" w:name="_Toc312677498"/>
      <w:bookmarkStart w:id="315" w:name="_Toc303539142"/>
      <w:bookmarkStart w:id="316" w:name="_Toc300934985"/>
      <w:bookmarkStart w:id="317" w:name="_Toc297216195"/>
      <w:bookmarkStart w:id="318" w:name="_Toc312678024"/>
      <w:r>
        <w:rPr>
          <w:rFonts w:hint="eastAsia" w:cs="宋体"/>
          <w:color w:val="auto"/>
          <w:sz w:val="21"/>
          <w:szCs w:val="21"/>
          <w:highlight w:val="none"/>
        </w:rPr>
        <w:t xml:space="preserve">施工现场需要配置的试验场所：  </w:t>
      </w:r>
      <w:r>
        <w:rPr>
          <w:rFonts w:hint="eastAsia" w:ascii="宋体" w:hAnsi="宋体" w:eastAsia="宋体" w:cs="宋体"/>
          <w:color w:val="auto"/>
          <w:sz w:val="21"/>
          <w:szCs w:val="21"/>
          <w:highlight w:val="none"/>
          <w:u w:val="single"/>
        </w:rPr>
        <w:t>按有关规定执行，承包人自行承担费用</w:t>
      </w:r>
      <w:r>
        <w:rPr>
          <w:rFonts w:hint="eastAsia" w:cs="宋体"/>
          <w:color w:val="auto"/>
          <w:sz w:val="21"/>
          <w:szCs w:val="21"/>
          <w:highlight w:val="none"/>
        </w:rPr>
        <w:t>。</w:t>
      </w:r>
    </w:p>
    <w:p w14:paraId="3B0B3B8C">
      <w:pPr>
        <w:pageBreakBefore w:val="0"/>
        <w:kinsoku/>
        <w:wordWrap/>
        <w:topLinePunct w:val="0"/>
        <w:bidi w:val="0"/>
        <w:adjustRightInd w:val="0"/>
        <w:snapToGrid w:val="0"/>
        <w:spacing w:beforeAutospacing="0" w:line="520" w:lineRule="exact"/>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按有关规定执行，承包人自行承担费用</w:t>
      </w:r>
      <w:r>
        <w:rPr>
          <w:rFonts w:hint="eastAsia" w:cs="宋体"/>
          <w:color w:val="auto"/>
          <w:sz w:val="21"/>
          <w:szCs w:val="21"/>
          <w:highlight w:val="none"/>
        </w:rPr>
        <w:t>。</w:t>
      </w:r>
    </w:p>
    <w:p w14:paraId="3B64FC4A">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按有关规定执行，承包人自行承担费用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1CD35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177BBC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按有关规定执行，承包人自行承担费用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11"/>
    <w:bookmarkEnd w:id="312"/>
    <w:bookmarkEnd w:id="313"/>
    <w:bookmarkEnd w:id="314"/>
    <w:bookmarkEnd w:id="315"/>
    <w:bookmarkEnd w:id="316"/>
    <w:bookmarkEnd w:id="317"/>
    <w:bookmarkEnd w:id="318"/>
    <w:p w14:paraId="46E233AC">
      <w:pPr>
        <w:snapToGrid w:val="0"/>
        <w:spacing w:before="312" w:beforeLines="100" w:after="312" w:afterLines="100" w:line="360" w:lineRule="auto"/>
        <w:outlineLvl w:val="2"/>
        <w:rPr>
          <w:rFonts w:cs="宋体"/>
          <w:color w:val="auto"/>
          <w:sz w:val="21"/>
          <w:szCs w:val="21"/>
          <w:highlight w:val="none"/>
        </w:rPr>
      </w:pPr>
      <w:bookmarkStart w:id="319" w:name="_Toc351203642"/>
      <w:r>
        <w:rPr>
          <w:rFonts w:hint="eastAsia" w:cs="宋体"/>
          <w:color w:val="auto"/>
          <w:sz w:val="21"/>
          <w:szCs w:val="21"/>
          <w:highlight w:val="none"/>
        </w:rPr>
        <w:t>1</w:t>
      </w:r>
      <w:bookmarkEnd w:id="285"/>
      <w:bookmarkEnd w:id="286"/>
      <w:bookmarkEnd w:id="287"/>
      <w:bookmarkEnd w:id="288"/>
      <w:bookmarkEnd w:id="289"/>
      <w:bookmarkEnd w:id="290"/>
      <w:bookmarkEnd w:id="291"/>
      <w:bookmarkEnd w:id="292"/>
      <w:bookmarkEnd w:id="293"/>
      <w:bookmarkEnd w:id="294"/>
      <w:bookmarkEnd w:id="295"/>
      <w:bookmarkEnd w:id="296"/>
      <w:bookmarkStart w:id="320" w:name="_Toc304295566"/>
      <w:bookmarkStart w:id="321" w:name="_Toc296891233"/>
      <w:bookmarkStart w:id="322" w:name="_Toc296346694"/>
      <w:bookmarkStart w:id="323" w:name="_Toc292559903"/>
      <w:bookmarkStart w:id="324" w:name="_Toc296944532"/>
      <w:bookmarkStart w:id="325" w:name="_Toc303539146"/>
      <w:bookmarkStart w:id="326" w:name="_Toc292559398"/>
      <w:bookmarkStart w:id="327" w:name="_Toc300934989"/>
      <w:bookmarkStart w:id="328" w:name="_Toc296503193"/>
      <w:bookmarkStart w:id="329" w:name="_Toc297123540"/>
      <w:bookmarkStart w:id="330" w:name="_Toc297216199"/>
      <w:bookmarkStart w:id="331" w:name="_Toc297048379"/>
      <w:bookmarkStart w:id="332" w:name="_Toc296891021"/>
      <w:bookmarkStart w:id="333" w:name="_Toc297120493"/>
      <w:bookmarkStart w:id="334" w:name="_Toc296347192"/>
      <w:bookmarkStart w:id="335" w:name="_Toc312678025"/>
      <w:bookmarkStart w:id="336" w:name="_Toc312677499"/>
      <w:bookmarkStart w:id="337" w:name="_Toc267251441"/>
      <w:bookmarkStart w:id="338" w:name="_Toc267251433"/>
      <w:bookmarkStart w:id="339" w:name="_Toc267251437"/>
      <w:bookmarkStart w:id="340" w:name="_Toc267251435"/>
      <w:bookmarkStart w:id="341" w:name="_Toc267251440"/>
      <w:bookmarkStart w:id="342" w:name="_Toc267251439"/>
      <w:bookmarkStart w:id="343" w:name="_Toc267251442"/>
      <w:r>
        <w:rPr>
          <w:rFonts w:hint="eastAsia" w:cs="宋体"/>
          <w:color w:val="auto"/>
          <w:sz w:val="21"/>
          <w:szCs w:val="21"/>
          <w:highlight w:val="none"/>
        </w:rPr>
        <w:t>0. 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14:paraId="34BE95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4" w:name="_Toc304295567"/>
      <w:bookmarkStart w:id="345" w:name="_Toc292559904"/>
      <w:bookmarkStart w:id="346" w:name="_Toc296346695"/>
      <w:bookmarkStart w:id="347" w:name="_Toc296503194"/>
      <w:bookmarkStart w:id="348" w:name="_Toc300934990"/>
      <w:bookmarkStart w:id="349" w:name="_Toc296891022"/>
      <w:bookmarkStart w:id="350" w:name="_Toc296944533"/>
      <w:bookmarkStart w:id="351" w:name="_Toc292559399"/>
      <w:bookmarkStart w:id="352" w:name="_Toc296891234"/>
      <w:bookmarkStart w:id="353" w:name="_Toc297120494"/>
      <w:bookmarkStart w:id="354" w:name="_Toc297123541"/>
      <w:bookmarkStart w:id="355" w:name="_Toc297048380"/>
      <w:bookmarkStart w:id="356" w:name="_Toc296347193"/>
      <w:bookmarkStart w:id="357" w:name="_Toc312678026"/>
      <w:bookmarkStart w:id="358" w:name="_Toc297216200"/>
      <w:bookmarkStart w:id="359" w:name="_Toc303539147"/>
      <w:bookmarkStart w:id="360" w:name="_Toc312677500"/>
      <w:r>
        <w:rPr>
          <w:rFonts w:hint="eastAsia" w:cs="宋体"/>
          <w:bCs/>
          <w:color w:val="auto"/>
          <w:sz w:val="21"/>
          <w:szCs w:val="21"/>
          <w:highlight w:val="none"/>
        </w:rPr>
        <w:t>0.1 变更的范围</w:t>
      </w:r>
    </w:p>
    <w:p w14:paraId="7EAFD9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按有关规定执行，承包人自行承担费用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0279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CBF10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657F0D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9723DD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34373866">
      <w:pPr>
        <w:pageBreakBefore w:val="0"/>
        <w:kinsoku/>
        <w:wordWrap/>
        <w:topLinePunct w:val="0"/>
        <w:bidi w:val="0"/>
        <w:snapToGrid w:val="0"/>
        <w:spacing w:beforeAutospacing="0" w:line="52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合同中有类似工程项目的，变更导致结算工程量减少0-100%或增加15%以内部分，执行中标单价；若清单子目实际工程量增加超出清单工程量的15％的，超出15％以外部分，若中标综合单价高于（最高投标限价中综合单价×投标让利幅度）时，按（最高投标限价中综合单价×投标让利幅度）计算；若中标综合单价低于（最高投标限价中综合单价×投标让利幅度）时，执行中标单价(组价明显错误的予以纠正) 。</w:t>
      </w:r>
    </w:p>
    <w:p w14:paraId="5C84C1EB">
      <w:pPr>
        <w:pageBreakBefore w:val="0"/>
        <w:kinsoku/>
        <w:wordWrap/>
        <w:topLinePunct w:val="0"/>
        <w:bidi w:val="0"/>
        <w:snapToGrid w:val="0"/>
        <w:spacing w:beforeAutospacing="0" w:line="52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注：投标让利幅度为中标价/最高投标限价，其中中标价和最高投标限价均扣除暂定金额、暂估价。</w:t>
      </w:r>
    </w:p>
    <w:p w14:paraId="19BE1808">
      <w:pPr>
        <w:pageBreakBefore w:val="0"/>
        <w:kinsoku/>
        <w:wordWrap/>
        <w:topLinePunct w:val="0"/>
        <w:bidi w:val="0"/>
        <w:snapToGrid w:val="0"/>
        <w:spacing w:beforeAutospacing="0" w:line="52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 xml:space="preserve">（2）合同中没有类似工程项目的，由承包人参考“清单计价依据”提出适当的综合单价，报工程造价咨询机构审定后乘以中标价/最高投标限价作为结算依据。（中标价和最高投标限价均应扣除暂列金额和暂估价部分） </w:t>
      </w:r>
    </w:p>
    <w:p w14:paraId="6A865B87">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技术措施费调整：</w:t>
      </w:r>
      <w:r>
        <w:rPr>
          <w:rFonts w:hint="eastAsia" w:ascii="宋体" w:hAnsi="宋体" w:eastAsia="宋体" w:cs="宋体"/>
          <w:b/>
          <w:color w:val="auto"/>
          <w:sz w:val="21"/>
          <w:szCs w:val="21"/>
          <w:highlight w:val="none"/>
          <w:u w:val="single"/>
        </w:rPr>
        <w:t>因承包人擅自改变施工技术措施，造成的价格变动，措施费不予调整。因工程量清单错误必须改变原来施工技术措施，履行变更手续，按照工程变更条款执行。</w:t>
      </w:r>
    </w:p>
    <w:p w14:paraId="1599912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组织措施费调整：</w:t>
      </w:r>
      <w:r>
        <w:rPr>
          <w:rFonts w:hint="eastAsia" w:ascii="宋体" w:hAnsi="宋体" w:eastAsia="宋体" w:cs="宋体"/>
          <w:color w:val="auto"/>
          <w:sz w:val="21"/>
          <w:szCs w:val="21"/>
          <w:highlight w:val="none"/>
          <w:u w:val="single"/>
        </w:rPr>
        <w:t xml:space="preserve"> 按实调整。</w:t>
      </w:r>
    </w:p>
    <w:p w14:paraId="68210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1" w:name="_Toc297123544"/>
      <w:bookmarkStart w:id="362" w:name="_Toc297120497"/>
      <w:bookmarkStart w:id="363" w:name="_Toc296891237"/>
      <w:bookmarkStart w:id="364" w:name="_Toc300934993"/>
      <w:bookmarkStart w:id="365" w:name="_Toc296944536"/>
      <w:bookmarkStart w:id="366" w:name="_Toc297048383"/>
      <w:bookmarkStart w:id="367" w:name="_Toc296347196"/>
      <w:bookmarkStart w:id="368" w:name="_Toc303539150"/>
      <w:bookmarkStart w:id="369" w:name="_Toc297216203"/>
      <w:bookmarkStart w:id="370" w:name="_Toc296503197"/>
      <w:bookmarkStart w:id="371" w:name="_Toc292559402"/>
      <w:bookmarkStart w:id="372" w:name="_Toc292559907"/>
      <w:bookmarkStart w:id="373" w:name="_Toc296346698"/>
      <w:bookmarkStart w:id="374" w:name="_Toc296891025"/>
      <w:bookmarkStart w:id="375" w:name="_Toc312678029"/>
      <w:bookmarkStart w:id="376" w:name="_Toc304295570"/>
      <w:bookmarkStart w:id="377" w:name="_Toc312677503"/>
      <w:r>
        <w:rPr>
          <w:rFonts w:hint="eastAsia" w:cs="宋体"/>
          <w:bCs/>
          <w:color w:val="auto"/>
          <w:sz w:val="21"/>
          <w:szCs w:val="21"/>
          <w:highlight w:val="none"/>
        </w:rPr>
        <w:t>0.5 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297120503"/>
      <w:bookmarkStart w:id="379" w:name="_Toc296891031"/>
      <w:bookmarkStart w:id="380" w:name="_Toc296503203"/>
      <w:bookmarkStart w:id="381" w:name="_Toc292559913"/>
      <w:bookmarkStart w:id="382" w:name="_Toc303539151"/>
      <w:bookmarkStart w:id="383" w:name="_Toc296346704"/>
      <w:bookmarkStart w:id="384" w:name="_Toc296347202"/>
      <w:bookmarkStart w:id="385" w:name="_Toc297048389"/>
      <w:bookmarkStart w:id="386" w:name="_Toc297123545"/>
      <w:bookmarkStart w:id="387" w:name="_Toc297216204"/>
      <w:bookmarkStart w:id="388" w:name="_Toc296891243"/>
      <w:bookmarkStart w:id="389" w:name="_Toc300934994"/>
      <w:bookmarkStart w:id="390" w:name="_Toc296944542"/>
      <w:bookmarkStart w:id="391" w:name="_Toc292559408"/>
      <w:r>
        <w:rPr>
          <w:rFonts w:hint="eastAsia" w:cs="宋体"/>
          <w:bCs/>
          <w:color w:val="auto"/>
          <w:sz w:val="21"/>
          <w:szCs w:val="21"/>
          <w:highlight w:val="none"/>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708EE68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监理人应在收到承包人提交的合理化建议后7天内审查完毕并报送发包人，发现其中存在技术上的缺陷，应通知承包人修改。</w:t>
      </w:r>
    </w:p>
    <w:p w14:paraId="29C4485E">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21B392F">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16C8C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92" w:name="_Toc304295574"/>
      <w:bookmarkStart w:id="393" w:name="_Toc312677507"/>
      <w:bookmarkStart w:id="394" w:name="_Toc297123548"/>
      <w:bookmarkStart w:id="395" w:name="_Toc312678033"/>
      <w:bookmarkStart w:id="396" w:name="_Toc296347198"/>
      <w:bookmarkStart w:id="397" w:name="_Toc296944538"/>
      <w:bookmarkStart w:id="398" w:name="_Toc292559404"/>
      <w:bookmarkStart w:id="399" w:name="_Toc297120499"/>
      <w:bookmarkStart w:id="400" w:name="_Toc297048385"/>
      <w:bookmarkStart w:id="401" w:name="_Toc296891239"/>
      <w:bookmarkStart w:id="402" w:name="_Toc300934997"/>
      <w:bookmarkStart w:id="403" w:name="_Toc303539154"/>
      <w:bookmarkStart w:id="404" w:name="_Toc296503199"/>
      <w:bookmarkStart w:id="405" w:name="_Toc292559909"/>
      <w:bookmarkStart w:id="406" w:name="_Toc296891027"/>
      <w:bookmarkStart w:id="407" w:name="_Toc296346700"/>
      <w:bookmarkStart w:id="408" w:name="_Toc297216207"/>
      <w:r>
        <w:rPr>
          <w:rFonts w:hint="eastAsia" w:cs="宋体"/>
          <w:bCs/>
          <w:color w:val="auto"/>
          <w:sz w:val="21"/>
          <w:szCs w:val="21"/>
          <w:highlight w:val="none"/>
        </w:rPr>
        <w:t>0.7 暂估价</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0D9B22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09" w:name="_Toc312677508"/>
      <w:bookmarkStart w:id="410" w:name="_Toc318581176"/>
      <w:bookmarkStart w:id="411" w:name="_Toc312678034"/>
      <w:r>
        <w:rPr>
          <w:rFonts w:hint="eastAsia" w:cs="宋体"/>
          <w:color w:val="auto"/>
          <w:sz w:val="21"/>
          <w:szCs w:val="21"/>
          <w:highlight w:val="none"/>
        </w:rPr>
        <w:t>估价材料和工程设备的明细见附件12：《暂估价一览表》。</w:t>
      </w:r>
    </w:p>
    <w:bookmarkEnd w:id="409"/>
    <w:bookmarkEnd w:id="410"/>
    <w:bookmarkEnd w:id="411"/>
    <w:p w14:paraId="0F4336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12" w:name="_Toc318581177"/>
      <w:bookmarkStart w:id="413" w:name="_Toc312678035"/>
      <w:bookmarkStart w:id="414" w:name="_Toc312677509"/>
      <w:r>
        <w:rPr>
          <w:rFonts w:hint="eastAsia" w:cs="宋体"/>
          <w:color w:val="auto"/>
          <w:sz w:val="21"/>
          <w:szCs w:val="21"/>
          <w:highlight w:val="none"/>
        </w:rPr>
        <w:t>0.7.1 依法必须招标的暂估价项目</w:t>
      </w:r>
    </w:p>
    <w:bookmarkEnd w:id="412"/>
    <w:bookmarkEnd w:id="413"/>
    <w:bookmarkEnd w:id="414"/>
    <w:p w14:paraId="3EDEDE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3C9BCE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20759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4597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0A06BC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EB92F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C5ED1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暂列金是发包人为可能发生工程变更而暂列的金额，是发包人自行确定设立的，承包商无权使用此笔费用。此费用按实际发生经发包人签证后确定全部使用、部分使用或不使用。暂列金不计入工程款付款的基数</w:t>
      </w:r>
      <w:r>
        <w:rPr>
          <w:rFonts w:hint="eastAsia" w:cs="宋体"/>
          <w:color w:val="auto"/>
          <w:sz w:val="21"/>
          <w:szCs w:val="21"/>
          <w:highlight w:val="none"/>
        </w:rPr>
        <w:t>。</w:t>
      </w:r>
    </w:p>
    <w:p w14:paraId="7C3B4E85">
      <w:pPr>
        <w:snapToGrid w:val="0"/>
        <w:spacing w:before="312" w:beforeLines="100" w:after="312" w:afterLines="100" w:line="360" w:lineRule="auto"/>
        <w:outlineLvl w:val="2"/>
        <w:rPr>
          <w:rFonts w:cs="宋体"/>
          <w:color w:val="auto"/>
          <w:sz w:val="21"/>
          <w:szCs w:val="21"/>
          <w:highlight w:val="none"/>
        </w:rPr>
      </w:pPr>
      <w:bookmarkStart w:id="415" w:name="_Toc351203643"/>
      <w:r>
        <w:rPr>
          <w:rFonts w:hint="eastAsia" w:cs="宋体"/>
          <w:color w:val="auto"/>
          <w:sz w:val="21"/>
          <w:szCs w:val="21"/>
          <w:highlight w:val="none"/>
        </w:rPr>
        <w:t>11. 价格调整</w:t>
      </w:r>
      <w:bookmarkEnd w:id="415"/>
    </w:p>
    <w:p w14:paraId="4D7C51BC">
      <w:pPr>
        <w:keepNext/>
        <w:keepLines/>
        <w:snapToGrid w:val="0"/>
        <w:spacing w:before="120" w:after="120" w:line="360" w:lineRule="auto"/>
        <w:ind w:firstLine="420" w:firstLineChars="200"/>
        <w:outlineLvl w:val="3"/>
        <w:rPr>
          <w:rFonts w:cs="宋体"/>
          <w:bCs/>
          <w:color w:val="auto"/>
          <w:sz w:val="21"/>
          <w:szCs w:val="21"/>
          <w:highlight w:val="none"/>
        </w:rPr>
      </w:pPr>
      <w:bookmarkStart w:id="416" w:name="_Toc297120501"/>
      <w:bookmarkStart w:id="417" w:name="_Toc312678039"/>
      <w:bookmarkStart w:id="418" w:name="_Toc303539157"/>
      <w:bookmarkStart w:id="419" w:name="_Toc296346702"/>
      <w:bookmarkStart w:id="420" w:name="_Toc292559911"/>
      <w:bookmarkStart w:id="421" w:name="_Toc296944540"/>
      <w:bookmarkStart w:id="422" w:name="_Toc304295577"/>
      <w:bookmarkStart w:id="423" w:name="_Toc297048387"/>
      <w:bookmarkStart w:id="424" w:name="_Toc296891029"/>
      <w:bookmarkStart w:id="425" w:name="_Toc296347200"/>
      <w:bookmarkStart w:id="426" w:name="_Toc297216209"/>
      <w:bookmarkStart w:id="427" w:name="_Toc296503201"/>
      <w:bookmarkStart w:id="428" w:name="_Toc300935000"/>
      <w:bookmarkStart w:id="429" w:name="_Toc296891241"/>
      <w:bookmarkStart w:id="430" w:name="_Toc292559406"/>
      <w:bookmarkStart w:id="431" w:name="_Toc297123550"/>
      <w:r>
        <w:rPr>
          <w:rFonts w:hint="eastAsia" w:cs="宋体"/>
          <w:bCs/>
          <w:color w:val="auto"/>
          <w:sz w:val="21"/>
          <w:szCs w:val="21"/>
          <w:highlight w:val="none"/>
        </w:rPr>
        <w:t>11.1 市场价格波动引起的调整</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4D915C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9154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127EF2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553D443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6C791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99C4B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9A34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8D4D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43DC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BFF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20D1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A96A4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D8971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4D92F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7"/>
    <w:bookmarkEnd w:id="338"/>
    <w:bookmarkEnd w:id="339"/>
    <w:bookmarkEnd w:id="340"/>
    <w:bookmarkEnd w:id="341"/>
    <w:bookmarkEnd w:id="342"/>
    <w:p w14:paraId="35B736EF">
      <w:pPr>
        <w:snapToGrid w:val="0"/>
        <w:spacing w:before="312" w:beforeLines="100" w:after="312" w:afterLines="100" w:line="360" w:lineRule="auto"/>
        <w:outlineLvl w:val="2"/>
        <w:rPr>
          <w:rFonts w:cs="宋体"/>
          <w:color w:val="auto"/>
          <w:sz w:val="21"/>
          <w:szCs w:val="21"/>
          <w:highlight w:val="none"/>
        </w:rPr>
      </w:pPr>
      <w:bookmarkStart w:id="432" w:name="_Toc296346706"/>
      <w:bookmarkStart w:id="433" w:name="_Toc296891245"/>
      <w:bookmarkStart w:id="434" w:name="_Toc292559915"/>
      <w:bookmarkStart w:id="435" w:name="_Toc296503205"/>
      <w:bookmarkStart w:id="436" w:name="_Toc296944544"/>
      <w:bookmarkStart w:id="437" w:name="_Toc297120505"/>
      <w:bookmarkStart w:id="438" w:name="_Toc297048391"/>
      <w:bookmarkStart w:id="439" w:name="_Toc292559410"/>
      <w:bookmarkStart w:id="440" w:name="_Toc296891033"/>
      <w:bookmarkStart w:id="441" w:name="_Toc296347204"/>
      <w:bookmarkStart w:id="442" w:name="_Toc351203644"/>
      <w:bookmarkStart w:id="443" w:name="_Toc303539159"/>
      <w:bookmarkStart w:id="444" w:name="_Toc297216211"/>
      <w:bookmarkStart w:id="445" w:name="_Toc300935002"/>
      <w:bookmarkStart w:id="446" w:name="_Toc312678040"/>
      <w:bookmarkStart w:id="447" w:name="_Toc297123552"/>
      <w:bookmarkStart w:id="448" w:name="_Toc304295579"/>
      <w:r>
        <w:rPr>
          <w:rFonts w:hint="eastAsia" w:cs="宋体"/>
          <w:color w:val="auto"/>
          <w:sz w:val="21"/>
          <w:szCs w:val="21"/>
          <w:highlight w:val="none"/>
        </w:rPr>
        <w:t xml:space="preserve">12. </w:t>
      </w:r>
      <w:bookmarkEnd w:id="432"/>
      <w:bookmarkEnd w:id="433"/>
      <w:bookmarkEnd w:id="434"/>
      <w:bookmarkEnd w:id="435"/>
      <w:bookmarkEnd w:id="436"/>
      <w:bookmarkEnd w:id="437"/>
      <w:bookmarkEnd w:id="438"/>
      <w:bookmarkEnd w:id="439"/>
      <w:bookmarkEnd w:id="440"/>
      <w:bookmarkEnd w:id="441"/>
      <w:r>
        <w:rPr>
          <w:rFonts w:hint="eastAsia" w:cs="宋体"/>
          <w:color w:val="auto"/>
          <w:sz w:val="21"/>
          <w:szCs w:val="21"/>
          <w:highlight w:val="none"/>
        </w:rPr>
        <w:t>合同价格、计量与支付</w:t>
      </w:r>
      <w:bookmarkEnd w:id="442"/>
    </w:p>
    <w:bookmarkEnd w:id="443"/>
    <w:bookmarkEnd w:id="444"/>
    <w:bookmarkEnd w:id="445"/>
    <w:bookmarkEnd w:id="446"/>
    <w:bookmarkEnd w:id="447"/>
    <w:bookmarkEnd w:id="448"/>
    <w:p w14:paraId="7B7BD00A">
      <w:pPr>
        <w:keepNext/>
        <w:keepLines/>
        <w:snapToGrid w:val="0"/>
        <w:spacing w:before="120" w:after="120" w:line="360" w:lineRule="auto"/>
        <w:ind w:firstLine="420" w:firstLineChars="200"/>
        <w:outlineLvl w:val="3"/>
        <w:rPr>
          <w:rFonts w:cs="宋体"/>
          <w:bCs/>
          <w:color w:val="auto"/>
          <w:sz w:val="21"/>
          <w:szCs w:val="21"/>
          <w:highlight w:val="none"/>
        </w:rPr>
      </w:pPr>
      <w:bookmarkStart w:id="449" w:name="_Toc292559916"/>
      <w:bookmarkStart w:id="450" w:name="_Toc292559411"/>
      <w:bookmarkStart w:id="451" w:name="_Toc267251461"/>
      <w:bookmarkStart w:id="452" w:name="_Toc296503206"/>
      <w:bookmarkStart w:id="453" w:name="_Toc296347205"/>
      <w:bookmarkStart w:id="454" w:name="_Toc296944545"/>
      <w:bookmarkStart w:id="455" w:name="_Toc296891246"/>
      <w:bookmarkStart w:id="456" w:name="_Toc296346707"/>
      <w:bookmarkStart w:id="457" w:name="_Toc297048392"/>
      <w:bookmarkStart w:id="458" w:name="_Toc297120506"/>
      <w:bookmarkStart w:id="459" w:name="_Toc296891034"/>
      <w:bookmarkStart w:id="460" w:name="_Toc297123553"/>
      <w:bookmarkStart w:id="461" w:name="_Toc312678041"/>
      <w:bookmarkStart w:id="462" w:name="_Toc297216212"/>
      <w:bookmarkStart w:id="463" w:name="_Toc304295580"/>
      <w:bookmarkStart w:id="464" w:name="_Toc303539160"/>
      <w:bookmarkStart w:id="465" w:name="_Toc300935003"/>
      <w:r>
        <w:rPr>
          <w:rFonts w:hint="eastAsia" w:cs="宋体"/>
          <w:bCs/>
          <w:color w:val="auto"/>
          <w:sz w:val="21"/>
          <w:szCs w:val="21"/>
          <w:highlight w:val="none"/>
        </w:rPr>
        <w:t>12.1 合</w:t>
      </w:r>
      <w:bookmarkEnd w:id="449"/>
      <w:bookmarkEnd w:id="450"/>
      <w:bookmarkEnd w:id="451"/>
      <w:r>
        <w:rPr>
          <w:rFonts w:hint="eastAsia" w:cs="宋体"/>
          <w:bCs/>
          <w:color w:val="auto"/>
          <w:sz w:val="21"/>
          <w:szCs w:val="21"/>
          <w:highlight w:val="none"/>
        </w:rPr>
        <w:t>同价</w:t>
      </w:r>
      <w:bookmarkEnd w:id="452"/>
      <w:bookmarkEnd w:id="453"/>
      <w:bookmarkEnd w:id="454"/>
      <w:bookmarkEnd w:id="455"/>
      <w:bookmarkEnd w:id="456"/>
      <w:bookmarkEnd w:id="457"/>
      <w:bookmarkEnd w:id="458"/>
      <w:bookmarkEnd w:id="459"/>
      <w:r>
        <w:rPr>
          <w:rFonts w:hint="eastAsia" w:cs="宋体"/>
          <w:bCs/>
          <w:color w:val="auto"/>
          <w:sz w:val="21"/>
          <w:szCs w:val="21"/>
          <w:highlight w:val="none"/>
        </w:rPr>
        <w:t>格形式</w:t>
      </w:r>
    </w:p>
    <w:bookmarkEnd w:id="460"/>
    <w:bookmarkEnd w:id="461"/>
    <w:bookmarkEnd w:id="462"/>
    <w:bookmarkEnd w:id="463"/>
    <w:bookmarkEnd w:id="464"/>
    <w:bookmarkEnd w:id="465"/>
    <w:p w14:paraId="4F8BC9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7AD4699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29929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8F402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A40C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6B6FFC6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F7045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4E89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15E5E8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408D38">
      <w:pPr>
        <w:keepNext/>
        <w:keepLines/>
        <w:snapToGrid w:val="0"/>
        <w:spacing w:before="120" w:after="120" w:line="360" w:lineRule="auto"/>
        <w:ind w:firstLine="420" w:firstLineChars="200"/>
        <w:outlineLvl w:val="3"/>
        <w:rPr>
          <w:rFonts w:cs="宋体"/>
          <w:bCs/>
          <w:color w:val="auto"/>
          <w:sz w:val="21"/>
          <w:szCs w:val="21"/>
          <w:highlight w:val="none"/>
        </w:rPr>
      </w:pPr>
      <w:bookmarkStart w:id="466" w:name="_Toc297123554"/>
      <w:bookmarkStart w:id="467" w:name="_Toc304295581"/>
      <w:bookmarkStart w:id="468" w:name="_Toc297216213"/>
      <w:bookmarkStart w:id="469" w:name="_Toc312678042"/>
      <w:bookmarkStart w:id="470" w:name="_Toc300935004"/>
      <w:bookmarkStart w:id="471" w:name="_Toc303539161"/>
      <w:bookmarkStart w:id="472" w:name="_Toc297120507"/>
      <w:bookmarkStart w:id="473" w:name="_Toc296347206"/>
      <w:bookmarkStart w:id="474" w:name="_Toc292559412"/>
      <w:bookmarkStart w:id="475" w:name="_Toc296503207"/>
      <w:bookmarkStart w:id="476" w:name="_Toc296346708"/>
      <w:bookmarkStart w:id="477" w:name="_Toc297048393"/>
      <w:bookmarkStart w:id="478" w:name="_Toc296891035"/>
      <w:bookmarkStart w:id="479" w:name="_Toc292559917"/>
      <w:bookmarkStart w:id="480" w:name="_Toc296944546"/>
      <w:bookmarkStart w:id="481" w:name="_Toc296891247"/>
      <w:r>
        <w:rPr>
          <w:rFonts w:hint="eastAsia" w:cs="宋体"/>
          <w:bCs/>
          <w:color w:val="auto"/>
          <w:sz w:val="21"/>
          <w:szCs w:val="21"/>
          <w:highlight w:val="none"/>
        </w:rPr>
        <w:t>12.2 预付款</w:t>
      </w:r>
    </w:p>
    <w:bookmarkEnd w:id="466"/>
    <w:bookmarkEnd w:id="467"/>
    <w:bookmarkEnd w:id="468"/>
    <w:bookmarkEnd w:id="469"/>
    <w:bookmarkEnd w:id="470"/>
    <w:bookmarkEnd w:id="471"/>
    <w:p w14:paraId="356F48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1228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66F9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B098A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C916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D75DE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AFFA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72"/>
    <w:bookmarkEnd w:id="473"/>
    <w:bookmarkEnd w:id="474"/>
    <w:bookmarkEnd w:id="475"/>
    <w:bookmarkEnd w:id="476"/>
    <w:bookmarkEnd w:id="477"/>
    <w:bookmarkEnd w:id="478"/>
    <w:bookmarkEnd w:id="479"/>
    <w:bookmarkEnd w:id="480"/>
    <w:bookmarkEnd w:id="481"/>
    <w:p w14:paraId="49B4D29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B533D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13E670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604DD4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55F2573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见《专用合同条款数据表》  </w:t>
      </w:r>
      <w:r>
        <w:rPr>
          <w:rFonts w:hint="eastAsia" w:cs="宋体"/>
          <w:b/>
          <w:color w:val="auto"/>
          <w:sz w:val="21"/>
          <w:szCs w:val="21"/>
          <w:highlight w:val="none"/>
        </w:rPr>
        <w:t>。</w:t>
      </w:r>
    </w:p>
    <w:p w14:paraId="10C8E2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2119D5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D62D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405CB0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51D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不执行</w:t>
      </w:r>
      <w:r>
        <w:rPr>
          <w:rFonts w:hint="eastAsia" w:cs="宋体"/>
          <w:b/>
          <w:color w:val="auto"/>
          <w:sz w:val="21"/>
          <w:szCs w:val="21"/>
          <w:highlight w:val="none"/>
        </w:rPr>
        <w:t>。</w:t>
      </w:r>
    </w:p>
    <w:p w14:paraId="77159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537935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20F7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1CABAC">
      <w:pPr>
        <w:adjustRightInd w:val="0"/>
        <w:snapToGrid w:val="0"/>
        <w:spacing w:line="360" w:lineRule="auto"/>
        <w:ind w:firstLine="420" w:firstLineChars="200"/>
        <w:rPr>
          <w:rFonts w:cs="宋体"/>
          <w:color w:val="auto"/>
          <w:sz w:val="21"/>
          <w:szCs w:val="21"/>
          <w:highlight w:val="none"/>
        </w:rPr>
      </w:pPr>
      <w:bookmarkStart w:id="482" w:name="_Toc292559921"/>
      <w:bookmarkStart w:id="483" w:name="_Toc296347210"/>
      <w:bookmarkStart w:id="484" w:name="_Toc292559416"/>
      <w:bookmarkStart w:id="485" w:name="_Toc297123556"/>
      <w:bookmarkStart w:id="486" w:name="_Toc296891039"/>
      <w:bookmarkStart w:id="487" w:name="_Toc296944550"/>
      <w:bookmarkStart w:id="488" w:name="_Toc297048397"/>
      <w:bookmarkStart w:id="489" w:name="_Toc296503211"/>
      <w:bookmarkStart w:id="490" w:name="_Toc296346712"/>
      <w:bookmarkStart w:id="491" w:name="_Toc296891251"/>
      <w:bookmarkStart w:id="492" w:name="_Toc297120511"/>
      <w:bookmarkStart w:id="493" w:name="_Toc300935006"/>
      <w:bookmarkStart w:id="494" w:name="_Toc303539163"/>
      <w:bookmarkStart w:id="495" w:name="_Toc297216215"/>
      <w:r>
        <w:rPr>
          <w:rFonts w:hint="eastAsia" w:cs="宋体"/>
          <w:color w:val="auto"/>
          <w:sz w:val="21"/>
          <w:szCs w:val="21"/>
          <w:highlight w:val="none"/>
        </w:rPr>
        <w:t>12.4.1 付款周期</w:t>
      </w:r>
    </w:p>
    <w:p w14:paraId="789E01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F21A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C62A73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color w:val="auto"/>
          <w:spacing w:val="-7"/>
          <w:sz w:val="21"/>
          <w:szCs w:val="21"/>
          <w:highlight w:val="none"/>
          <w:u w:val="single" w:color="auto"/>
        </w:rPr>
        <w:t>按监理要求</w:t>
      </w:r>
      <w:r>
        <w:rPr>
          <w:rFonts w:hint="eastAsia" w:cs="宋体"/>
          <w:color w:val="auto"/>
          <w:sz w:val="21"/>
          <w:szCs w:val="21"/>
          <w:highlight w:val="none"/>
        </w:rPr>
        <w:t>。</w:t>
      </w:r>
    </w:p>
    <w:p w14:paraId="60D00F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cs="宋体"/>
          <w:color w:val="auto"/>
          <w:sz w:val="21"/>
          <w:szCs w:val="21"/>
          <w:highlight w:val="none"/>
        </w:rPr>
        <w:t>2.4.3 进度付款申请单的提交</w:t>
      </w:r>
    </w:p>
    <w:p w14:paraId="38BED0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5BA18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D3B5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368F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EEC248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执行通用条款</w:t>
      </w:r>
      <w:r>
        <w:rPr>
          <w:rFonts w:hint="eastAsia" w:cs="宋体"/>
          <w:color w:val="auto"/>
          <w:sz w:val="21"/>
          <w:szCs w:val="21"/>
          <w:highlight w:val="none"/>
        </w:rPr>
        <w:t>。</w:t>
      </w:r>
    </w:p>
    <w:p w14:paraId="55DFED5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FC0634">
      <w:pPr>
        <w:pageBreakBefore w:val="0"/>
        <w:kinsoku/>
        <w:wordWrap/>
        <w:topLinePunct w:val="0"/>
        <w:bidi w:val="0"/>
        <w:adjustRightInd w:val="0"/>
        <w:snapToGrid w:val="0"/>
        <w:spacing w:beforeAutospacing="0" w:line="520" w:lineRule="exact"/>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bCs/>
          <w:color w:val="auto"/>
          <w:sz w:val="21"/>
          <w:szCs w:val="21"/>
          <w:highlight w:val="none"/>
          <w:u w:val="single"/>
          <w:lang w:val="en-US" w:eastAsia="zh-CN"/>
        </w:rPr>
        <w:t>签订合同并具备实施条件后支付合同总价的40%预付款(预付款支付前，承包人须提供同等金额的银行、保险公司、担保公司等金融机构出具见索即付保函)，竣工验收合格后付至已完合格工程量价款的85%为进度款;完成竣工结算审计后付至结算总造价的100%，同时承包人须提交结算总造价的2%(作为工程质量保证金)至发包人处。质量保证金支持保函(银行保函、担保机构担保、保证保险)使用，保函有效期须与工程缺陷责任期截止时间保持一致</w:t>
      </w:r>
      <w:r>
        <w:rPr>
          <w:rFonts w:hint="eastAsia" w:cs="宋体"/>
          <w:color w:val="auto"/>
          <w:sz w:val="21"/>
          <w:szCs w:val="21"/>
          <w:highlight w:val="none"/>
        </w:rPr>
        <w:t>。</w:t>
      </w:r>
    </w:p>
    <w:p w14:paraId="0E3BB8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A8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54B80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D09A4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F728BA">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57202B96">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672F72C">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16529174">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485A559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76D85BB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3"/>
    <w:p w14:paraId="032A492C">
      <w:pPr>
        <w:snapToGrid w:val="0"/>
        <w:spacing w:before="312" w:beforeLines="100" w:after="312" w:afterLines="100" w:line="360" w:lineRule="auto"/>
        <w:outlineLvl w:val="2"/>
        <w:rPr>
          <w:rFonts w:cs="宋体"/>
          <w:color w:val="auto"/>
          <w:sz w:val="21"/>
          <w:szCs w:val="21"/>
          <w:highlight w:val="none"/>
        </w:rPr>
      </w:pPr>
      <w:bookmarkStart w:id="496" w:name="_Toc351203645"/>
      <w:bookmarkStart w:id="497" w:name="_Toc304295593"/>
      <w:bookmarkStart w:id="498" w:name="_Toc296346720"/>
      <w:bookmarkStart w:id="499" w:name="_Toc292559929"/>
      <w:bookmarkStart w:id="500" w:name="_Toc300935015"/>
      <w:bookmarkStart w:id="501" w:name="_Toc297120519"/>
      <w:bookmarkStart w:id="502" w:name="_Toc303539172"/>
      <w:bookmarkStart w:id="503" w:name="_Toc296891259"/>
      <w:bookmarkStart w:id="504" w:name="_Toc292559424"/>
      <w:bookmarkStart w:id="505" w:name="_Toc296347218"/>
      <w:bookmarkStart w:id="506" w:name="_Toc312678053"/>
      <w:bookmarkStart w:id="507" w:name="_Toc297048405"/>
      <w:bookmarkStart w:id="508" w:name="_Toc296944558"/>
      <w:bookmarkStart w:id="509" w:name="_Toc296891047"/>
      <w:bookmarkStart w:id="510" w:name="_Toc296503219"/>
      <w:bookmarkStart w:id="511" w:name="_Toc297123564"/>
      <w:bookmarkStart w:id="512" w:name="_Toc297216223"/>
      <w:r>
        <w:rPr>
          <w:rFonts w:hint="eastAsia" w:cs="宋体"/>
          <w:color w:val="auto"/>
          <w:sz w:val="21"/>
          <w:szCs w:val="21"/>
          <w:highlight w:val="none"/>
        </w:rPr>
        <w:t>13. 验收和工程试车</w:t>
      </w:r>
      <w:bookmarkEnd w:id="496"/>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4779ABA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63F196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12BC0B8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30314E75">
      <w:pPr>
        <w:keepNext/>
        <w:keepLines/>
        <w:snapToGrid w:val="0"/>
        <w:spacing w:before="120" w:after="120" w:line="360" w:lineRule="auto"/>
        <w:ind w:firstLine="420" w:firstLineChars="200"/>
        <w:outlineLvl w:val="3"/>
        <w:rPr>
          <w:rFonts w:cs="宋体"/>
          <w:bCs/>
          <w:color w:val="auto"/>
          <w:sz w:val="21"/>
          <w:szCs w:val="21"/>
          <w:highlight w:val="none"/>
        </w:rPr>
      </w:pPr>
      <w:bookmarkStart w:id="513" w:name="_Toc292559933"/>
      <w:bookmarkStart w:id="514" w:name="_Toc296891051"/>
      <w:bookmarkStart w:id="515" w:name="_Toc297048409"/>
      <w:bookmarkStart w:id="516" w:name="_Toc296503223"/>
      <w:bookmarkStart w:id="517" w:name="_Toc296944562"/>
      <w:bookmarkStart w:id="518" w:name="_Toc292559428"/>
      <w:bookmarkStart w:id="519" w:name="_Toc312678056"/>
      <w:bookmarkStart w:id="520" w:name="_Toc303539173"/>
      <w:bookmarkStart w:id="521" w:name="_Toc300935016"/>
      <w:bookmarkStart w:id="522" w:name="_Toc296891263"/>
      <w:bookmarkStart w:id="523" w:name="_Toc296346724"/>
      <w:bookmarkStart w:id="524" w:name="_Toc304295596"/>
      <w:bookmarkStart w:id="525" w:name="_Toc297120523"/>
      <w:bookmarkStart w:id="526" w:name="_Toc297216224"/>
      <w:bookmarkStart w:id="527" w:name="_Toc297123565"/>
      <w:bookmarkStart w:id="528" w:name="_Toc296347222"/>
      <w:bookmarkStart w:id="529" w:name="_Toc267251475"/>
      <w:bookmarkStart w:id="530" w:name="_Toc267251473"/>
      <w:bookmarkStart w:id="531" w:name="_Toc267251470"/>
      <w:bookmarkStart w:id="532" w:name="_Toc267251474"/>
      <w:bookmarkStart w:id="533" w:name="_Toc267251476"/>
      <w:bookmarkStart w:id="534" w:name="_Toc267251471"/>
      <w:bookmarkStart w:id="535" w:name="_Toc267251472"/>
      <w:r>
        <w:rPr>
          <w:rFonts w:hint="eastAsia" w:cs="宋体"/>
          <w:bCs/>
          <w:color w:val="auto"/>
          <w:sz w:val="21"/>
          <w:szCs w:val="21"/>
          <w:highlight w:val="none"/>
        </w:rPr>
        <w:t>13.2 竣工验收</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14:paraId="7AD53288">
      <w:pPr>
        <w:adjustRightInd w:val="0"/>
        <w:snapToGrid w:val="0"/>
        <w:spacing w:line="360" w:lineRule="auto"/>
        <w:ind w:firstLine="420" w:firstLineChars="200"/>
        <w:rPr>
          <w:rFonts w:cs="宋体"/>
          <w:color w:val="auto"/>
          <w:sz w:val="21"/>
          <w:szCs w:val="21"/>
          <w:highlight w:val="none"/>
        </w:rPr>
      </w:pPr>
      <w:bookmarkStart w:id="536" w:name="_Toc280868704"/>
      <w:bookmarkStart w:id="537" w:name="_Toc280868705"/>
      <w:bookmarkStart w:id="538" w:name="_Toc280868706"/>
      <w:bookmarkStart w:id="539" w:name="_Toc280868707"/>
      <w:bookmarkStart w:id="540" w:name="_Toc280868708"/>
      <w:bookmarkStart w:id="541" w:name="_Toc280868709"/>
      <w:r>
        <w:rPr>
          <w:rFonts w:hint="eastAsia" w:cs="宋体"/>
          <w:color w:val="auto"/>
          <w:sz w:val="21"/>
          <w:szCs w:val="21"/>
          <w:highlight w:val="none"/>
        </w:rPr>
        <w:t>13.2.2 竣工验收程序</w:t>
      </w:r>
    </w:p>
    <w:bookmarkEnd w:id="536"/>
    <w:p w14:paraId="0CF08C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5A5FBD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37"/>
    <w:p w14:paraId="769873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38"/>
    <w:p w14:paraId="23DFDA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3F31B5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39"/>
    <w:p w14:paraId="3E058B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16AD161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40"/>
    <w:p w14:paraId="27D36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105F2EC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799D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1AD12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4AB78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545AC8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1E4CD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6853A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6F15F6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竣工之日起15日内</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rPr>
        <w:t>。</w:t>
      </w:r>
    </w:p>
    <w:p w14:paraId="5ACB3152">
      <w:pPr>
        <w:snapToGrid w:val="0"/>
        <w:spacing w:before="312" w:beforeLines="100" w:after="312" w:afterLines="100" w:line="360" w:lineRule="auto"/>
        <w:outlineLvl w:val="2"/>
        <w:rPr>
          <w:rFonts w:cs="宋体"/>
          <w:color w:val="auto"/>
          <w:sz w:val="21"/>
          <w:szCs w:val="21"/>
          <w:highlight w:val="none"/>
        </w:rPr>
      </w:pPr>
      <w:bookmarkStart w:id="542" w:name="_Toc351203646"/>
      <w:r>
        <w:rPr>
          <w:rFonts w:hint="eastAsia" w:cs="宋体"/>
          <w:color w:val="auto"/>
          <w:sz w:val="21"/>
          <w:szCs w:val="21"/>
          <w:highlight w:val="none"/>
        </w:rPr>
        <w:t>14. 竣工结算</w:t>
      </w:r>
      <w:bookmarkEnd w:id="542"/>
    </w:p>
    <w:p w14:paraId="73744A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005954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C03972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A3393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161D4D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4BD058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187813B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EBB8B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2829B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7E8AB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按</w:t>
      </w:r>
      <w:r>
        <w:rPr>
          <w:color w:val="auto"/>
          <w:sz w:val="21"/>
          <w:szCs w:val="21"/>
          <w:highlight w:val="none"/>
          <w:u w:val="single" w:color="auto"/>
        </w:rPr>
        <w:t>监理要求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58C1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1F1AF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1196AD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2E9EC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29"/>
    <w:bookmarkEnd w:id="530"/>
    <w:bookmarkEnd w:id="531"/>
    <w:bookmarkEnd w:id="532"/>
    <w:bookmarkEnd w:id="533"/>
    <w:bookmarkEnd w:id="534"/>
    <w:bookmarkEnd w:id="535"/>
    <w:bookmarkEnd w:id="541"/>
    <w:p w14:paraId="7A4EA47A">
      <w:pPr>
        <w:snapToGrid w:val="0"/>
        <w:spacing w:before="312" w:beforeLines="100" w:after="312" w:afterLines="100" w:line="360" w:lineRule="auto"/>
        <w:outlineLvl w:val="2"/>
        <w:rPr>
          <w:rFonts w:cs="宋体"/>
          <w:color w:val="auto"/>
          <w:sz w:val="21"/>
          <w:szCs w:val="21"/>
          <w:highlight w:val="none"/>
        </w:rPr>
      </w:pPr>
      <w:bookmarkStart w:id="543" w:name="_Toc351203647"/>
      <w:bookmarkStart w:id="544" w:name="_Toc267251483"/>
      <w:bookmarkStart w:id="545" w:name="_Toc267251484"/>
      <w:bookmarkStart w:id="546" w:name="_Toc267251482"/>
      <w:bookmarkStart w:id="547" w:name="_Toc267251485"/>
      <w:bookmarkStart w:id="548" w:name="_Toc267251486"/>
      <w:bookmarkStart w:id="549" w:name="_Toc267251489"/>
      <w:bookmarkStart w:id="550" w:name="_Toc267251490"/>
      <w:bookmarkStart w:id="551" w:name="_Toc267251488"/>
      <w:bookmarkStart w:id="552" w:name="_Toc267251499"/>
      <w:bookmarkStart w:id="553" w:name="_Toc267251491"/>
      <w:bookmarkStart w:id="554" w:name="_Toc267251498"/>
      <w:bookmarkStart w:id="555" w:name="_Toc267251503"/>
      <w:bookmarkStart w:id="556" w:name="_Toc267251492"/>
      <w:bookmarkStart w:id="557" w:name="_Toc267251501"/>
      <w:bookmarkStart w:id="558" w:name="_Toc267251495"/>
      <w:bookmarkStart w:id="559" w:name="_Toc267251494"/>
      <w:bookmarkStart w:id="560" w:name="_Toc267251496"/>
      <w:bookmarkStart w:id="561" w:name="_Toc267251497"/>
      <w:bookmarkStart w:id="562" w:name="_Toc267251493"/>
      <w:bookmarkStart w:id="563" w:name="_Toc267251502"/>
      <w:bookmarkStart w:id="564" w:name="_Toc267251504"/>
      <w:bookmarkStart w:id="565" w:name="_Toc267251506"/>
      <w:bookmarkStart w:id="566" w:name="_Toc267251507"/>
      <w:bookmarkStart w:id="567" w:name="_Toc267251508"/>
      <w:bookmarkStart w:id="568" w:name="_Toc267251509"/>
      <w:bookmarkStart w:id="569" w:name="_Toc267251513"/>
      <w:bookmarkStart w:id="570" w:name="_Toc267251510"/>
      <w:bookmarkStart w:id="571" w:name="_Toc267251511"/>
      <w:bookmarkStart w:id="572" w:name="_Toc267251514"/>
      <w:bookmarkStart w:id="573" w:name="_Toc267251515"/>
      <w:r>
        <w:rPr>
          <w:rFonts w:hint="eastAsia" w:cs="宋体"/>
          <w:color w:val="auto"/>
          <w:sz w:val="21"/>
          <w:szCs w:val="21"/>
          <w:highlight w:val="none"/>
        </w:rPr>
        <w:t>15. 缺陷责任期与保修</w:t>
      </w:r>
      <w:bookmarkEnd w:id="543"/>
    </w:p>
    <w:p w14:paraId="5F66275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44"/>
    </w:p>
    <w:p w14:paraId="5530CF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9193F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9BB56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。在工程项目竣工前，承包人按专用合同条款第3.7款提供履约保证金的，发包人不得同时预留工程质量保证金。</w:t>
      </w:r>
    </w:p>
    <w:p w14:paraId="2DDAB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F3CFC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0D207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672AC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C9F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52C1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1680A3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03719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07B48D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32899C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401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7B40D6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bookmarkEnd w:id="545"/>
    <w:bookmarkEnd w:id="546"/>
    <w:p w14:paraId="1D87B43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47"/>
    <w:p w14:paraId="7A70CB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275B30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0244E9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19B8B57B">
      <w:pPr>
        <w:pStyle w:val="50"/>
        <w:keepNext w:val="0"/>
        <w:keepLines w:val="0"/>
        <w:widowControl/>
        <w:suppressLineNumbers w:val="0"/>
        <w:spacing w:line="240" w:lineRule="auto"/>
        <w:ind w:left="0" w:firstLine="428"/>
        <w:jc w:val="left"/>
        <w:textAlignment w:val="center"/>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t>自承包人收到保修通知起24 小时内到达工程现场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48"/>
    <w:bookmarkEnd w:id="549"/>
    <w:bookmarkEnd w:id="550"/>
    <w:bookmarkEnd w:id="551"/>
    <w:p w14:paraId="6F9EB5AA">
      <w:pPr>
        <w:snapToGrid w:val="0"/>
        <w:spacing w:before="312" w:beforeLines="100" w:after="312" w:afterLines="100" w:line="360" w:lineRule="auto"/>
        <w:outlineLvl w:val="2"/>
        <w:rPr>
          <w:rFonts w:cs="宋体"/>
          <w:color w:val="auto"/>
          <w:sz w:val="21"/>
          <w:szCs w:val="21"/>
          <w:highlight w:val="none"/>
        </w:rPr>
      </w:pPr>
      <w:bookmarkStart w:id="574" w:name="_Toc351203648"/>
      <w:bookmarkStart w:id="575" w:name="_Toc280868717"/>
      <w:bookmarkStart w:id="576" w:name="_Toc280868718"/>
      <w:r>
        <w:rPr>
          <w:rFonts w:hint="eastAsia" w:cs="宋体"/>
          <w:color w:val="auto"/>
          <w:sz w:val="21"/>
          <w:szCs w:val="21"/>
          <w:highlight w:val="none"/>
        </w:rPr>
        <w:t>16. 违约</w:t>
      </w:r>
      <w:bookmarkEnd w:id="574"/>
    </w:p>
    <w:p w14:paraId="0BAEDDC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13EA75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72B282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1DC8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6F642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4E29C4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3AA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8EAFE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135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451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ascii="宋体" w:cs="宋体"/>
          <w:color w:val="auto"/>
          <w:kern w:val="0"/>
          <w:szCs w:val="21"/>
          <w:highlight w:val="none"/>
          <w:u w:val="single"/>
        </w:rPr>
        <w:t>对工期造成影响的可顺延工期</w:t>
      </w:r>
      <w:r>
        <w:rPr>
          <w:rFonts w:hint="eastAsia" w:cs="宋体"/>
          <w:color w:val="auto"/>
          <w:sz w:val="21"/>
          <w:szCs w:val="21"/>
          <w:highlight w:val="none"/>
        </w:rPr>
        <w:t>。</w:t>
      </w:r>
    </w:p>
    <w:p w14:paraId="568B50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ascii="宋体" w:cs="宋体"/>
          <w:color w:val="auto"/>
          <w:kern w:val="0"/>
          <w:szCs w:val="21"/>
          <w:highlight w:val="none"/>
          <w:u w:val="single"/>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3D4E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5F38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9C306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BD254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443E3A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5BE4F61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E1D0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0855AA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由承包人承担全部费用并承担相关法律责任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5153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65F626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除专用条款约定情形外，其余执行通用条款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767F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415CE3">
      <w:pPr>
        <w:snapToGrid w:val="0"/>
        <w:spacing w:before="312" w:beforeLines="100" w:after="312" w:afterLines="100" w:line="360" w:lineRule="auto"/>
        <w:outlineLvl w:val="2"/>
        <w:rPr>
          <w:rFonts w:cs="宋体"/>
          <w:color w:val="auto"/>
          <w:sz w:val="21"/>
          <w:szCs w:val="21"/>
          <w:highlight w:val="none"/>
        </w:rPr>
      </w:pPr>
      <w:bookmarkStart w:id="577" w:name="_Toc351203649"/>
      <w:r>
        <w:rPr>
          <w:rFonts w:hint="eastAsia" w:cs="宋体"/>
          <w:color w:val="auto"/>
          <w:sz w:val="21"/>
          <w:szCs w:val="21"/>
          <w:highlight w:val="none"/>
        </w:rPr>
        <w:t>17. 不可抗力</w:t>
      </w:r>
      <w:bookmarkEnd w:id="577"/>
      <w:r>
        <w:rPr>
          <w:rFonts w:hint="eastAsia" w:cs="宋体"/>
          <w:color w:val="auto"/>
          <w:sz w:val="21"/>
          <w:szCs w:val="21"/>
          <w:highlight w:val="none"/>
        </w:rPr>
        <w:t xml:space="preserve"> </w:t>
      </w:r>
      <w:bookmarkEnd w:id="575"/>
    </w:p>
    <w:p w14:paraId="4C5AAEB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B9AC4E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90BEB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077954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5DB3691">
      <w:pPr>
        <w:snapToGrid w:val="0"/>
        <w:spacing w:before="312" w:beforeLines="100" w:after="312" w:afterLines="100" w:line="360" w:lineRule="auto"/>
        <w:outlineLvl w:val="2"/>
        <w:rPr>
          <w:rFonts w:cs="宋体"/>
          <w:color w:val="auto"/>
          <w:sz w:val="21"/>
          <w:szCs w:val="21"/>
          <w:highlight w:val="none"/>
        </w:rPr>
      </w:pPr>
      <w:bookmarkStart w:id="578" w:name="_Toc351203650"/>
      <w:r>
        <w:rPr>
          <w:rFonts w:hint="eastAsia" w:cs="宋体"/>
          <w:color w:val="auto"/>
          <w:sz w:val="21"/>
          <w:szCs w:val="21"/>
          <w:highlight w:val="none"/>
        </w:rPr>
        <w:t>18. 保险</w:t>
      </w:r>
      <w:bookmarkEnd w:id="578"/>
    </w:p>
    <w:bookmarkEnd w:id="576"/>
    <w:p w14:paraId="5A3958A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6885026F">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承包人自行考虑</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5C199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16638D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66C32B5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5E16A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7F2FE10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bookmarkEnd w:id="553"/>
    <w:bookmarkEnd w:id="554"/>
    <w:bookmarkEnd w:id="555"/>
    <w:bookmarkEnd w:id="556"/>
    <w:bookmarkEnd w:id="557"/>
    <w:bookmarkEnd w:id="558"/>
    <w:bookmarkEnd w:id="559"/>
    <w:bookmarkEnd w:id="560"/>
    <w:bookmarkEnd w:id="561"/>
    <w:bookmarkEnd w:id="562"/>
    <w:bookmarkEnd w:id="563"/>
    <w:p w14:paraId="2D009139">
      <w:pPr>
        <w:snapToGrid w:val="0"/>
        <w:spacing w:before="312" w:beforeLines="100" w:after="312" w:afterLines="100" w:line="360" w:lineRule="auto"/>
        <w:outlineLvl w:val="2"/>
        <w:rPr>
          <w:rFonts w:cs="宋体"/>
          <w:color w:val="auto"/>
          <w:sz w:val="21"/>
          <w:szCs w:val="21"/>
          <w:highlight w:val="none"/>
        </w:rPr>
      </w:pPr>
      <w:bookmarkStart w:id="579" w:name="_Toc351203651"/>
      <w:r>
        <w:rPr>
          <w:rFonts w:hint="eastAsia" w:cs="宋体"/>
          <w:color w:val="auto"/>
          <w:sz w:val="21"/>
          <w:szCs w:val="21"/>
          <w:highlight w:val="none"/>
        </w:rPr>
        <w:t>20. 争议解决</w:t>
      </w:r>
      <w:bookmarkEnd w:id="579"/>
    </w:p>
    <w:bookmarkEnd w:id="564"/>
    <w:bookmarkEnd w:id="565"/>
    <w:p w14:paraId="392E31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66"/>
      <w:r>
        <w:rPr>
          <w:rFonts w:hint="eastAsia" w:cs="宋体"/>
          <w:bCs/>
          <w:color w:val="auto"/>
          <w:sz w:val="21"/>
          <w:szCs w:val="21"/>
          <w:highlight w:val="none"/>
        </w:rPr>
        <w:t>议评审</w:t>
      </w:r>
    </w:p>
    <w:p w14:paraId="3B6AC3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不同意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F6F7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55A2899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2D4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SA"/>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691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A05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E5A0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025D7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76137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67"/>
    </w:p>
    <w:bookmarkEnd w:id="568"/>
    <w:bookmarkEnd w:id="569"/>
    <w:bookmarkEnd w:id="570"/>
    <w:bookmarkEnd w:id="571"/>
    <w:bookmarkEnd w:id="572"/>
    <w:bookmarkEnd w:id="573"/>
    <w:p w14:paraId="2A4752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1</w:t>
      </w:r>
      <w:r>
        <w:rPr>
          <w:rFonts w:hint="eastAsia" w:cs="宋体"/>
          <w:b/>
          <w:bCs/>
          <w:color w:val="auto"/>
          <w:sz w:val="21"/>
          <w:szCs w:val="21"/>
          <w:highlight w:val="none"/>
          <w:u w:val="single"/>
        </w:rPr>
        <w:t xml:space="preserve"> </w:t>
      </w:r>
      <w:r>
        <w:rPr>
          <w:rFonts w:hint="eastAsia" w:cs="宋体"/>
          <w:b/>
          <w:bCs/>
          <w:color w:val="auto"/>
          <w:sz w:val="21"/>
          <w:szCs w:val="21"/>
          <w:highlight w:val="none"/>
        </w:rPr>
        <w:t>种</w:t>
      </w:r>
      <w:r>
        <w:rPr>
          <w:rFonts w:hint="eastAsia" w:cs="宋体"/>
          <w:color w:val="auto"/>
          <w:sz w:val="21"/>
          <w:szCs w:val="21"/>
          <w:highlight w:val="none"/>
        </w:rPr>
        <w:t>方式解决：</w:t>
      </w:r>
    </w:p>
    <w:p w14:paraId="296646B0">
      <w:pPr>
        <w:numPr>
          <w:ilvl w:val="0"/>
          <w:numId w:val="4"/>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055FBC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99D5A3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1A24AE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宋体"/>
          <w:b/>
          <w:color w:val="auto"/>
          <w:sz w:val="21"/>
          <w:szCs w:val="21"/>
          <w:highlight w:val="none"/>
        </w:rPr>
      </w:pPr>
      <w:r>
        <w:rPr>
          <w:rFonts w:hint="eastAsia" w:cs="宋体"/>
          <w:color w:val="auto"/>
          <w:sz w:val="21"/>
          <w:szCs w:val="21"/>
          <w:highlight w:val="none"/>
          <w:u w:val="single"/>
        </w:rPr>
        <w:t xml:space="preserve">                                     </w:t>
      </w:r>
    </w:p>
    <w:p w14:paraId="723A58A4">
      <w:pPr>
        <w:pStyle w:val="19"/>
        <w:rPr>
          <w:color w:val="auto"/>
          <w:highlight w:val="none"/>
        </w:rPr>
      </w:pPr>
    </w:p>
    <w:p w14:paraId="6CABC604">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68A1FE19">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255A188C">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1A7981BD">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CDD9586">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14425D67">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3B84FF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8CD72F0">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7CF19621">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C0EB1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35059576">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4756C252">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4E73D999">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74"/>
    <w:p w14:paraId="10D0628F">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67A4C7FE">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42BB03C5">
      <w:pPr>
        <w:snapToGrid w:val="0"/>
        <w:spacing w:line="360" w:lineRule="auto"/>
        <w:rPr>
          <w:rFonts w:cs="宋体"/>
          <w:color w:val="auto"/>
          <w:sz w:val="21"/>
          <w:szCs w:val="21"/>
          <w:highlight w:val="none"/>
        </w:rPr>
      </w:pPr>
      <w:bookmarkStart w:id="580" w:name="_Toc128950221"/>
      <w:r>
        <w:rPr>
          <w:rFonts w:hint="eastAsia" w:cs="宋体"/>
          <w:color w:val="auto"/>
          <w:sz w:val="21"/>
          <w:szCs w:val="21"/>
          <w:highlight w:val="none"/>
        </w:rPr>
        <w:t>附件1：承包人承揽工程项目一览表</w:t>
      </w:r>
      <w:bookmarkEnd w:id="580"/>
    </w:p>
    <w:p w14:paraId="09752AA1">
      <w:pPr>
        <w:snapToGrid w:val="0"/>
        <w:spacing w:line="360" w:lineRule="auto"/>
        <w:rPr>
          <w:rFonts w:cs="宋体"/>
          <w:color w:val="auto"/>
          <w:sz w:val="21"/>
          <w:szCs w:val="21"/>
          <w:highlight w:val="none"/>
        </w:rPr>
      </w:pPr>
    </w:p>
    <w:p w14:paraId="291D0204">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08288DA5">
      <w:pPr>
        <w:snapToGrid w:val="0"/>
        <w:spacing w:line="360" w:lineRule="auto"/>
        <w:rPr>
          <w:rFonts w:cs="宋体"/>
          <w:color w:val="auto"/>
          <w:sz w:val="21"/>
          <w:szCs w:val="21"/>
          <w:highlight w:val="none"/>
        </w:rPr>
      </w:pPr>
      <w:bookmarkStart w:id="581" w:name="_Toc128950222"/>
      <w:r>
        <w:rPr>
          <w:rFonts w:hint="eastAsia" w:cs="宋体"/>
          <w:color w:val="auto"/>
          <w:sz w:val="21"/>
          <w:szCs w:val="21"/>
          <w:highlight w:val="none"/>
        </w:rPr>
        <w:t>附件2：发包人供应材料设备一览表</w:t>
      </w:r>
      <w:bookmarkEnd w:id="581"/>
    </w:p>
    <w:p w14:paraId="550721C3">
      <w:pPr>
        <w:snapToGrid w:val="0"/>
        <w:spacing w:line="360" w:lineRule="auto"/>
        <w:rPr>
          <w:rFonts w:cs="宋体"/>
          <w:color w:val="auto"/>
          <w:sz w:val="21"/>
          <w:szCs w:val="21"/>
          <w:highlight w:val="none"/>
        </w:rPr>
      </w:pPr>
      <w:bookmarkStart w:id="582" w:name="_Toc128950223"/>
      <w:r>
        <w:rPr>
          <w:rFonts w:hint="eastAsia" w:cs="宋体"/>
          <w:color w:val="auto"/>
          <w:sz w:val="21"/>
          <w:szCs w:val="21"/>
          <w:highlight w:val="none"/>
        </w:rPr>
        <w:t>附件3：工程质量保修书</w:t>
      </w:r>
      <w:bookmarkEnd w:id="582"/>
    </w:p>
    <w:p w14:paraId="7321248B">
      <w:pPr>
        <w:snapToGrid w:val="0"/>
        <w:spacing w:line="360" w:lineRule="auto"/>
        <w:rPr>
          <w:rFonts w:cs="宋体"/>
          <w:color w:val="auto"/>
          <w:sz w:val="21"/>
          <w:szCs w:val="21"/>
          <w:highlight w:val="none"/>
        </w:rPr>
      </w:pPr>
      <w:bookmarkStart w:id="583" w:name="_Toc128950224"/>
      <w:r>
        <w:rPr>
          <w:rFonts w:hint="eastAsia" w:cs="宋体"/>
          <w:color w:val="auto"/>
          <w:sz w:val="21"/>
          <w:szCs w:val="21"/>
          <w:highlight w:val="none"/>
        </w:rPr>
        <w:t>附件4：主要建设工程文件目录</w:t>
      </w:r>
      <w:bookmarkEnd w:id="583"/>
    </w:p>
    <w:p w14:paraId="0E6C258E">
      <w:pPr>
        <w:snapToGrid w:val="0"/>
        <w:spacing w:line="360" w:lineRule="auto"/>
        <w:rPr>
          <w:rFonts w:cs="宋体"/>
          <w:color w:val="auto"/>
          <w:sz w:val="21"/>
          <w:szCs w:val="21"/>
          <w:highlight w:val="none"/>
        </w:rPr>
      </w:pPr>
      <w:bookmarkStart w:id="584" w:name="_Toc128950225"/>
      <w:r>
        <w:rPr>
          <w:rFonts w:hint="eastAsia" w:cs="宋体"/>
          <w:color w:val="auto"/>
          <w:sz w:val="21"/>
          <w:szCs w:val="21"/>
          <w:highlight w:val="none"/>
        </w:rPr>
        <w:t>附件5：承包人用于本工程施工的机械设备表</w:t>
      </w:r>
      <w:bookmarkEnd w:id="584"/>
    </w:p>
    <w:p w14:paraId="08A11290">
      <w:pPr>
        <w:snapToGrid w:val="0"/>
        <w:spacing w:line="360" w:lineRule="auto"/>
        <w:rPr>
          <w:rFonts w:cs="宋体"/>
          <w:color w:val="auto"/>
          <w:sz w:val="21"/>
          <w:szCs w:val="21"/>
          <w:highlight w:val="none"/>
        </w:rPr>
      </w:pPr>
      <w:bookmarkStart w:id="585" w:name="_Toc128950226"/>
      <w:r>
        <w:rPr>
          <w:rFonts w:hint="eastAsia" w:cs="宋体"/>
          <w:color w:val="auto"/>
          <w:sz w:val="21"/>
          <w:szCs w:val="21"/>
          <w:highlight w:val="none"/>
        </w:rPr>
        <w:t>附件6：承包人主要施工管理人员表</w:t>
      </w:r>
      <w:bookmarkEnd w:id="585"/>
    </w:p>
    <w:p w14:paraId="1E65AECA">
      <w:pPr>
        <w:snapToGrid w:val="0"/>
        <w:spacing w:line="360" w:lineRule="auto"/>
        <w:rPr>
          <w:rFonts w:cs="宋体"/>
          <w:color w:val="auto"/>
          <w:sz w:val="21"/>
          <w:szCs w:val="21"/>
          <w:highlight w:val="none"/>
        </w:rPr>
      </w:pPr>
      <w:bookmarkStart w:id="586" w:name="_Toc128950227"/>
      <w:r>
        <w:rPr>
          <w:rFonts w:hint="eastAsia" w:cs="宋体"/>
          <w:color w:val="auto"/>
          <w:sz w:val="21"/>
          <w:szCs w:val="21"/>
          <w:highlight w:val="none"/>
        </w:rPr>
        <w:t>附件7：分包人主要施工管理人员表</w:t>
      </w:r>
      <w:bookmarkEnd w:id="586"/>
    </w:p>
    <w:p w14:paraId="282F8986">
      <w:pPr>
        <w:snapToGrid w:val="0"/>
        <w:spacing w:line="360" w:lineRule="auto"/>
        <w:rPr>
          <w:rFonts w:cs="宋体"/>
          <w:color w:val="auto"/>
          <w:sz w:val="21"/>
          <w:szCs w:val="21"/>
          <w:highlight w:val="none"/>
        </w:rPr>
      </w:pPr>
      <w:bookmarkStart w:id="587" w:name="_Toc128950228"/>
      <w:r>
        <w:rPr>
          <w:rFonts w:hint="eastAsia" w:cs="宋体"/>
          <w:color w:val="auto"/>
          <w:sz w:val="21"/>
          <w:szCs w:val="21"/>
          <w:highlight w:val="none"/>
        </w:rPr>
        <w:t>附件8：廉政协议</w:t>
      </w:r>
      <w:bookmarkEnd w:id="587"/>
    </w:p>
    <w:p w14:paraId="09A705EC">
      <w:pPr>
        <w:snapToGrid w:val="0"/>
        <w:spacing w:line="360" w:lineRule="auto"/>
        <w:rPr>
          <w:rFonts w:cs="宋体"/>
          <w:color w:val="auto"/>
          <w:sz w:val="21"/>
          <w:szCs w:val="21"/>
          <w:highlight w:val="none"/>
        </w:rPr>
      </w:pPr>
      <w:bookmarkStart w:id="588" w:name="_Toc128950229"/>
      <w:r>
        <w:rPr>
          <w:rFonts w:hint="eastAsia" w:cs="宋体"/>
          <w:color w:val="auto"/>
          <w:sz w:val="21"/>
          <w:szCs w:val="21"/>
          <w:highlight w:val="none"/>
        </w:rPr>
        <w:t>附件9：履约保证金格式</w:t>
      </w:r>
      <w:bookmarkEnd w:id="588"/>
    </w:p>
    <w:p w14:paraId="00EC21C0">
      <w:pPr>
        <w:snapToGrid w:val="0"/>
        <w:spacing w:line="360" w:lineRule="auto"/>
        <w:rPr>
          <w:rFonts w:cs="宋体"/>
          <w:color w:val="auto"/>
          <w:sz w:val="21"/>
          <w:szCs w:val="21"/>
          <w:highlight w:val="none"/>
        </w:rPr>
      </w:pPr>
      <w:bookmarkStart w:id="589" w:name="_Toc128950230"/>
      <w:r>
        <w:rPr>
          <w:rFonts w:hint="eastAsia" w:cs="宋体"/>
          <w:color w:val="auto"/>
          <w:sz w:val="21"/>
          <w:szCs w:val="21"/>
          <w:highlight w:val="none"/>
        </w:rPr>
        <w:t>附件10：预付款担保格式</w:t>
      </w:r>
      <w:bookmarkEnd w:id="589"/>
    </w:p>
    <w:p w14:paraId="270DCF65">
      <w:pPr>
        <w:snapToGrid w:val="0"/>
        <w:spacing w:line="360" w:lineRule="auto"/>
        <w:rPr>
          <w:rFonts w:cs="宋体"/>
          <w:color w:val="auto"/>
          <w:sz w:val="21"/>
          <w:szCs w:val="21"/>
          <w:highlight w:val="none"/>
        </w:rPr>
      </w:pPr>
      <w:bookmarkStart w:id="590" w:name="_Toc128950231"/>
      <w:r>
        <w:rPr>
          <w:rFonts w:hint="eastAsia" w:cs="宋体"/>
          <w:color w:val="auto"/>
          <w:sz w:val="21"/>
          <w:szCs w:val="21"/>
          <w:highlight w:val="none"/>
        </w:rPr>
        <w:t>附件11：支付担保格式</w:t>
      </w:r>
      <w:bookmarkEnd w:id="590"/>
    </w:p>
    <w:p w14:paraId="2C941591">
      <w:pPr>
        <w:snapToGrid w:val="0"/>
        <w:spacing w:line="360" w:lineRule="auto"/>
        <w:rPr>
          <w:rFonts w:cs="宋体"/>
          <w:color w:val="auto"/>
          <w:sz w:val="21"/>
          <w:szCs w:val="21"/>
          <w:highlight w:val="none"/>
        </w:rPr>
      </w:pPr>
      <w:bookmarkStart w:id="591" w:name="_Toc128950232"/>
      <w:r>
        <w:rPr>
          <w:rFonts w:hint="eastAsia" w:cs="宋体"/>
          <w:color w:val="auto"/>
          <w:sz w:val="21"/>
          <w:szCs w:val="21"/>
          <w:highlight w:val="none"/>
        </w:rPr>
        <w:t>附件12：暂估价一览表</w:t>
      </w:r>
      <w:bookmarkEnd w:id="591"/>
    </w:p>
    <w:p w14:paraId="0D2829DC">
      <w:pPr>
        <w:snapToGrid w:val="0"/>
        <w:spacing w:line="360" w:lineRule="auto"/>
        <w:rPr>
          <w:rFonts w:cs="宋体"/>
          <w:color w:val="auto"/>
          <w:sz w:val="21"/>
          <w:szCs w:val="21"/>
          <w:highlight w:val="none"/>
        </w:rPr>
      </w:pPr>
      <w:bookmarkStart w:id="592" w:name="_Toc128950233"/>
      <w:r>
        <w:rPr>
          <w:rFonts w:hint="eastAsia" w:cs="宋体"/>
          <w:color w:val="auto"/>
          <w:sz w:val="21"/>
          <w:szCs w:val="21"/>
          <w:highlight w:val="none"/>
        </w:rPr>
        <w:t>附件13：安全生产合同</w:t>
      </w:r>
      <w:bookmarkEnd w:id="592"/>
    </w:p>
    <w:p w14:paraId="0570D687">
      <w:pPr>
        <w:snapToGrid w:val="0"/>
        <w:spacing w:line="360" w:lineRule="auto"/>
        <w:rPr>
          <w:rFonts w:cs="宋体"/>
          <w:color w:val="auto"/>
          <w:sz w:val="21"/>
          <w:szCs w:val="21"/>
          <w:highlight w:val="none"/>
        </w:rPr>
      </w:pPr>
      <w:bookmarkStart w:id="593" w:name="_Toc128950234"/>
      <w:r>
        <w:rPr>
          <w:rFonts w:hint="eastAsia" w:cs="宋体"/>
          <w:color w:val="auto"/>
          <w:sz w:val="21"/>
          <w:szCs w:val="21"/>
          <w:highlight w:val="none"/>
        </w:rPr>
        <w:t>附件14：项目经理质量终身责任制承诺</w:t>
      </w:r>
      <w:bookmarkEnd w:id="593"/>
    </w:p>
    <w:p w14:paraId="1186EAA1">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594"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594"/>
    </w:p>
    <w:p w14:paraId="716F23ED">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9050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511B878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1F916FC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5E06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10A6CCE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6B874D7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6C730C1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0CA04F5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5FA08EB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2AC0FB5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5F2E5F4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2DBE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6AC78FE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C76796">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779B5478">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A8252E5">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2B68CB5C">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E05FEE4">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7D9588B2">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444B0B2">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239DC54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7AE6334B">
            <w:pPr>
              <w:keepNext/>
              <w:snapToGrid w:val="0"/>
              <w:spacing w:line="360" w:lineRule="auto"/>
              <w:jc w:val="center"/>
              <w:rPr>
                <w:rFonts w:cs="宋体"/>
                <w:color w:val="auto"/>
                <w:sz w:val="22"/>
                <w:szCs w:val="21"/>
                <w:highlight w:val="none"/>
              </w:rPr>
            </w:pPr>
          </w:p>
        </w:tc>
      </w:tr>
      <w:tr w14:paraId="29301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68ADB4C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14A07F1">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3A11D5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A52B770">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06FB0B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B2BB25E">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4A85CB9">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144B27C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2DF7D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8C28BE2">
            <w:pPr>
              <w:keepNext/>
              <w:snapToGrid w:val="0"/>
              <w:spacing w:line="360" w:lineRule="auto"/>
              <w:jc w:val="center"/>
              <w:rPr>
                <w:rFonts w:cs="宋体"/>
                <w:color w:val="auto"/>
                <w:sz w:val="22"/>
                <w:szCs w:val="21"/>
                <w:highlight w:val="none"/>
              </w:rPr>
            </w:pPr>
          </w:p>
        </w:tc>
      </w:tr>
      <w:tr w14:paraId="1860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58BB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6FEDAEC">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F603F8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27A8D3A">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CDA576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F6A29AD">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4FF10F6B">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0B63349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7917CE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4514E31">
            <w:pPr>
              <w:keepNext/>
              <w:snapToGrid w:val="0"/>
              <w:spacing w:line="360" w:lineRule="auto"/>
              <w:jc w:val="center"/>
              <w:rPr>
                <w:rFonts w:cs="宋体"/>
                <w:color w:val="auto"/>
                <w:sz w:val="22"/>
                <w:szCs w:val="21"/>
                <w:highlight w:val="none"/>
              </w:rPr>
            </w:pPr>
          </w:p>
        </w:tc>
      </w:tr>
      <w:tr w14:paraId="48C7D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1F0ACC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C619CF">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411DE9DC">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718B8E4">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017FD37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0B26B70D">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1CBC9543">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7EEA8158">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2BA0D7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61CB6E18">
            <w:pPr>
              <w:keepNext/>
              <w:snapToGrid w:val="0"/>
              <w:spacing w:line="360" w:lineRule="auto"/>
              <w:jc w:val="center"/>
              <w:rPr>
                <w:rFonts w:cs="宋体"/>
                <w:color w:val="auto"/>
                <w:sz w:val="22"/>
                <w:szCs w:val="21"/>
                <w:highlight w:val="none"/>
              </w:rPr>
            </w:pPr>
          </w:p>
        </w:tc>
      </w:tr>
    </w:tbl>
    <w:p w14:paraId="5F08959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95" w:name="_Toc128950236"/>
      <w:r>
        <w:rPr>
          <w:rFonts w:hint="eastAsia" w:ascii="Times New Roman" w:eastAsia="黑体"/>
          <w:color w:val="auto"/>
          <w:szCs w:val="24"/>
          <w:highlight w:val="none"/>
        </w:rPr>
        <w:t>附</w:t>
      </w:r>
      <w:bookmarkStart w:id="596" w:name="_Toc296944564"/>
      <w:bookmarkStart w:id="597" w:name="_Toc296347224"/>
      <w:bookmarkStart w:id="598" w:name="_Toc296891265"/>
      <w:bookmarkStart w:id="599" w:name="_Toc267261692"/>
      <w:bookmarkStart w:id="600" w:name="_Toc296891053"/>
      <w:bookmarkStart w:id="601" w:name="_Toc296346726"/>
      <w:bookmarkStart w:id="602" w:name="_Toc296503225"/>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595"/>
    </w:p>
    <w:bookmarkEnd w:id="596"/>
    <w:bookmarkEnd w:id="597"/>
    <w:bookmarkEnd w:id="598"/>
    <w:bookmarkEnd w:id="599"/>
    <w:bookmarkEnd w:id="600"/>
    <w:bookmarkEnd w:id="601"/>
    <w:bookmarkEnd w:id="602"/>
    <w:p w14:paraId="0B502AB9">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4CA1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6F9FAFD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F90447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1504F1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3C505E8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2241995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119E78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670BC82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590F00B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27F52C1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02F7293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481FC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0F53B32E">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59AAD72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51E5B9C">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69EDC33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F03A0E8">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3298F6AA">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13975D79">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6D042702">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3AA748F">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E88C27C">
            <w:pPr>
              <w:keepNext/>
              <w:snapToGrid w:val="0"/>
              <w:spacing w:line="360" w:lineRule="auto"/>
              <w:jc w:val="center"/>
              <w:rPr>
                <w:rFonts w:cs="宋体"/>
                <w:color w:val="auto"/>
                <w:sz w:val="22"/>
                <w:szCs w:val="21"/>
                <w:highlight w:val="none"/>
              </w:rPr>
            </w:pPr>
          </w:p>
        </w:tc>
      </w:tr>
      <w:tr w14:paraId="690E5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6B74E93">
            <w:pPr>
              <w:snapToGrid w:val="0"/>
              <w:spacing w:line="360" w:lineRule="auto"/>
              <w:jc w:val="center"/>
              <w:rPr>
                <w:rFonts w:cs="宋体"/>
                <w:color w:val="auto"/>
                <w:sz w:val="22"/>
                <w:szCs w:val="21"/>
                <w:highlight w:val="none"/>
              </w:rPr>
            </w:pPr>
          </w:p>
        </w:tc>
        <w:tc>
          <w:tcPr>
            <w:tcW w:w="941" w:type="pct"/>
            <w:vAlign w:val="center"/>
          </w:tcPr>
          <w:p w14:paraId="704FD3B4">
            <w:pPr>
              <w:snapToGrid w:val="0"/>
              <w:spacing w:line="360" w:lineRule="auto"/>
              <w:jc w:val="center"/>
              <w:rPr>
                <w:rFonts w:cs="宋体"/>
                <w:color w:val="auto"/>
                <w:sz w:val="22"/>
                <w:szCs w:val="21"/>
                <w:highlight w:val="none"/>
              </w:rPr>
            </w:pPr>
          </w:p>
        </w:tc>
        <w:tc>
          <w:tcPr>
            <w:tcW w:w="552" w:type="pct"/>
            <w:vAlign w:val="center"/>
          </w:tcPr>
          <w:p w14:paraId="187BE5B8">
            <w:pPr>
              <w:snapToGrid w:val="0"/>
              <w:spacing w:line="360" w:lineRule="auto"/>
              <w:jc w:val="center"/>
              <w:rPr>
                <w:rFonts w:cs="宋体"/>
                <w:color w:val="auto"/>
                <w:sz w:val="22"/>
                <w:szCs w:val="21"/>
                <w:highlight w:val="none"/>
              </w:rPr>
            </w:pPr>
          </w:p>
        </w:tc>
        <w:tc>
          <w:tcPr>
            <w:tcW w:w="292" w:type="pct"/>
            <w:vAlign w:val="center"/>
          </w:tcPr>
          <w:p w14:paraId="1492954D">
            <w:pPr>
              <w:snapToGrid w:val="0"/>
              <w:spacing w:line="360" w:lineRule="auto"/>
              <w:jc w:val="center"/>
              <w:rPr>
                <w:rFonts w:cs="宋体"/>
                <w:color w:val="auto"/>
                <w:sz w:val="22"/>
                <w:szCs w:val="21"/>
                <w:highlight w:val="none"/>
              </w:rPr>
            </w:pPr>
          </w:p>
        </w:tc>
        <w:tc>
          <w:tcPr>
            <w:tcW w:w="292" w:type="pct"/>
            <w:vAlign w:val="center"/>
          </w:tcPr>
          <w:p w14:paraId="4385FE45">
            <w:pPr>
              <w:snapToGrid w:val="0"/>
              <w:spacing w:line="360" w:lineRule="auto"/>
              <w:jc w:val="center"/>
              <w:rPr>
                <w:rFonts w:cs="宋体"/>
                <w:color w:val="auto"/>
                <w:sz w:val="22"/>
                <w:szCs w:val="21"/>
                <w:highlight w:val="none"/>
              </w:rPr>
            </w:pPr>
          </w:p>
        </w:tc>
        <w:tc>
          <w:tcPr>
            <w:tcW w:w="682" w:type="pct"/>
            <w:vAlign w:val="center"/>
          </w:tcPr>
          <w:p w14:paraId="4DF75AE4">
            <w:pPr>
              <w:snapToGrid w:val="0"/>
              <w:spacing w:line="360" w:lineRule="auto"/>
              <w:jc w:val="center"/>
              <w:rPr>
                <w:rFonts w:cs="宋体"/>
                <w:color w:val="auto"/>
                <w:sz w:val="22"/>
                <w:szCs w:val="21"/>
                <w:highlight w:val="none"/>
              </w:rPr>
            </w:pPr>
          </w:p>
        </w:tc>
        <w:tc>
          <w:tcPr>
            <w:tcW w:w="552" w:type="pct"/>
            <w:vAlign w:val="center"/>
          </w:tcPr>
          <w:p w14:paraId="22E6A2D2">
            <w:pPr>
              <w:snapToGrid w:val="0"/>
              <w:spacing w:line="360" w:lineRule="auto"/>
              <w:jc w:val="center"/>
              <w:rPr>
                <w:rFonts w:cs="宋体"/>
                <w:color w:val="auto"/>
                <w:sz w:val="22"/>
                <w:szCs w:val="21"/>
                <w:highlight w:val="none"/>
              </w:rPr>
            </w:pPr>
          </w:p>
        </w:tc>
        <w:tc>
          <w:tcPr>
            <w:tcW w:w="552" w:type="pct"/>
            <w:vAlign w:val="center"/>
          </w:tcPr>
          <w:p w14:paraId="34698A63">
            <w:pPr>
              <w:snapToGrid w:val="0"/>
              <w:spacing w:line="360" w:lineRule="auto"/>
              <w:jc w:val="center"/>
              <w:rPr>
                <w:rFonts w:cs="宋体"/>
                <w:color w:val="auto"/>
                <w:sz w:val="22"/>
                <w:szCs w:val="21"/>
                <w:highlight w:val="none"/>
              </w:rPr>
            </w:pPr>
          </w:p>
        </w:tc>
        <w:tc>
          <w:tcPr>
            <w:tcW w:w="552" w:type="pct"/>
            <w:vAlign w:val="center"/>
          </w:tcPr>
          <w:p w14:paraId="63B5C4F0">
            <w:pPr>
              <w:snapToGrid w:val="0"/>
              <w:spacing w:line="360" w:lineRule="auto"/>
              <w:jc w:val="center"/>
              <w:rPr>
                <w:rFonts w:cs="宋体"/>
                <w:color w:val="auto"/>
                <w:sz w:val="22"/>
                <w:szCs w:val="21"/>
                <w:highlight w:val="none"/>
              </w:rPr>
            </w:pPr>
          </w:p>
        </w:tc>
        <w:tc>
          <w:tcPr>
            <w:tcW w:w="292" w:type="pct"/>
            <w:vAlign w:val="center"/>
          </w:tcPr>
          <w:p w14:paraId="1C726FB1">
            <w:pPr>
              <w:snapToGrid w:val="0"/>
              <w:spacing w:line="360" w:lineRule="auto"/>
              <w:jc w:val="center"/>
              <w:rPr>
                <w:rFonts w:cs="宋体"/>
                <w:color w:val="auto"/>
                <w:sz w:val="22"/>
                <w:szCs w:val="21"/>
                <w:highlight w:val="none"/>
              </w:rPr>
            </w:pPr>
          </w:p>
        </w:tc>
      </w:tr>
      <w:tr w14:paraId="31AC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1EF8A787">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266D0F9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0EDD1848">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1E0AA253">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DA427DC">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30BCDAA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35C659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2C2402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63426461">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3D104FFA">
            <w:pPr>
              <w:snapToGrid w:val="0"/>
              <w:spacing w:line="360" w:lineRule="auto"/>
              <w:jc w:val="center"/>
              <w:rPr>
                <w:rFonts w:cs="宋体"/>
                <w:color w:val="auto"/>
                <w:sz w:val="22"/>
                <w:szCs w:val="21"/>
                <w:highlight w:val="none"/>
              </w:rPr>
            </w:pPr>
          </w:p>
        </w:tc>
      </w:tr>
    </w:tbl>
    <w:p w14:paraId="4F6E982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3" w:name="_Toc128950237"/>
      <w:r>
        <w:rPr>
          <w:rFonts w:hint="eastAsia" w:ascii="Times New Roman" w:eastAsia="黑体"/>
          <w:color w:val="auto"/>
          <w:szCs w:val="24"/>
          <w:highlight w:val="none"/>
        </w:rPr>
        <w:t>附件3：工程质量保修书（房屋建筑工程）</w:t>
      </w:r>
      <w:bookmarkEnd w:id="603"/>
    </w:p>
    <w:p w14:paraId="78BA9598">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7434D4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E0567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78E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327759CA">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4D6E1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661820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FA0075">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2789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28F64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07CF7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405F85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096237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7FB9D9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B82D9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401802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4A28A8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0C483C7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7B93E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8C8625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76803AB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3BD24D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5407EDA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5185E5D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38F9D7">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0D2116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186291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516F34B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6FBCCF9D">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2E85BEF1">
      <w:pPr>
        <w:adjustRightInd w:val="0"/>
        <w:snapToGrid w:val="0"/>
        <w:spacing w:line="360" w:lineRule="auto"/>
        <w:ind w:firstLine="420"/>
        <w:rPr>
          <w:rFonts w:cs="宋体"/>
          <w:color w:val="auto"/>
          <w:sz w:val="21"/>
          <w:szCs w:val="21"/>
          <w:highlight w:val="none"/>
        </w:rPr>
      </w:pPr>
    </w:p>
    <w:p w14:paraId="364BBF71">
      <w:pPr>
        <w:adjustRightInd w:val="0"/>
        <w:snapToGrid w:val="0"/>
        <w:spacing w:line="360" w:lineRule="auto"/>
        <w:ind w:firstLine="420"/>
        <w:rPr>
          <w:rFonts w:cs="宋体"/>
          <w:color w:val="auto"/>
          <w:sz w:val="21"/>
          <w:szCs w:val="21"/>
          <w:highlight w:val="none"/>
        </w:rPr>
      </w:pPr>
    </w:p>
    <w:p w14:paraId="7F64FB2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5D6A18E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2E8057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5915A21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6D3AB038">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9F42DB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4F7D52D9">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2BD91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90B869E">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6BD6DD6E">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4" w:name="_Toc128950238"/>
      <w:r>
        <w:rPr>
          <w:rFonts w:hint="eastAsia" w:ascii="Times New Roman" w:eastAsia="黑体"/>
          <w:color w:val="auto"/>
          <w:szCs w:val="24"/>
          <w:highlight w:val="none"/>
        </w:rPr>
        <w:t>附</w:t>
      </w:r>
      <w:bookmarkStart w:id="605" w:name="_Toc296347225"/>
      <w:bookmarkStart w:id="606" w:name="_Toc296503226"/>
      <w:bookmarkStart w:id="607" w:name="_Toc296944565"/>
      <w:bookmarkStart w:id="608" w:name="_Toc296891054"/>
      <w:bookmarkStart w:id="609" w:name="_Toc296891266"/>
      <w:bookmarkStart w:id="610" w:name="_Toc296346727"/>
      <w:bookmarkStart w:id="611" w:name="_Toc267261693"/>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05"/>
      <w:bookmarkEnd w:id="606"/>
      <w:bookmarkEnd w:id="607"/>
      <w:bookmarkEnd w:id="608"/>
      <w:bookmarkEnd w:id="609"/>
      <w:bookmarkEnd w:id="610"/>
      <w:bookmarkEnd w:id="611"/>
      <w:r>
        <w:rPr>
          <w:rFonts w:hint="eastAsia" w:ascii="Times New Roman" w:eastAsia="黑体"/>
          <w:color w:val="auto"/>
          <w:szCs w:val="24"/>
          <w:highlight w:val="none"/>
        </w:rPr>
        <w:t>工程质量保修书（市政公用工程）</w:t>
      </w:r>
      <w:bookmarkEnd w:id="604"/>
    </w:p>
    <w:p w14:paraId="439E4102">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1F4857EB">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764F53A4">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5BE7F7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7BB2CA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6DEF4AB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5A8648E7">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43A39E90">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48AD423">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B52AEA5">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B30C96A">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44A0F8F">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AFAE8C1">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66E53EB">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0F15F9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DA16D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39AB9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5C549F9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012AC65A">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770F1E2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28972B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E1BFE14">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1BD7A951">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D751FF0">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1BCEFA2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117C4BAD">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5A0E5B4C">
      <w:pPr>
        <w:adjustRightInd w:val="0"/>
        <w:snapToGrid w:val="0"/>
        <w:spacing w:line="360" w:lineRule="auto"/>
        <w:ind w:firstLine="420"/>
        <w:rPr>
          <w:rFonts w:cs="宋体"/>
          <w:color w:val="auto"/>
          <w:sz w:val="21"/>
          <w:szCs w:val="21"/>
          <w:highlight w:val="none"/>
        </w:rPr>
      </w:pPr>
    </w:p>
    <w:p w14:paraId="37D87343">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1BAA291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E57E7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73269E1B">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1E660791">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AF94D7F">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7E194B71">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FCBDEA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7D7A90B">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F3873A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12"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12"/>
    </w:p>
    <w:p w14:paraId="546444F0">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7310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4885BB8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8B844A9">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21AD9CFF">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74FFD33C">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8B1049">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0E3D2FA0">
            <w:pPr>
              <w:jc w:val="center"/>
              <w:rPr>
                <w:rFonts w:cs="宋体"/>
                <w:color w:val="auto"/>
                <w:szCs w:val="21"/>
                <w:highlight w:val="none"/>
              </w:rPr>
            </w:pPr>
            <w:r>
              <w:rPr>
                <w:rFonts w:hint="eastAsia" w:cs="宋体"/>
                <w:color w:val="auto"/>
                <w:szCs w:val="21"/>
                <w:highlight w:val="none"/>
              </w:rPr>
              <w:t>责任人</w:t>
            </w:r>
          </w:p>
        </w:tc>
      </w:tr>
      <w:tr w14:paraId="79F2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EC564AD">
            <w:pPr>
              <w:keepNext/>
              <w:jc w:val="center"/>
              <w:rPr>
                <w:rFonts w:cs="宋体"/>
                <w:color w:val="auto"/>
                <w:szCs w:val="21"/>
                <w:highlight w:val="none"/>
              </w:rPr>
            </w:pPr>
          </w:p>
        </w:tc>
        <w:tc>
          <w:tcPr>
            <w:tcW w:w="706" w:type="pct"/>
            <w:tcBorders>
              <w:top w:val="double" w:color="auto" w:sz="6" w:space="0"/>
            </w:tcBorders>
            <w:vAlign w:val="center"/>
          </w:tcPr>
          <w:p w14:paraId="55C663BC">
            <w:pPr>
              <w:keepNext/>
              <w:jc w:val="center"/>
              <w:rPr>
                <w:rFonts w:cs="宋体"/>
                <w:color w:val="auto"/>
                <w:szCs w:val="21"/>
                <w:highlight w:val="none"/>
              </w:rPr>
            </w:pPr>
          </w:p>
        </w:tc>
        <w:tc>
          <w:tcPr>
            <w:tcW w:w="802" w:type="pct"/>
            <w:tcBorders>
              <w:top w:val="double" w:color="auto" w:sz="6" w:space="0"/>
            </w:tcBorders>
            <w:vAlign w:val="center"/>
          </w:tcPr>
          <w:p w14:paraId="477BF30E">
            <w:pPr>
              <w:keepNext/>
              <w:jc w:val="center"/>
              <w:rPr>
                <w:rFonts w:cs="宋体"/>
                <w:color w:val="auto"/>
                <w:szCs w:val="21"/>
                <w:highlight w:val="none"/>
              </w:rPr>
            </w:pPr>
          </w:p>
        </w:tc>
        <w:tc>
          <w:tcPr>
            <w:tcW w:w="687" w:type="pct"/>
            <w:tcBorders>
              <w:top w:val="double" w:color="auto" w:sz="6" w:space="0"/>
            </w:tcBorders>
            <w:vAlign w:val="center"/>
          </w:tcPr>
          <w:p w14:paraId="2A2B3FE3">
            <w:pPr>
              <w:keepNext/>
              <w:jc w:val="center"/>
              <w:rPr>
                <w:rFonts w:cs="宋体"/>
                <w:color w:val="auto"/>
                <w:szCs w:val="21"/>
                <w:highlight w:val="none"/>
              </w:rPr>
            </w:pPr>
          </w:p>
        </w:tc>
        <w:tc>
          <w:tcPr>
            <w:tcW w:w="802" w:type="pct"/>
            <w:tcBorders>
              <w:top w:val="double" w:color="auto" w:sz="6" w:space="0"/>
            </w:tcBorders>
            <w:vAlign w:val="center"/>
          </w:tcPr>
          <w:p w14:paraId="43CF5014">
            <w:pPr>
              <w:keepNext/>
              <w:jc w:val="center"/>
              <w:rPr>
                <w:rFonts w:cs="宋体"/>
                <w:color w:val="auto"/>
                <w:szCs w:val="21"/>
                <w:highlight w:val="none"/>
              </w:rPr>
            </w:pPr>
          </w:p>
        </w:tc>
        <w:tc>
          <w:tcPr>
            <w:tcW w:w="922" w:type="pct"/>
            <w:tcBorders>
              <w:top w:val="double" w:color="auto" w:sz="6" w:space="0"/>
            </w:tcBorders>
            <w:vAlign w:val="center"/>
          </w:tcPr>
          <w:p w14:paraId="3E06BFAC">
            <w:pPr>
              <w:keepNext/>
              <w:jc w:val="center"/>
              <w:rPr>
                <w:rFonts w:cs="宋体"/>
                <w:color w:val="auto"/>
                <w:szCs w:val="21"/>
                <w:highlight w:val="none"/>
              </w:rPr>
            </w:pPr>
          </w:p>
        </w:tc>
      </w:tr>
      <w:tr w14:paraId="7D4C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5D4D0E3A">
            <w:pPr>
              <w:keepNext/>
              <w:jc w:val="center"/>
              <w:rPr>
                <w:rFonts w:cs="宋体"/>
                <w:color w:val="auto"/>
                <w:szCs w:val="21"/>
                <w:highlight w:val="none"/>
              </w:rPr>
            </w:pPr>
          </w:p>
        </w:tc>
        <w:tc>
          <w:tcPr>
            <w:tcW w:w="706" w:type="pct"/>
            <w:tcBorders>
              <w:top w:val="nil"/>
            </w:tcBorders>
            <w:vAlign w:val="center"/>
          </w:tcPr>
          <w:p w14:paraId="167A566B">
            <w:pPr>
              <w:keepNext/>
              <w:jc w:val="center"/>
              <w:rPr>
                <w:rFonts w:cs="宋体"/>
                <w:color w:val="auto"/>
                <w:szCs w:val="21"/>
                <w:highlight w:val="none"/>
              </w:rPr>
            </w:pPr>
          </w:p>
        </w:tc>
        <w:tc>
          <w:tcPr>
            <w:tcW w:w="802" w:type="pct"/>
            <w:tcBorders>
              <w:top w:val="nil"/>
            </w:tcBorders>
            <w:vAlign w:val="center"/>
          </w:tcPr>
          <w:p w14:paraId="14678E41">
            <w:pPr>
              <w:keepNext/>
              <w:jc w:val="center"/>
              <w:rPr>
                <w:rFonts w:cs="宋体"/>
                <w:color w:val="auto"/>
                <w:szCs w:val="21"/>
                <w:highlight w:val="none"/>
              </w:rPr>
            </w:pPr>
          </w:p>
        </w:tc>
        <w:tc>
          <w:tcPr>
            <w:tcW w:w="687" w:type="pct"/>
            <w:tcBorders>
              <w:top w:val="nil"/>
            </w:tcBorders>
            <w:vAlign w:val="center"/>
          </w:tcPr>
          <w:p w14:paraId="135D4398">
            <w:pPr>
              <w:keepNext/>
              <w:jc w:val="center"/>
              <w:rPr>
                <w:rFonts w:cs="宋体"/>
                <w:color w:val="auto"/>
                <w:szCs w:val="21"/>
                <w:highlight w:val="none"/>
              </w:rPr>
            </w:pPr>
          </w:p>
        </w:tc>
        <w:tc>
          <w:tcPr>
            <w:tcW w:w="802" w:type="pct"/>
            <w:tcBorders>
              <w:top w:val="nil"/>
            </w:tcBorders>
            <w:vAlign w:val="center"/>
          </w:tcPr>
          <w:p w14:paraId="4C9CF7C9">
            <w:pPr>
              <w:keepNext/>
              <w:jc w:val="center"/>
              <w:rPr>
                <w:rFonts w:cs="宋体"/>
                <w:color w:val="auto"/>
                <w:szCs w:val="21"/>
                <w:highlight w:val="none"/>
              </w:rPr>
            </w:pPr>
          </w:p>
        </w:tc>
        <w:tc>
          <w:tcPr>
            <w:tcW w:w="922" w:type="pct"/>
            <w:tcBorders>
              <w:top w:val="nil"/>
            </w:tcBorders>
            <w:vAlign w:val="center"/>
          </w:tcPr>
          <w:p w14:paraId="2367EA0B">
            <w:pPr>
              <w:keepNext/>
              <w:jc w:val="center"/>
              <w:rPr>
                <w:rFonts w:cs="宋体"/>
                <w:color w:val="auto"/>
                <w:szCs w:val="21"/>
                <w:highlight w:val="none"/>
              </w:rPr>
            </w:pPr>
          </w:p>
        </w:tc>
      </w:tr>
      <w:tr w14:paraId="18A97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4605BDB">
            <w:pPr>
              <w:jc w:val="center"/>
              <w:rPr>
                <w:rFonts w:cs="宋体"/>
                <w:color w:val="auto"/>
                <w:szCs w:val="21"/>
                <w:highlight w:val="none"/>
              </w:rPr>
            </w:pPr>
          </w:p>
        </w:tc>
        <w:tc>
          <w:tcPr>
            <w:tcW w:w="706" w:type="pct"/>
            <w:vAlign w:val="center"/>
          </w:tcPr>
          <w:p w14:paraId="1650B466">
            <w:pPr>
              <w:jc w:val="center"/>
              <w:rPr>
                <w:rFonts w:cs="宋体"/>
                <w:color w:val="auto"/>
                <w:szCs w:val="21"/>
                <w:highlight w:val="none"/>
              </w:rPr>
            </w:pPr>
          </w:p>
        </w:tc>
        <w:tc>
          <w:tcPr>
            <w:tcW w:w="802" w:type="pct"/>
            <w:vAlign w:val="center"/>
          </w:tcPr>
          <w:p w14:paraId="018F3435">
            <w:pPr>
              <w:jc w:val="center"/>
              <w:rPr>
                <w:rFonts w:cs="宋体"/>
                <w:color w:val="auto"/>
                <w:szCs w:val="21"/>
                <w:highlight w:val="none"/>
              </w:rPr>
            </w:pPr>
          </w:p>
        </w:tc>
        <w:tc>
          <w:tcPr>
            <w:tcW w:w="687" w:type="pct"/>
            <w:vAlign w:val="center"/>
          </w:tcPr>
          <w:p w14:paraId="1FEED1D3">
            <w:pPr>
              <w:jc w:val="center"/>
              <w:rPr>
                <w:rFonts w:cs="宋体"/>
                <w:color w:val="auto"/>
                <w:szCs w:val="21"/>
                <w:highlight w:val="none"/>
              </w:rPr>
            </w:pPr>
          </w:p>
        </w:tc>
        <w:tc>
          <w:tcPr>
            <w:tcW w:w="802" w:type="pct"/>
            <w:vAlign w:val="center"/>
          </w:tcPr>
          <w:p w14:paraId="60D9D3B0">
            <w:pPr>
              <w:jc w:val="center"/>
              <w:rPr>
                <w:rFonts w:cs="宋体"/>
                <w:color w:val="auto"/>
                <w:szCs w:val="21"/>
                <w:highlight w:val="none"/>
              </w:rPr>
            </w:pPr>
          </w:p>
        </w:tc>
        <w:tc>
          <w:tcPr>
            <w:tcW w:w="922" w:type="pct"/>
            <w:vAlign w:val="center"/>
          </w:tcPr>
          <w:p w14:paraId="397AACAF">
            <w:pPr>
              <w:jc w:val="center"/>
              <w:rPr>
                <w:rFonts w:cs="宋体"/>
                <w:color w:val="auto"/>
                <w:szCs w:val="21"/>
                <w:highlight w:val="none"/>
              </w:rPr>
            </w:pPr>
          </w:p>
        </w:tc>
      </w:tr>
      <w:tr w14:paraId="5FBA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C86B570">
            <w:pPr>
              <w:jc w:val="center"/>
              <w:rPr>
                <w:rFonts w:cs="宋体"/>
                <w:color w:val="auto"/>
                <w:szCs w:val="21"/>
                <w:highlight w:val="none"/>
              </w:rPr>
            </w:pPr>
          </w:p>
        </w:tc>
        <w:tc>
          <w:tcPr>
            <w:tcW w:w="706" w:type="pct"/>
            <w:vAlign w:val="center"/>
          </w:tcPr>
          <w:p w14:paraId="11149CE6">
            <w:pPr>
              <w:jc w:val="center"/>
              <w:rPr>
                <w:rFonts w:cs="宋体"/>
                <w:color w:val="auto"/>
                <w:szCs w:val="21"/>
                <w:highlight w:val="none"/>
              </w:rPr>
            </w:pPr>
          </w:p>
        </w:tc>
        <w:tc>
          <w:tcPr>
            <w:tcW w:w="802" w:type="pct"/>
            <w:vAlign w:val="center"/>
          </w:tcPr>
          <w:p w14:paraId="7A8C8AFE">
            <w:pPr>
              <w:jc w:val="center"/>
              <w:rPr>
                <w:rFonts w:cs="宋体"/>
                <w:color w:val="auto"/>
                <w:szCs w:val="21"/>
                <w:highlight w:val="none"/>
              </w:rPr>
            </w:pPr>
          </w:p>
        </w:tc>
        <w:tc>
          <w:tcPr>
            <w:tcW w:w="687" w:type="pct"/>
            <w:vAlign w:val="center"/>
          </w:tcPr>
          <w:p w14:paraId="03784B19">
            <w:pPr>
              <w:jc w:val="center"/>
              <w:rPr>
                <w:rFonts w:cs="宋体"/>
                <w:color w:val="auto"/>
                <w:szCs w:val="21"/>
                <w:highlight w:val="none"/>
              </w:rPr>
            </w:pPr>
          </w:p>
        </w:tc>
        <w:tc>
          <w:tcPr>
            <w:tcW w:w="802" w:type="pct"/>
            <w:vAlign w:val="center"/>
          </w:tcPr>
          <w:p w14:paraId="3E5FDC53">
            <w:pPr>
              <w:jc w:val="center"/>
              <w:rPr>
                <w:rFonts w:cs="宋体"/>
                <w:color w:val="auto"/>
                <w:szCs w:val="21"/>
                <w:highlight w:val="none"/>
              </w:rPr>
            </w:pPr>
          </w:p>
        </w:tc>
        <w:tc>
          <w:tcPr>
            <w:tcW w:w="922" w:type="pct"/>
            <w:vAlign w:val="center"/>
          </w:tcPr>
          <w:p w14:paraId="377B59DE">
            <w:pPr>
              <w:jc w:val="center"/>
              <w:rPr>
                <w:rFonts w:cs="宋体"/>
                <w:color w:val="auto"/>
                <w:szCs w:val="21"/>
                <w:highlight w:val="none"/>
              </w:rPr>
            </w:pPr>
          </w:p>
        </w:tc>
      </w:tr>
      <w:tr w14:paraId="0B53F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1534609B">
            <w:pPr>
              <w:jc w:val="center"/>
              <w:rPr>
                <w:rFonts w:cs="宋体"/>
                <w:color w:val="auto"/>
                <w:szCs w:val="21"/>
                <w:highlight w:val="none"/>
              </w:rPr>
            </w:pPr>
          </w:p>
        </w:tc>
        <w:tc>
          <w:tcPr>
            <w:tcW w:w="706" w:type="pct"/>
            <w:tcBorders>
              <w:bottom w:val="single" w:color="auto" w:sz="12" w:space="0"/>
            </w:tcBorders>
            <w:vAlign w:val="center"/>
          </w:tcPr>
          <w:p w14:paraId="3571F067">
            <w:pPr>
              <w:jc w:val="center"/>
              <w:rPr>
                <w:rFonts w:cs="宋体"/>
                <w:color w:val="auto"/>
                <w:szCs w:val="21"/>
                <w:highlight w:val="none"/>
              </w:rPr>
            </w:pPr>
          </w:p>
        </w:tc>
        <w:tc>
          <w:tcPr>
            <w:tcW w:w="802" w:type="pct"/>
            <w:tcBorders>
              <w:bottom w:val="single" w:color="auto" w:sz="12" w:space="0"/>
            </w:tcBorders>
            <w:vAlign w:val="center"/>
          </w:tcPr>
          <w:p w14:paraId="3747BA3F">
            <w:pPr>
              <w:jc w:val="center"/>
              <w:rPr>
                <w:rFonts w:cs="宋体"/>
                <w:color w:val="auto"/>
                <w:szCs w:val="21"/>
                <w:highlight w:val="none"/>
              </w:rPr>
            </w:pPr>
          </w:p>
        </w:tc>
        <w:tc>
          <w:tcPr>
            <w:tcW w:w="687" w:type="pct"/>
            <w:tcBorders>
              <w:bottom w:val="single" w:color="auto" w:sz="12" w:space="0"/>
            </w:tcBorders>
            <w:vAlign w:val="center"/>
          </w:tcPr>
          <w:p w14:paraId="1BD09C1F">
            <w:pPr>
              <w:jc w:val="center"/>
              <w:rPr>
                <w:rFonts w:cs="宋体"/>
                <w:color w:val="auto"/>
                <w:szCs w:val="21"/>
                <w:highlight w:val="none"/>
              </w:rPr>
            </w:pPr>
          </w:p>
        </w:tc>
        <w:tc>
          <w:tcPr>
            <w:tcW w:w="802" w:type="pct"/>
            <w:tcBorders>
              <w:bottom w:val="single" w:color="auto" w:sz="12" w:space="0"/>
            </w:tcBorders>
            <w:vAlign w:val="center"/>
          </w:tcPr>
          <w:p w14:paraId="34D0AB0E">
            <w:pPr>
              <w:jc w:val="center"/>
              <w:rPr>
                <w:rFonts w:cs="宋体"/>
                <w:color w:val="auto"/>
                <w:szCs w:val="21"/>
                <w:highlight w:val="none"/>
              </w:rPr>
            </w:pPr>
          </w:p>
        </w:tc>
        <w:tc>
          <w:tcPr>
            <w:tcW w:w="922" w:type="pct"/>
            <w:tcBorders>
              <w:bottom w:val="single" w:color="auto" w:sz="12" w:space="0"/>
            </w:tcBorders>
            <w:vAlign w:val="center"/>
          </w:tcPr>
          <w:p w14:paraId="1CEDA66C">
            <w:pPr>
              <w:jc w:val="center"/>
              <w:rPr>
                <w:rFonts w:cs="宋体"/>
                <w:color w:val="auto"/>
                <w:szCs w:val="21"/>
                <w:highlight w:val="none"/>
              </w:rPr>
            </w:pPr>
          </w:p>
        </w:tc>
      </w:tr>
    </w:tbl>
    <w:p w14:paraId="4216C299">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3" w:name="_Toc128950240"/>
      <w:r>
        <w:rPr>
          <w:rFonts w:hint="eastAsia" w:ascii="Times New Roman" w:eastAsia="黑体"/>
          <w:color w:val="auto"/>
          <w:szCs w:val="24"/>
          <w:highlight w:val="none"/>
        </w:rPr>
        <w:t>附</w:t>
      </w:r>
      <w:bookmarkStart w:id="614" w:name="_Toc296346728"/>
      <w:bookmarkStart w:id="615" w:name="_Toc296891055"/>
      <w:bookmarkStart w:id="616" w:name="_Toc296347226"/>
      <w:bookmarkStart w:id="617" w:name="_Toc296891267"/>
      <w:bookmarkStart w:id="618" w:name="_Toc267261698"/>
      <w:bookmarkStart w:id="619" w:name="_Toc296944566"/>
      <w:bookmarkStart w:id="620" w:name="_Toc296503227"/>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13"/>
    </w:p>
    <w:bookmarkEnd w:id="614"/>
    <w:bookmarkEnd w:id="615"/>
    <w:bookmarkEnd w:id="616"/>
    <w:bookmarkEnd w:id="617"/>
    <w:bookmarkEnd w:id="618"/>
    <w:bookmarkEnd w:id="619"/>
    <w:bookmarkEnd w:id="620"/>
    <w:p w14:paraId="6536EDFC">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1FAD6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04E1CDD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47BB5329">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3D04F7E8">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0B372EE5">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0BBF18D6">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7BE92B9C">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767120F5">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3F984CEE">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D9C6644">
            <w:pPr>
              <w:keepNext/>
              <w:jc w:val="center"/>
              <w:rPr>
                <w:rFonts w:cs="宋体"/>
                <w:color w:val="auto"/>
                <w:szCs w:val="21"/>
                <w:highlight w:val="none"/>
              </w:rPr>
            </w:pPr>
            <w:r>
              <w:rPr>
                <w:rFonts w:hint="eastAsia" w:cs="宋体"/>
                <w:color w:val="auto"/>
                <w:szCs w:val="21"/>
                <w:highlight w:val="none"/>
              </w:rPr>
              <w:t>备注</w:t>
            </w:r>
          </w:p>
        </w:tc>
      </w:tr>
      <w:tr w14:paraId="5AECF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1491A2CE">
            <w:pPr>
              <w:keepNext/>
              <w:jc w:val="center"/>
              <w:rPr>
                <w:rFonts w:cs="宋体"/>
                <w:color w:val="auto"/>
                <w:szCs w:val="21"/>
                <w:highlight w:val="none"/>
              </w:rPr>
            </w:pPr>
          </w:p>
        </w:tc>
        <w:tc>
          <w:tcPr>
            <w:tcW w:w="792" w:type="pct"/>
            <w:tcBorders>
              <w:top w:val="double" w:color="auto" w:sz="6" w:space="0"/>
            </w:tcBorders>
            <w:vAlign w:val="center"/>
          </w:tcPr>
          <w:p w14:paraId="44ACBECF">
            <w:pPr>
              <w:keepNext/>
              <w:jc w:val="center"/>
              <w:rPr>
                <w:rFonts w:cs="宋体"/>
                <w:color w:val="auto"/>
                <w:szCs w:val="21"/>
                <w:highlight w:val="none"/>
              </w:rPr>
            </w:pPr>
          </w:p>
        </w:tc>
        <w:tc>
          <w:tcPr>
            <w:tcW w:w="474" w:type="pct"/>
            <w:tcBorders>
              <w:top w:val="double" w:color="auto" w:sz="6" w:space="0"/>
            </w:tcBorders>
            <w:vAlign w:val="center"/>
          </w:tcPr>
          <w:p w14:paraId="79F32A3A">
            <w:pPr>
              <w:keepNext/>
              <w:jc w:val="center"/>
              <w:rPr>
                <w:rFonts w:cs="宋体"/>
                <w:color w:val="auto"/>
                <w:szCs w:val="21"/>
                <w:highlight w:val="none"/>
              </w:rPr>
            </w:pPr>
          </w:p>
        </w:tc>
        <w:tc>
          <w:tcPr>
            <w:tcW w:w="396" w:type="pct"/>
            <w:tcBorders>
              <w:top w:val="double" w:color="auto" w:sz="6" w:space="0"/>
            </w:tcBorders>
            <w:vAlign w:val="center"/>
          </w:tcPr>
          <w:p w14:paraId="49DEACA7">
            <w:pPr>
              <w:keepNext/>
              <w:jc w:val="center"/>
              <w:rPr>
                <w:rFonts w:cs="宋体"/>
                <w:color w:val="auto"/>
                <w:szCs w:val="21"/>
                <w:highlight w:val="none"/>
              </w:rPr>
            </w:pPr>
          </w:p>
        </w:tc>
        <w:tc>
          <w:tcPr>
            <w:tcW w:w="474" w:type="pct"/>
            <w:tcBorders>
              <w:top w:val="double" w:color="auto" w:sz="6" w:space="0"/>
            </w:tcBorders>
            <w:vAlign w:val="center"/>
          </w:tcPr>
          <w:p w14:paraId="287948F0">
            <w:pPr>
              <w:keepNext/>
              <w:jc w:val="center"/>
              <w:rPr>
                <w:rFonts w:cs="宋体"/>
                <w:color w:val="auto"/>
                <w:szCs w:val="21"/>
                <w:highlight w:val="none"/>
              </w:rPr>
            </w:pPr>
          </w:p>
        </w:tc>
        <w:tc>
          <w:tcPr>
            <w:tcW w:w="537" w:type="pct"/>
            <w:tcBorders>
              <w:top w:val="double" w:color="auto" w:sz="6" w:space="0"/>
            </w:tcBorders>
            <w:vAlign w:val="center"/>
          </w:tcPr>
          <w:p w14:paraId="7ACF56D5">
            <w:pPr>
              <w:keepNext/>
              <w:jc w:val="center"/>
              <w:rPr>
                <w:rFonts w:cs="宋体"/>
                <w:color w:val="auto"/>
                <w:szCs w:val="21"/>
                <w:highlight w:val="none"/>
              </w:rPr>
            </w:pPr>
          </w:p>
        </w:tc>
        <w:tc>
          <w:tcPr>
            <w:tcW w:w="827" w:type="pct"/>
            <w:tcBorders>
              <w:top w:val="double" w:color="auto" w:sz="6" w:space="0"/>
            </w:tcBorders>
            <w:vAlign w:val="center"/>
          </w:tcPr>
          <w:p w14:paraId="05345078">
            <w:pPr>
              <w:keepNext/>
              <w:jc w:val="center"/>
              <w:rPr>
                <w:rFonts w:cs="宋体"/>
                <w:color w:val="auto"/>
                <w:szCs w:val="21"/>
                <w:highlight w:val="none"/>
              </w:rPr>
            </w:pPr>
          </w:p>
        </w:tc>
        <w:tc>
          <w:tcPr>
            <w:tcW w:w="569" w:type="pct"/>
            <w:tcBorders>
              <w:top w:val="double" w:color="auto" w:sz="6" w:space="0"/>
            </w:tcBorders>
            <w:vAlign w:val="center"/>
          </w:tcPr>
          <w:p w14:paraId="3C95A003">
            <w:pPr>
              <w:keepNext/>
              <w:jc w:val="center"/>
              <w:rPr>
                <w:rFonts w:cs="宋体"/>
                <w:color w:val="auto"/>
                <w:szCs w:val="21"/>
                <w:highlight w:val="none"/>
              </w:rPr>
            </w:pPr>
          </w:p>
        </w:tc>
        <w:tc>
          <w:tcPr>
            <w:tcW w:w="519" w:type="pct"/>
            <w:tcBorders>
              <w:top w:val="double" w:color="auto" w:sz="6" w:space="0"/>
            </w:tcBorders>
            <w:vAlign w:val="center"/>
          </w:tcPr>
          <w:p w14:paraId="46F45177">
            <w:pPr>
              <w:keepNext/>
              <w:jc w:val="center"/>
              <w:rPr>
                <w:rFonts w:cs="宋体"/>
                <w:color w:val="auto"/>
                <w:szCs w:val="21"/>
                <w:highlight w:val="none"/>
              </w:rPr>
            </w:pPr>
          </w:p>
        </w:tc>
      </w:tr>
      <w:tr w14:paraId="30B7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28DFFF3F">
            <w:pPr>
              <w:keepNext/>
              <w:jc w:val="center"/>
              <w:rPr>
                <w:rFonts w:cs="宋体"/>
                <w:color w:val="auto"/>
                <w:szCs w:val="21"/>
                <w:highlight w:val="none"/>
              </w:rPr>
            </w:pPr>
          </w:p>
        </w:tc>
        <w:tc>
          <w:tcPr>
            <w:tcW w:w="792" w:type="pct"/>
            <w:tcBorders>
              <w:top w:val="nil"/>
            </w:tcBorders>
            <w:vAlign w:val="center"/>
          </w:tcPr>
          <w:p w14:paraId="6ACC9EC1">
            <w:pPr>
              <w:keepNext/>
              <w:jc w:val="center"/>
              <w:rPr>
                <w:rFonts w:cs="宋体"/>
                <w:color w:val="auto"/>
                <w:szCs w:val="21"/>
                <w:highlight w:val="none"/>
              </w:rPr>
            </w:pPr>
          </w:p>
        </w:tc>
        <w:tc>
          <w:tcPr>
            <w:tcW w:w="474" w:type="pct"/>
            <w:tcBorders>
              <w:top w:val="nil"/>
            </w:tcBorders>
            <w:vAlign w:val="center"/>
          </w:tcPr>
          <w:p w14:paraId="51BDEB75">
            <w:pPr>
              <w:keepNext/>
              <w:jc w:val="center"/>
              <w:rPr>
                <w:rFonts w:cs="宋体"/>
                <w:color w:val="auto"/>
                <w:szCs w:val="21"/>
                <w:highlight w:val="none"/>
              </w:rPr>
            </w:pPr>
          </w:p>
        </w:tc>
        <w:tc>
          <w:tcPr>
            <w:tcW w:w="396" w:type="pct"/>
            <w:tcBorders>
              <w:top w:val="nil"/>
            </w:tcBorders>
            <w:vAlign w:val="center"/>
          </w:tcPr>
          <w:p w14:paraId="1662CFDD">
            <w:pPr>
              <w:keepNext/>
              <w:jc w:val="center"/>
              <w:rPr>
                <w:rFonts w:cs="宋体"/>
                <w:color w:val="auto"/>
                <w:szCs w:val="21"/>
                <w:highlight w:val="none"/>
              </w:rPr>
            </w:pPr>
          </w:p>
        </w:tc>
        <w:tc>
          <w:tcPr>
            <w:tcW w:w="474" w:type="pct"/>
            <w:tcBorders>
              <w:top w:val="nil"/>
            </w:tcBorders>
            <w:vAlign w:val="center"/>
          </w:tcPr>
          <w:p w14:paraId="45D9FA2C">
            <w:pPr>
              <w:keepNext/>
              <w:jc w:val="center"/>
              <w:rPr>
                <w:rFonts w:cs="宋体"/>
                <w:color w:val="auto"/>
                <w:szCs w:val="21"/>
                <w:highlight w:val="none"/>
              </w:rPr>
            </w:pPr>
          </w:p>
        </w:tc>
        <w:tc>
          <w:tcPr>
            <w:tcW w:w="537" w:type="pct"/>
            <w:tcBorders>
              <w:top w:val="nil"/>
            </w:tcBorders>
            <w:vAlign w:val="center"/>
          </w:tcPr>
          <w:p w14:paraId="674BAD19">
            <w:pPr>
              <w:keepNext/>
              <w:jc w:val="center"/>
              <w:rPr>
                <w:rFonts w:cs="宋体"/>
                <w:color w:val="auto"/>
                <w:szCs w:val="21"/>
                <w:highlight w:val="none"/>
              </w:rPr>
            </w:pPr>
          </w:p>
        </w:tc>
        <w:tc>
          <w:tcPr>
            <w:tcW w:w="827" w:type="pct"/>
            <w:tcBorders>
              <w:top w:val="nil"/>
            </w:tcBorders>
            <w:vAlign w:val="center"/>
          </w:tcPr>
          <w:p w14:paraId="10CC6C5C">
            <w:pPr>
              <w:keepNext/>
              <w:jc w:val="center"/>
              <w:rPr>
                <w:rFonts w:cs="宋体"/>
                <w:color w:val="auto"/>
                <w:szCs w:val="21"/>
                <w:highlight w:val="none"/>
              </w:rPr>
            </w:pPr>
          </w:p>
        </w:tc>
        <w:tc>
          <w:tcPr>
            <w:tcW w:w="569" w:type="pct"/>
            <w:tcBorders>
              <w:top w:val="nil"/>
            </w:tcBorders>
            <w:vAlign w:val="center"/>
          </w:tcPr>
          <w:p w14:paraId="1013C830">
            <w:pPr>
              <w:keepNext/>
              <w:jc w:val="center"/>
              <w:rPr>
                <w:rFonts w:cs="宋体"/>
                <w:color w:val="auto"/>
                <w:szCs w:val="21"/>
                <w:highlight w:val="none"/>
              </w:rPr>
            </w:pPr>
          </w:p>
        </w:tc>
        <w:tc>
          <w:tcPr>
            <w:tcW w:w="519" w:type="pct"/>
            <w:tcBorders>
              <w:top w:val="nil"/>
            </w:tcBorders>
            <w:vAlign w:val="center"/>
          </w:tcPr>
          <w:p w14:paraId="24FD4754">
            <w:pPr>
              <w:keepNext/>
              <w:jc w:val="center"/>
              <w:rPr>
                <w:rFonts w:cs="宋体"/>
                <w:color w:val="auto"/>
                <w:szCs w:val="21"/>
                <w:highlight w:val="none"/>
              </w:rPr>
            </w:pPr>
          </w:p>
        </w:tc>
      </w:tr>
      <w:tr w14:paraId="33D4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D685276">
            <w:pPr>
              <w:jc w:val="center"/>
              <w:rPr>
                <w:rFonts w:cs="宋体"/>
                <w:color w:val="auto"/>
                <w:szCs w:val="21"/>
                <w:highlight w:val="none"/>
              </w:rPr>
            </w:pPr>
          </w:p>
        </w:tc>
        <w:tc>
          <w:tcPr>
            <w:tcW w:w="792" w:type="pct"/>
            <w:vAlign w:val="center"/>
          </w:tcPr>
          <w:p w14:paraId="31A0470A">
            <w:pPr>
              <w:jc w:val="center"/>
              <w:rPr>
                <w:rFonts w:cs="宋体"/>
                <w:color w:val="auto"/>
                <w:szCs w:val="21"/>
                <w:highlight w:val="none"/>
              </w:rPr>
            </w:pPr>
          </w:p>
        </w:tc>
        <w:tc>
          <w:tcPr>
            <w:tcW w:w="474" w:type="pct"/>
            <w:vAlign w:val="center"/>
          </w:tcPr>
          <w:p w14:paraId="2F555C23">
            <w:pPr>
              <w:jc w:val="center"/>
              <w:rPr>
                <w:rFonts w:cs="宋体"/>
                <w:color w:val="auto"/>
                <w:szCs w:val="21"/>
                <w:highlight w:val="none"/>
              </w:rPr>
            </w:pPr>
          </w:p>
        </w:tc>
        <w:tc>
          <w:tcPr>
            <w:tcW w:w="396" w:type="pct"/>
            <w:vAlign w:val="center"/>
          </w:tcPr>
          <w:p w14:paraId="5989C4B2">
            <w:pPr>
              <w:jc w:val="center"/>
              <w:rPr>
                <w:rFonts w:cs="宋体"/>
                <w:color w:val="auto"/>
                <w:szCs w:val="21"/>
                <w:highlight w:val="none"/>
              </w:rPr>
            </w:pPr>
          </w:p>
        </w:tc>
        <w:tc>
          <w:tcPr>
            <w:tcW w:w="474" w:type="pct"/>
            <w:vAlign w:val="center"/>
          </w:tcPr>
          <w:p w14:paraId="450E7B09">
            <w:pPr>
              <w:jc w:val="center"/>
              <w:rPr>
                <w:rFonts w:cs="宋体"/>
                <w:color w:val="auto"/>
                <w:szCs w:val="21"/>
                <w:highlight w:val="none"/>
              </w:rPr>
            </w:pPr>
          </w:p>
        </w:tc>
        <w:tc>
          <w:tcPr>
            <w:tcW w:w="537" w:type="pct"/>
            <w:vAlign w:val="center"/>
          </w:tcPr>
          <w:p w14:paraId="1EE35DD8">
            <w:pPr>
              <w:jc w:val="center"/>
              <w:rPr>
                <w:rFonts w:cs="宋体"/>
                <w:color w:val="auto"/>
                <w:szCs w:val="21"/>
                <w:highlight w:val="none"/>
              </w:rPr>
            </w:pPr>
          </w:p>
        </w:tc>
        <w:tc>
          <w:tcPr>
            <w:tcW w:w="827" w:type="pct"/>
            <w:vAlign w:val="center"/>
          </w:tcPr>
          <w:p w14:paraId="732C9A6D">
            <w:pPr>
              <w:jc w:val="center"/>
              <w:rPr>
                <w:rFonts w:cs="宋体"/>
                <w:color w:val="auto"/>
                <w:szCs w:val="21"/>
                <w:highlight w:val="none"/>
              </w:rPr>
            </w:pPr>
          </w:p>
        </w:tc>
        <w:tc>
          <w:tcPr>
            <w:tcW w:w="569" w:type="pct"/>
            <w:vAlign w:val="center"/>
          </w:tcPr>
          <w:p w14:paraId="275115F0">
            <w:pPr>
              <w:jc w:val="center"/>
              <w:rPr>
                <w:rFonts w:cs="宋体"/>
                <w:color w:val="auto"/>
                <w:szCs w:val="21"/>
                <w:highlight w:val="none"/>
              </w:rPr>
            </w:pPr>
          </w:p>
        </w:tc>
        <w:tc>
          <w:tcPr>
            <w:tcW w:w="519" w:type="pct"/>
            <w:vAlign w:val="center"/>
          </w:tcPr>
          <w:p w14:paraId="5B96CB07">
            <w:pPr>
              <w:jc w:val="center"/>
              <w:rPr>
                <w:rFonts w:cs="宋体"/>
                <w:color w:val="auto"/>
                <w:szCs w:val="21"/>
                <w:highlight w:val="none"/>
              </w:rPr>
            </w:pPr>
          </w:p>
        </w:tc>
      </w:tr>
      <w:tr w14:paraId="71C0C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7A69332">
            <w:pPr>
              <w:jc w:val="center"/>
              <w:rPr>
                <w:rFonts w:cs="宋体"/>
                <w:color w:val="auto"/>
                <w:szCs w:val="21"/>
                <w:highlight w:val="none"/>
              </w:rPr>
            </w:pPr>
          </w:p>
        </w:tc>
        <w:tc>
          <w:tcPr>
            <w:tcW w:w="792" w:type="pct"/>
            <w:vAlign w:val="center"/>
          </w:tcPr>
          <w:p w14:paraId="4D9160B0">
            <w:pPr>
              <w:jc w:val="center"/>
              <w:rPr>
                <w:rFonts w:cs="宋体"/>
                <w:color w:val="auto"/>
                <w:szCs w:val="21"/>
                <w:highlight w:val="none"/>
              </w:rPr>
            </w:pPr>
          </w:p>
        </w:tc>
        <w:tc>
          <w:tcPr>
            <w:tcW w:w="474" w:type="pct"/>
            <w:vAlign w:val="center"/>
          </w:tcPr>
          <w:p w14:paraId="76189914">
            <w:pPr>
              <w:jc w:val="center"/>
              <w:rPr>
                <w:rFonts w:cs="宋体"/>
                <w:color w:val="auto"/>
                <w:szCs w:val="21"/>
                <w:highlight w:val="none"/>
              </w:rPr>
            </w:pPr>
          </w:p>
        </w:tc>
        <w:tc>
          <w:tcPr>
            <w:tcW w:w="396" w:type="pct"/>
            <w:vAlign w:val="center"/>
          </w:tcPr>
          <w:p w14:paraId="3001C107">
            <w:pPr>
              <w:jc w:val="center"/>
              <w:rPr>
                <w:rFonts w:cs="宋体"/>
                <w:color w:val="auto"/>
                <w:szCs w:val="21"/>
                <w:highlight w:val="none"/>
              </w:rPr>
            </w:pPr>
          </w:p>
        </w:tc>
        <w:tc>
          <w:tcPr>
            <w:tcW w:w="474" w:type="pct"/>
            <w:vAlign w:val="center"/>
          </w:tcPr>
          <w:p w14:paraId="1CCFE88F">
            <w:pPr>
              <w:jc w:val="center"/>
              <w:rPr>
                <w:rFonts w:cs="宋体"/>
                <w:color w:val="auto"/>
                <w:szCs w:val="21"/>
                <w:highlight w:val="none"/>
              </w:rPr>
            </w:pPr>
          </w:p>
        </w:tc>
        <w:tc>
          <w:tcPr>
            <w:tcW w:w="537" w:type="pct"/>
            <w:vAlign w:val="center"/>
          </w:tcPr>
          <w:p w14:paraId="206CE8E8">
            <w:pPr>
              <w:jc w:val="center"/>
              <w:rPr>
                <w:rFonts w:cs="宋体"/>
                <w:color w:val="auto"/>
                <w:szCs w:val="21"/>
                <w:highlight w:val="none"/>
              </w:rPr>
            </w:pPr>
          </w:p>
        </w:tc>
        <w:tc>
          <w:tcPr>
            <w:tcW w:w="827" w:type="pct"/>
            <w:vAlign w:val="center"/>
          </w:tcPr>
          <w:p w14:paraId="29849C3A">
            <w:pPr>
              <w:jc w:val="center"/>
              <w:rPr>
                <w:rFonts w:cs="宋体"/>
                <w:color w:val="auto"/>
                <w:szCs w:val="21"/>
                <w:highlight w:val="none"/>
              </w:rPr>
            </w:pPr>
          </w:p>
        </w:tc>
        <w:tc>
          <w:tcPr>
            <w:tcW w:w="569" w:type="pct"/>
            <w:vAlign w:val="center"/>
          </w:tcPr>
          <w:p w14:paraId="18DD0C8D">
            <w:pPr>
              <w:jc w:val="center"/>
              <w:rPr>
                <w:rFonts w:cs="宋体"/>
                <w:color w:val="auto"/>
                <w:szCs w:val="21"/>
                <w:highlight w:val="none"/>
              </w:rPr>
            </w:pPr>
          </w:p>
        </w:tc>
        <w:tc>
          <w:tcPr>
            <w:tcW w:w="519" w:type="pct"/>
            <w:vAlign w:val="center"/>
          </w:tcPr>
          <w:p w14:paraId="618D85AF">
            <w:pPr>
              <w:jc w:val="center"/>
              <w:rPr>
                <w:rFonts w:cs="宋体"/>
                <w:color w:val="auto"/>
                <w:szCs w:val="21"/>
                <w:highlight w:val="none"/>
              </w:rPr>
            </w:pPr>
          </w:p>
        </w:tc>
      </w:tr>
      <w:tr w14:paraId="27B99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1E4AEDC3">
            <w:pPr>
              <w:jc w:val="center"/>
              <w:rPr>
                <w:rFonts w:cs="宋体"/>
                <w:color w:val="auto"/>
                <w:szCs w:val="21"/>
                <w:highlight w:val="none"/>
              </w:rPr>
            </w:pPr>
          </w:p>
        </w:tc>
        <w:tc>
          <w:tcPr>
            <w:tcW w:w="792" w:type="pct"/>
            <w:tcBorders>
              <w:bottom w:val="single" w:color="auto" w:sz="12" w:space="0"/>
            </w:tcBorders>
            <w:vAlign w:val="center"/>
          </w:tcPr>
          <w:p w14:paraId="18A02A04">
            <w:pPr>
              <w:jc w:val="center"/>
              <w:rPr>
                <w:rFonts w:cs="宋体"/>
                <w:color w:val="auto"/>
                <w:szCs w:val="21"/>
                <w:highlight w:val="none"/>
              </w:rPr>
            </w:pPr>
          </w:p>
        </w:tc>
        <w:tc>
          <w:tcPr>
            <w:tcW w:w="474" w:type="pct"/>
            <w:tcBorders>
              <w:bottom w:val="single" w:color="auto" w:sz="12" w:space="0"/>
            </w:tcBorders>
            <w:vAlign w:val="center"/>
          </w:tcPr>
          <w:p w14:paraId="16A3779B">
            <w:pPr>
              <w:jc w:val="center"/>
              <w:rPr>
                <w:rFonts w:cs="宋体"/>
                <w:color w:val="auto"/>
                <w:szCs w:val="21"/>
                <w:highlight w:val="none"/>
              </w:rPr>
            </w:pPr>
          </w:p>
        </w:tc>
        <w:tc>
          <w:tcPr>
            <w:tcW w:w="396" w:type="pct"/>
            <w:tcBorders>
              <w:bottom w:val="single" w:color="auto" w:sz="12" w:space="0"/>
            </w:tcBorders>
            <w:vAlign w:val="center"/>
          </w:tcPr>
          <w:p w14:paraId="7C6C8963">
            <w:pPr>
              <w:jc w:val="center"/>
              <w:rPr>
                <w:rFonts w:cs="宋体"/>
                <w:color w:val="auto"/>
                <w:szCs w:val="21"/>
                <w:highlight w:val="none"/>
              </w:rPr>
            </w:pPr>
          </w:p>
        </w:tc>
        <w:tc>
          <w:tcPr>
            <w:tcW w:w="474" w:type="pct"/>
            <w:tcBorders>
              <w:bottom w:val="single" w:color="auto" w:sz="12" w:space="0"/>
            </w:tcBorders>
            <w:vAlign w:val="center"/>
          </w:tcPr>
          <w:p w14:paraId="4234BBD0">
            <w:pPr>
              <w:jc w:val="center"/>
              <w:rPr>
                <w:rFonts w:cs="宋体"/>
                <w:color w:val="auto"/>
                <w:szCs w:val="21"/>
                <w:highlight w:val="none"/>
              </w:rPr>
            </w:pPr>
          </w:p>
        </w:tc>
        <w:tc>
          <w:tcPr>
            <w:tcW w:w="537" w:type="pct"/>
            <w:tcBorders>
              <w:bottom w:val="single" w:color="auto" w:sz="12" w:space="0"/>
            </w:tcBorders>
            <w:vAlign w:val="center"/>
          </w:tcPr>
          <w:p w14:paraId="2419101B">
            <w:pPr>
              <w:jc w:val="center"/>
              <w:rPr>
                <w:rFonts w:cs="宋体"/>
                <w:color w:val="auto"/>
                <w:szCs w:val="21"/>
                <w:highlight w:val="none"/>
              </w:rPr>
            </w:pPr>
          </w:p>
        </w:tc>
        <w:tc>
          <w:tcPr>
            <w:tcW w:w="827" w:type="pct"/>
            <w:tcBorders>
              <w:bottom w:val="single" w:color="auto" w:sz="12" w:space="0"/>
            </w:tcBorders>
            <w:vAlign w:val="center"/>
          </w:tcPr>
          <w:p w14:paraId="37E4D7C6">
            <w:pPr>
              <w:jc w:val="center"/>
              <w:rPr>
                <w:rFonts w:cs="宋体"/>
                <w:color w:val="auto"/>
                <w:szCs w:val="21"/>
                <w:highlight w:val="none"/>
              </w:rPr>
            </w:pPr>
          </w:p>
        </w:tc>
        <w:tc>
          <w:tcPr>
            <w:tcW w:w="569" w:type="pct"/>
            <w:tcBorders>
              <w:bottom w:val="single" w:color="auto" w:sz="12" w:space="0"/>
            </w:tcBorders>
            <w:vAlign w:val="center"/>
          </w:tcPr>
          <w:p w14:paraId="11F2D6EF">
            <w:pPr>
              <w:jc w:val="center"/>
              <w:rPr>
                <w:rFonts w:cs="宋体"/>
                <w:color w:val="auto"/>
                <w:szCs w:val="21"/>
                <w:highlight w:val="none"/>
              </w:rPr>
            </w:pPr>
          </w:p>
        </w:tc>
        <w:tc>
          <w:tcPr>
            <w:tcW w:w="519" w:type="pct"/>
            <w:tcBorders>
              <w:bottom w:val="single" w:color="auto" w:sz="12" w:space="0"/>
            </w:tcBorders>
            <w:vAlign w:val="center"/>
          </w:tcPr>
          <w:p w14:paraId="0AEB8917">
            <w:pPr>
              <w:jc w:val="center"/>
              <w:rPr>
                <w:rFonts w:cs="宋体"/>
                <w:color w:val="auto"/>
                <w:szCs w:val="21"/>
                <w:highlight w:val="none"/>
              </w:rPr>
            </w:pPr>
          </w:p>
        </w:tc>
      </w:tr>
    </w:tbl>
    <w:p w14:paraId="78BF3D10">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1" w:name="_Toc128950241"/>
      <w:r>
        <w:rPr>
          <w:rFonts w:hint="eastAsia" w:ascii="Times New Roman" w:eastAsia="黑体"/>
          <w:color w:val="auto"/>
          <w:szCs w:val="24"/>
          <w:highlight w:val="none"/>
        </w:rPr>
        <w:t>附</w:t>
      </w:r>
      <w:bookmarkStart w:id="622" w:name="_Toc296347227"/>
      <w:bookmarkStart w:id="623" w:name="_Toc296503228"/>
      <w:bookmarkStart w:id="624" w:name="_Toc296891268"/>
      <w:bookmarkStart w:id="625" w:name="_Toc267261699"/>
      <w:bookmarkStart w:id="626" w:name="_Toc296944567"/>
      <w:bookmarkStart w:id="627" w:name="_Toc296346729"/>
      <w:bookmarkStart w:id="628" w:name="_Toc296891056"/>
      <w:r>
        <w:rPr>
          <w:rFonts w:hint="eastAsia" w:ascii="Times New Roman" w:eastAsia="黑体"/>
          <w:color w:val="auto"/>
          <w:szCs w:val="24"/>
          <w:highlight w:val="none"/>
        </w:rPr>
        <w:t>件</w:t>
      </w:r>
      <w:bookmarkEnd w:id="622"/>
      <w:bookmarkEnd w:id="623"/>
      <w:bookmarkEnd w:id="624"/>
      <w:bookmarkEnd w:id="625"/>
      <w:bookmarkEnd w:id="626"/>
      <w:bookmarkEnd w:id="627"/>
      <w:bookmarkEnd w:id="628"/>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21"/>
    </w:p>
    <w:p w14:paraId="3A2B35A4">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8043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5EA66760">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9C822E2">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2B4E4270">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693F60">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57F14844">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4970DAD">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8378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3B01442">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A60904E">
            <w:pPr>
              <w:keepNext/>
              <w:spacing w:line="360" w:lineRule="auto"/>
              <w:jc w:val="center"/>
              <w:rPr>
                <w:rFonts w:cs="宋体"/>
                <w:color w:val="auto"/>
                <w:szCs w:val="21"/>
                <w:highlight w:val="none"/>
              </w:rPr>
            </w:pPr>
          </w:p>
        </w:tc>
      </w:tr>
      <w:tr w14:paraId="6699B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2CE45A7C">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6AF4F0BC">
            <w:pPr>
              <w:keepNext/>
              <w:spacing w:line="360" w:lineRule="auto"/>
              <w:jc w:val="center"/>
              <w:rPr>
                <w:rFonts w:cs="宋体"/>
                <w:color w:val="auto"/>
                <w:szCs w:val="21"/>
                <w:highlight w:val="none"/>
              </w:rPr>
            </w:pPr>
          </w:p>
        </w:tc>
        <w:tc>
          <w:tcPr>
            <w:tcW w:w="502" w:type="pct"/>
            <w:tcBorders>
              <w:top w:val="nil"/>
            </w:tcBorders>
            <w:vAlign w:val="center"/>
          </w:tcPr>
          <w:p w14:paraId="4EB5A1F6">
            <w:pPr>
              <w:keepNext/>
              <w:spacing w:line="360" w:lineRule="auto"/>
              <w:jc w:val="center"/>
              <w:rPr>
                <w:rFonts w:cs="宋体"/>
                <w:color w:val="auto"/>
                <w:szCs w:val="21"/>
                <w:highlight w:val="none"/>
              </w:rPr>
            </w:pPr>
          </w:p>
        </w:tc>
        <w:tc>
          <w:tcPr>
            <w:tcW w:w="502" w:type="pct"/>
            <w:tcBorders>
              <w:top w:val="nil"/>
            </w:tcBorders>
            <w:vAlign w:val="center"/>
          </w:tcPr>
          <w:p w14:paraId="4E835071">
            <w:pPr>
              <w:keepNext/>
              <w:spacing w:line="360" w:lineRule="auto"/>
              <w:jc w:val="center"/>
              <w:rPr>
                <w:rFonts w:cs="宋体"/>
                <w:color w:val="auto"/>
                <w:szCs w:val="21"/>
                <w:highlight w:val="none"/>
              </w:rPr>
            </w:pPr>
          </w:p>
        </w:tc>
        <w:tc>
          <w:tcPr>
            <w:tcW w:w="1281" w:type="pct"/>
            <w:tcBorders>
              <w:top w:val="nil"/>
            </w:tcBorders>
            <w:vAlign w:val="center"/>
          </w:tcPr>
          <w:p w14:paraId="2DAD74D6">
            <w:pPr>
              <w:keepNext/>
              <w:spacing w:line="360" w:lineRule="auto"/>
              <w:jc w:val="center"/>
              <w:rPr>
                <w:rFonts w:cs="宋体"/>
                <w:color w:val="auto"/>
                <w:szCs w:val="21"/>
                <w:highlight w:val="none"/>
              </w:rPr>
            </w:pPr>
          </w:p>
        </w:tc>
        <w:tc>
          <w:tcPr>
            <w:tcW w:w="1151" w:type="pct"/>
            <w:tcBorders>
              <w:top w:val="nil"/>
            </w:tcBorders>
            <w:vAlign w:val="center"/>
          </w:tcPr>
          <w:p w14:paraId="115DD154">
            <w:pPr>
              <w:keepNext/>
              <w:spacing w:line="360" w:lineRule="auto"/>
              <w:jc w:val="center"/>
              <w:rPr>
                <w:rFonts w:cs="宋体"/>
                <w:color w:val="auto"/>
                <w:szCs w:val="21"/>
                <w:highlight w:val="none"/>
              </w:rPr>
            </w:pPr>
          </w:p>
        </w:tc>
      </w:tr>
      <w:tr w14:paraId="0283E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7B0031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9C59DE3">
            <w:pPr>
              <w:keepNext/>
              <w:spacing w:line="360" w:lineRule="auto"/>
              <w:jc w:val="center"/>
              <w:rPr>
                <w:rFonts w:cs="宋体"/>
                <w:color w:val="auto"/>
                <w:szCs w:val="21"/>
                <w:highlight w:val="none"/>
              </w:rPr>
            </w:pPr>
          </w:p>
        </w:tc>
        <w:tc>
          <w:tcPr>
            <w:tcW w:w="502" w:type="pct"/>
            <w:vAlign w:val="center"/>
          </w:tcPr>
          <w:p w14:paraId="1442F977">
            <w:pPr>
              <w:keepNext/>
              <w:spacing w:line="360" w:lineRule="auto"/>
              <w:jc w:val="center"/>
              <w:rPr>
                <w:rFonts w:cs="宋体"/>
                <w:color w:val="auto"/>
                <w:szCs w:val="21"/>
                <w:highlight w:val="none"/>
              </w:rPr>
            </w:pPr>
          </w:p>
        </w:tc>
        <w:tc>
          <w:tcPr>
            <w:tcW w:w="502" w:type="pct"/>
            <w:vAlign w:val="center"/>
          </w:tcPr>
          <w:p w14:paraId="1F13BCC4">
            <w:pPr>
              <w:keepNext/>
              <w:spacing w:line="360" w:lineRule="auto"/>
              <w:jc w:val="center"/>
              <w:rPr>
                <w:rFonts w:cs="宋体"/>
                <w:color w:val="auto"/>
                <w:szCs w:val="21"/>
                <w:highlight w:val="none"/>
              </w:rPr>
            </w:pPr>
          </w:p>
        </w:tc>
        <w:tc>
          <w:tcPr>
            <w:tcW w:w="1281" w:type="pct"/>
            <w:vAlign w:val="center"/>
          </w:tcPr>
          <w:p w14:paraId="609A2DF1">
            <w:pPr>
              <w:keepNext/>
              <w:spacing w:line="360" w:lineRule="auto"/>
              <w:jc w:val="center"/>
              <w:rPr>
                <w:rFonts w:cs="宋体"/>
                <w:color w:val="auto"/>
                <w:szCs w:val="21"/>
                <w:highlight w:val="none"/>
              </w:rPr>
            </w:pPr>
          </w:p>
        </w:tc>
        <w:tc>
          <w:tcPr>
            <w:tcW w:w="1151" w:type="pct"/>
            <w:vAlign w:val="center"/>
          </w:tcPr>
          <w:p w14:paraId="163DB7E7">
            <w:pPr>
              <w:keepNext/>
              <w:spacing w:line="360" w:lineRule="auto"/>
              <w:jc w:val="center"/>
              <w:rPr>
                <w:rFonts w:cs="宋体"/>
                <w:color w:val="auto"/>
                <w:szCs w:val="21"/>
                <w:highlight w:val="none"/>
              </w:rPr>
            </w:pPr>
          </w:p>
        </w:tc>
      </w:tr>
      <w:tr w14:paraId="32C45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06D71DE">
            <w:pPr>
              <w:spacing w:line="360" w:lineRule="auto"/>
              <w:jc w:val="center"/>
              <w:rPr>
                <w:rFonts w:cs="宋体"/>
                <w:color w:val="auto"/>
                <w:szCs w:val="21"/>
                <w:highlight w:val="none"/>
              </w:rPr>
            </w:pPr>
          </w:p>
        </w:tc>
        <w:tc>
          <w:tcPr>
            <w:tcW w:w="627" w:type="pct"/>
            <w:vAlign w:val="center"/>
          </w:tcPr>
          <w:p w14:paraId="41D7A365">
            <w:pPr>
              <w:keepNext/>
              <w:spacing w:line="360" w:lineRule="auto"/>
              <w:jc w:val="center"/>
              <w:rPr>
                <w:rFonts w:cs="宋体"/>
                <w:color w:val="auto"/>
                <w:szCs w:val="21"/>
                <w:highlight w:val="none"/>
              </w:rPr>
            </w:pPr>
          </w:p>
        </w:tc>
        <w:tc>
          <w:tcPr>
            <w:tcW w:w="502" w:type="pct"/>
            <w:vAlign w:val="center"/>
          </w:tcPr>
          <w:p w14:paraId="43BF31B3">
            <w:pPr>
              <w:keepNext/>
              <w:spacing w:line="360" w:lineRule="auto"/>
              <w:jc w:val="center"/>
              <w:rPr>
                <w:rFonts w:cs="宋体"/>
                <w:color w:val="auto"/>
                <w:szCs w:val="21"/>
                <w:highlight w:val="none"/>
              </w:rPr>
            </w:pPr>
          </w:p>
        </w:tc>
        <w:tc>
          <w:tcPr>
            <w:tcW w:w="502" w:type="pct"/>
            <w:vAlign w:val="center"/>
          </w:tcPr>
          <w:p w14:paraId="38E2A69D">
            <w:pPr>
              <w:keepNext/>
              <w:spacing w:line="360" w:lineRule="auto"/>
              <w:jc w:val="center"/>
              <w:rPr>
                <w:rFonts w:cs="宋体"/>
                <w:color w:val="auto"/>
                <w:szCs w:val="21"/>
                <w:highlight w:val="none"/>
              </w:rPr>
            </w:pPr>
          </w:p>
        </w:tc>
        <w:tc>
          <w:tcPr>
            <w:tcW w:w="1281" w:type="pct"/>
            <w:vAlign w:val="center"/>
          </w:tcPr>
          <w:p w14:paraId="03900E02">
            <w:pPr>
              <w:keepNext/>
              <w:spacing w:line="360" w:lineRule="auto"/>
              <w:jc w:val="center"/>
              <w:rPr>
                <w:rFonts w:cs="宋体"/>
                <w:color w:val="auto"/>
                <w:szCs w:val="21"/>
                <w:highlight w:val="none"/>
              </w:rPr>
            </w:pPr>
          </w:p>
        </w:tc>
        <w:tc>
          <w:tcPr>
            <w:tcW w:w="1151" w:type="pct"/>
            <w:vAlign w:val="center"/>
          </w:tcPr>
          <w:p w14:paraId="5C6B9248">
            <w:pPr>
              <w:keepNext/>
              <w:spacing w:line="360" w:lineRule="auto"/>
              <w:jc w:val="center"/>
              <w:rPr>
                <w:rFonts w:cs="宋体"/>
                <w:color w:val="auto"/>
                <w:szCs w:val="21"/>
                <w:highlight w:val="none"/>
              </w:rPr>
            </w:pPr>
          </w:p>
        </w:tc>
      </w:tr>
      <w:tr w14:paraId="18592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73AC3D8">
            <w:pPr>
              <w:spacing w:line="360" w:lineRule="auto"/>
              <w:jc w:val="center"/>
              <w:rPr>
                <w:rFonts w:cs="宋体"/>
                <w:color w:val="auto"/>
                <w:szCs w:val="21"/>
                <w:highlight w:val="none"/>
              </w:rPr>
            </w:pPr>
          </w:p>
        </w:tc>
        <w:tc>
          <w:tcPr>
            <w:tcW w:w="627" w:type="pct"/>
            <w:vAlign w:val="center"/>
          </w:tcPr>
          <w:p w14:paraId="63C4069E">
            <w:pPr>
              <w:keepNext/>
              <w:spacing w:line="360" w:lineRule="auto"/>
              <w:jc w:val="center"/>
              <w:rPr>
                <w:rFonts w:cs="宋体"/>
                <w:color w:val="auto"/>
                <w:szCs w:val="21"/>
                <w:highlight w:val="none"/>
              </w:rPr>
            </w:pPr>
          </w:p>
        </w:tc>
        <w:tc>
          <w:tcPr>
            <w:tcW w:w="502" w:type="pct"/>
            <w:vAlign w:val="center"/>
          </w:tcPr>
          <w:p w14:paraId="33D2546F">
            <w:pPr>
              <w:keepNext/>
              <w:spacing w:line="360" w:lineRule="auto"/>
              <w:jc w:val="center"/>
              <w:rPr>
                <w:rFonts w:cs="宋体"/>
                <w:color w:val="auto"/>
                <w:szCs w:val="21"/>
                <w:highlight w:val="none"/>
              </w:rPr>
            </w:pPr>
          </w:p>
        </w:tc>
        <w:tc>
          <w:tcPr>
            <w:tcW w:w="502" w:type="pct"/>
            <w:vAlign w:val="center"/>
          </w:tcPr>
          <w:p w14:paraId="4406B6DE">
            <w:pPr>
              <w:keepNext/>
              <w:spacing w:line="360" w:lineRule="auto"/>
              <w:jc w:val="center"/>
              <w:rPr>
                <w:rFonts w:cs="宋体"/>
                <w:color w:val="auto"/>
                <w:szCs w:val="21"/>
                <w:highlight w:val="none"/>
              </w:rPr>
            </w:pPr>
          </w:p>
        </w:tc>
        <w:tc>
          <w:tcPr>
            <w:tcW w:w="1281" w:type="pct"/>
            <w:vAlign w:val="center"/>
          </w:tcPr>
          <w:p w14:paraId="251DE271">
            <w:pPr>
              <w:keepNext/>
              <w:spacing w:line="360" w:lineRule="auto"/>
              <w:jc w:val="center"/>
              <w:rPr>
                <w:rFonts w:cs="宋体"/>
                <w:color w:val="auto"/>
                <w:szCs w:val="21"/>
                <w:highlight w:val="none"/>
              </w:rPr>
            </w:pPr>
          </w:p>
        </w:tc>
        <w:tc>
          <w:tcPr>
            <w:tcW w:w="1151" w:type="pct"/>
            <w:vAlign w:val="center"/>
          </w:tcPr>
          <w:p w14:paraId="695B15F1">
            <w:pPr>
              <w:keepNext/>
              <w:spacing w:line="360" w:lineRule="auto"/>
              <w:jc w:val="center"/>
              <w:rPr>
                <w:rFonts w:cs="宋体"/>
                <w:color w:val="auto"/>
                <w:szCs w:val="21"/>
                <w:highlight w:val="none"/>
              </w:rPr>
            </w:pPr>
          </w:p>
        </w:tc>
      </w:tr>
      <w:tr w14:paraId="1CDA4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7D85E16">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23AC29E2">
            <w:pPr>
              <w:keepNext/>
              <w:spacing w:line="360" w:lineRule="auto"/>
              <w:jc w:val="center"/>
              <w:rPr>
                <w:rFonts w:cs="宋体"/>
                <w:color w:val="auto"/>
                <w:szCs w:val="21"/>
                <w:highlight w:val="none"/>
              </w:rPr>
            </w:pPr>
          </w:p>
        </w:tc>
      </w:tr>
      <w:tr w14:paraId="13912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9D75355">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BC32127">
            <w:pPr>
              <w:keepNext/>
              <w:spacing w:line="360" w:lineRule="auto"/>
              <w:jc w:val="center"/>
              <w:rPr>
                <w:rFonts w:cs="宋体"/>
                <w:color w:val="auto"/>
                <w:szCs w:val="21"/>
                <w:highlight w:val="none"/>
              </w:rPr>
            </w:pPr>
          </w:p>
        </w:tc>
        <w:tc>
          <w:tcPr>
            <w:tcW w:w="502" w:type="pct"/>
            <w:vAlign w:val="center"/>
          </w:tcPr>
          <w:p w14:paraId="68187047">
            <w:pPr>
              <w:keepNext/>
              <w:spacing w:line="360" w:lineRule="auto"/>
              <w:jc w:val="center"/>
              <w:rPr>
                <w:rFonts w:cs="宋体"/>
                <w:color w:val="auto"/>
                <w:szCs w:val="21"/>
                <w:highlight w:val="none"/>
              </w:rPr>
            </w:pPr>
          </w:p>
        </w:tc>
        <w:tc>
          <w:tcPr>
            <w:tcW w:w="502" w:type="pct"/>
            <w:vAlign w:val="center"/>
          </w:tcPr>
          <w:p w14:paraId="3B48EFD1">
            <w:pPr>
              <w:keepNext/>
              <w:spacing w:line="360" w:lineRule="auto"/>
              <w:jc w:val="center"/>
              <w:rPr>
                <w:rFonts w:cs="宋体"/>
                <w:color w:val="auto"/>
                <w:szCs w:val="21"/>
                <w:highlight w:val="none"/>
              </w:rPr>
            </w:pPr>
          </w:p>
        </w:tc>
        <w:tc>
          <w:tcPr>
            <w:tcW w:w="1281" w:type="pct"/>
            <w:vAlign w:val="center"/>
          </w:tcPr>
          <w:p w14:paraId="65B38251">
            <w:pPr>
              <w:keepNext/>
              <w:spacing w:line="360" w:lineRule="auto"/>
              <w:jc w:val="center"/>
              <w:rPr>
                <w:rFonts w:cs="宋体"/>
                <w:color w:val="auto"/>
                <w:szCs w:val="21"/>
                <w:highlight w:val="none"/>
              </w:rPr>
            </w:pPr>
          </w:p>
        </w:tc>
        <w:tc>
          <w:tcPr>
            <w:tcW w:w="1151" w:type="pct"/>
            <w:vAlign w:val="center"/>
          </w:tcPr>
          <w:p w14:paraId="7F9E33E5">
            <w:pPr>
              <w:keepNext/>
              <w:spacing w:line="360" w:lineRule="auto"/>
              <w:jc w:val="center"/>
              <w:rPr>
                <w:rFonts w:cs="宋体"/>
                <w:color w:val="auto"/>
                <w:szCs w:val="21"/>
                <w:highlight w:val="none"/>
              </w:rPr>
            </w:pPr>
          </w:p>
        </w:tc>
      </w:tr>
      <w:tr w14:paraId="365C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40591D6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6851E2D5">
            <w:pPr>
              <w:keepNext/>
              <w:spacing w:line="360" w:lineRule="auto"/>
              <w:jc w:val="center"/>
              <w:rPr>
                <w:rFonts w:cs="宋体"/>
                <w:color w:val="auto"/>
                <w:szCs w:val="21"/>
                <w:highlight w:val="none"/>
              </w:rPr>
            </w:pPr>
          </w:p>
        </w:tc>
        <w:tc>
          <w:tcPr>
            <w:tcW w:w="502" w:type="pct"/>
            <w:vAlign w:val="center"/>
          </w:tcPr>
          <w:p w14:paraId="4FA5CBC6">
            <w:pPr>
              <w:keepNext/>
              <w:spacing w:line="360" w:lineRule="auto"/>
              <w:jc w:val="center"/>
              <w:rPr>
                <w:rFonts w:cs="宋体"/>
                <w:color w:val="auto"/>
                <w:szCs w:val="21"/>
                <w:highlight w:val="none"/>
              </w:rPr>
            </w:pPr>
          </w:p>
        </w:tc>
        <w:tc>
          <w:tcPr>
            <w:tcW w:w="502" w:type="pct"/>
            <w:vAlign w:val="center"/>
          </w:tcPr>
          <w:p w14:paraId="339C4605">
            <w:pPr>
              <w:keepNext/>
              <w:spacing w:line="360" w:lineRule="auto"/>
              <w:jc w:val="center"/>
              <w:rPr>
                <w:rFonts w:cs="宋体"/>
                <w:color w:val="auto"/>
                <w:szCs w:val="21"/>
                <w:highlight w:val="none"/>
              </w:rPr>
            </w:pPr>
          </w:p>
        </w:tc>
        <w:tc>
          <w:tcPr>
            <w:tcW w:w="1281" w:type="pct"/>
            <w:vAlign w:val="center"/>
          </w:tcPr>
          <w:p w14:paraId="3560A7F3">
            <w:pPr>
              <w:keepNext/>
              <w:spacing w:line="360" w:lineRule="auto"/>
              <w:jc w:val="center"/>
              <w:rPr>
                <w:rFonts w:cs="宋体"/>
                <w:color w:val="auto"/>
                <w:szCs w:val="21"/>
                <w:highlight w:val="none"/>
              </w:rPr>
            </w:pPr>
          </w:p>
        </w:tc>
        <w:tc>
          <w:tcPr>
            <w:tcW w:w="1151" w:type="pct"/>
            <w:vAlign w:val="center"/>
          </w:tcPr>
          <w:p w14:paraId="115A34DF">
            <w:pPr>
              <w:keepNext/>
              <w:spacing w:line="360" w:lineRule="auto"/>
              <w:jc w:val="center"/>
              <w:rPr>
                <w:rFonts w:cs="宋体"/>
                <w:color w:val="auto"/>
                <w:szCs w:val="21"/>
                <w:highlight w:val="none"/>
              </w:rPr>
            </w:pPr>
          </w:p>
        </w:tc>
      </w:tr>
      <w:tr w14:paraId="282BF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91E53E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2B784C1C">
            <w:pPr>
              <w:keepNext/>
              <w:spacing w:line="360" w:lineRule="auto"/>
              <w:jc w:val="center"/>
              <w:rPr>
                <w:rFonts w:cs="宋体"/>
                <w:color w:val="auto"/>
                <w:szCs w:val="21"/>
                <w:highlight w:val="none"/>
              </w:rPr>
            </w:pPr>
          </w:p>
        </w:tc>
        <w:tc>
          <w:tcPr>
            <w:tcW w:w="502" w:type="pct"/>
            <w:vAlign w:val="center"/>
          </w:tcPr>
          <w:p w14:paraId="53D5DD96">
            <w:pPr>
              <w:keepNext/>
              <w:spacing w:line="360" w:lineRule="auto"/>
              <w:jc w:val="center"/>
              <w:rPr>
                <w:rFonts w:cs="宋体"/>
                <w:color w:val="auto"/>
                <w:szCs w:val="21"/>
                <w:highlight w:val="none"/>
              </w:rPr>
            </w:pPr>
          </w:p>
        </w:tc>
        <w:tc>
          <w:tcPr>
            <w:tcW w:w="502" w:type="pct"/>
            <w:vAlign w:val="center"/>
          </w:tcPr>
          <w:p w14:paraId="60CE1FA9">
            <w:pPr>
              <w:keepNext/>
              <w:spacing w:line="360" w:lineRule="auto"/>
              <w:jc w:val="center"/>
              <w:rPr>
                <w:rFonts w:cs="宋体"/>
                <w:color w:val="auto"/>
                <w:szCs w:val="21"/>
                <w:highlight w:val="none"/>
              </w:rPr>
            </w:pPr>
          </w:p>
        </w:tc>
        <w:tc>
          <w:tcPr>
            <w:tcW w:w="1281" w:type="pct"/>
            <w:vAlign w:val="center"/>
          </w:tcPr>
          <w:p w14:paraId="75A58917">
            <w:pPr>
              <w:keepNext/>
              <w:spacing w:line="360" w:lineRule="auto"/>
              <w:jc w:val="center"/>
              <w:rPr>
                <w:rFonts w:cs="宋体"/>
                <w:color w:val="auto"/>
                <w:szCs w:val="21"/>
                <w:highlight w:val="none"/>
              </w:rPr>
            </w:pPr>
          </w:p>
        </w:tc>
        <w:tc>
          <w:tcPr>
            <w:tcW w:w="1151" w:type="pct"/>
            <w:vAlign w:val="center"/>
          </w:tcPr>
          <w:p w14:paraId="62E930DE">
            <w:pPr>
              <w:keepNext/>
              <w:spacing w:line="360" w:lineRule="auto"/>
              <w:jc w:val="center"/>
              <w:rPr>
                <w:rFonts w:cs="宋体"/>
                <w:color w:val="auto"/>
                <w:szCs w:val="21"/>
                <w:highlight w:val="none"/>
              </w:rPr>
            </w:pPr>
          </w:p>
        </w:tc>
      </w:tr>
      <w:tr w14:paraId="66EF7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D11567D">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ACAE46">
            <w:pPr>
              <w:keepNext/>
              <w:spacing w:line="360" w:lineRule="auto"/>
              <w:jc w:val="center"/>
              <w:rPr>
                <w:rFonts w:cs="宋体"/>
                <w:color w:val="auto"/>
                <w:szCs w:val="21"/>
                <w:highlight w:val="none"/>
              </w:rPr>
            </w:pPr>
          </w:p>
        </w:tc>
        <w:tc>
          <w:tcPr>
            <w:tcW w:w="502" w:type="pct"/>
            <w:vAlign w:val="center"/>
          </w:tcPr>
          <w:p w14:paraId="4A56861D">
            <w:pPr>
              <w:keepNext/>
              <w:spacing w:line="360" w:lineRule="auto"/>
              <w:jc w:val="center"/>
              <w:rPr>
                <w:rFonts w:cs="宋体"/>
                <w:color w:val="auto"/>
                <w:szCs w:val="21"/>
                <w:highlight w:val="none"/>
              </w:rPr>
            </w:pPr>
          </w:p>
        </w:tc>
        <w:tc>
          <w:tcPr>
            <w:tcW w:w="502" w:type="pct"/>
            <w:vAlign w:val="center"/>
          </w:tcPr>
          <w:p w14:paraId="5BA66682">
            <w:pPr>
              <w:keepNext/>
              <w:spacing w:line="360" w:lineRule="auto"/>
              <w:jc w:val="center"/>
              <w:rPr>
                <w:rFonts w:cs="宋体"/>
                <w:color w:val="auto"/>
                <w:szCs w:val="21"/>
                <w:highlight w:val="none"/>
              </w:rPr>
            </w:pPr>
          </w:p>
        </w:tc>
        <w:tc>
          <w:tcPr>
            <w:tcW w:w="1281" w:type="pct"/>
            <w:vAlign w:val="center"/>
          </w:tcPr>
          <w:p w14:paraId="27475D52">
            <w:pPr>
              <w:keepNext/>
              <w:spacing w:line="360" w:lineRule="auto"/>
              <w:jc w:val="center"/>
              <w:rPr>
                <w:rFonts w:cs="宋体"/>
                <w:color w:val="auto"/>
                <w:szCs w:val="21"/>
                <w:highlight w:val="none"/>
              </w:rPr>
            </w:pPr>
          </w:p>
        </w:tc>
        <w:tc>
          <w:tcPr>
            <w:tcW w:w="1151" w:type="pct"/>
            <w:vAlign w:val="center"/>
          </w:tcPr>
          <w:p w14:paraId="78A5A5A8">
            <w:pPr>
              <w:keepNext/>
              <w:spacing w:line="360" w:lineRule="auto"/>
              <w:jc w:val="center"/>
              <w:rPr>
                <w:rFonts w:cs="宋体"/>
                <w:color w:val="auto"/>
                <w:szCs w:val="21"/>
                <w:highlight w:val="none"/>
              </w:rPr>
            </w:pPr>
          </w:p>
        </w:tc>
      </w:tr>
      <w:tr w14:paraId="4A8E3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671B3FE">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3EA14722">
            <w:pPr>
              <w:keepNext/>
              <w:spacing w:line="360" w:lineRule="auto"/>
              <w:jc w:val="center"/>
              <w:rPr>
                <w:rFonts w:cs="宋体"/>
                <w:color w:val="auto"/>
                <w:szCs w:val="21"/>
                <w:highlight w:val="none"/>
              </w:rPr>
            </w:pPr>
          </w:p>
        </w:tc>
        <w:tc>
          <w:tcPr>
            <w:tcW w:w="502" w:type="pct"/>
            <w:vAlign w:val="center"/>
          </w:tcPr>
          <w:p w14:paraId="7991E474">
            <w:pPr>
              <w:keepNext/>
              <w:spacing w:line="360" w:lineRule="auto"/>
              <w:jc w:val="center"/>
              <w:rPr>
                <w:rFonts w:cs="宋体"/>
                <w:color w:val="auto"/>
                <w:szCs w:val="21"/>
                <w:highlight w:val="none"/>
              </w:rPr>
            </w:pPr>
          </w:p>
        </w:tc>
        <w:tc>
          <w:tcPr>
            <w:tcW w:w="502" w:type="pct"/>
            <w:vAlign w:val="center"/>
          </w:tcPr>
          <w:p w14:paraId="15DDEA63">
            <w:pPr>
              <w:keepNext/>
              <w:spacing w:line="360" w:lineRule="auto"/>
              <w:jc w:val="center"/>
              <w:rPr>
                <w:rFonts w:cs="宋体"/>
                <w:color w:val="auto"/>
                <w:szCs w:val="21"/>
                <w:highlight w:val="none"/>
              </w:rPr>
            </w:pPr>
          </w:p>
        </w:tc>
        <w:tc>
          <w:tcPr>
            <w:tcW w:w="1281" w:type="pct"/>
            <w:vAlign w:val="center"/>
          </w:tcPr>
          <w:p w14:paraId="5443E1DE">
            <w:pPr>
              <w:keepNext/>
              <w:spacing w:line="360" w:lineRule="auto"/>
              <w:jc w:val="center"/>
              <w:rPr>
                <w:rFonts w:cs="宋体"/>
                <w:color w:val="auto"/>
                <w:szCs w:val="21"/>
                <w:highlight w:val="none"/>
              </w:rPr>
            </w:pPr>
          </w:p>
        </w:tc>
        <w:tc>
          <w:tcPr>
            <w:tcW w:w="1151" w:type="pct"/>
            <w:vAlign w:val="center"/>
          </w:tcPr>
          <w:p w14:paraId="1FEA55E6">
            <w:pPr>
              <w:keepNext/>
              <w:spacing w:line="360" w:lineRule="auto"/>
              <w:jc w:val="center"/>
              <w:rPr>
                <w:rFonts w:cs="宋体"/>
                <w:color w:val="auto"/>
                <w:szCs w:val="21"/>
                <w:highlight w:val="none"/>
              </w:rPr>
            </w:pPr>
          </w:p>
        </w:tc>
      </w:tr>
      <w:tr w14:paraId="6F5A3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A3F1700">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7B2E6EA">
            <w:pPr>
              <w:keepNext/>
              <w:spacing w:line="360" w:lineRule="auto"/>
              <w:jc w:val="center"/>
              <w:rPr>
                <w:rFonts w:cs="宋体"/>
                <w:color w:val="auto"/>
                <w:szCs w:val="21"/>
                <w:highlight w:val="none"/>
              </w:rPr>
            </w:pPr>
          </w:p>
        </w:tc>
        <w:tc>
          <w:tcPr>
            <w:tcW w:w="502" w:type="pct"/>
            <w:vAlign w:val="center"/>
          </w:tcPr>
          <w:p w14:paraId="5BB6BA24">
            <w:pPr>
              <w:keepNext/>
              <w:spacing w:line="360" w:lineRule="auto"/>
              <w:jc w:val="center"/>
              <w:rPr>
                <w:rFonts w:cs="宋体"/>
                <w:color w:val="auto"/>
                <w:szCs w:val="21"/>
                <w:highlight w:val="none"/>
              </w:rPr>
            </w:pPr>
          </w:p>
        </w:tc>
        <w:tc>
          <w:tcPr>
            <w:tcW w:w="502" w:type="pct"/>
            <w:vAlign w:val="center"/>
          </w:tcPr>
          <w:p w14:paraId="045F7D93">
            <w:pPr>
              <w:keepNext/>
              <w:spacing w:line="360" w:lineRule="auto"/>
              <w:jc w:val="center"/>
              <w:rPr>
                <w:rFonts w:cs="宋体"/>
                <w:color w:val="auto"/>
                <w:szCs w:val="21"/>
                <w:highlight w:val="none"/>
              </w:rPr>
            </w:pPr>
          </w:p>
        </w:tc>
        <w:tc>
          <w:tcPr>
            <w:tcW w:w="1281" w:type="pct"/>
            <w:vAlign w:val="center"/>
          </w:tcPr>
          <w:p w14:paraId="5D604475">
            <w:pPr>
              <w:keepNext/>
              <w:spacing w:line="360" w:lineRule="auto"/>
              <w:jc w:val="center"/>
              <w:rPr>
                <w:rFonts w:cs="宋体"/>
                <w:color w:val="auto"/>
                <w:szCs w:val="21"/>
                <w:highlight w:val="none"/>
              </w:rPr>
            </w:pPr>
          </w:p>
        </w:tc>
        <w:tc>
          <w:tcPr>
            <w:tcW w:w="1151" w:type="pct"/>
            <w:vAlign w:val="center"/>
          </w:tcPr>
          <w:p w14:paraId="5B89AD7C">
            <w:pPr>
              <w:keepNext/>
              <w:spacing w:line="360" w:lineRule="auto"/>
              <w:jc w:val="center"/>
              <w:rPr>
                <w:rFonts w:cs="宋体"/>
                <w:color w:val="auto"/>
                <w:szCs w:val="21"/>
                <w:highlight w:val="none"/>
              </w:rPr>
            </w:pPr>
          </w:p>
        </w:tc>
      </w:tr>
      <w:tr w14:paraId="59D03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F16040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46016661">
            <w:pPr>
              <w:keepNext/>
              <w:spacing w:line="360" w:lineRule="auto"/>
              <w:jc w:val="center"/>
              <w:rPr>
                <w:rFonts w:cs="宋体"/>
                <w:color w:val="auto"/>
                <w:szCs w:val="21"/>
                <w:highlight w:val="none"/>
              </w:rPr>
            </w:pPr>
          </w:p>
        </w:tc>
        <w:tc>
          <w:tcPr>
            <w:tcW w:w="502" w:type="pct"/>
            <w:vAlign w:val="center"/>
          </w:tcPr>
          <w:p w14:paraId="3C2C6DA1">
            <w:pPr>
              <w:keepNext/>
              <w:spacing w:line="360" w:lineRule="auto"/>
              <w:jc w:val="center"/>
              <w:rPr>
                <w:rFonts w:cs="宋体"/>
                <w:color w:val="auto"/>
                <w:szCs w:val="21"/>
                <w:highlight w:val="none"/>
              </w:rPr>
            </w:pPr>
          </w:p>
        </w:tc>
        <w:tc>
          <w:tcPr>
            <w:tcW w:w="502" w:type="pct"/>
            <w:vAlign w:val="center"/>
          </w:tcPr>
          <w:p w14:paraId="2B82ACDE">
            <w:pPr>
              <w:keepNext/>
              <w:spacing w:line="360" w:lineRule="auto"/>
              <w:jc w:val="center"/>
              <w:rPr>
                <w:rFonts w:cs="宋体"/>
                <w:color w:val="auto"/>
                <w:szCs w:val="21"/>
                <w:highlight w:val="none"/>
              </w:rPr>
            </w:pPr>
          </w:p>
        </w:tc>
        <w:tc>
          <w:tcPr>
            <w:tcW w:w="1281" w:type="pct"/>
            <w:vAlign w:val="center"/>
          </w:tcPr>
          <w:p w14:paraId="6D462441">
            <w:pPr>
              <w:keepNext/>
              <w:spacing w:line="360" w:lineRule="auto"/>
              <w:jc w:val="center"/>
              <w:rPr>
                <w:rFonts w:cs="宋体"/>
                <w:color w:val="auto"/>
                <w:szCs w:val="21"/>
                <w:highlight w:val="none"/>
              </w:rPr>
            </w:pPr>
          </w:p>
        </w:tc>
        <w:tc>
          <w:tcPr>
            <w:tcW w:w="1151" w:type="pct"/>
            <w:vAlign w:val="center"/>
          </w:tcPr>
          <w:p w14:paraId="6C5C253E">
            <w:pPr>
              <w:keepNext/>
              <w:spacing w:line="360" w:lineRule="auto"/>
              <w:jc w:val="center"/>
              <w:rPr>
                <w:rFonts w:cs="宋体"/>
                <w:color w:val="auto"/>
                <w:szCs w:val="21"/>
                <w:highlight w:val="none"/>
              </w:rPr>
            </w:pPr>
          </w:p>
        </w:tc>
      </w:tr>
      <w:tr w14:paraId="1C074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243E5E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CF35227">
            <w:pPr>
              <w:keepNext/>
              <w:spacing w:line="360" w:lineRule="auto"/>
              <w:jc w:val="center"/>
              <w:rPr>
                <w:rFonts w:cs="宋体"/>
                <w:color w:val="auto"/>
                <w:szCs w:val="21"/>
                <w:highlight w:val="none"/>
              </w:rPr>
            </w:pPr>
          </w:p>
        </w:tc>
        <w:tc>
          <w:tcPr>
            <w:tcW w:w="502" w:type="pct"/>
            <w:vAlign w:val="center"/>
          </w:tcPr>
          <w:p w14:paraId="59FBD42A">
            <w:pPr>
              <w:keepNext/>
              <w:spacing w:line="360" w:lineRule="auto"/>
              <w:jc w:val="center"/>
              <w:rPr>
                <w:rFonts w:cs="宋体"/>
                <w:color w:val="auto"/>
                <w:szCs w:val="21"/>
                <w:highlight w:val="none"/>
              </w:rPr>
            </w:pPr>
          </w:p>
        </w:tc>
        <w:tc>
          <w:tcPr>
            <w:tcW w:w="502" w:type="pct"/>
            <w:vAlign w:val="center"/>
          </w:tcPr>
          <w:p w14:paraId="47297A88">
            <w:pPr>
              <w:keepNext/>
              <w:spacing w:line="360" w:lineRule="auto"/>
              <w:jc w:val="center"/>
              <w:rPr>
                <w:rFonts w:cs="宋体"/>
                <w:color w:val="auto"/>
                <w:szCs w:val="21"/>
                <w:highlight w:val="none"/>
              </w:rPr>
            </w:pPr>
          </w:p>
        </w:tc>
        <w:tc>
          <w:tcPr>
            <w:tcW w:w="1281" w:type="pct"/>
            <w:vAlign w:val="center"/>
          </w:tcPr>
          <w:p w14:paraId="53CA1905">
            <w:pPr>
              <w:keepNext/>
              <w:spacing w:line="360" w:lineRule="auto"/>
              <w:jc w:val="center"/>
              <w:rPr>
                <w:rFonts w:cs="宋体"/>
                <w:color w:val="auto"/>
                <w:szCs w:val="21"/>
                <w:highlight w:val="none"/>
              </w:rPr>
            </w:pPr>
          </w:p>
        </w:tc>
        <w:tc>
          <w:tcPr>
            <w:tcW w:w="1151" w:type="pct"/>
            <w:vAlign w:val="center"/>
          </w:tcPr>
          <w:p w14:paraId="3E00C5E8">
            <w:pPr>
              <w:keepNext/>
              <w:spacing w:line="360" w:lineRule="auto"/>
              <w:jc w:val="center"/>
              <w:rPr>
                <w:rFonts w:cs="宋体"/>
                <w:color w:val="auto"/>
                <w:szCs w:val="21"/>
                <w:highlight w:val="none"/>
              </w:rPr>
            </w:pPr>
          </w:p>
        </w:tc>
      </w:tr>
      <w:tr w14:paraId="1B71F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F4A3AA7">
            <w:pPr>
              <w:keepNext/>
              <w:spacing w:line="360" w:lineRule="auto"/>
              <w:jc w:val="center"/>
              <w:rPr>
                <w:rFonts w:cs="宋体"/>
                <w:color w:val="auto"/>
                <w:szCs w:val="21"/>
                <w:highlight w:val="none"/>
              </w:rPr>
            </w:pPr>
          </w:p>
        </w:tc>
        <w:tc>
          <w:tcPr>
            <w:tcW w:w="627" w:type="pct"/>
            <w:tcBorders>
              <w:bottom w:val="nil"/>
            </w:tcBorders>
            <w:vAlign w:val="center"/>
          </w:tcPr>
          <w:p w14:paraId="50E2CC1D">
            <w:pPr>
              <w:keepNext/>
              <w:spacing w:line="360" w:lineRule="auto"/>
              <w:jc w:val="center"/>
              <w:rPr>
                <w:rFonts w:cs="宋体"/>
                <w:color w:val="auto"/>
                <w:szCs w:val="21"/>
                <w:highlight w:val="none"/>
              </w:rPr>
            </w:pPr>
          </w:p>
        </w:tc>
        <w:tc>
          <w:tcPr>
            <w:tcW w:w="502" w:type="pct"/>
            <w:tcBorders>
              <w:bottom w:val="nil"/>
            </w:tcBorders>
            <w:vAlign w:val="center"/>
          </w:tcPr>
          <w:p w14:paraId="01FA3F8C">
            <w:pPr>
              <w:keepNext/>
              <w:spacing w:line="360" w:lineRule="auto"/>
              <w:jc w:val="center"/>
              <w:rPr>
                <w:rFonts w:cs="宋体"/>
                <w:color w:val="auto"/>
                <w:szCs w:val="21"/>
                <w:highlight w:val="none"/>
              </w:rPr>
            </w:pPr>
          </w:p>
        </w:tc>
        <w:tc>
          <w:tcPr>
            <w:tcW w:w="502" w:type="pct"/>
            <w:tcBorders>
              <w:bottom w:val="nil"/>
            </w:tcBorders>
            <w:vAlign w:val="center"/>
          </w:tcPr>
          <w:p w14:paraId="4C826029">
            <w:pPr>
              <w:keepNext/>
              <w:spacing w:line="360" w:lineRule="auto"/>
              <w:jc w:val="center"/>
              <w:rPr>
                <w:rFonts w:cs="宋体"/>
                <w:color w:val="auto"/>
                <w:szCs w:val="21"/>
                <w:highlight w:val="none"/>
              </w:rPr>
            </w:pPr>
          </w:p>
        </w:tc>
        <w:tc>
          <w:tcPr>
            <w:tcW w:w="1281" w:type="pct"/>
            <w:tcBorders>
              <w:bottom w:val="nil"/>
            </w:tcBorders>
            <w:vAlign w:val="center"/>
          </w:tcPr>
          <w:p w14:paraId="44095C5C">
            <w:pPr>
              <w:keepNext/>
              <w:spacing w:line="360" w:lineRule="auto"/>
              <w:jc w:val="center"/>
              <w:rPr>
                <w:rFonts w:cs="宋体"/>
                <w:color w:val="auto"/>
                <w:szCs w:val="21"/>
                <w:highlight w:val="none"/>
              </w:rPr>
            </w:pPr>
          </w:p>
        </w:tc>
        <w:tc>
          <w:tcPr>
            <w:tcW w:w="1151" w:type="pct"/>
            <w:tcBorders>
              <w:bottom w:val="nil"/>
            </w:tcBorders>
            <w:vAlign w:val="center"/>
          </w:tcPr>
          <w:p w14:paraId="38975903">
            <w:pPr>
              <w:keepNext/>
              <w:spacing w:line="360" w:lineRule="auto"/>
              <w:jc w:val="center"/>
              <w:rPr>
                <w:rFonts w:cs="宋体"/>
                <w:color w:val="auto"/>
                <w:szCs w:val="21"/>
                <w:highlight w:val="none"/>
              </w:rPr>
            </w:pPr>
          </w:p>
        </w:tc>
      </w:tr>
      <w:tr w14:paraId="3AF0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66EE225">
            <w:pPr>
              <w:keepNext/>
              <w:spacing w:line="360" w:lineRule="auto"/>
              <w:jc w:val="center"/>
              <w:rPr>
                <w:rFonts w:cs="宋体"/>
                <w:color w:val="auto"/>
                <w:szCs w:val="21"/>
                <w:highlight w:val="none"/>
              </w:rPr>
            </w:pPr>
          </w:p>
        </w:tc>
        <w:tc>
          <w:tcPr>
            <w:tcW w:w="627" w:type="pct"/>
            <w:vAlign w:val="center"/>
          </w:tcPr>
          <w:p w14:paraId="7E53D62B">
            <w:pPr>
              <w:keepNext/>
              <w:spacing w:line="360" w:lineRule="auto"/>
              <w:jc w:val="center"/>
              <w:rPr>
                <w:rFonts w:cs="宋体"/>
                <w:color w:val="auto"/>
                <w:szCs w:val="21"/>
                <w:highlight w:val="none"/>
              </w:rPr>
            </w:pPr>
          </w:p>
        </w:tc>
        <w:tc>
          <w:tcPr>
            <w:tcW w:w="502" w:type="pct"/>
            <w:vAlign w:val="center"/>
          </w:tcPr>
          <w:p w14:paraId="79E184F5">
            <w:pPr>
              <w:keepNext/>
              <w:spacing w:line="360" w:lineRule="auto"/>
              <w:jc w:val="center"/>
              <w:rPr>
                <w:rFonts w:cs="宋体"/>
                <w:color w:val="auto"/>
                <w:szCs w:val="21"/>
                <w:highlight w:val="none"/>
              </w:rPr>
            </w:pPr>
          </w:p>
        </w:tc>
        <w:tc>
          <w:tcPr>
            <w:tcW w:w="502" w:type="pct"/>
            <w:vAlign w:val="center"/>
          </w:tcPr>
          <w:p w14:paraId="27BB6868">
            <w:pPr>
              <w:keepNext/>
              <w:spacing w:line="360" w:lineRule="auto"/>
              <w:jc w:val="center"/>
              <w:rPr>
                <w:rFonts w:cs="宋体"/>
                <w:color w:val="auto"/>
                <w:szCs w:val="21"/>
                <w:highlight w:val="none"/>
              </w:rPr>
            </w:pPr>
          </w:p>
        </w:tc>
        <w:tc>
          <w:tcPr>
            <w:tcW w:w="1281" w:type="pct"/>
            <w:vAlign w:val="center"/>
          </w:tcPr>
          <w:p w14:paraId="67ADA05D">
            <w:pPr>
              <w:keepNext/>
              <w:spacing w:line="360" w:lineRule="auto"/>
              <w:jc w:val="center"/>
              <w:rPr>
                <w:rFonts w:cs="宋体"/>
                <w:color w:val="auto"/>
                <w:szCs w:val="21"/>
                <w:highlight w:val="none"/>
              </w:rPr>
            </w:pPr>
          </w:p>
        </w:tc>
        <w:tc>
          <w:tcPr>
            <w:tcW w:w="1151" w:type="pct"/>
            <w:vAlign w:val="center"/>
          </w:tcPr>
          <w:p w14:paraId="5651EF82">
            <w:pPr>
              <w:keepNext/>
              <w:spacing w:line="360" w:lineRule="auto"/>
              <w:jc w:val="center"/>
              <w:rPr>
                <w:rFonts w:cs="宋体"/>
                <w:color w:val="auto"/>
                <w:szCs w:val="21"/>
                <w:highlight w:val="none"/>
              </w:rPr>
            </w:pPr>
          </w:p>
        </w:tc>
      </w:tr>
      <w:tr w14:paraId="54746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298457">
            <w:pPr>
              <w:keepNext/>
              <w:spacing w:line="360" w:lineRule="auto"/>
              <w:jc w:val="center"/>
              <w:rPr>
                <w:rFonts w:cs="宋体"/>
                <w:color w:val="auto"/>
                <w:szCs w:val="21"/>
                <w:highlight w:val="none"/>
              </w:rPr>
            </w:pPr>
          </w:p>
        </w:tc>
        <w:tc>
          <w:tcPr>
            <w:tcW w:w="627" w:type="pct"/>
            <w:vAlign w:val="center"/>
          </w:tcPr>
          <w:p w14:paraId="783890E8">
            <w:pPr>
              <w:keepNext/>
              <w:spacing w:line="360" w:lineRule="auto"/>
              <w:jc w:val="center"/>
              <w:rPr>
                <w:rFonts w:cs="宋体"/>
                <w:color w:val="auto"/>
                <w:szCs w:val="21"/>
                <w:highlight w:val="none"/>
              </w:rPr>
            </w:pPr>
          </w:p>
        </w:tc>
        <w:tc>
          <w:tcPr>
            <w:tcW w:w="502" w:type="pct"/>
            <w:vAlign w:val="center"/>
          </w:tcPr>
          <w:p w14:paraId="448EBF8E">
            <w:pPr>
              <w:keepNext/>
              <w:spacing w:line="360" w:lineRule="auto"/>
              <w:jc w:val="center"/>
              <w:rPr>
                <w:rFonts w:cs="宋体"/>
                <w:color w:val="auto"/>
                <w:szCs w:val="21"/>
                <w:highlight w:val="none"/>
              </w:rPr>
            </w:pPr>
          </w:p>
        </w:tc>
        <w:tc>
          <w:tcPr>
            <w:tcW w:w="502" w:type="pct"/>
            <w:vAlign w:val="center"/>
          </w:tcPr>
          <w:p w14:paraId="307D480E">
            <w:pPr>
              <w:keepNext/>
              <w:spacing w:line="360" w:lineRule="auto"/>
              <w:jc w:val="center"/>
              <w:rPr>
                <w:rFonts w:cs="宋体"/>
                <w:color w:val="auto"/>
                <w:szCs w:val="21"/>
                <w:highlight w:val="none"/>
              </w:rPr>
            </w:pPr>
          </w:p>
        </w:tc>
        <w:tc>
          <w:tcPr>
            <w:tcW w:w="1281" w:type="pct"/>
            <w:vAlign w:val="center"/>
          </w:tcPr>
          <w:p w14:paraId="0C8E19E5">
            <w:pPr>
              <w:keepNext/>
              <w:spacing w:line="360" w:lineRule="auto"/>
              <w:jc w:val="center"/>
              <w:rPr>
                <w:rFonts w:cs="宋体"/>
                <w:color w:val="auto"/>
                <w:szCs w:val="21"/>
                <w:highlight w:val="none"/>
              </w:rPr>
            </w:pPr>
          </w:p>
        </w:tc>
        <w:tc>
          <w:tcPr>
            <w:tcW w:w="1151" w:type="pct"/>
            <w:vAlign w:val="center"/>
          </w:tcPr>
          <w:p w14:paraId="424FFD81">
            <w:pPr>
              <w:keepNext/>
              <w:spacing w:line="360" w:lineRule="auto"/>
              <w:jc w:val="center"/>
              <w:rPr>
                <w:rFonts w:cs="宋体"/>
                <w:color w:val="auto"/>
                <w:szCs w:val="21"/>
                <w:highlight w:val="none"/>
              </w:rPr>
            </w:pPr>
          </w:p>
        </w:tc>
      </w:tr>
      <w:tr w14:paraId="635CA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70D81CB">
            <w:pPr>
              <w:keepNext/>
              <w:spacing w:line="360" w:lineRule="auto"/>
              <w:jc w:val="center"/>
              <w:rPr>
                <w:rFonts w:cs="宋体"/>
                <w:color w:val="auto"/>
                <w:szCs w:val="21"/>
                <w:highlight w:val="none"/>
              </w:rPr>
            </w:pPr>
          </w:p>
        </w:tc>
        <w:tc>
          <w:tcPr>
            <w:tcW w:w="627" w:type="pct"/>
            <w:vAlign w:val="center"/>
          </w:tcPr>
          <w:p w14:paraId="496763EB">
            <w:pPr>
              <w:keepNext/>
              <w:spacing w:line="360" w:lineRule="auto"/>
              <w:jc w:val="center"/>
              <w:rPr>
                <w:rFonts w:cs="宋体"/>
                <w:color w:val="auto"/>
                <w:szCs w:val="21"/>
                <w:highlight w:val="none"/>
              </w:rPr>
            </w:pPr>
          </w:p>
        </w:tc>
        <w:tc>
          <w:tcPr>
            <w:tcW w:w="502" w:type="pct"/>
            <w:vAlign w:val="center"/>
          </w:tcPr>
          <w:p w14:paraId="2C97360E">
            <w:pPr>
              <w:keepNext/>
              <w:spacing w:line="360" w:lineRule="auto"/>
              <w:jc w:val="center"/>
              <w:rPr>
                <w:rFonts w:cs="宋体"/>
                <w:color w:val="auto"/>
                <w:szCs w:val="21"/>
                <w:highlight w:val="none"/>
              </w:rPr>
            </w:pPr>
          </w:p>
        </w:tc>
        <w:tc>
          <w:tcPr>
            <w:tcW w:w="502" w:type="pct"/>
            <w:vAlign w:val="center"/>
          </w:tcPr>
          <w:p w14:paraId="2A3C86CA">
            <w:pPr>
              <w:keepNext/>
              <w:spacing w:line="360" w:lineRule="auto"/>
              <w:jc w:val="center"/>
              <w:rPr>
                <w:rFonts w:cs="宋体"/>
                <w:color w:val="auto"/>
                <w:szCs w:val="21"/>
                <w:highlight w:val="none"/>
              </w:rPr>
            </w:pPr>
          </w:p>
        </w:tc>
        <w:tc>
          <w:tcPr>
            <w:tcW w:w="1281" w:type="pct"/>
            <w:vAlign w:val="center"/>
          </w:tcPr>
          <w:p w14:paraId="2F22A01F">
            <w:pPr>
              <w:keepNext/>
              <w:spacing w:line="360" w:lineRule="auto"/>
              <w:jc w:val="center"/>
              <w:rPr>
                <w:rFonts w:cs="宋体"/>
                <w:color w:val="auto"/>
                <w:szCs w:val="21"/>
                <w:highlight w:val="none"/>
              </w:rPr>
            </w:pPr>
          </w:p>
        </w:tc>
        <w:tc>
          <w:tcPr>
            <w:tcW w:w="1151" w:type="pct"/>
            <w:vAlign w:val="center"/>
          </w:tcPr>
          <w:p w14:paraId="442668AD">
            <w:pPr>
              <w:keepNext/>
              <w:spacing w:line="360" w:lineRule="auto"/>
              <w:jc w:val="center"/>
              <w:rPr>
                <w:rFonts w:cs="宋体"/>
                <w:color w:val="auto"/>
                <w:szCs w:val="21"/>
                <w:highlight w:val="none"/>
              </w:rPr>
            </w:pPr>
          </w:p>
        </w:tc>
      </w:tr>
      <w:tr w14:paraId="242EE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63523E70">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12681758">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179F9880">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49FB1CC0">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9265BFE">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4B015CB4">
            <w:pPr>
              <w:keepNext/>
              <w:spacing w:line="360" w:lineRule="auto"/>
              <w:jc w:val="center"/>
              <w:rPr>
                <w:rFonts w:cs="宋体"/>
                <w:color w:val="auto"/>
                <w:szCs w:val="21"/>
                <w:highlight w:val="none"/>
              </w:rPr>
            </w:pPr>
          </w:p>
        </w:tc>
      </w:tr>
    </w:tbl>
    <w:p w14:paraId="4D4ED93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9" w:name="_Toc128950242"/>
      <w:r>
        <w:rPr>
          <w:rFonts w:hint="eastAsia" w:ascii="Times New Roman" w:eastAsia="黑体"/>
          <w:color w:val="auto"/>
          <w:szCs w:val="24"/>
          <w:highlight w:val="none"/>
        </w:rPr>
        <w:t>附</w:t>
      </w:r>
      <w:bookmarkStart w:id="630" w:name="_Toc296503229"/>
      <w:bookmarkStart w:id="631" w:name="_Toc296944568"/>
      <w:bookmarkStart w:id="632" w:name="_Toc296891057"/>
      <w:bookmarkStart w:id="633" w:name="_Toc296347228"/>
      <w:bookmarkStart w:id="634" w:name="_Toc296346730"/>
      <w:bookmarkStart w:id="635" w:name="_Toc296891269"/>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29"/>
    </w:p>
    <w:bookmarkEnd w:id="630"/>
    <w:bookmarkEnd w:id="631"/>
    <w:bookmarkEnd w:id="632"/>
    <w:bookmarkEnd w:id="633"/>
    <w:bookmarkEnd w:id="634"/>
    <w:bookmarkEnd w:id="635"/>
    <w:p w14:paraId="49E5223A">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DF4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tcBorders>
              <w:top w:val="single" w:color="auto" w:sz="12" w:space="0"/>
              <w:bottom w:val="double" w:color="auto" w:sz="6" w:space="0"/>
            </w:tcBorders>
            <w:vAlign w:val="center"/>
          </w:tcPr>
          <w:p w14:paraId="1E578B2E">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16C339AF">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289ED6A1">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711EF65D">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297DB2D7">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F47432F">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DFA7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24906D1">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684FA7F5">
            <w:pPr>
              <w:keepNext/>
              <w:spacing w:line="360" w:lineRule="auto"/>
              <w:jc w:val="center"/>
              <w:rPr>
                <w:rFonts w:cs="宋体"/>
                <w:color w:val="auto"/>
                <w:szCs w:val="21"/>
                <w:highlight w:val="none"/>
              </w:rPr>
            </w:pPr>
          </w:p>
        </w:tc>
      </w:tr>
      <w:tr w14:paraId="5B3A4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3FC16B72">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3B623BB6">
            <w:pPr>
              <w:keepNext/>
              <w:spacing w:line="360" w:lineRule="auto"/>
              <w:jc w:val="center"/>
              <w:rPr>
                <w:rFonts w:cs="宋体"/>
                <w:color w:val="auto"/>
                <w:szCs w:val="21"/>
                <w:highlight w:val="none"/>
              </w:rPr>
            </w:pPr>
          </w:p>
        </w:tc>
        <w:tc>
          <w:tcPr>
            <w:tcW w:w="513" w:type="pct"/>
            <w:tcBorders>
              <w:top w:val="nil"/>
            </w:tcBorders>
            <w:vAlign w:val="center"/>
          </w:tcPr>
          <w:p w14:paraId="571A000F">
            <w:pPr>
              <w:keepNext/>
              <w:spacing w:line="360" w:lineRule="auto"/>
              <w:jc w:val="center"/>
              <w:rPr>
                <w:rFonts w:cs="宋体"/>
                <w:color w:val="auto"/>
                <w:szCs w:val="21"/>
                <w:highlight w:val="none"/>
              </w:rPr>
            </w:pPr>
          </w:p>
        </w:tc>
        <w:tc>
          <w:tcPr>
            <w:tcW w:w="373" w:type="pct"/>
            <w:tcBorders>
              <w:top w:val="nil"/>
            </w:tcBorders>
            <w:vAlign w:val="center"/>
          </w:tcPr>
          <w:p w14:paraId="27A8772C">
            <w:pPr>
              <w:keepNext/>
              <w:spacing w:line="360" w:lineRule="auto"/>
              <w:jc w:val="center"/>
              <w:rPr>
                <w:rFonts w:cs="宋体"/>
                <w:color w:val="auto"/>
                <w:szCs w:val="21"/>
                <w:highlight w:val="none"/>
              </w:rPr>
            </w:pPr>
          </w:p>
        </w:tc>
        <w:tc>
          <w:tcPr>
            <w:tcW w:w="1889" w:type="pct"/>
            <w:tcBorders>
              <w:top w:val="nil"/>
            </w:tcBorders>
            <w:vAlign w:val="center"/>
          </w:tcPr>
          <w:p w14:paraId="7CA0E312">
            <w:pPr>
              <w:keepNext/>
              <w:spacing w:line="360" w:lineRule="auto"/>
              <w:jc w:val="center"/>
              <w:rPr>
                <w:rFonts w:cs="宋体"/>
                <w:color w:val="auto"/>
                <w:szCs w:val="21"/>
                <w:highlight w:val="none"/>
              </w:rPr>
            </w:pPr>
          </w:p>
        </w:tc>
        <w:tc>
          <w:tcPr>
            <w:tcW w:w="739" w:type="pct"/>
            <w:tcBorders>
              <w:top w:val="nil"/>
            </w:tcBorders>
            <w:vAlign w:val="center"/>
          </w:tcPr>
          <w:p w14:paraId="30F012F4">
            <w:pPr>
              <w:keepNext/>
              <w:spacing w:line="360" w:lineRule="auto"/>
              <w:jc w:val="center"/>
              <w:rPr>
                <w:rFonts w:cs="宋体"/>
                <w:color w:val="auto"/>
                <w:szCs w:val="21"/>
                <w:highlight w:val="none"/>
              </w:rPr>
            </w:pPr>
          </w:p>
        </w:tc>
      </w:tr>
      <w:tr w14:paraId="1C031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6F25CBFB">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7DF8FBB">
            <w:pPr>
              <w:keepNext/>
              <w:spacing w:line="360" w:lineRule="auto"/>
              <w:jc w:val="center"/>
              <w:rPr>
                <w:rFonts w:cs="宋体"/>
                <w:color w:val="auto"/>
                <w:szCs w:val="21"/>
                <w:highlight w:val="none"/>
              </w:rPr>
            </w:pPr>
          </w:p>
        </w:tc>
        <w:tc>
          <w:tcPr>
            <w:tcW w:w="513" w:type="pct"/>
            <w:vAlign w:val="center"/>
          </w:tcPr>
          <w:p w14:paraId="7AB64393">
            <w:pPr>
              <w:keepNext/>
              <w:spacing w:line="360" w:lineRule="auto"/>
              <w:jc w:val="center"/>
              <w:rPr>
                <w:rFonts w:cs="宋体"/>
                <w:color w:val="auto"/>
                <w:szCs w:val="21"/>
                <w:highlight w:val="none"/>
              </w:rPr>
            </w:pPr>
          </w:p>
        </w:tc>
        <w:tc>
          <w:tcPr>
            <w:tcW w:w="373" w:type="pct"/>
            <w:vAlign w:val="center"/>
          </w:tcPr>
          <w:p w14:paraId="235FA697">
            <w:pPr>
              <w:keepNext/>
              <w:spacing w:line="360" w:lineRule="auto"/>
              <w:jc w:val="center"/>
              <w:rPr>
                <w:rFonts w:cs="宋体"/>
                <w:color w:val="auto"/>
                <w:szCs w:val="21"/>
                <w:highlight w:val="none"/>
              </w:rPr>
            </w:pPr>
          </w:p>
        </w:tc>
        <w:tc>
          <w:tcPr>
            <w:tcW w:w="1889" w:type="pct"/>
            <w:vAlign w:val="center"/>
          </w:tcPr>
          <w:p w14:paraId="79D43D88">
            <w:pPr>
              <w:keepNext/>
              <w:spacing w:line="360" w:lineRule="auto"/>
              <w:jc w:val="center"/>
              <w:rPr>
                <w:rFonts w:cs="宋体"/>
                <w:color w:val="auto"/>
                <w:szCs w:val="21"/>
                <w:highlight w:val="none"/>
              </w:rPr>
            </w:pPr>
          </w:p>
        </w:tc>
        <w:tc>
          <w:tcPr>
            <w:tcW w:w="739" w:type="pct"/>
            <w:vAlign w:val="center"/>
          </w:tcPr>
          <w:p w14:paraId="0A9BF98E">
            <w:pPr>
              <w:keepNext/>
              <w:spacing w:line="360" w:lineRule="auto"/>
              <w:jc w:val="center"/>
              <w:rPr>
                <w:rFonts w:cs="宋体"/>
                <w:color w:val="auto"/>
                <w:szCs w:val="21"/>
                <w:highlight w:val="none"/>
              </w:rPr>
            </w:pPr>
          </w:p>
        </w:tc>
      </w:tr>
      <w:tr w14:paraId="16D43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11150C">
            <w:pPr>
              <w:keepNext/>
              <w:spacing w:line="360" w:lineRule="auto"/>
              <w:jc w:val="center"/>
              <w:rPr>
                <w:rFonts w:cs="宋体"/>
                <w:color w:val="auto"/>
                <w:szCs w:val="21"/>
                <w:highlight w:val="none"/>
              </w:rPr>
            </w:pPr>
          </w:p>
        </w:tc>
        <w:tc>
          <w:tcPr>
            <w:tcW w:w="641" w:type="pct"/>
            <w:vAlign w:val="center"/>
          </w:tcPr>
          <w:p w14:paraId="2C0CF7B7">
            <w:pPr>
              <w:keepNext/>
              <w:spacing w:line="360" w:lineRule="auto"/>
              <w:jc w:val="center"/>
              <w:rPr>
                <w:rFonts w:cs="宋体"/>
                <w:color w:val="auto"/>
                <w:szCs w:val="21"/>
                <w:highlight w:val="none"/>
              </w:rPr>
            </w:pPr>
          </w:p>
        </w:tc>
        <w:tc>
          <w:tcPr>
            <w:tcW w:w="513" w:type="pct"/>
            <w:vAlign w:val="center"/>
          </w:tcPr>
          <w:p w14:paraId="36851631">
            <w:pPr>
              <w:keepNext/>
              <w:spacing w:line="360" w:lineRule="auto"/>
              <w:jc w:val="center"/>
              <w:rPr>
                <w:rFonts w:cs="宋体"/>
                <w:color w:val="auto"/>
                <w:szCs w:val="21"/>
                <w:highlight w:val="none"/>
              </w:rPr>
            </w:pPr>
          </w:p>
        </w:tc>
        <w:tc>
          <w:tcPr>
            <w:tcW w:w="373" w:type="pct"/>
            <w:vAlign w:val="center"/>
          </w:tcPr>
          <w:p w14:paraId="11F4C04E">
            <w:pPr>
              <w:keepNext/>
              <w:spacing w:line="360" w:lineRule="auto"/>
              <w:jc w:val="center"/>
              <w:rPr>
                <w:rFonts w:cs="宋体"/>
                <w:color w:val="auto"/>
                <w:szCs w:val="21"/>
                <w:highlight w:val="none"/>
              </w:rPr>
            </w:pPr>
          </w:p>
        </w:tc>
        <w:tc>
          <w:tcPr>
            <w:tcW w:w="1889" w:type="pct"/>
            <w:vAlign w:val="center"/>
          </w:tcPr>
          <w:p w14:paraId="20B4BBE9">
            <w:pPr>
              <w:keepNext/>
              <w:spacing w:line="360" w:lineRule="auto"/>
              <w:jc w:val="center"/>
              <w:rPr>
                <w:rFonts w:cs="宋体"/>
                <w:color w:val="auto"/>
                <w:szCs w:val="21"/>
                <w:highlight w:val="none"/>
              </w:rPr>
            </w:pPr>
          </w:p>
        </w:tc>
        <w:tc>
          <w:tcPr>
            <w:tcW w:w="739" w:type="pct"/>
            <w:vAlign w:val="center"/>
          </w:tcPr>
          <w:p w14:paraId="1DEBD18D">
            <w:pPr>
              <w:keepNext/>
              <w:spacing w:line="360" w:lineRule="auto"/>
              <w:jc w:val="center"/>
              <w:rPr>
                <w:rFonts w:cs="宋体"/>
                <w:color w:val="auto"/>
                <w:szCs w:val="21"/>
                <w:highlight w:val="none"/>
              </w:rPr>
            </w:pPr>
          </w:p>
        </w:tc>
      </w:tr>
      <w:tr w14:paraId="55AE3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3CE716A2">
            <w:pPr>
              <w:keepNext/>
              <w:spacing w:line="360" w:lineRule="auto"/>
              <w:jc w:val="center"/>
              <w:rPr>
                <w:rFonts w:cs="宋体"/>
                <w:color w:val="auto"/>
                <w:szCs w:val="21"/>
                <w:highlight w:val="none"/>
              </w:rPr>
            </w:pPr>
          </w:p>
        </w:tc>
        <w:tc>
          <w:tcPr>
            <w:tcW w:w="641" w:type="pct"/>
            <w:vAlign w:val="center"/>
          </w:tcPr>
          <w:p w14:paraId="176C2E50">
            <w:pPr>
              <w:keepNext/>
              <w:spacing w:line="360" w:lineRule="auto"/>
              <w:jc w:val="center"/>
              <w:rPr>
                <w:rFonts w:cs="宋体"/>
                <w:color w:val="auto"/>
                <w:szCs w:val="21"/>
                <w:highlight w:val="none"/>
              </w:rPr>
            </w:pPr>
          </w:p>
        </w:tc>
        <w:tc>
          <w:tcPr>
            <w:tcW w:w="513" w:type="pct"/>
            <w:vAlign w:val="center"/>
          </w:tcPr>
          <w:p w14:paraId="7410AAB2">
            <w:pPr>
              <w:keepNext/>
              <w:spacing w:line="360" w:lineRule="auto"/>
              <w:jc w:val="center"/>
              <w:rPr>
                <w:rFonts w:cs="宋体"/>
                <w:color w:val="auto"/>
                <w:szCs w:val="21"/>
                <w:highlight w:val="none"/>
              </w:rPr>
            </w:pPr>
          </w:p>
        </w:tc>
        <w:tc>
          <w:tcPr>
            <w:tcW w:w="373" w:type="pct"/>
            <w:vAlign w:val="center"/>
          </w:tcPr>
          <w:p w14:paraId="27EE1703">
            <w:pPr>
              <w:keepNext/>
              <w:spacing w:line="360" w:lineRule="auto"/>
              <w:jc w:val="center"/>
              <w:rPr>
                <w:rFonts w:cs="宋体"/>
                <w:color w:val="auto"/>
                <w:szCs w:val="21"/>
                <w:highlight w:val="none"/>
              </w:rPr>
            </w:pPr>
          </w:p>
        </w:tc>
        <w:tc>
          <w:tcPr>
            <w:tcW w:w="1889" w:type="pct"/>
            <w:vAlign w:val="center"/>
          </w:tcPr>
          <w:p w14:paraId="0E06ADE7">
            <w:pPr>
              <w:keepNext/>
              <w:spacing w:line="360" w:lineRule="auto"/>
              <w:jc w:val="center"/>
              <w:rPr>
                <w:rFonts w:cs="宋体"/>
                <w:color w:val="auto"/>
                <w:szCs w:val="21"/>
                <w:highlight w:val="none"/>
              </w:rPr>
            </w:pPr>
          </w:p>
        </w:tc>
        <w:tc>
          <w:tcPr>
            <w:tcW w:w="739" w:type="pct"/>
            <w:vAlign w:val="center"/>
          </w:tcPr>
          <w:p w14:paraId="728CA294">
            <w:pPr>
              <w:keepNext/>
              <w:spacing w:line="360" w:lineRule="auto"/>
              <w:jc w:val="center"/>
              <w:rPr>
                <w:rFonts w:cs="宋体"/>
                <w:color w:val="auto"/>
                <w:szCs w:val="21"/>
                <w:highlight w:val="none"/>
              </w:rPr>
            </w:pPr>
          </w:p>
        </w:tc>
      </w:tr>
      <w:tr w14:paraId="1CBE9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06DF8C52">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5EB76525">
            <w:pPr>
              <w:keepNext/>
              <w:spacing w:line="360" w:lineRule="auto"/>
              <w:jc w:val="center"/>
              <w:rPr>
                <w:rFonts w:cs="宋体"/>
                <w:color w:val="auto"/>
                <w:szCs w:val="21"/>
                <w:highlight w:val="none"/>
              </w:rPr>
            </w:pPr>
          </w:p>
        </w:tc>
      </w:tr>
      <w:tr w14:paraId="7B740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345EC5C">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5ADA7B60">
            <w:pPr>
              <w:keepNext/>
              <w:spacing w:line="360" w:lineRule="auto"/>
              <w:jc w:val="center"/>
              <w:rPr>
                <w:rFonts w:cs="宋体"/>
                <w:color w:val="auto"/>
                <w:szCs w:val="21"/>
                <w:highlight w:val="none"/>
              </w:rPr>
            </w:pPr>
          </w:p>
        </w:tc>
        <w:tc>
          <w:tcPr>
            <w:tcW w:w="513" w:type="pct"/>
            <w:vAlign w:val="center"/>
          </w:tcPr>
          <w:p w14:paraId="0A2B5E18">
            <w:pPr>
              <w:keepNext/>
              <w:spacing w:line="360" w:lineRule="auto"/>
              <w:jc w:val="center"/>
              <w:rPr>
                <w:rFonts w:cs="宋体"/>
                <w:color w:val="auto"/>
                <w:szCs w:val="21"/>
                <w:highlight w:val="none"/>
              </w:rPr>
            </w:pPr>
          </w:p>
        </w:tc>
        <w:tc>
          <w:tcPr>
            <w:tcW w:w="373" w:type="pct"/>
            <w:vAlign w:val="center"/>
          </w:tcPr>
          <w:p w14:paraId="57582725">
            <w:pPr>
              <w:keepNext/>
              <w:spacing w:line="360" w:lineRule="auto"/>
              <w:jc w:val="center"/>
              <w:rPr>
                <w:rFonts w:cs="宋体"/>
                <w:color w:val="auto"/>
                <w:szCs w:val="21"/>
                <w:highlight w:val="none"/>
              </w:rPr>
            </w:pPr>
          </w:p>
        </w:tc>
        <w:tc>
          <w:tcPr>
            <w:tcW w:w="1889" w:type="pct"/>
            <w:vAlign w:val="center"/>
          </w:tcPr>
          <w:p w14:paraId="1557AAF2">
            <w:pPr>
              <w:keepNext/>
              <w:spacing w:line="360" w:lineRule="auto"/>
              <w:jc w:val="center"/>
              <w:rPr>
                <w:rFonts w:cs="宋体"/>
                <w:color w:val="auto"/>
                <w:szCs w:val="21"/>
                <w:highlight w:val="none"/>
              </w:rPr>
            </w:pPr>
          </w:p>
        </w:tc>
        <w:tc>
          <w:tcPr>
            <w:tcW w:w="739" w:type="pct"/>
            <w:vAlign w:val="center"/>
          </w:tcPr>
          <w:p w14:paraId="712292B7">
            <w:pPr>
              <w:keepNext/>
              <w:spacing w:line="360" w:lineRule="auto"/>
              <w:jc w:val="center"/>
              <w:rPr>
                <w:rFonts w:cs="宋体"/>
                <w:color w:val="auto"/>
                <w:szCs w:val="21"/>
                <w:highlight w:val="none"/>
              </w:rPr>
            </w:pPr>
          </w:p>
        </w:tc>
      </w:tr>
      <w:tr w14:paraId="2601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529DFA">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16DE99F1">
            <w:pPr>
              <w:keepNext/>
              <w:spacing w:line="360" w:lineRule="auto"/>
              <w:jc w:val="center"/>
              <w:rPr>
                <w:rFonts w:cs="宋体"/>
                <w:color w:val="auto"/>
                <w:szCs w:val="21"/>
                <w:highlight w:val="none"/>
              </w:rPr>
            </w:pPr>
          </w:p>
        </w:tc>
        <w:tc>
          <w:tcPr>
            <w:tcW w:w="513" w:type="pct"/>
            <w:vAlign w:val="center"/>
          </w:tcPr>
          <w:p w14:paraId="68638AA9">
            <w:pPr>
              <w:keepNext/>
              <w:spacing w:line="360" w:lineRule="auto"/>
              <w:jc w:val="center"/>
              <w:rPr>
                <w:rFonts w:cs="宋体"/>
                <w:color w:val="auto"/>
                <w:szCs w:val="21"/>
                <w:highlight w:val="none"/>
              </w:rPr>
            </w:pPr>
          </w:p>
        </w:tc>
        <w:tc>
          <w:tcPr>
            <w:tcW w:w="373" w:type="pct"/>
            <w:vAlign w:val="center"/>
          </w:tcPr>
          <w:p w14:paraId="15093241">
            <w:pPr>
              <w:keepNext/>
              <w:spacing w:line="360" w:lineRule="auto"/>
              <w:jc w:val="center"/>
              <w:rPr>
                <w:rFonts w:cs="宋体"/>
                <w:color w:val="auto"/>
                <w:szCs w:val="21"/>
                <w:highlight w:val="none"/>
              </w:rPr>
            </w:pPr>
          </w:p>
        </w:tc>
        <w:tc>
          <w:tcPr>
            <w:tcW w:w="1889" w:type="pct"/>
            <w:vAlign w:val="center"/>
          </w:tcPr>
          <w:p w14:paraId="5B37A75D">
            <w:pPr>
              <w:keepNext/>
              <w:spacing w:line="360" w:lineRule="auto"/>
              <w:jc w:val="center"/>
              <w:rPr>
                <w:rFonts w:cs="宋体"/>
                <w:color w:val="auto"/>
                <w:szCs w:val="21"/>
                <w:highlight w:val="none"/>
              </w:rPr>
            </w:pPr>
          </w:p>
        </w:tc>
        <w:tc>
          <w:tcPr>
            <w:tcW w:w="739" w:type="pct"/>
            <w:vAlign w:val="center"/>
          </w:tcPr>
          <w:p w14:paraId="33B09E40">
            <w:pPr>
              <w:keepNext/>
              <w:spacing w:line="360" w:lineRule="auto"/>
              <w:jc w:val="center"/>
              <w:rPr>
                <w:rFonts w:cs="宋体"/>
                <w:color w:val="auto"/>
                <w:szCs w:val="21"/>
                <w:highlight w:val="none"/>
              </w:rPr>
            </w:pPr>
          </w:p>
        </w:tc>
      </w:tr>
      <w:tr w14:paraId="78D4F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4B8251">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780086B9">
            <w:pPr>
              <w:keepNext/>
              <w:spacing w:line="360" w:lineRule="auto"/>
              <w:jc w:val="center"/>
              <w:rPr>
                <w:rFonts w:cs="宋体"/>
                <w:color w:val="auto"/>
                <w:szCs w:val="21"/>
                <w:highlight w:val="none"/>
              </w:rPr>
            </w:pPr>
          </w:p>
        </w:tc>
        <w:tc>
          <w:tcPr>
            <w:tcW w:w="513" w:type="pct"/>
            <w:vAlign w:val="center"/>
          </w:tcPr>
          <w:p w14:paraId="17CE7E49">
            <w:pPr>
              <w:keepNext/>
              <w:spacing w:line="360" w:lineRule="auto"/>
              <w:jc w:val="center"/>
              <w:rPr>
                <w:rFonts w:cs="宋体"/>
                <w:color w:val="auto"/>
                <w:szCs w:val="21"/>
                <w:highlight w:val="none"/>
              </w:rPr>
            </w:pPr>
          </w:p>
        </w:tc>
        <w:tc>
          <w:tcPr>
            <w:tcW w:w="373" w:type="pct"/>
            <w:vAlign w:val="center"/>
          </w:tcPr>
          <w:p w14:paraId="3E37A424">
            <w:pPr>
              <w:keepNext/>
              <w:spacing w:line="360" w:lineRule="auto"/>
              <w:jc w:val="center"/>
              <w:rPr>
                <w:rFonts w:cs="宋体"/>
                <w:color w:val="auto"/>
                <w:szCs w:val="21"/>
                <w:highlight w:val="none"/>
              </w:rPr>
            </w:pPr>
          </w:p>
        </w:tc>
        <w:tc>
          <w:tcPr>
            <w:tcW w:w="1889" w:type="pct"/>
            <w:vAlign w:val="center"/>
          </w:tcPr>
          <w:p w14:paraId="3EEF35DF">
            <w:pPr>
              <w:keepNext/>
              <w:spacing w:line="360" w:lineRule="auto"/>
              <w:jc w:val="center"/>
              <w:rPr>
                <w:rFonts w:cs="宋体"/>
                <w:color w:val="auto"/>
                <w:szCs w:val="21"/>
                <w:highlight w:val="none"/>
              </w:rPr>
            </w:pPr>
          </w:p>
        </w:tc>
        <w:tc>
          <w:tcPr>
            <w:tcW w:w="739" w:type="pct"/>
            <w:vAlign w:val="center"/>
          </w:tcPr>
          <w:p w14:paraId="7412F3D5">
            <w:pPr>
              <w:keepNext/>
              <w:spacing w:line="360" w:lineRule="auto"/>
              <w:jc w:val="center"/>
              <w:rPr>
                <w:rFonts w:cs="宋体"/>
                <w:color w:val="auto"/>
                <w:szCs w:val="21"/>
                <w:highlight w:val="none"/>
              </w:rPr>
            </w:pPr>
          </w:p>
        </w:tc>
      </w:tr>
      <w:tr w14:paraId="0024E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BA38FB">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2BF7884">
            <w:pPr>
              <w:keepNext/>
              <w:spacing w:line="360" w:lineRule="auto"/>
              <w:jc w:val="center"/>
              <w:rPr>
                <w:rFonts w:cs="宋体"/>
                <w:color w:val="auto"/>
                <w:szCs w:val="21"/>
                <w:highlight w:val="none"/>
              </w:rPr>
            </w:pPr>
          </w:p>
        </w:tc>
        <w:tc>
          <w:tcPr>
            <w:tcW w:w="513" w:type="pct"/>
            <w:vAlign w:val="center"/>
          </w:tcPr>
          <w:p w14:paraId="2A374F00">
            <w:pPr>
              <w:keepNext/>
              <w:spacing w:line="360" w:lineRule="auto"/>
              <w:jc w:val="center"/>
              <w:rPr>
                <w:rFonts w:cs="宋体"/>
                <w:color w:val="auto"/>
                <w:szCs w:val="21"/>
                <w:highlight w:val="none"/>
              </w:rPr>
            </w:pPr>
          </w:p>
        </w:tc>
        <w:tc>
          <w:tcPr>
            <w:tcW w:w="373" w:type="pct"/>
            <w:vAlign w:val="center"/>
          </w:tcPr>
          <w:p w14:paraId="54B8C55C">
            <w:pPr>
              <w:keepNext/>
              <w:spacing w:line="360" w:lineRule="auto"/>
              <w:jc w:val="center"/>
              <w:rPr>
                <w:rFonts w:cs="宋体"/>
                <w:color w:val="auto"/>
                <w:szCs w:val="21"/>
                <w:highlight w:val="none"/>
              </w:rPr>
            </w:pPr>
          </w:p>
        </w:tc>
        <w:tc>
          <w:tcPr>
            <w:tcW w:w="1889" w:type="pct"/>
            <w:vAlign w:val="center"/>
          </w:tcPr>
          <w:p w14:paraId="56B45D45">
            <w:pPr>
              <w:keepNext/>
              <w:spacing w:line="360" w:lineRule="auto"/>
              <w:jc w:val="center"/>
              <w:rPr>
                <w:rFonts w:cs="宋体"/>
                <w:color w:val="auto"/>
                <w:szCs w:val="21"/>
                <w:highlight w:val="none"/>
              </w:rPr>
            </w:pPr>
          </w:p>
        </w:tc>
        <w:tc>
          <w:tcPr>
            <w:tcW w:w="739" w:type="pct"/>
            <w:vAlign w:val="center"/>
          </w:tcPr>
          <w:p w14:paraId="5A318B4D">
            <w:pPr>
              <w:keepNext/>
              <w:spacing w:line="360" w:lineRule="auto"/>
              <w:jc w:val="center"/>
              <w:rPr>
                <w:rFonts w:cs="宋体"/>
                <w:color w:val="auto"/>
                <w:szCs w:val="21"/>
                <w:highlight w:val="none"/>
              </w:rPr>
            </w:pPr>
          </w:p>
        </w:tc>
      </w:tr>
      <w:tr w14:paraId="3E9E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9BD4799">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43042343">
            <w:pPr>
              <w:keepNext/>
              <w:spacing w:line="360" w:lineRule="auto"/>
              <w:jc w:val="center"/>
              <w:rPr>
                <w:rFonts w:cs="宋体"/>
                <w:color w:val="auto"/>
                <w:szCs w:val="21"/>
                <w:highlight w:val="none"/>
              </w:rPr>
            </w:pPr>
          </w:p>
        </w:tc>
        <w:tc>
          <w:tcPr>
            <w:tcW w:w="513" w:type="pct"/>
            <w:vAlign w:val="center"/>
          </w:tcPr>
          <w:p w14:paraId="17E87F3B">
            <w:pPr>
              <w:keepNext/>
              <w:spacing w:line="360" w:lineRule="auto"/>
              <w:jc w:val="center"/>
              <w:rPr>
                <w:rFonts w:cs="宋体"/>
                <w:color w:val="auto"/>
                <w:szCs w:val="21"/>
                <w:highlight w:val="none"/>
              </w:rPr>
            </w:pPr>
          </w:p>
        </w:tc>
        <w:tc>
          <w:tcPr>
            <w:tcW w:w="373" w:type="pct"/>
            <w:vAlign w:val="center"/>
          </w:tcPr>
          <w:p w14:paraId="0D5893FA">
            <w:pPr>
              <w:keepNext/>
              <w:spacing w:line="360" w:lineRule="auto"/>
              <w:jc w:val="center"/>
              <w:rPr>
                <w:rFonts w:cs="宋体"/>
                <w:color w:val="auto"/>
                <w:szCs w:val="21"/>
                <w:highlight w:val="none"/>
              </w:rPr>
            </w:pPr>
          </w:p>
        </w:tc>
        <w:tc>
          <w:tcPr>
            <w:tcW w:w="1889" w:type="pct"/>
            <w:vAlign w:val="center"/>
          </w:tcPr>
          <w:p w14:paraId="623184B9">
            <w:pPr>
              <w:keepNext/>
              <w:spacing w:line="360" w:lineRule="auto"/>
              <w:jc w:val="center"/>
              <w:rPr>
                <w:rFonts w:cs="宋体"/>
                <w:color w:val="auto"/>
                <w:szCs w:val="21"/>
                <w:highlight w:val="none"/>
              </w:rPr>
            </w:pPr>
          </w:p>
        </w:tc>
        <w:tc>
          <w:tcPr>
            <w:tcW w:w="739" w:type="pct"/>
            <w:vAlign w:val="center"/>
          </w:tcPr>
          <w:p w14:paraId="7506A5F4">
            <w:pPr>
              <w:keepNext/>
              <w:spacing w:line="360" w:lineRule="auto"/>
              <w:jc w:val="center"/>
              <w:rPr>
                <w:rFonts w:cs="宋体"/>
                <w:color w:val="auto"/>
                <w:szCs w:val="21"/>
                <w:highlight w:val="none"/>
              </w:rPr>
            </w:pPr>
          </w:p>
        </w:tc>
      </w:tr>
      <w:tr w14:paraId="7773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226C4791">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5E4ABCF1">
            <w:pPr>
              <w:keepNext/>
              <w:spacing w:line="360" w:lineRule="auto"/>
              <w:jc w:val="center"/>
              <w:rPr>
                <w:rFonts w:cs="宋体"/>
                <w:color w:val="auto"/>
                <w:szCs w:val="21"/>
                <w:highlight w:val="none"/>
              </w:rPr>
            </w:pPr>
          </w:p>
        </w:tc>
        <w:tc>
          <w:tcPr>
            <w:tcW w:w="513" w:type="pct"/>
            <w:vAlign w:val="center"/>
          </w:tcPr>
          <w:p w14:paraId="7B50441A">
            <w:pPr>
              <w:keepNext/>
              <w:spacing w:line="360" w:lineRule="auto"/>
              <w:jc w:val="center"/>
              <w:rPr>
                <w:rFonts w:cs="宋体"/>
                <w:color w:val="auto"/>
                <w:szCs w:val="21"/>
                <w:highlight w:val="none"/>
              </w:rPr>
            </w:pPr>
          </w:p>
        </w:tc>
        <w:tc>
          <w:tcPr>
            <w:tcW w:w="373" w:type="pct"/>
            <w:vAlign w:val="center"/>
          </w:tcPr>
          <w:p w14:paraId="3F4F05EF">
            <w:pPr>
              <w:keepNext/>
              <w:spacing w:line="360" w:lineRule="auto"/>
              <w:jc w:val="center"/>
              <w:rPr>
                <w:rFonts w:cs="宋体"/>
                <w:color w:val="auto"/>
                <w:szCs w:val="21"/>
                <w:highlight w:val="none"/>
              </w:rPr>
            </w:pPr>
          </w:p>
        </w:tc>
        <w:tc>
          <w:tcPr>
            <w:tcW w:w="1889" w:type="pct"/>
            <w:vAlign w:val="center"/>
          </w:tcPr>
          <w:p w14:paraId="01BC6CD9">
            <w:pPr>
              <w:keepNext/>
              <w:spacing w:line="360" w:lineRule="auto"/>
              <w:jc w:val="center"/>
              <w:rPr>
                <w:rFonts w:cs="宋体"/>
                <w:color w:val="auto"/>
                <w:szCs w:val="21"/>
                <w:highlight w:val="none"/>
              </w:rPr>
            </w:pPr>
          </w:p>
        </w:tc>
        <w:tc>
          <w:tcPr>
            <w:tcW w:w="739" w:type="pct"/>
            <w:vAlign w:val="center"/>
          </w:tcPr>
          <w:p w14:paraId="4BF2F8EE">
            <w:pPr>
              <w:keepNext/>
              <w:spacing w:line="360" w:lineRule="auto"/>
              <w:jc w:val="center"/>
              <w:rPr>
                <w:rFonts w:cs="宋体"/>
                <w:color w:val="auto"/>
                <w:szCs w:val="21"/>
                <w:highlight w:val="none"/>
              </w:rPr>
            </w:pPr>
          </w:p>
        </w:tc>
      </w:tr>
      <w:tr w14:paraId="4E034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4673DF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27A43945">
            <w:pPr>
              <w:keepNext/>
              <w:spacing w:line="360" w:lineRule="auto"/>
              <w:jc w:val="center"/>
              <w:rPr>
                <w:rFonts w:cs="宋体"/>
                <w:color w:val="auto"/>
                <w:szCs w:val="21"/>
                <w:highlight w:val="none"/>
              </w:rPr>
            </w:pPr>
          </w:p>
        </w:tc>
        <w:tc>
          <w:tcPr>
            <w:tcW w:w="513" w:type="pct"/>
            <w:vAlign w:val="center"/>
          </w:tcPr>
          <w:p w14:paraId="5C48DD14">
            <w:pPr>
              <w:keepNext/>
              <w:spacing w:line="360" w:lineRule="auto"/>
              <w:jc w:val="center"/>
              <w:rPr>
                <w:rFonts w:cs="宋体"/>
                <w:color w:val="auto"/>
                <w:szCs w:val="21"/>
                <w:highlight w:val="none"/>
              </w:rPr>
            </w:pPr>
          </w:p>
        </w:tc>
        <w:tc>
          <w:tcPr>
            <w:tcW w:w="373" w:type="pct"/>
            <w:vAlign w:val="center"/>
          </w:tcPr>
          <w:p w14:paraId="310855A4">
            <w:pPr>
              <w:keepNext/>
              <w:spacing w:line="360" w:lineRule="auto"/>
              <w:jc w:val="center"/>
              <w:rPr>
                <w:rFonts w:cs="宋体"/>
                <w:color w:val="auto"/>
                <w:szCs w:val="21"/>
                <w:highlight w:val="none"/>
              </w:rPr>
            </w:pPr>
          </w:p>
        </w:tc>
        <w:tc>
          <w:tcPr>
            <w:tcW w:w="1889" w:type="pct"/>
            <w:vAlign w:val="center"/>
          </w:tcPr>
          <w:p w14:paraId="4A42312A">
            <w:pPr>
              <w:keepNext/>
              <w:spacing w:line="360" w:lineRule="auto"/>
              <w:jc w:val="center"/>
              <w:rPr>
                <w:rFonts w:cs="宋体"/>
                <w:color w:val="auto"/>
                <w:szCs w:val="21"/>
                <w:highlight w:val="none"/>
              </w:rPr>
            </w:pPr>
          </w:p>
        </w:tc>
        <w:tc>
          <w:tcPr>
            <w:tcW w:w="739" w:type="pct"/>
            <w:vAlign w:val="center"/>
          </w:tcPr>
          <w:p w14:paraId="6F4B14D2">
            <w:pPr>
              <w:keepNext/>
              <w:spacing w:line="360" w:lineRule="auto"/>
              <w:jc w:val="center"/>
              <w:rPr>
                <w:rFonts w:cs="宋体"/>
                <w:color w:val="auto"/>
                <w:szCs w:val="21"/>
                <w:highlight w:val="none"/>
              </w:rPr>
            </w:pPr>
          </w:p>
        </w:tc>
      </w:tr>
      <w:tr w14:paraId="639E1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CD1F0A0">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DA351A7">
            <w:pPr>
              <w:keepNext/>
              <w:spacing w:line="360" w:lineRule="auto"/>
              <w:jc w:val="center"/>
              <w:rPr>
                <w:rFonts w:cs="宋体"/>
                <w:color w:val="auto"/>
                <w:szCs w:val="21"/>
                <w:highlight w:val="none"/>
              </w:rPr>
            </w:pPr>
          </w:p>
        </w:tc>
        <w:tc>
          <w:tcPr>
            <w:tcW w:w="513" w:type="pct"/>
            <w:vAlign w:val="center"/>
          </w:tcPr>
          <w:p w14:paraId="5B948475">
            <w:pPr>
              <w:keepNext/>
              <w:spacing w:line="360" w:lineRule="auto"/>
              <w:jc w:val="center"/>
              <w:rPr>
                <w:rFonts w:cs="宋体"/>
                <w:color w:val="auto"/>
                <w:szCs w:val="21"/>
                <w:highlight w:val="none"/>
              </w:rPr>
            </w:pPr>
          </w:p>
        </w:tc>
        <w:tc>
          <w:tcPr>
            <w:tcW w:w="373" w:type="pct"/>
            <w:vAlign w:val="center"/>
          </w:tcPr>
          <w:p w14:paraId="5A492E08">
            <w:pPr>
              <w:keepNext/>
              <w:spacing w:line="360" w:lineRule="auto"/>
              <w:jc w:val="center"/>
              <w:rPr>
                <w:rFonts w:cs="宋体"/>
                <w:color w:val="auto"/>
                <w:szCs w:val="21"/>
                <w:highlight w:val="none"/>
              </w:rPr>
            </w:pPr>
          </w:p>
        </w:tc>
        <w:tc>
          <w:tcPr>
            <w:tcW w:w="1889" w:type="pct"/>
            <w:vAlign w:val="center"/>
          </w:tcPr>
          <w:p w14:paraId="3F8E74AB">
            <w:pPr>
              <w:keepNext/>
              <w:spacing w:line="360" w:lineRule="auto"/>
              <w:jc w:val="center"/>
              <w:rPr>
                <w:rFonts w:cs="宋体"/>
                <w:color w:val="auto"/>
                <w:szCs w:val="21"/>
                <w:highlight w:val="none"/>
              </w:rPr>
            </w:pPr>
          </w:p>
        </w:tc>
        <w:tc>
          <w:tcPr>
            <w:tcW w:w="739" w:type="pct"/>
            <w:vAlign w:val="center"/>
          </w:tcPr>
          <w:p w14:paraId="1D63ACFE">
            <w:pPr>
              <w:keepNext/>
              <w:spacing w:line="360" w:lineRule="auto"/>
              <w:jc w:val="center"/>
              <w:rPr>
                <w:rFonts w:cs="宋体"/>
                <w:color w:val="auto"/>
                <w:szCs w:val="21"/>
                <w:highlight w:val="none"/>
              </w:rPr>
            </w:pPr>
          </w:p>
        </w:tc>
      </w:tr>
      <w:tr w14:paraId="2840E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5B98E1">
            <w:pPr>
              <w:keepNext/>
              <w:spacing w:line="360" w:lineRule="auto"/>
              <w:jc w:val="center"/>
              <w:rPr>
                <w:rFonts w:cs="宋体"/>
                <w:color w:val="auto"/>
                <w:szCs w:val="21"/>
                <w:highlight w:val="none"/>
              </w:rPr>
            </w:pPr>
          </w:p>
        </w:tc>
        <w:tc>
          <w:tcPr>
            <w:tcW w:w="641" w:type="pct"/>
            <w:tcBorders>
              <w:bottom w:val="nil"/>
            </w:tcBorders>
            <w:vAlign w:val="center"/>
          </w:tcPr>
          <w:p w14:paraId="4BF07A6D">
            <w:pPr>
              <w:keepNext/>
              <w:spacing w:line="360" w:lineRule="auto"/>
              <w:jc w:val="center"/>
              <w:rPr>
                <w:rFonts w:cs="宋体"/>
                <w:color w:val="auto"/>
                <w:szCs w:val="21"/>
                <w:highlight w:val="none"/>
              </w:rPr>
            </w:pPr>
          </w:p>
        </w:tc>
        <w:tc>
          <w:tcPr>
            <w:tcW w:w="513" w:type="pct"/>
            <w:tcBorders>
              <w:bottom w:val="nil"/>
            </w:tcBorders>
            <w:vAlign w:val="center"/>
          </w:tcPr>
          <w:p w14:paraId="1AD1F1AA">
            <w:pPr>
              <w:keepNext/>
              <w:spacing w:line="360" w:lineRule="auto"/>
              <w:jc w:val="center"/>
              <w:rPr>
                <w:rFonts w:cs="宋体"/>
                <w:color w:val="auto"/>
                <w:szCs w:val="21"/>
                <w:highlight w:val="none"/>
              </w:rPr>
            </w:pPr>
          </w:p>
        </w:tc>
        <w:tc>
          <w:tcPr>
            <w:tcW w:w="373" w:type="pct"/>
            <w:tcBorders>
              <w:bottom w:val="nil"/>
            </w:tcBorders>
            <w:vAlign w:val="center"/>
          </w:tcPr>
          <w:p w14:paraId="1AE32616">
            <w:pPr>
              <w:keepNext/>
              <w:spacing w:line="360" w:lineRule="auto"/>
              <w:jc w:val="center"/>
              <w:rPr>
                <w:rFonts w:cs="宋体"/>
                <w:color w:val="auto"/>
                <w:szCs w:val="21"/>
                <w:highlight w:val="none"/>
              </w:rPr>
            </w:pPr>
          </w:p>
        </w:tc>
        <w:tc>
          <w:tcPr>
            <w:tcW w:w="1889" w:type="pct"/>
            <w:tcBorders>
              <w:bottom w:val="nil"/>
            </w:tcBorders>
            <w:vAlign w:val="center"/>
          </w:tcPr>
          <w:p w14:paraId="7D94F660">
            <w:pPr>
              <w:keepNext/>
              <w:spacing w:line="360" w:lineRule="auto"/>
              <w:jc w:val="center"/>
              <w:rPr>
                <w:rFonts w:cs="宋体"/>
                <w:color w:val="auto"/>
                <w:szCs w:val="21"/>
                <w:highlight w:val="none"/>
              </w:rPr>
            </w:pPr>
          </w:p>
        </w:tc>
        <w:tc>
          <w:tcPr>
            <w:tcW w:w="739" w:type="pct"/>
            <w:tcBorders>
              <w:bottom w:val="nil"/>
            </w:tcBorders>
            <w:vAlign w:val="center"/>
          </w:tcPr>
          <w:p w14:paraId="5A2F5FD0">
            <w:pPr>
              <w:keepNext/>
              <w:spacing w:line="360" w:lineRule="auto"/>
              <w:jc w:val="center"/>
              <w:rPr>
                <w:rFonts w:cs="宋体"/>
                <w:color w:val="auto"/>
                <w:szCs w:val="21"/>
                <w:highlight w:val="none"/>
              </w:rPr>
            </w:pPr>
          </w:p>
        </w:tc>
      </w:tr>
      <w:tr w14:paraId="5E9F7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B57A2B0">
            <w:pPr>
              <w:keepNext/>
              <w:spacing w:line="360" w:lineRule="auto"/>
              <w:jc w:val="center"/>
              <w:rPr>
                <w:rFonts w:cs="宋体"/>
                <w:color w:val="auto"/>
                <w:szCs w:val="21"/>
                <w:highlight w:val="none"/>
              </w:rPr>
            </w:pPr>
          </w:p>
        </w:tc>
        <w:tc>
          <w:tcPr>
            <w:tcW w:w="641" w:type="pct"/>
            <w:vAlign w:val="center"/>
          </w:tcPr>
          <w:p w14:paraId="6D0CD708">
            <w:pPr>
              <w:keepNext/>
              <w:spacing w:line="360" w:lineRule="auto"/>
              <w:jc w:val="center"/>
              <w:rPr>
                <w:rFonts w:cs="宋体"/>
                <w:color w:val="auto"/>
                <w:szCs w:val="21"/>
                <w:highlight w:val="none"/>
              </w:rPr>
            </w:pPr>
          </w:p>
        </w:tc>
        <w:tc>
          <w:tcPr>
            <w:tcW w:w="513" w:type="pct"/>
            <w:vAlign w:val="center"/>
          </w:tcPr>
          <w:p w14:paraId="3B437CCE">
            <w:pPr>
              <w:keepNext/>
              <w:spacing w:line="360" w:lineRule="auto"/>
              <w:jc w:val="center"/>
              <w:rPr>
                <w:rFonts w:cs="宋体"/>
                <w:color w:val="auto"/>
                <w:szCs w:val="21"/>
                <w:highlight w:val="none"/>
              </w:rPr>
            </w:pPr>
          </w:p>
        </w:tc>
        <w:tc>
          <w:tcPr>
            <w:tcW w:w="373" w:type="pct"/>
            <w:vAlign w:val="center"/>
          </w:tcPr>
          <w:p w14:paraId="70FBE4B8">
            <w:pPr>
              <w:keepNext/>
              <w:spacing w:line="360" w:lineRule="auto"/>
              <w:jc w:val="center"/>
              <w:rPr>
                <w:rFonts w:cs="宋体"/>
                <w:color w:val="auto"/>
                <w:szCs w:val="21"/>
                <w:highlight w:val="none"/>
              </w:rPr>
            </w:pPr>
          </w:p>
        </w:tc>
        <w:tc>
          <w:tcPr>
            <w:tcW w:w="1889" w:type="pct"/>
            <w:vAlign w:val="center"/>
          </w:tcPr>
          <w:p w14:paraId="51D2CDEA">
            <w:pPr>
              <w:keepNext/>
              <w:spacing w:line="360" w:lineRule="auto"/>
              <w:jc w:val="center"/>
              <w:rPr>
                <w:rFonts w:cs="宋体"/>
                <w:color w:val="auto"/>
                <w:szCs w:val="21"/>
                <w:highlight w:val="none"/>
              </w:rPr>
            </w:pPr>
          </w:p>
        </w:tc>
        <w:tc>
          <w:tcPr>
            <w:tcW w:w="739" w:type="pct"/>
            <w:vAlign w:val="center"/>
          </w:tcPr>
          <w:p w14:paraId="30F3975E">
            <w:pPr>
              <w:keepNext/>
              <w:spacing w:line="360" w:lineRule="auto"/>
              <w:jc w:val="center"/>
              <w:rPr>
                <w:rFonts w:cs="宋体"/>
                <w:color w:val="auto"/>
                <w:szCs w:val="21"/>
                <w:highlight w:val="none"/>
              </w:rPr>
            </w:pPr>
          </w:p>
        </w:tc>
      </w:tr>
      <w:tr w14:paraId="5DF4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792DED9">
            <w:pPr>
              <w:keepNext/>
              <w:spacing w:line="360" w:lineRule="auto"/>
              <w:jc w:val="center"/>
              <w:rPr>
                <w:rFonts w:cs="宋体"/>
                <w:color w:val="auto"/>
                <w:szCs w:val="21"/>
                <w:highlight w:val="none"/>
              </w:rPr>
            </w:pPr>
          </w:p>
        </w:tc>
        <w:tc>
          <w:tcPr>
            <w:tcW w:w="641" w:type="pct"/>
            <w:vAlign w:val="center"/>
          </w:tcPr>
          <w:p w14:paraId="6D65FFF6">
            <w:pPr>
              <w:keepNext/>
              <w:spacing w:line="360" w:lineRule="auto"/>
              <w:jc w:val="center"/>
              <w:rPr>
                <w:rFonts w:cs="宋体"/>
                <w:color w:val="auto"/>
                <w:szCs w:val="21"/>
                <w:highlight w:val="none"/>
              </w:rPr>
            </w:pPr>
          </w:p>
        </w:tc>
        <w:tc>
          <w:tcPr>
            <w:tcW w:w="513" w:type="pct"/>
            <w:vAlign w:val="center"/>
          </w:tcPr>
          <w:p w14:paraId="3B910B0C">
            <w:pPr>
              <w:keepNext/>
              <w:spacing w:line="360" w:lineRule="auto"/>
              <w:jc w:val="center"/>
              <w:rPr>
                <w:rFonts w:cs="宋体"/>
                <w:color w:val="auto"/>
                <w:szCs w:val="21"/>
                <w:highlight w:val="none"/>
              </w:rPr>
            </w:pPr>
          </w:p>
        </w:tc>
        <w:tc>
          <w:tcPr>
            <w:tcW w:w="373" w:type="pct"/>
            <w:vAlign w:val="center"/>
          </w:tcPr>
          <w:p w14:paraId="16EF5B69">
            <w:pPr>
              <w:keepNext/>
              <w:spacing w:line="360" w:lineRule="auto"/>
              <w:jc w:val="center"/>
              <w:rPr>
                <w:rFonts w:cs="宋体"/>
                <w:color w:val="auto"/>
                <w:szCs w:val="21"/>
                <w:highlight w:val="none"/>
              </w:rPr>
            </w:pPr>
          </w:p>
        </w:tc>
        <w:tc>
          <w:tcPr>
            <w:tcW w:w="1889" w:type="pct"/>
            <w:vAlign w:val="center"/>
          </w:tcPr>
          <w:p w14:paraId="3FE7099E">
            <w:pPr>
              <w:keepNext/>
              <w:spacing w:line="360" w:lineRule="auto"/>
              <w:jc w:val="center"/>
              <w:rPr>
                <w:rFonts w:cs="宋体"/>
                <w:color w:val="auto"/>
                <w:szCs w:val="21"/>
                <w:highlight w:val="none"/>
              </w:rPr>
            </w:pPr>
          </w:p>
        </w:tc>
        <w:tc>
          <w:tcPr>
            <w:tcW w:w="739" w:type="pct"/>
            <w:vAlign w:val="center"/>
          </w:tcPr>
          <w:p w14:paraId="60919054">
            <w:pPr>
              <w:keepNext/>
              <w:spacing w:line="360" w:lineRule="auto"/>
              <w:jc w:val="center"/>
              <w:rPr>
                <w:rFonts w:cs="宋体"/>
                <w:color w:val="auto"/>
                <w:szCs w:val="21"/>
                <w:highlight w:val="none"/>
              </w:rPr>
            </w:pPr>
          </w:p>
        </w:tc>
      </w:tr>
      <w:tr w14:paraId="1002D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0E99A35">
            <w:pPr>
              <w:keepNext/>
              <w:spacing w:line="360" w:lineRule="auto"/>
              <w:jc w:val="center"/>
              <w:rPr>
                <w:rFonts w:cs="宋体"/>
                <w:color w:val="auto"/>
                <w:szCs w:val="21"/>
                <w:highlight w:val="none"/>
              </w:rPr>
            </w:pPr>
          </w:p>
        </w:tc>
        <w:tc>
          <w:tcPr>
            <w:tcW w:w="641" w:type="pct"/>
            <w:vAlign w:val="center"/>
          </w:tcPr>
          <w:p w14:paraId="163C378D">
            <w:pPr>
              <w:keepNext/>
              <w:spacing w:line="360" w:lineRule="auto"/>
              <w:jc w:val="center"/>
              <w:rPr>
                <w:rFonts w:cs="宋体"/>
                <w:color w:val="auto"/>
                <w:szCs w:val="21"/>
                <w:highlight w:val="none"/>
              </w:rPr>
            </w:pPr>
          </w:p>
        </w:tc>
        <w:tc>
          <w:tcPr>
            <w:tcW w:w="513" w:type="pct"/>
            <w:vAlign w:val="center"/>
          </w:tcPr>
          <w:p w14:paraId="66D4A5F4">
            <w:pPr>
              <w:keepNext/>
              <w:spacing w:line="360" w:lineRule="auto"/>
              <w:jc w:val="center"/>
              <w:rPr>
                <w:rFonts w:cs="宋体"/>
                <w:color w:val="auto"/>
                <w:szCs w:val="21"/>
                <w:highlight w:val="none"/>
              </w:rPr>
            </w:pPr>
          </w:p>
        </w:tc>
        <w:tc>
          <w:tcPr>
            <w:tcW w:w="373" w:type="pct"/>
            <w:vAlign w:val="center"/>
          </w:tcPr>
          <w:p w14:paraId="1536546D">
            <w:pPr>
              <w:keepNext/>
              <w:spacing w:line="360" w:lineRule="auto"/>
              <w:jc w:val="center"/>
              <w:rPr>
                <w:rFonts w:cs="宋体"/>
                <w:color w:val="auto"/>
                <w:szCs w:val="21"/>
                <w:highlight w:val="none"/>
              </w:rPr>
            </w:pPr>
          </w:p>
        </w:tc>
        <w:tc>
          <w:tcPr>
            <w:tcW w:w="1889" w:type="pct"/>
            <w:vAlign w:val="center"/>
          </w:tcPr>
          <w:p w14:paraId="547FD911">
            <w:pPr>
              <w:keepNext/>
              <w:spacing w:line="360" w:lineRule="auto"/>
              <w:jc w:val="center"/>
              <w:rPr>
                <w:rFonts w:cs="宋体"/>
                <w:color w:val="auto"/>
                <w:szCs w:val="21"/>
                <w:highlight w:val="none"/>
              </w:rPr>
            </w:pPr>
          </w:p>
        </w:tc>
        <w:tc>
          <w:tcPr>
            <w:tcW w:w="739" w:type="pct"/>
            <w:vAlign w:val="center"/>
          </w:tcPr>
          <w:p w14:paraId="00FA6C0F">
            <w:pPr>
              <w:keepNext/>
              <w:spacing w:line="360" w:lineRule="auto"/>
              <w:jc w:val="center"/>
              <w:rPr>
                <w:rFonts w:cs="宋体"/>
                <w:color w:val="auto"/>
                <w:szCs w:val="21"/>
                <w:highlight w:val="none"/>
              </w:rPr>
            </w:pPr>
          </w:p>
        </w:tc>
      </w:tr>
      <w:tr w14:paraId="066BB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45C57402">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16A54899">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AC7343F">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60C784BC">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28B87995">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06A60BBD">
            <w:pPr>
              <w:keepNext/>
              <w:spacing w:line="360" w:lineRule="auto"/>
              <w:jc w:val="center"/>
              <w:rPr>
                <w:rFonts w:cs="宋体"/>
                <w:color w:val="auto"/>
                <w:szCs w:val="21"/>
                <w:highlight w:val="none"/>
              </w:rPr>
            </w:pPr>
          </w:p>
        </w:tc>
      </w:tr>
    </w:tbl>
    <w:p w14:paraId="43A2D745">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6" w:name="_Toc128950243"/>
      <w:r>
        <w:rPr>
          <w:rFonts w:hint="eastAsia" w:ascii="Times New Roman" w:eastAsia="黑体"/>
          <w:color w:val="auto"/>
          <w:szCs w:val="24"/>
          <w:highlight w:val="none"/>
        </w:rPr>
        <w:t>附</w:t>
      </w:r>
      <w:bookmarkStart w:id="637" w:name="_Toc296503231"/>
      <w:bookmarkStart w:id="638" w:name="_Toc296346732"/>
      <w:bookmarkStart w:id="639" w:name="_Toc296944570"/>
      <w:bookmarkStart w:id="640" w:name="_Toc296347230"/>
      <w:bookmarkStart w:id="641" w:name="_Toc296891271"/>
      <w:bookmarkStart w:id="642" w:name="_Toc296891059"/>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36"/>
    </w:p>
    <w:bookmarkEnd w:id="637"/>
    <w:bookmarkEnd w:id="638"/>
    <w:bookmarkEnd w:id="639"/>
    <w:bookmarkEnd w:id="640"/>
    <w:bookmarkEnd w:id="641"/>
    <w:bookmarkEnd w:id="642"/>
    <w:p w14:paraId="00F4E0D2">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273424C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2BEF3E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484569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DC7D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BA5E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0E160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14E955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5F73FFB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1978CC6C">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259A0DE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745977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329D0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77B1AE7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FFCE0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764816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30A09A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1218D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4A57BCAF">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7576397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2CDA1C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04D13D4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3447128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500AF13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6DD4B6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C28F4B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0727A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70442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2EDB6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41CCE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0A98D7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671503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2D2C95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1D3AA5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BBF9B0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04DCC69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79D3213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CC593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F508E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4F17BB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1868B22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53E81F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05780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08E3775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000798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48A9DC7D">
      <w:pPr>
        <w:widowControl/>
        <w:spacing w:line="360" w:lineRule="auto"/>
        <w:ind w:firstLine="420" w:firstLineChars="200"/>
        <w:jc w:val="left"/>
        <w:rPr>
          <w:rFonts w:cs="宋体"/>
          <w:color w:val="auto"/>
          <w:sz w:val="21"/>
          <w:szCs w:val="21"/>
          <w:highlight w:val="none"/>
        </w:rPr>
      </w:pPr>
    </w:p>
    <w:p w14:paraId="08B5744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2987B0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0E9784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F9BEC2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249F027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7AFF8B8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2808ED18">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43" w:name="_Toc128950244"/>
      <w:r>
        <w:rPr>
          <w:rFonts w:hint="eastAsia" w:ascii="Times New Roman" w:eastAsia="黑体"/>
          <w:color w:val="auto"/>
          <w:szCs w:val="24"/>
          <w:highlight w:val="none"/>
        </w:rPr>
        <w:t>附件9：履约保证金</w:t>
      </w:r>
      <w:bookmarkEnd w:id="643"/>
    </w:p>
    <w:p w14:paraId="64EFDEF6">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4BDB1905">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217ED0C">
      <w:pPr>
        <w:spacing w:line="360" w:lineRule="auto"/>
        <w:rPr>
          <w:rFonts w:ascii="Times New Roman"/>
          <w:color w:val="auto"/>
          <w:szCs w:val="21"/>
          <w:highlight w:val="none"/>
        </w:rPr>
      </w:pPr>
    </w:p>
    <w:p w14:paraId="130D614B">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89808AB">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0EF3E82">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5FD2269D">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C6BE24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3E0E126B">
      <w:pPr>
        <w:spacing w:line="360" w:lineRule="auto"/>
        <w:ind w:firstLine="480"/>
        <w:rPr>
          <w:rFonts w:cs="宋体"/>
          <w:color w:val="auto"/>
          <w:sz w:val="21"/>
          <w:szCs w:val="21"/>
          <w:highlight w:val="none"/>
        </w:rPr>
      </w:pPr>
      <w:bookmarkStart w:id="644"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44"/>
    <w:p w14:paraId="17B7EF1C">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C97C5E1">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0C08B8FE">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43170DFA">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654B01E">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8360D0">
      <w:pPr>
        <w:spacing w:line="360" w:lineRule="auto"/>
        <w:ind w:firstLine="420" w:firstLineChars="200"/>
        <w:rPr>
          <w:rFonts w:cs="宋体"/>
          <w:color w:val="auto"/>
          <w:sz w:val="21"/>
          <w:szCs w:val="21"/>
          <w:highlight w:val="none"/>
        </w:rPr>
      </w:pPr>
      <w:bookmarkStart w:id="645" w:name="_Hlk40303486"/>
      <w:r>
        <w:rPr>
          <w:rFonts w:hint="eastAsia" w:cs="宋体"/>
          <w:color w:val="auto"/>
          <w:sz w:val="21"/>
          <w:szCs w:val="21"/>
          <w:highlight w:val="none"/>
        </w:rPr>
        <w:t>受益人发出的书面付款通知应由其法定代表人（负责人）或授权代理人签字并加盖公章。</w:t>
      </w:r>
      <w:bookmarkEnd w:id="645"/>
    </w:p>
    <w:p w14:paraId="4249F3A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BF8867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7A57E75E">
      <w:pPr>
        <w:spacing w:line="360" w:lineRule="auto"/>
        <w:ind w:firstLine="420" w:firstLineChars="200"/>
        <w:rPr>
          <w:rFonts w:cs="宋体"/>
          <w:color w:val="auto"/>
          <w:sz w:val="21"/>
          <w:szCs w:val="21"/>
          <w:highlight w:val="none"/>
        </w:rPr>
      </w:pPr>
      <w:bookmarkStart w:id="646" w:name="_Hlk40303383"/>
      <w:bookmarkStart w:id="647" w:name="_Hlk40354981"/>
      <w:r>
        <w:rPr>
          <w:rFonts w:hint="eastAsia" w:cs="宋体"/>
          <w:color w:val="auto"/>
          <w:sz w:val="21"/>
          <w:szCs w:val="21"/>
          <w:highlight w:val="none"/>
        </w:rPr>
        <w:t xml:space="preserve">七、本保函项下的义务和责任均在保函有效期到期后自动消灭。 </w:t>
      </w:r>
    </w:p>
    <w:p w14:paraId="6D464195">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46"/>
      <w:r>
        <w:rPr>
          <w:rFonts w:hint="eastAsia" w:cs="宋体"/>
          <w:color w:val="auto"/>
          <w:sz w:val="21"/>
          <w:szCs w:val="21"/>
          <w:highlight w:val="none"/>
        </w:rPr>
        <w:t xml:space="preserve">由受益人所在地人民法院管辖。 </w:t>
      </w:r>
    </w:p>
    <w:bookmarkEnd w:id="647"/>
    <w:p w14:paraId="1BC7F00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0B243C35">
      <w:pPr>
        <w:spacing w:line="360" w:lineRule="auto"/>
        <w:ind w:firstLine="420" w:firstLineChars="200"/>
        <w:rPr>
          <w:rFonts w:cs="宋体"/>
          <w:color w:val="auto"/>
          <w:sz w:val="21"/>
          <w:szCs w:val="21"/>
          <w:highlight w:val="none"/>
        </w:rPr>
      </w:pPr>
    </w:p>
    <w:p w14:paraId="389F9FA2">
      <w:pPr>
        <w:spacing w:line="360" w:lineRule="auto"/>
        <w:ind w:firstLine="420" w:firstLineChars="200"/>
        <w:rPr>
          <w:rFonts w:cs="宋体"/>
          <w:color w:val="auto"/>
          <w:sz w:val="21"/>
          <w:szCs w:val="21"/>
          <w:highlight w:val="none"/>
        </w:rPr>
      </w:pPr>
    </w:p>
    <w:p w14:paraId="7E306588">
      <w:pPr>
        <w:spacing w:line="360" w:lineRule="auto"/>
        <w:ind w:firstLine="420" w:firstLineChars="200"/>
        <w:rPr>
          <w:rFonts w:cs="宋体"/>
          <w:color w:val="auto"/>
          <w:sz w:val="21"/>
          <w:szCs w:val="21"/>
          <w:highlight w:val="none"/>
        </w:rPr>
      </w:pPr>
    </w:p>
    <w:p w14:paraId="696A289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61AA6893">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FAF6FD5">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218F300">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3B229DE">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B93D4AD">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942B14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B7D4136">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48" w:name="_Toc128950245"/>
      <w:r>
        <w:rPr>
          <w:rFonts w:hint="eastAsia" w:ascii="Times New Roman" w:eastAsia="黑体"/>
          <w:color w:val="auto"/>
          <w:szCs w:val="24"/>
          <w:highlight w:val="none"/>
        </w:rPr>
        <w:t>附</w:t>
      </w:r>
      <w:bookmarkStart w:id="649" w:name="_Toc296347231"/>
      <w:bookmarkStart w:id="650" w:name="_Toc296503232"/>
      <w:bookmarkStart w:id="651" w:name="_Toc296891272"/>
      <w:bookmarkStart w:id="652" w:name="_Toc296891060"/>
      <w:bookmarkStart w:id="653" w:name="_Toc267261702"/>
      <w:bookmarkStart w:id="654" w:name="_Toc296944571"/>
      <w:bookmarkStart w:id="655" w:name="_Toc296346733"/>
      <w:r>
        <w:rPr>
          <w:rFonts w:hint="eastAsia" w:ascii="Times New Roman" w:eastAsia="黑体"/>
          <w:color w:val="auto"/>
          <w:szCs w:val="24"/>
          <w:highlight w:val="none"/>
        </w:rPr>
        <w:t>件10：预付款担保</w:t>
      </w:r>
      <w:bookmarkEnd w:id="648"/>
    </w:p>
    <w:bookmarkEnd w:id="649"/>
    <w:bookmarkEnd w:id="650"/>
    <w:bookmarkEnd w:id="651"/>
    <w:bookmarkEnd w:id="652"/>
    <w:bookmarkEnd w:id="653"/>
    <w:bookmarkEnd w:id="654"/>
    <w:bookmarkEnd w:id="655"/>
    <w:p w14:paraId="23752F25">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2B456F4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368ACB74">
      <w:pPr>
        <w:spacing w:line="360" w:lineRule="auto"/>
        <w:rPr>
          <w:rFonts w:ascii="Times New Roman"/>
          <w:color w:val="auto"/>
          <w:szCs w:val="21"/>
          <w:highlight w:val="none"/>
        </w:rPr>
      </w:pPr>
    </w:p>
    <w:p w14:paraId="19C3F605">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A390BD0">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0080428F">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1A9497D8">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0772ECB">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7B74358">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73517AA0">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0C43089">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14D5A72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CD6420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504A12F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B609A3">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102F67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DA43AC4">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1DE9A0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52BB1A9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3C81A1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6E8730F7">
      <w:pPr>
        <w:spacing w:line="360" w:lineRule="auto"/>
        <w:ind w:firstLine="420" w:firstLineChars="200"/>
        <w:rPr>
          <w:rFonts w:cs="宋体"/>
          <w:color w:val="auto"/>
          <w:sz w:val="21"/>
          <w:szCs w:val="21"/>
          <w:highlight w:val="none"/>
        </w:rPr>
      </w:pPr>
    </w:p>
    <w:p w14:paraId="7A4F9609">
      <w:pPr>
        <w:spacing w:line="360" w:lineRule="auto"/>
        <w:ind w:firstLine="420" w:firstLineChars="200"/>
        <w:rPr>
          <w:rFonts w:cs="宋体"/>
          <w:color w:val="auto"/>
          <w:sz w:val="21"/>
          <w:szCs w:val="21"/>
          <w:highlight w:val="none"/>
        </w:rPr>
      </w:pPr>
    </w:p>
    <w:p w14:paraId="4CC1FECA">
      <w:pPr>
        <w:spacing w:line="360" w:lineRule="auto"/>
        <w:ind w:firstLine="420" w:firstLineChars="200"/>
        <w:rPr>
          <w:rFonts w:cs="宋体"/>
          <w:color w:val="auto"/>
          <w:sz w:val="21"/>
          <w:szCs w:val="21"/>
          <w:highlight w:val="none"/>
        </w:rPr>
      </w:pPr>
    </w:p>
    <w:p w14:paraId="03C5E51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39D3F7A">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85C2B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617A0D1">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0C7DFC7">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016033D1">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4F5E2CA9">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F0D08C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56" w:name="_Toc128950246"/>
      <w:r>
        <w:rPr>
          <w:rFonts w:hint="eastAsia" w:ascii="Times New Roman" w:eastAsia="黑体"/>
          <w:color w:val="auto"/>
          <w:szCs w:val="24"/>
          <w:highlight w:val="none"/>
        </w:rPr>
        <w:t>附</w:t>
      </w:r>
      <w:bookmarkStart w:id="657" w:name="_Toc296944572"/>
      <w:bookmarkStart w:id="658" w:name="_Toc296891273"/>
      <w:bookmarkStart w:id="659" w:name="_Toc296347232"/>
      <w:bookmarkStart w:id="660" w:name="_Toc296346734"/>
      <w:bookmarkStart w:id="661" w:name="_Toc296503233"/>
      <w:bookmarkStart w:id="662" w:name="_Toc296891061"/>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56"/>
      <w:bookmarkEnd w:id="657"/>
      <w:bookmarkEnd w:id="658"/>
      <w:bookmarkEnd w:id="659"/>
      <w:bookmarkEnd w:id="660"/>
      <w:bookmarkEnd w:id="661"/>
      <w:bookmarkEnd w:id="662"/>
    </w:p>
    <w:p w14:paraId="3C1EEEE2">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61679FE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227DF80">
      <w:pPr>
        <w:spacing w:line="360" w:lineRule="auto"/>
        <w:rPr>
          <w:rFonts w:ascii="Times New Roman"/>
          <w:color w:val="auto"/>
          <w:szCs w:val="21"/>
          <w:highlight w:val="none"/>
        </w:rPr>
      </w:pPr>
    </w:p>
    <w:p w14:paraId="7BD4F0E6">
      <w:pPr>
        <w:spacing w:line="360" w:lineRule="auto"/>
        <w:rPr>
          <w:rFonts w:cs="宋体"/>
          <w:color w:val="auto"/>
          <w:sz w:val="21"/>
          <w:szCs w:val="21"/>
          <w:highlight w:val="none"/>
        </w:rPr>
      </w:pPr>
      <w:bookmarkStart w:id="663"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63"/>
    <w:p w14:paraId="0843B4FD">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2D2603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7C25D3A">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7B5A894">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23038D4E">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555FE43D">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D543F1A">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2AB385D1">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85DDF7D">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39F828C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29EE9">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3E2243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AB309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64E2A47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595A2B">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04A2E23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044036A">
      <w:pPr>
        <w:spacing w:line="360" w:lineRule="auto"/>
        <w:ind w:firstLine="420" w:firstLineChars="200"/>
        <w:rPr>
          <w:rFonts w:cs="宋体"/>
          <w:color w:val="auto"/>
          <w:sz w:val="21"/>
          <w:szCs w:val="21"/>
          <w:highlight w:val="none"/>
        </w:rPr>
      </w:pPr>
    </w:p>
    <w:p w14:paraId="4FD46A8D">
      <w:pPr>
        <w:spacing w:line="360" w:lineRule="auto"/>
        <w:ind w:firstLine="420" w:firstLineChars="200"/>
        <w:rPr>
          <w:rFonts w:cs="宋体"/>
          <w:color w:val="auto"/>
          <w:sz w:val="21"/>
          <w:szCs w:val="21"/>
          <w:highlight w:val="none"/>
        </w:rPr>
      </w:pPr>
    </w:p>
    <w:p w14:paraId="33C7D910">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75B3768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3835FF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C65E4B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D468EB2">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D87765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763F2F27">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D4106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4"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64"/>
    </w:p>
    <w:p w14:paraId="761B758D">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969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7DA1B3D5">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561CE93E">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3DE7B17A">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497AA6D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5E10B35">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22E37A">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4649C24">
            <w:pPr>
              <w:keepNext/>
              <w:spacing w:line="440" w:lineRule="exact"/>
              <w:jc w:val="center"/>
              <w:rPr>
                <w:rFonts w:cs="宋体"/>
                <w:color w:val="auto"/>
                <w:szCs w:val="21"/>
                <w:highlight w:val="none"/>
              </w:rPr>
            </w:pPr>
            <w:r>
              <w:rPr>
                <w:rFonts w:hint="eastAsia" w:cs="宋体"/>
                <w:color w:val="auto"/>
                <w:szCs w:val="21"/>
                <w:highlight w:val="none"/>
              </w:rPr>
              <w:t>备注</w:t>
            </w:r>
          </w:p>
        </w:tc>
      </w:tr>
      <w:tr w14:paraId="41BE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EF25CA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7EE79F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50D2993">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46243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A59C2A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1FB973A">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B00950">
            <w:pPr>
              <w:keepNext/>
              <w:spacing w:line="440" w:lineRule="exact"/>
              <w:jc w:val="center"/>
              <w:rPr>
                <w:rFonts w:cs="宋体"/>
                <w:color w:val="auto"/>
                <w:szCs w:val="21"/>
                <w:highlight w:val="none"/>
              </w:rPr>
            </w:pPr>
          </w:p>
        </w:tc>
      </w:tr>
      <w:tr w14:paraId="1B164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7B5C3EAF">
            <w:pPr>
              <w:keepNext/>
              <w:spacing w:line="440" w:lineRule="exact"/>
              <w:jc w:val="center"/>
              <w:rPr>
                <w:rFonts w:cs="宋体"/>
                <w:color w:val="auto"/>
                <w:szCs w:val="21"/>
                <w:highlight w:val="none"/>
              </w:rPr>
            </w:pPr>
          </w:p>
        </w:tc>
        <w:tc>
          <w:tcPr>
            <w:tcW w:w="1094" w:type="pct"/>
            <w:tcBorders>
              <w:top w:val="nil"/>
            </w:tcBorders>
            <w:vAlign w:val="center"/>
          </w:tcPr>
          <w:p w14:paraId="54278709">
            <w:pPr>
              <w:keepNext/>
              <w:spacing w:line="440" w:lineRule="exact"/>
              <w:jc w:val="center"/>
              <w:rPr>
                <w:rFonts w:cs="宋体"/>
                <w:color w:val="auto"/>
                <w:szCs w:val="21"/>
                <w:highlight w:val="none"/>
              </w:rPr>
            </w:pPr>
          </w:p>
        </w:tc>
        <w:tc>
          <w:tcPr>
            <w:tcW w:w="468" w:type="pct"/>
            <w:tcBorders>
              <w:top w:val="nil"/>
            </w:tcBorders>
            <w:vAlign w:val="center"/>
          </w:tcPr>
          <w:p w14:paraId="0CD8F305">
            <w:pPr>
              <w:keepNext/>
              <w:spacing w:line="440" w:lineRule="exact"/>
              <w:jc w:val="center"/>
              <w:rPr>
                <w:rFonts w:cs="宋体"/>
                <w:color w:val="auto"/>
                <w:szCs w:val="21"/>
                <w:highlight w:val="none"/>
              </w:rPr>
            </w:pPr>
          </w:p>
        </w:tc>
        <w:tc>
          <w:tcPr>
            <w:tcW w:w="426" w:type="pct"/>
            <w:tcBorders>
              <w:top w:val="nil"/>
            </w:tcBorders>
            <w:vAlign w:val="center"/>
          </w:tcPr>
          <w:p w14:paraId="31B2DFFA">
            <w:pPr>
              <w:keepNext/>
              <w:spacing w:line="440" w:lineRule="exact"/>
              <w:jc w:val="center"/>
              <w:rPr>
                <w:rFonts w:cs="宋体"/>
                <w:color w:val="auto"/>
                <w:szCs w:val="21"/>
                <w:highlight w:val="none"/>
              </w:rPr>
            </w:pPr>
          </w:p>
        </w:tc>
        <w:tc>
          <w:tcPr>
            <w:tcW w:w="745" w:type="pct"/>
            <w:tcBorders>
              <w:top w:val="nil"/>
            </w:tcBorders>
            <w:vAlign w:val="center"/>
          </w:tcPr>
          <w:p w14:paraId="7F363F4F">
            <w:pPr>
              <w:keepNext/>
              <w:spacing w:line="440" w:lineRule="exact"/>
              <w:jc w:val="center"/>
              <w:rPr>
                <w:rFonts w:cs="宋体"/>
                <w:color w:val="auto"/>
                <w:szCs w:val="21"/>
                <w:highlight w:val="none"/>
              </w:rPr>
            </w:pPr>
          </w:p>
        </w:tc>
        <w:tc>
          <w:tcPr>
            <w:tcW w:w="781" w:type="pct"/>
            <w:tcBorders>
              <w:top w:val="nil"/>
            </w:tcBorders>
            <w:vAlign w:val="center"/>
          </w:tcPr>
          <w:p w14:paraId="4D0BD224">
            <w:pPr>
              <w:keepNext/>
              <w:spacing w:line="440" w:lineRule="exact"/>
              <w:jc w:val="center"/>
              <w:rPr>
                <w:rFonts w:cs="宋体"/>
                <w:color w:val="auto"/>
                <w:szCs w:val="21"/>
                <w:highlight w:val="none"/>
              </w:rPr>
            </w:pPr>
          </w:p>
        </w:tc>
        <w:tc>
          <w:tcPr>
            <w:tcW w:w="938" w:type="pct"/>
            <w:tcBorders>
              <w:top w:val="nil"/>
            </w:tcBorders>
            <w:vAlign w:val="center"/>
          </w:tcPr>
          <w:p w14:paraId="0F9F5AA7">
            <w:pPr>
              <w:keepNext/>
              <w:spacing w:line="440" w:lineRule="exact"/>
              <w:jc w:val="center"/>
              <w:rPr>
                <w:rFonts w:cs="宋体"/>
                <w:color w:val="auto"/>
                <w:szCs w:val="21"/>
                <w:highlight w:val="none"/>
              </w:rPr>
            </w:pPr>
          </w:p>
        </w:tc>
      </w:tr>
      <w:tr w14:paraId="2AF4C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041A977">
            <w:pPr>
              <w:keepNext/>
              <w:spacing w:line="440" w:lineRule="exact"/>
              <w:jc w:val="center"/>
              <w:rPr>
                <w:rFonts w:cs="宋体"/>
                <w:color w:val="auto"/>
                <w:szCs w:val="21"/>
                <w:highlight w:val="none"/>
              </w:rPr>
            </w:pPr>
          </w:p>
        </w:tc>
        <w:tc>
          <w:tcPr>
            <w:tcW w:w="1094" w:type="pct"/>
            <w:vAlign w:val="center"/>
          </w:tcPr>
          <w:p w14:paraId="34960263">
            <w:pPr>
              <w:keepNext/>
              <w:spacing w:line="440" w:lineRule="exact"/>
              <w:jc w:val="center"/>
              <w:rPr>
                <w:rFonts w:cs="宋体"/>
                <w:color w:val="auto"/>
                <w:szCs w:val="21"/>
                <w:highlight w:val="none"/>
              </w:rPr>
            </w:pPr>
          </w:p>
        </w:tc>
        <w:tc>
          <w:tcPr>
            <w:tcW w:w="468" w:type="pct"/>
            <w:vAlign w:val="center"/>
          </w:tcPr>
          <w:p w14:paraId="6B75D066">
            <w:pPr>
              <w:keepNext/>
              <w:spacing w:line="440" w:lineRule="exact"/>
              <w:jc w:val="center"/>
              <w:rPr>
                <w:rFonts w:cs="宋体"/>
                <w:color w:val="auto"/>
                <w:szCs w:val="21"/>
                <w:highlight w:val="none"/>
              </w:rPr>
            </w:pPr>
          </w:p>
        </w:tc>
        <w:tc>
          <w:tcPr>
            <w:tcW w:w="426" w:type="pct"/>
            <w:vAlign w:val="center"/>
          </w:tcPr>
          <w:p w14:paraId="27C0D7F2">
            <w:pPr>
              <w:keepNext/>
              <w:spacing w:line="440" w:lineRule="exact"/>
              <w:jc w:val="center"/>
              <w:rPr>
                <w:rFonts w:cs="宋体"/>
                <w:color w:val="auto"/>
                <w:szCs w:val="21"/>
                <w:highlight w:val="none"/>
              </w:rPr>
            </w:pPr>
          </w:p>
        </w:tc>
        <w:tc>
          <w:tcPr>
            <w:tcW w:w="745" w:type="pct"/>
            <w:vAlign w:val="center"/>
          </w:tcPr>
          <w:p w14:paraId="3B226B39">
            <w:pPr>
              <w:keepNext/>
              <w:spacing w:line="440" w:lineRule="exact"/>
              <w:jc w:val="center"/>
              <w:rPr>
                <w:rFonts w:cs="宋体"/>
                <w:color w:val="auto"/>
                <w:szCs w:val="21"/>
                <w:highlight w:val="none"/>
              </w:rPr>
            </w:pPr>
          </w:p>
        </w:tc>
        <w:tc>
          <w:tcPr>
            <w:tcW w:w="781" w:type="pct"/>
            <w:vAlign w:val="center"/>
          </w:tcPr>
          <w:p w14:paraId="4A3E6778">
            <w:pPr>
              <w:keepNext/>
              <w:spacing w:line="440" w:lineRule="exact"/>
              <w:jc w:val="center"/>
              <w:rPr>
                <w:rFonts w:cs="宋体"/>
                <w:color w:val="auto"/>
                <w:szCs w:val="21"/>
                <w:highlight w:val="none"/>
              </w:rPr>
            </w:pPr>
          </w:p>
        </w:tc>
        <w:tc>
          <w:tcPr>
            <w:tcW w:w="938" w:type="pct"/>
            <w:vAlign w:val="center"/>
          </w:tcPr>
          <w:p w14:paraId="65E26681">
            <w:pPr>
              <w:keepNext/>
              <w:spacing w:line="440" w:lineRule="exact"/>
              <w:jc w:val="center"/>
              <w:rPr>
                <w:rFonts w:cs="宋体"/>
                <w:color w:val="auto"/>
                <w:szCs w:val="21"/>
                <w:highlight w:val="none"/>
              </w:rPr>
            </w:pPr>
          </w:p>
        </w:tc>
      </w:tr>
      <w:tr w14:paraId="30C8D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0FAB633">
            <w:pPr>
              <w:keepNext/>
              <w:spacing w:line="440" w:lineRule="exact"/>
              <w:jc w:val="center"/>
              <w:rPr>
                <w:rFonts w:cs="宋体"/>
                <w:color w:val="auto"/>
                <w:szCs w:val="21"/>
                <w:highlight w:val="none"/>
              </w:rPr>
            </w:pPr>
          </w:p>
        </w:tc>
        <w:tc>
          <w:tcPr>
            <w:tcW w:w="1094" w:type="pct"/>
            <w:vAlign w:val="center"/>
          </w:tcPr>
          <w:p w14:paraId="2900E2D2">
            <w:pPr>
              <w:keepNext/>
              <w:spacing w:line="440" w:lineRule="exact"/>
              <w:jc w:val="center"/>
              <w:rPr>
                <w:rFonts w:cs="宋体"/>
                <w:color w:val="auto"/>
                <w:szCs w:val="21"/>
                <w:highlight w:val="none"/>
              </w:rPr>
            </w:pPr>
          </w:p>
        </w:tc>
        <w:tc>
          <w:tcPr>
            <w:tcW w:w="468" w:type="pct"/>
            <w:vAlign w:val="center"/>
          </w:tcPr>
          <w:p w14:paraId="6AFA5873">
            <w:pPr>
              <w:keepNext/>
              <w:spacing w:line="440" w:lineRule="exact"/>
              <w:jc w:val="center"/>
              <w:rPr>
                <w:rFonts w:cs="宋体"/>
                <w:color w:val="auto"/>
                <w:szCs w:val="21"/>
                <w:highlight w:val="none"/>
              </w:rPr>
            </w:pPr>
          </w:p>
        </w:tc>
        <w:tc>
          <w:tcPr>
            <w:tcW w:w="426" w:type="pct"/>
            <w:vAlign w:val="center"/>
          </w:tcPr>
          <w:p w14:paraId="5FB97B86">
            <w:pPr>
              <w:keepNext/>
              <w:spacing w:line="440" w:lineRule="exact"/>
              <w:jc w:val="center"/>
              <w:rPr>
                <w:rFonts w:cs="宋体"/>
                <w:color w:val="auto"/>
                <w:szCs w:val="21"/>
                <w:highlight w:val="none"/>
              </w:rPr>
            </w:pPr>
          </w:p>
        </w:tc>
        <w:tc>
          <w:tcPr>
            <w:tcW w:w="745" w:type="pct"/>
            <w:vAlign w:val="center"/>
          </w:tcPr>
          <w:p w14:paraId="6975B728">
            <w:pPr>
              <w:keepNext/>
              <w:spacing w:line="440" w:lineRule="exact"/>
              <w:jc w:val="center"/>
              <w:rPr>
                <w:rFonts w:cs="宋体"/>
                <w:color w:val="auto"/>
                <w:szCs w:val="21"/>
                <w:highlight w:val="none"/>
              </w:rPr>
            </w:pPr>
          </w:p>
        </w:tc>
        <w:tc>
          <w:tcPr>
            <w:tcW w:w="781" w:type="pct"/>
            <w:vAlign w:val="center"/>
          </w:tcPr>
          <w:p w14:paraId="2A9C7053">
            <w:pPr>
              <w:keepNext/>
              <w:spacing w:line="440" w:lineRule="exact"/>
              <w:jc w:val="center"/>
              <w:rPr>
                <w:rFonts w:cs="宋体"/>
                <w:color w:val="auto"/>
                <w:szCs w:val="21"/>
                <w:highlight w:val="none"/>
              </w:rPr>
            </w:pPr>
          </w:p>
        </w:tc>
        <w:tc>
          <w:tcPr>
            <w:tcW w:w="938" w:type="pct"/>
            <w:vAlign w:val="center"/>
          </w:tcPr>
          <w:p w14:paraId="72AE0FE2">
            <w:pPr>
              <w:keepNext/>
              <w:spacing w:line="440" w:lineRule="exact"/>
              <w:jc w:val="center"/>
              <w:rPr>
                <w:rFonts w:cs="宋体"/>
                <w:color w:val="auto"/>
                <w:szCs w:val="21"/>
                <w:highlight w:val="none"/>
              </w:rPr>
            </w:pPr>
          </w:p>
        </w:tc>
      </w:tr>
      <w:tr w14:paraId="6C502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87D2A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2B33E7E7">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B30CF0B">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39B1DF19">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F05270A">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B34A753">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2E81377B">
            <w:pPr>
              <w:keepNext/>
              <w:spacing w:line="440" w:lineRule="exact"/>
              <w:jc w:val="center"/>
              <w:rPr>
                <w:rFonts w:cs="宋体"/>
                <w:color w:val="auto"/>
                <w:szCs w:val="21"/>
                <w:highlight w:val="none"/>
              </w:rPr>
            </w:pPr>
          </w:p>
        </w:tc>
      </w:tr>
    </w:tbl>
    <w:p w14:paraId="4FD5B4F2">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001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771A430">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0C00CA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42D5FF7E">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269BED61">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239B56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3A75A51">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07B321">
            <w:pPr>
              <w:keepNext/>
              <w:spacing w:line="440" w:lineRule="exact"/>
              <w:jc w:val="center"/>
              <w:rPr>
                <w:rFonts w:cs="宋体"/>
                <w:color w:val="auto"/>
                <w:szCs w:val="21"/>
                <w:highlight w:val="none"/>
              </w:rPr>
            </w:pPr>
            <w:r>
              <w:rPr>
                <w:rFonts w:hint="eastAsia" w:cs="宋体"/>
                <w:color w:val="auto"/>
                <w:szCs w:val="21"/>
                <w:highlight w:val="none"/>
              </w:rPr>
              <w:t>备注</w:t>
            </w:r>
          </w:p>
        </w:tc>
      </w:tr>
      <w:tr w14:paraId="00AFC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742B218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CCA7286">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D3739E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57B49F0E">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31BE0F7">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AC79F75">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09126D">
            <w:pPr>
              <w:keepNext/>
              <w:spacing w:line="440" w:lineRule="exact"/>
              <w:jc w:val="center"/>
              <w:rPr>
                <w:rFonts w:cs="宋体"/>
                <w:color w:val="auto"/>
                <w:szCs w:val="21"/>
                <w:highlight w:val="none"/>
              </w:rPr>
            </w:pPr>
          </w:p>
        </w:tc>
      </w:tr>
      <w:tr w14:paraId="7C016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62B8F3F">
            <w:pPr>
              <w:keepNext/>
              <w:spacing w:line="440" w:lineRule="exact"/>
              <w:jc w:val="center"/>
              <w:rPr>
                <w:rFonts w:cs="宋体"/>
                <w:color w:val="auto"/>
                <w:szCs w:val="21"/>
                <w:highlight w:val="none"/>
              </w:rPr>
            </w:pPr>
          </w:p>
        </w:tc>
        <w:tc>
          <w:tcPr>
            <w:tcW w:w="1094" w:type="pct"/>
            <w:tcBorders>
              <w:top w:val="nil"/>
            </w:tcBorders>
            <w:vAlign w:val="center"/>
          </w:tcPr>
          <w:p w14:paraId="499FD828">
            <w:pPr>
              <w:keepNext/>
              <w:spacing w:line="440" w:lineRule="exact"/>
              <w:jc w:val="center"/>
              <w:rPr>
                <w:rFonts w:cs="宋体"/>
                <w:color w:val="auto"/>
                <w:szCs w:val="21"/>
                <w:highlight w:val="none"/>
              </w:rPr>
            </w:pPr>
          </w:p>
        </w:tc>
        <w:tc>
          <w:tcPr>
            <w:tcW w:w="468" w:type="pct"/>
            <w:tcBorders>
              <w:top w:val="nil"/>
            </w:tcBorders>
            <w:vAlign w:val="center"/>
          </w:tcPr>
          <w:p w14:paraId="2E3A8C54">
            <w:pPr>
              <w:keepNext/>
              <w:spacing w:line="440" w:lineRule="exact"/>
              <w:jc w:val="center"/>
              <w:rPr>
                <w:rFonts w:cs="宋体"/>
                <w:color w:val="auto"/>
                <w:szCs w:val="21"/>
                <w:highlight w:val="none"/>
              </w:rPr>
            </w:pPr>
          </w:p>
        </w:tc>
        <w:tc>
          <w:tcPr>
            <w:tcW w:w="426" w:type="pct"/>
            <w:tcBorders>
              <w:top w:val="nil"/>
            </w:tcBorders>
            <w:vAlign w:val="center"/>
          </w:tcPr>
          <w:p w14:paraId="4DA187F5">
            <w:pPr>
              <w:keepNext/>
              <w:spacing w:line="440" w:lineRule="exact"/>
              <w:jc w:val="center"/>
              <w:rPr>
                <w:rFonts w:cs="宋体"/>
                <w:color w:val="auto"/>
                <w:szCs w:val="21"/>
                <w:highlight w:val="none"/>
              </w:rPr>
            </w:pPr>
          </w:p>
        </w:tc>
        <w:tc>
          <w:tcPr>
            <w:tcW w:w="745" w:type="pct"/>
            <w:tcBorders>
              <w:top w:val="nil"/>
            </w:tcBorders>
            <w:vAlign w:val="center"/>
          </w:tcPr>
          <w:p w14:paraId="518BFC8F">
            <w:pPr>
              <w:keepNext/>
              <w:spacing w:line="440" w:lineRule="exact"/>
              <w:jc w:val="center"/>
              <w:rPr>
                <w:rFonts w:cs="宋体"/>
                <w:color w:val="auto"/>
                <w:szCs w:val="21"/>
                <w:highlight w:val="none"/>
              </w:rPr>
            </w:pPr>
          </w:p>
        </w:tc>
        <w:tc>
          <w:tcPr>
            <w:tcW w:w="781" w:type="pct"/>
            <w:tcBorders>
              <w:top w:val="nil"/>
            </w:tcBorders>
            <w:vAlign w:val="center"/>
          </w:tcPr>
          <w:p w14:paraId="39A85A70">
            <w:pPr>
              <w:keepNext/>
              <w:spacing w:line="440" w:lineRule="exact"/>
              <w:jc w:val="center"/>
              <w:rPr>
                <w:rFonts w:cs="宋体"/>
                <w:color w:val="auto"/>
                <w:szCs w:val="21"/>
                <w:highlight w:val="none"/>
              </w:rPr>
            </w:pPr>
          </w:p>
        </w:tc>
        <w:tc>
          <w:tcPr>
            <w:tcW w:w="938" w:type="pct"/>
            <w:tcBorders>
              <w:top w:val="nil"/>
            </w:tcBorders>
            <w:vAlign w:val="center"/>
          </w:tcPr>
          <w:p w14:paraId="7E57D2A1">
            <w:pPr>
              <w:keepNext/>
              <w:spacing w:line="440" w:lineRule="exact"/>
              <w:jc w:val="center"/>
              <w:rPr>
                <w:rFonts w:cs="宋体"/>
                <w:color w:val="auto"/>
                <w:szCs w:val="21"/>
                <w:highlight w:val="none"/>
              </w:rPr>
            </w:pPr>
          </w:p>
        </w:tc>
      </w:tr>
      <w:tr w14:paraId="7CB19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79E761A">
            <w:pPr>
              <w:keepNext/>
              <w:spacing w:line="440" w:lineRule="exact"/>
              <w:jc w:val="center"/>
              <w:rPr>
                <w:rFonts w:cs="宋体"/>
                <w:color w:val="auto"/>
                <w:szCs w:val="21"/>
                <w:highlight w:val="none"/>
              </w:rPr>
            </w:pPr>
          </w:p>
        </w:tc>
        <w:tc>
          <w:tcPr>
            <w:tcW w:w="1094" w:type="pct"/>
            <w:vAlign w:val="center"/>
          </w:tcPr>
          <w:p w14:paraId="1831D285">
            <w:pPr>
              <w:keepNext/>
              <w:spacing w:line="440" w:lineRule="exact"/>
              <w:jc w:val="center"/>
              <w:rPr>
                <w:rFonts w:cs="宋体"/>
                <w:color w:val="auto"/>
                <w:szCs w:val="21"/>
                <w:highlight w:val="none"/>
              </w:rPr>
            </w:pPr>
          </w:p>
        </w:tc>
        <w:tc>
          <w:tcPr>
            <w:tcW w:w="468" w:type="pct"/>
            <w:vAlign w:val="center"/>
          </w:tcPr>
          <w:p w14:paraId="1E93215C">
            <w:pPr>
              <w:keepNext/>
              <w:spacing w:line="440" w:lineRule="exact"/>
              <w:jc w:val="center"/>
              <w:rPr>
                <w:rFonts w:cs="宋体"/>
                <w:color w:val="auto"/>
                <w:szCs w:val="21"/>
                <w:highlight w:val="none"/>
              </w:rPr>
            </w:pPr>
          </w:p>
        </w:tc>
        <w:tc>
          <w:tcPr>
            <w:tcW w:w="426" w:type="pct"/>
            <w:vAlign w:val="center"/>
          </w:tcPr>
          <w:p w14:paraId="7A2827E1">
            <w:pPr>
              <w:keepNext/>
              <w:spacing w:line="440" w:lineRule="exact"/>
              <w:jc w:val="center"/>
              <w:rPr>
                <w:rFonts w:cs="宋体"/>
                <w:color w:val="auto"/>
                <w:szCs w:val="21"/>
                <w:highlight w:val="none"/>
              </w:rPr>
            </w:pPr>
          </w:p>
        </w:tc>
        <w:tc>
          <w:tcPr>
            <w:tcW w:w="745" w:type="pct"/>
            <w:vAlign w:val="center"/>
          </w:tcPr>
          <w:p w14:paraId="59675442">
            <w:pPr>
              <w:keepNext/>
              <w:spacing w:line="440" w:lineRule="exact"/>
              <w:jc w:val="center"/>
              <w:rPr>
                <w:rFonts w:cs="宋体"/>
                <w:color w:val="auto"/>
                <w:szCs w:val="21"/>
                <w:highlight w:val="none"/>
              </w:rPr>
            </w:pPr>
          </w:p>
        </w:tc>
        <w:tc>
          <w:tcPr>
            <w:tcW w:w="781" w:type="pct"/>
            <w:vAlign w:val="center"/>
          </w:tcPr>
          <w:p w14:paraId="6E67F13B">
            <w:pPr>
              <w:keepNext/>
              <w:spacing w:line="440" w:lineRule="exact"/>
              <w:jc w:val="center"/>
              <w:rPr>
                <w:rFonts w:cs="宋体"/>
                <w:color w:val="auto"/>
                <w:szCs w:val="21"/>
                <w:highlight w:val="none"/>
              </w:rPr>
            </w:pPr>
          </w:p>
        </w:tc>
        <w:tc>
          <w:tcPr>
            <w:tcW w:w="938" w:type="pct"/>
            <w:vAlign w:val="center"/>
          </w:tcPr>
          <w:p w14:paraId="3557899E">
            <w:pPr>
              <w:keepNext/>
              <w:spacing w:line="440" w:lineRule="exact"/>
              <w:jc w:val="center"/>
              <w:rPr>
                <w:rFonts w:cs="宋体"/>
                <w:color w:val="auto"/>
                <w:szCs w:val="21"/>
                <w:highlight w:val="none"/>
              </w:rPr>
            </w:pPr>
          </w:p>
        </w:tc>
      </w:tr>
      <w:tr w14:paraId="7ACCE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3A0A955D">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4DD9E9CB">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2C9CF4DA">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5E2A6E0">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49293024">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9FCE41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6CCA8F2">
            <w:pPr>
              <w:keepNext/>
              <w:spacing w:line="440" w:lineRule="exact"/>
              <w:jc w:val="center"/>
              <w:rPr>
                <w:rFonts w:cs="宋体"/>
                <w:color w:val="auto"/>
                <w:szCs w:val="21"/>
                <w:highlight w:val="none"/>
              </w:rPr>
            </w:pPr>
          </w:p>
        </w:tc>
      </w:tr>
    </w:tbl>
    <w:p w14:paraId="1681D164">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529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9697272">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10AFA79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FB5B2F">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50A57E9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59B413E">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3329C4">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73EE1797">
            <w:pPr>
              <w:keepNext/>
              <w:spacing w:line="440" w:lineRule="exact"/>
              <w:jc w:val="center"/>
              <w:rPr>
                <w:rFonts w:cs="宋体"/>
                <w:color w:val="auto"/>
                <w:szCs w:val="21"/>
                <w:highlight w:val="none"/>
              </w:rPr>
            </w:pPr>
            <w:r>
              <w:rPr>
                <w:rFonts w:hint="eastAsia" w:cs="宋体"/>
                <w:color w:val="auto"/>
                <w:szCs w:val="21"/>
                <w:highlight w:val="none"/>
              </w:rPr>
              <w:t>备注</w:t>
            </w:r>
          </w:p>
        </w:tc>
      </w:tr>
      <w:tr w14:paraId="7722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C7F6C20">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A928FBC">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E4649F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FF4543C">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5D49998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23908FE8">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BC1FF36">
            <w:pPr>
              <w:keepNext/>
              <w:spacing w:line="440" w:lineRule="exact"/>
              <w:jc w:val="center"/>
              <w:rPr>
                <w:rFonts w:cs="宋体"/>
                <w:color w:val="auto"/>
                <w:szCs w:val="21"/>
                <w:highlight w:val="none"/>
              </w:rPr>
            </w:pPr>
          </w:p>
        </w:tc>
      </w:tr>
      <w:tr w14:paraId="5EFAE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34CFB87">
            <w:pPr>
              <w:keepNext/>
              <w:spacing w:line="440" w:lineRule="exact"/>
              <w:jc w:val="center"/>
              <w:rPr>
                <w:rFonts w:cs="宋体"/>
                <w:color w:val="auto"/>
                <w:szCs w:val="21"/>
                <w:highlight w:val="none"/>
              </w:rPr>
            </w:pPr>
          </w:p>
        </w:tc>
        <w:tc>
          <w:tcPr>
            <w:tcW w:w="1094" w:type="pct"/>
            <w:tcBorders>
              <w:top w:val="nil"/>
            </w:tcBorders>
            <w:vAlign w:val="center"/>
          </w:tcPr>
          <w:p w14:paraId="42876DF4">
            <w:pPr>
              <w:keepNext/>
              <w:spacing w:line="440" w:lineRule="exact"/>
              <w:jc w:val="center"/>
              <w:rPr>
                <w:rFonts w:cs="宋体"/>
                <w:color w:val="auto"/>
                <w:szCs w:val="21"/>
                <w:highlight w:val="none"/>
              </w:rPr>
            </w:pPr>
          </w:p>
        </w:tc>
        <w:tc>
          <w:tcPr>
            <w:tcW w:w="468" w:type="pct"/>
            <w:tcBorders>
              <w:top w:val="nil"/>
            </w:tcBorders>
            <w:vAlign w:val="center"/>
          </w:tcPr>
          <w:p w14:paraId="7F48662F">
            <w:pPr>
              <w:keepNext/>
              <w:spacing w:line="440" w:lineRule="exact"/>
              <w:jc w:val="center"/>
              <w:rPr>
                <w:rFonts w:cs="宋体"/>
                <w:color w:val="auto"/>
                <w:szCs w:val="21"/>
                <w:highlight w:val="none"/>
              </w:rPr>
            </w:pPr>
          </w:p>
        </w:tc>
        <w:tc>
          <w:tcPr>
            <w:tcW w:w="426" w:type="pct"/>
            <w:tcBorders>
              <w:top w:val="nil"/>
            </w:tcBorders>
            <w:vAlign w:val="center"/>
          </w:tcPr>
          <w:p w14:paraId="468083F3">
            <w:pPr>
              <w:keepNext/>
              <w:spacing w:line="440" w:lineRule="exact"/>
              <w:jc w:val="center"/>
              <w:rPr>
                <w:rFonts w:cs="宋体"/>
                <w:color w:val="auto"/>
                <w:szCs w:val="21"/>
                <w:highlight w:val="none"/>
              </w:rPr>
            </w:pPr>
          </w:p>
        </w:tc>
        <w:tc>
          <w:tcPr>
            <w:tcW w:w="745" w:type="pct"/>
            <w:tcBorders>
              <w:top w:val="nil"/>
            </w:tcBorders>
            <w:vAlign w:val="center"/>
          </w:tcPr>
          <w:p w14:paraId="09CCDE74">
            <w:pPr>
              <w:keepNext/>
              <w:spacing w:line="440" w:lineRule="exact"/>
              <w:jc w:val="center"/>
              <w:rPr>
                <w:rFonts w:cs="宋体"/>
                <w:color w:val="auto"/>
                <w:szCs w:val="21"/>
                <w:highlight w:val="none"/>
              </w:rPr>
            </w:pPr>
          </w:p>
        </w:tc>
        <w:tc>
          <w:tcPr>
            <w:tcW w:w="781" w:type="pct"/>
            <w:tcBorders>
              <w:top w:val="nil"/>
            </w:tcBorders>
            <w:vAlign w:val="center"/>
          </w:tcPr>
          <w:p w14:paraId="409BF224">
            <w:pPr>
              <w:keepNext/>
              <w:spacing w:line="440" w:lineRule="exact"/>
              <w:jc w:val="center"/>
              <w:rPr>
                <w:rFonts w:cs="宋体"/>
                <w:color w:val="auto"/>
                <w:szCs w:val="21"/>
                <w:highlight w:val="none"/>
              </w:rPr>
            </w:pPr>
          </w:p>
        </w:tc>
        <w:tc>
          <w:tcPr>
            <w:tcW w:w="938" w:type="pct"/>
            <w:tcBorders>
              <w:top w:val="nil"/>
            </w:tcBorders>
            <w:vAlign w:val="center"/>
          </w:tcPr>
          <w:p w14:paraId="65CCE5DC">
            <w:pPr>
              <w:keepNext/>
              <w:spacing w:line="440" w:lineRule="exact"/>
              <w:jc w:val="center"/>
              <w:rPr>
                <w:rFonts w:cs="宋体"/>
                <w:color w:val="auto"/>
                <w:szCs w:val="21"/>
                <w:highlight w:val="none"/>
              </w:rPr>
            </w:pPr>
          </w:p>
        </w:tc>
      </w:tr>
      <w:tr w14:paraId="51656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6F12480">
            <w:pPr>
              <w:keepNext/>
              <w:spacing w:line="440" w:lineRule="exact"/>
              <w:jc w:val="center"/>
              <w:rPr>
                <w:rFonts w:cs="宋体"/>
                <w:color w:val="auto"/>
                <w:szCs w:val="21"/>
                <w:highlight w:val="none"/>
              </w:rPr>
            </w:pPr>
          </w:p>
        </w:tc>
        <w:tc>
          <w:tcPr>
            <w:tcW w:w="1094" w:type="pct"/>
            <w:vAlign w:val="center"/>
          </w:tcPr>
          <w:p w14:paraId="1E6BBBF3">
            <w:pPr>
              <w:keepNext/>
              <w:spacing w:line="440" w:lineRule="exact"/>
              <w:jc w:val="center"/>
              <w:rPr>
                <w:rFonts w:cs="宋体"/>
                <w:color w:val="auto"/>
                <w:szCs w:val="21"/>
                <w:highlight w:val="none"/>
              </w:rPr>
            </w:pPr>
          </w:p>
        </w:tc>
        <w:tc>
          <w:tcPr>
            <w:tcW w:w="468" w:type="pct"/>
            <w:vAlign w:val="center"/>
          </w:tcPr>
          <w:p w14:paraId="08F5D397">
            <w:pPr>
              <w:keepNext/>
              <w:spacing w:line="440" w:lineRule="exact"/>
              <w:jc w:val="center"/>
              <w:rPr>
                <w:rFonts w:cs="宋体"/>
                <w:color w:val="auto"/>
                <w:szCs w:val="21"/>
                <w:highlight w:val="none"/>
              </w:rPr>
            </w:pPr>
          </w:p>
        </w:tc>
        <w:tc>
          <w:tcPr>
            <w:tcW w:w="426" w:type="pct"/>
            <w:vAlign w:val="center"/>
          </w:tcPr>
          <w:p w14:paraId="2FA7C0DA">
            <w:pPr>
              <w:keepNext/>
              <w:spacing w:line="440" w:lineRule="exact"/>
              <w:jc w:val="center"/>
              <w:rPr>
                <w:rFonts w:cs="宋体"/>
                <w:color w:val="auto"/>
                <w:szCs w:val="21"/>
                <w:highlight w:val="none"/>
              </w:rPr>
            </w:pPr>
          </w:p>
        </w:tc>
        <w:tc>
          <w:tcPr>
            <w:tcW w:w="745" w:type="pct"/>
            <w:vAlign w:val="center"/>
          </w:tcPr>
          <w:p w14:paraId="424F3DB7">
            <w:pPr>
              <w:keepNext/>
              <w:spacing w:line="440" w:lineRule="exact"/>
              <w:jc w:val="center"/>
              <w:rPr>
                <w:rFonts w:cs="宋体"/>
                <w:color w:val="auto"/>
                <w:szCs w:val="21"/>
                <w:highlight w:val="none"/>
              </w:rPr>
            </w:pPr>
          </w:p>
        </w:tc>
        <w:tc>
          <w:tcPr>
            <w:tcW w:w="781" w:type="pct"/>
            <w:vAlign w:val="center"/>
          </w:tcPr>
          <w:p w14:paraId="2F5FF678">
            <w:pPr>
              <w:keepNext/>
              <w:spacing w:line="440" w:lineRule="exact"/>
              <w:jc w:val="center"/>
              <w:rPr>
                <w:rFonts w:cs="宋体"/>
                <w:color w:val="auto"/>
                <w:szCs w:val="21"/>
                <w:highlight w:val="none"/>
              </w:rPr>
            </w:pPr>
          </w:p>
        </w:tc>
        <w:tc>
          <w:tcPr>
            <w:tcW w:w="938" w:type="pct"/>
            <w:vAlign w:val="center"/>
          </w:tcPr>
          <w:p w14:paraId="24346410">
            <w:pPr>
              <w:keepNext/>
              <w:spacing w:line="440" w:lineRule="exact"/>
              <w:jc w:val="center"/>
              <w:rPr>
                <w:rFonts w:cs="宋体"/>
                <w:color w:val="auto"/>
                <w:szCs w:val="21"/>
                <w:highlight w:val="none"/>
              </w:rPr>
            </w:pPr>
          </w:p>
        </w:tc>
      </w:tr>
      <w:tr w14:paraId="2410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BF4AB1B">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59CA520F">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0719027">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5EDF6945">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04C42202">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23E99AA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04234E8">
            <w:pPr>
              <w:keepNext/>
              <w:spacing w:line="440" w:lineRule="exact"/>
              <w:jc w:val="center"/>
              <w:rPr>
                <w:rFonts w:cs="宋体"/>
                <w:color w:val="auto"/>
                <w:szCs w:val="21"/>
                <w:highlight w:val="none"/>
              </w:rPr>
            </w:pPr>
          </w:p>
        </w:tc>
      </w:tr>
    </w:tbl>
    <w:p w14:paraId="2273F6E8">
      <w:pPr>
        <w:rPr>
          <w:rFonts w:cs="宋体"/>
          <w:color w:val="auto"/>
          <w:szCs w:val="21"/>
          <w:highlight w:val="none"/>
        </w:rPr>
      </w:pPr>
    </w:p>
    <w:p w14:paraId="4DCFA53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65" w:name="_Toc128950248"/>
      <w:r>
        <w:rPr>
          <w:rFonts w:hint="eastAsia" w:ascii="Times New Roman" w:eastAsia="黑体"/>
          <w:color w:val="auto"/>
          <w:szCs w:val="24"/>
          <w:highlight w:val="none"/>
        </w:rPr>
        <w:t>附件13：安全生产合同</w:t>
      </w:r>
      <w:bookmarkEnd w:id="665"/>
    </w:p>
    <w:p w14:paraId="45B55438">
      <w:pPr>
        <w:spacing w:before="156" w:beforeLines="50" w:after="156" w:afterLines="50" w:line="360" w:lineRule="auto"/>
        <w:jc w:val="center"/>
        <w:rPr>
          <w:rFonts w:cs="宋体"/>
          <w:b/>
          <w:color w:val="auto"/>
          <w:sz w:val="32"/>
          <w:szCs w:val="32"/>
          <w:highlight w:val="none"/>
        </w:rPr>
      </w:pPr>
      <w:bookmarkStart w:id="666" w:name="_Toc23792"/>
      <w:bookmarkStart w:id="667" w:name="_Toc11475"/>
      <w:r>
        <w:rPr>
          <w:rFonts w:hint="eastAsia" w:cs="宋体"/>
          <w:b/>
          <w:color w:val="auto"/>
          <w:sz w:val="32"/>
          <w:szCs w:val="32"/>
          <w:highlight w:val="none"/>
        </w:rPr>
        <w:t>安全生产合同</w:t>
      </w:r>
      <w:bookmarkEnd w:id="666"/>
      <w:bookmarkEnd w:id="667"/>
    </w:p>
    <w:p w14:paraId="18E5EEA4">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12F06470">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75C3AE00">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4BEB76E9">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4ED5F1D">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461D143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D3A55FB">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09BB60A7">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13800E2C">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C01FD3F">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2D8C1F">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7113C5F">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1D8F1189">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EFD754">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22AEACF">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66EAB45">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4EADDB1">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B0FB979">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05AF999">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6839B957">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5B614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3DBE7D1">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16C5B2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72E7CF31">
      <w:pPr>
        <w:spacing w:line="360" w:lineRule="auto"/>
        <w:rPr>
          <w:rFonts w:cs="宋体"/>
          <w:color w:val="auto"/>
          <w:sz w:val="21"/>
          <w:szCs w:val="21"/>
          <w:highlight w:val="none"/>
        </w:rPr>
      </w:pPr>
    </w:p>
    <w:p w14:paraId="1426C303">
      <w:pPr>
        <w:spacing w:line="360" w:lineRule="auto"/>
        <w:rPr>
          <w:rFonts w:cs="宋体"/>
          <w:color w:val="auto"/>
          <w:sz w:val="21"/>
          <w:szCs w:val="21"/>
          <w:highlight w:val="none"/>
        </w:rPr>
      </w:pPr>
    </w:p>
    <w:p w14:paraId="34D89FB6">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D9BC624">
      <w:pPr>
        <w:spacing w:line="360" w:lineRule="auto"/>
        <w:rPr>
          <w:rFonts w:cs="宋体"/>
          <w:color w:val="auto"/>
          <w:sz w:val="21"/>
          <w:szCs w:val="21"/>
          <w:highlight w:val="none"/>
        </w:rPr>
      </w:pPr>
    </w:p>
    <w:p w14:paraId="162AD399">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66BC7F2">
      <w:pPr>
        <w:spacing w:line="360" w:lineRule="auto"/>
        <w:rPr>
          <w:rFonts w:cs="宋体"/>
          <w:color w:val="auto"/>
          <w:sz w:val="21"/>
          <w:szCs w:val="21"/>
          <w:highlight w:val="none"/>
        </w:rPr>
      </w:pPr>
    </w:p>
    <w:p w14:paraId="30796BA0">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7D3DAD0">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68" w:name="_Toc128950249"/>
      <w:r>
        <w:rPr>
          <w:rFonts w:hint="eastAsia" w:ascii="Times New Roman" w:eastAsia="黑体"/>
          <w:color w:val="auto"/>
          <w:szCs w:val="24"/>
          <w:highlight w:val="none"/>
        </w:rPr>
        <w:t>附件14：项目经理质量终身责任制承诺</w:t>
      </w:r>
      <w:bookmarkEnd w:id="668"/>
    </w:p>
    <w:p w14:paraId="2A150165">
      <w:pPr>
        <w:spacing w:before="156" w:beforeLines="50" w:after="156" w:afterLines="50" w:line="360" w:lineRule="auto"/>
        <w:jc w:val="center"/>
        <w:rPr>
          <w:rFonts w:cs="宋体"/>
          <w:b/>
          <w:color w:val="auto"/>
          <w:sz w:val="32"/>
          <w:szCs w:val="32"/>
          <w:highlight w:val="none"/>
        </w:rPr>
      </w:pPr>
      <w:bookmarkStart w:id="669" w:name="_Toc128950250"/>
      <w:bookmarkStart w:id="670" w:name="_Toc14540"/>
      <w:bookmarkStart w:id="671" w:name="_Toc19417"/>
      <w:r>
        <w:rPr>
          <w:rFonts w:hint="eastAsia" w:cs="宋体"/>
          <w:b/>
          <w:color w:val="auto"/>
          <w:sz w:val="32"/>
          <w:szCs w:val="32"/>
          <w:highlight w:val="none"/>
        </w:rPr>
        <w:t>项目经理质量终身责任制承诺</w:t>
      </w:r>
      <w:bookmarkEnd w:id="669"/>
      <w:bookmarkEnd w:id="670"/>
      <w:bookmarkEnd w:id="671"/>
    </w:p>
    <w:p w14:paraId="2218CB9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0EE26E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16682F4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01A8DD7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7C869E0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4298B5A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F3B16D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63E90FE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43B75DD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48E8D2C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4C7FCE79">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3D83A09B">
      <w:pPr>
        <w:spacing w:line="360" w:lineRule="auto"/>
        <w:ind w:left="342" w:leftChars="171" w:firstLine="630" w:firstLineChars="300"/>
        <w:rPr>
          <w:rFonts w:cs="宋体"/>
          <w:bCs/>
          <w:color w:val="auto"/>
          <w:sz w:val="21"/>
          <w:szCs w:val="21"/>
          <w:highlight w:val="none"/>
        </w:rPr>
      </w:pPr>
    </w:p>
    <w:p w14:paraId="1FC75A75">
      <w:pPr>
        <w:spacing w:line="360" w:lineRule="auto"/>
        <w:ind w:left="342" w:leftChars="171" w:firstLine="630" w:firstLineChars="300"/>
        <w:rPr>
          <w:rFonts w:cs="宋体"/>
          <w:bCs/>
          <w:color w:val="auto"/>
          <w:sz w:val="21"/>
          <w:szCs w:val="21"/>
          <w:highlight w:val="none"/>
        </w:rPr>
      </w:pPr>
    </w:p>
    <w:p w14:paraId="1FA60359">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93C4540">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7293F7FE">
      <w:pPr>
        <w:pStyle w:val="19"/>
        <w:rPr>
          <w:rFonts w:ascii="宋体" w:hAnsi="宋体" w:eastAsia="宋体" w:cs="宋体"/>
          <w:bCs/>
          <w:color w:val="auto"/>
          <w:sz w:val="21"/>
          <w:szCs w:val="21"/>
          <w:highlight w:val="none"/>
        </w:rPr>
      </w:pPr>
    </w:p>
    <w:p w14:paraId="696DC3EE">
      <w:pPr>
        <w:widowControl/>
        <w:jc w:val="left"/>
        <w:rPr>
          <w:b/>
          <w:color w:val="auto"/>
          <w:sz w:val="24"/>
          <w:highlight w:val="none"/>
        </w:rPr>
      </w:pPr>
      <w:r>
        <w:rPr>
          <w:b/>
          <w:color w:val="auto"/>
          <w:sz w:val="24"/>
          <w:highlight w:val="none"/>
        </w:rPr>
        <w:br w:type="page"/>
      </w:r>
    </w:p>
    <w:p w14:paraId="203DF356">
      <w:pPr>
        <w:spacing w:line="360" w:lineRule="auto"/>
        <w:jc w:val="center"/>
        <w:outlineLvl w:val="0"/>
        <w:rPr>
          <w:rFonts w:asciiTheme="minorEastAsia" w:hAnsiTheme="minorEastAsia" w:eastAsiaTheme="minorEastAsia"/>
          <w:b/>
          <w:color w:val="auto"/>
          <w:sz w:val="28"/>
          <w:highlight w:val="none"/>
        </w:rPr>
      </w:pPr>
      <w:bookmarkStart w:id="672" w:name="_Toc16770"/>
      <w:r>
        <w:rPr>
          <w:rFonts w:hint="eastAsia" w:asciiTheme="minorEastAsia" w:hAnsiTheme="minorEastAsia" w:eastAsiaTheme="minorEastAsia"/>
          <w:b/>
          <w:color w:val="auto"/>
          <w:sz w:val="28"/>
          <w:highlight w:val="none"/>
        </w:rPr>
        <w:t>第六章  响应文件格式</w:t>
      </w:r>
      <w:bookmarkEnd w:id="672"/>
    </w:p>
    <w:p w14:paraId="2BBD57BB">
      <w:pPr>
        <w:spacing w:line="900" w:lineRule="exact"/>
        <w:jc w:val="center"/>
        <w:rPr>
          <w:rFonts w:asciiTheme="minorEastAsia" w:hAnsiTheme="minorEastAsia" w:eastAsiaTheme="minorEastAsia"/>
          <w:b/>
          <w:color w:val="auto"/>
          <w:sz w:val="72"/>
          <w:highlight w:val="none"/>
        </w:rPr>
      </w:pPr>
    </w:p>
    <w:p w14:paraId="5BF44E3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7FCDBBA">
      <w:pPr>
        <w:spacing w:line="900" w:lineRule="exact"/>
        <w:jc w:val="center"/>
        <w:rPr>
          <w:rFonts w:asciiTheme="minorEastAsia" w:hAnsiTheme="minorEastAsia" w:eastAsiaTheme="minorEastAsia"/>
          <w:b/>
          <w:color w:val="auto"/>
          <w:sz w:val="72"/>
          <w:highlight w:val="none"/>
        </w:rPr>
      </w:pPr>
    </w:p>
    <w:p w14:paraId="5B5327F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394EA8">
      <w:pPr>
        <w:spacing w:line="900" w:lineRule="exact"/>
        <w:jc w:val="center"/>
        <w:rPr>
          <w:rFonts w:asciiTheme="minorEastAsia" w:hAnsiTheme="minorEastAsia" w:eastAsiaTheme="minorEastAsia"/>
          <w:b/>
          <w:color w:val="auto"/>
          <w:sz w:val="72"/>
          <w:highlight w:val="none"/>
        </w:rPr>
      </w:pPr>
    </w:p>
    <w:p w14:paraId="2C0C76E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D86B8AF">
      <w:pPr>
        <w:spacing w:line="900" w:lineRule="exact"/>
        <w:jc w:val="center"/>
        <w:rPr>
          <w:rFonts w:asciiTheme="minorEastAsia" w:hAnsiTheme="minorEastAsia" w:eastAsiaTheme="minorEastAsia"/>
          <w:b/>
          <w:color w:val="auto"/>
          <w:sz w:val="72"/>
          <w:highlight w:val="none"/>
        </w:rPr>
      </w:pPr>
    </w:p>
    <w:p w14:paraId="38F6EDB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5EC245">
      <w:pPr>
        <w:spacing w:after="156" w:afterLines="50"/>
        <w:jc w:val="center"/>
        <w:rPr>
          <w:rFonts w:asciiTheme="minorEastAsia" w:hAnsiTheme="minorEastAsia" w:eastAsiaTheme="minorEastAsia"/>
          <w:b/>
          <w:color w:val="auto"/>
          <w:sz w:val="72"/>
          <w:highlight w:val="none"/>
        </w:rPr>
      </w:pPr>
    </w:p>
    <w:p w14:paraId="5C76CD03">
      <w:pPr>
        <w:spacing w:after="156" w:afterLines="50" w:line="500" w:lineRule="exact"/>
        <w:jc w:val="center"/>
        <w:rPr>
          <w:rFonts w:asciiTheme="minorEastAsia" w:hAnsiTheme="minorEastAsia" w:eastAsiaTheme="minorEastAsia"/>
          <w:b/>
          <w:color w:val="auto"/>
          <w:sz w:val="28"/>
          <w:szCs w:val="28"/>
          <w:highlight w:val="none"/>
        </w:rPr>
      </w:pPr>
    </w:p>
    <w:p w14:paraId="5A80BA63">
      <w:pPr>
        <w:tabs>
          <w:tab w:val="left" w:pos="2410"/>
        </w:tabs>
        <w:autoSpaceDE w:val="0"/>
        <w:autoSpaceDN w:val="0"/>
        <w:adjustRightInd w:val="0"/>
        <w:snapToGrid w:val="0"/>
        <w:spacing w:line="360" w:lineRule="auto"/>
        <w:ind w:firstLine="1606" w:firstLineChars="5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525BBD">
      <w:pPr>
        <w:tabs>
          <w:tab w:val="left" w:pos="2410"/>
        </w:tabs>
        <w:autoSpaceDE w:val="0"/>
        <w:autoSpaceDN w:val="0"/>
        <w:adjustRightInd w:val="0"/>
        <w:snapToGrid w:val="0"/>
        <w:spacing w:line="360" w:lineRule="auto"/>
        <w:ind w:firstLine="1606" w:firstLineChars="5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E7C49E">
      <w:pPr>
        <w:tabs>
          <w:tab w:val="left" w:pos="2410"/>
        </w:tabs>
        <w:autoSpaceDE w:val="0"/>
        <w:autoSpaceDN w:val="0"/>
        <w:adjustRightInd w:val="0"/>
        <w:snapToGrid w:val="0"/>
        <w:spacing w:line="360" w:lineRule="auto"/>
        <w:ind w:firstLine="1606" w:firstLineChars="5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A336572">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73" w:name="_Toc27597"/>
      <w:bookmarkStart w:id="674" w:name="_Toc3258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73"/>
      <w:bookmarkEnd w:id="674"/>
    </w:p>
    <w:p w14:paraId="17196DC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48145">
      <w:pPr>
        <w:spacing w:line="360" w:lineRule="auto"/>
        <w:jc w:val="center"/>
        <w:outlineLvl w:val="1"/>
        <w:rPr>
          <w:rFonts w:asciiTheme="minorEastAsia" w:hAnsiTheme="minorEastAsia" w:eastAsiaTheme="minorEastAsia"/>
          <w:b/>
          <w:color w:val="auto"/>
          <w:sz w:val="24"/>
          <w:highlight w:val="none"/>
        </w:rPr>
      </w:pPr>
      <w:bookmarkStart w:id="675" w:name="_Toc461053086"/>
      <w:bookmarkStart w:id="676" w:name="_Toc461056631"/>
      <w:bookmarkStart w:id="677" w:name="_Toc17778"/>
      <w:bookmarkStart w:id="678" w:name="_Toc520983587"/>
      <w:bookmarkStart w:id="679" w:name="_Toc26877"/>
      <w:r>
        <w:rPr>
          <w:rFonts w:hint="eastAsia" w:asciiTheme="minorEastAsia" w:hAnsiTheme="minorEastAsia" w:eastAsiaTheme="minorEastAsia"/>
          <w:b/>
          <w:color w:val="auto"/>
          <w:sz w:val="24"/>
          <w:highlight w:val="none"/>
        </w:rPr>
        <w:t>一</w:t>
      </w:r>
      <w:bookmarkEnd w:id="675"/>
      <w:bookmarkEnd w:id="676"/>
      <w:r>
        <w:rPr>
          <w:rFonts w:hint="eastAsia" w:asciiTheme="minorEastAsia" w:hAnsiTheme="minorEastAsia" w:eastAsiaTheme="minorEastAsia"/>
          <w:b/>
          <w:color w:val="auto"/>
          <w:sz w:val="24"/>
          <w:highlight w:val="none"/>
        </w:rPr>
        <w:t>、报价表格式</w:t>
      </w:r>
      <w:bookmarkEnd w:id="677"/>
      <w:bookmarkEnd w:id="678"/>
      <w:bookmarkEnd w:id="679"/>
    </w:p>
    <w:p w14:paraId="1A4AAA46">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691F4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0294BFBF">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34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8F3F4C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43B23486">
            <w:pPr>
              <w:rPr>
                <w:rFonts w:cs="宋体" w:asciiTheme="minorEastAsia" w:hAnsiTheme="minorEastAsia" w:eastAsiaTheme="minorEastAsia"/>
                <w:b/>
                <w:color w:val="auto"/>
                <w:kern w:val="2"/>
                <w:sz w:val="24"/>
                <w:szCs w:val="24"/>
                <w:highlight w:val="none"/>
              </w:rPr>
            </w:pPr>
          </w:p>
        </w:tc>
      </w:tr>
      <w:tr w14:paraId="3B3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C84640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348E2286">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6AC6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487EBF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5E22C4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267B23C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1FAD785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752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7DB7B2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B5C2850">
            <w:pPr>
              <w:snapToGrid w:val="0"/>
              <w:rPr>
                <w:rFonts w:cs="宋体" w:asciiTheme="minorEastAsia" w:hAnsiTheme="minorEastAsia" w:eastAsiaTheme="minorEastAsia"/>
                <w:b/>
                <w:color w:val="auto"/>
                <w:kern w:val="2"/>
                <w:sz w:val="24"/>
                <w:szCs w:val="24"/>
                <w:highlight w:val="none"/>
              </w:rPr>
            </w:pPr>
          </w:p>
        </w:tc>
      </w:tr>
      <w:tr w14:paraId="3EFE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BF4D37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19E4E221">
            <w:pPr>
              <w:snapToGrid w:val="0"/>
              <w:spacing w:line="360" w:lineRule="auto"/>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不高于</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rPr>
              <w:t>个日历天内完工并验收合格</w:t>
            </w:r>
            <w:r>
              <w:rPr>
                <w:rFonts w:hint="eastAsia" w:cs="宋体" w:asciiTheme="minorEastAsia" w:hAnsiTheme="minorEastAsia" w:eastAsiaTheme="minorEastAsia"/>
                <w:b/>
                <w:color w:val="auto"/>
                <w:kern w:val="2"/>
                <w:sz w:val="24"/>
                <w:szCs w:val="24"/>
                <w:highlight w:val="none"/>
                <w:lang w:eastAsia="zh-CN"/>
              </w:rPr>
              <w:t>。供应商自报的承诺工期为考核标准。因供应商原因造成的工期延误，每推迟一天，按合同价款（扣除暂估价和暂列金）万分之</w:t>
            </w:r>
            <w:r>
              <w:rPr>
                <w:rFonts w:hint="eastAsia" w:cs="宋体" w:asciiTheme="minorEastAsia" w:hAnsiTheme="minorEastAsia" w:eastAsiaTheme="minorEastAsia"/>
                <w:b/>
                <w:color w:val="auto"/>
                <w:kern w:val="2"/>
                <w:sz w:val="24"/>
                <w:szCs w:val="24"/>
                <w:highlight w:val="none"/>
                <w:lang w:val="en-US" w:eastAsia="zh-CN"/>
              </w:rPr>
              <w:t>一</w:t>
            </w:r>
            <w:r>
              <w:rPr>
                <w:rFonts w:hint="eastAsia" w:cs="宋体" w:asciiTheme="minorEastAsia" w:hAnsiTheme="minorEastAsia" w:eastAsiaTheme="minorEastAsia"/>
                <w:b/>
                <w:color w:val="auto"/>
                <w:kern w:val="2"/>
                <w:sz w:val="24"/>
                <w:szCs w:val="24"/>
                <w:highlight w:val="none"/>
                <w:lang w:eastAsia="zh-CN"/>
              </w:rPr>
              <w:t>处以违约金。</w:t>
            </w:r>
          </w:p>
        </w:tc>
      </w:tr>
      <w:tr w14:paraId="23A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340B38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BF93DFC">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73F8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8ABE43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9C90B95">
            <w:pPr>
              <w:rPr>
                <w:rFonts w:cs="宋体" w:asciiTheme="minorEastAsia" w:hAnsiTheme="minorEastAsia" w:eastAsiaTheme="minorEastAsia"/>
                <w:b/>
                <w:color w:val="auto"/>
                <w:kern w:val="2"/>
                <w:sz w:val="24"/>
                <w:szCs w:val="24"/>
                <w:highlight w:val="none"/>
              </w:rPr>
            </w:pPr>
          </w:p>
        </w:tc>
      </w:tr>
    </w:tbl>
    <w:p w14:paraId="22BC453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64E3D2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EF8B44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03EBD1B">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D67929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9607FAC">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B2BE9A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5FA0FFD">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313CBF7B">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341DE6B5">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680" w:name="_Toc30688"/>
      <w:r>
        <w:rPr>
          <w:rFonts w:hint="eastAsia" w:cs="宋体" w:asciiTheme="minorEastAsia" w:hAnsiTheme="minorEastAsia" w:eastAsiaTheme="minorEastAsia"/>
          <w:b/>
          <w:color w:val="auto"/>
          <w:sz w:val="24"/>
          <w:szCs w:val="24"/>
          <w:highlight w:val="none"/>
        </w:rPr>
        <w:t>工程量清单报价书</w:t>
      </w:r>
      <w:bookmarkEnd w:id="680"/>
    </w:p>
    <w:p w14:paraId="5100E6F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3C5FA1F8">
      <w:pPr>
        <w:widowControl/>
        <w:jc w:val="left"/>
        <w:rPr>
          <w:b/>
          <w:bCs/>
          <w:color w:val="auto"/>
          <w:sz w:val="24"/>
          <w:szCs w:val="28"/>
          <w:highlight w:val="none"/>
        </w:rPr>
      </w:pPr>
      <w:r>
        <w:rPr>
          <w:b/>
          <w:bCs/>
          <w:color w:val="auto"/>
          <w:sz w:val="24"/>
          <w:szCs w:val="28"/>
          <w:highlight w:val="none"/>
        </w:rPr>
        <w:br w:type="page"/>
      </w:r>
    </w:p>
    <w:p w14:paraId="56E2141A">
      <w:pPr>
        <w:spacing w:line="360" w:lineRule="auto"/>
        <w:jc w:val="center"/>
        <w:outlineLvl w:val="1"/>
        <w:rPr>
          <w:rFonts w:asciiTheme="minorEastAsia" w:hAnsiTheme="minorEastAsia" w:eastAsiaTheme="minorEastAsia"/>
          <w:b/>
          <w:color w:val="auto"/>
          <w:sz w:val="24"/>
          <w:highlight w:val="none"/>
        </w:rPr>
      </w:pPr>
      <w:bookmarkStart w:id="681" w:name="_Toc461053087"/>
      <w:bookmarkStart w:id="682" w:name="_Toc461056632"/>
      <w:bookmarkStart w:id="683" w:name="_Toc520983588"/>
      <w:bookmarkStart w:id="684" w:name="_Toc28658"/>
      <w:bookmarkStart w:id="685" w:name="_Toc19576"/>
      <w:r>
        <w:rPr>
          <w:rFonts w:hint="eastAsia" w:asciiTheme="minorEastAsia" w:hAnsiTheme="minorEastAsia" w:eastAsiaTheme="minorEastAsia"/>
          <w:b/>
          <w:color w:val="auto"/>
          <w:sz w:val="24"/>
          <w:highlight w:val="none"/>
        </w:rPr>
        <w:t>二</w:t>
      </w:r>
      <w:bookmarkEnd w:id="681"/>
      <w:bookmarkEnd w:id="682"/>
      <w:r>
        <w:rPr>
          <w:rFonts w:hint="eastAsia" w:asciiTheme="minorEastAsia" w:hAnsiTheme="minorEastAsia" w:eastAsiaTheme="minorEastAsia"/>
          <w:b/>
          <w:color w:val="auto"/>
          <w:sz w:val="24"/>
          <w:highlight w:val="none"/>
        </w:rPr>
        <w:t>、最后承诺报价表</w:t>
      </w:r>
      <w:bookmarkEnd w:id="683"/>
      <w:bookmarkEnd w:id="684"/>
      <w:bookmarkEnd w:id="685"/>
    </w:p>
    <w:p w14:paraId="394CFFCC">
      <w:pPr>
        <w:spacing w:before="156" w:beforeLines="50" w:after="156" w:afterLines="50" w:line="360" w:lineRule="auto"/>
        <w:ind w:firstLine="236" w:firstLineChars="98"/>
        <w:jc w:val="center"/>
        <w:outlineLvl w:val="9"/>
        <w:rPr>
          <w:b/>
          <w:color w:val="auto"/>
          <w:sz w:val="24"/>
          <w:szCs w:val="28"/>
          <w:highlight w:val="none"/>
        </w:rPr>
      </w:pPr>
      <w:bookmarkStart w:id="686"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86"/>
    </w:p>
    <w:p w14:paraId="5A57671C">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42A9B40">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77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67ABD1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440F6862">
            <w:pPr>
              <w:rPr>
                <w:rFonts w:cs="宋体" w:asciiTheme="minorEastAsia" w:hAnsiTheme="minorEastAsia" w:eastAsiaTheme="minorEastAsia"/>
                <w:b/>
                <w:color w:val="auto"/>
                <w:kern w:val="2"/>
                <w:sz w:val="24"/>
                <w:szCs w:val="24"/>
                <w:highlight w:val="none"/>
              </w:rPr>
            </w:pPr>
          </w:p>
        </w:tc>
      </w:tr>
      <w:tr w14:paraId="64F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0B9B64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44602FA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FB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E5C39F4">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F32C92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BF55CDB">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4A92EAC1">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FAC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718126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5EF01F22">
            <w:pPr>
              <w:snapToGrid w:val="0"/>
              <w:rPr>
                <w:rFonts w:cs="宋体" w:asciiTheme="minorEastAsia" w:hAnsiTheme="minorEastAsia" w:eastAsiaTheme="minorEastAsia"/>
                <w:b/>
                <w:color w:val="auto"/>
                <w:kern w:val="2"/>
                <w:sz w:val="24"/>
                <w:szCs w:val="24"/>
                <w:highlight w:val="none"/>
              </w:rPr>
            </w:pPr>
          </w:p>
        </w:tc>
      </w:tr>
      <w:tr w14:paraId="4F98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5A5DDD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4F203BB6">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rPr>
              <w:t>不高于</w:t>
            </w:r>
            <w:r>
              <w:rPr>
                <w:rFonts w:hint="eastAsia" w:cs="宋体" w:asciiTheme="minorEastAsia" w:hAnsiTheme="minorEastAsia" w:eastAsiaTheme="minorEastAsia"/>
                <w:b w:val="0"/>
                <w:bCs/>
                <w:color w:val="auto"/>
                <w:kern w:val="2"/>
                <w:sz w:val="24"/>
                <w:szCs w:val="24"/>
                <w:highlight w:val="none"/>
                <w:u w:val="single"/>
              </w:rPr>
              <w:t xml:space="preserve">     </w:t>
            </w:r>
            <w:r>
              <w:rPr>
                <w:rFonts w:hint="eastAsia" w:cs="宋体" w:asciiTheme="minorEastAsia" w:hAnsiTheme="minorEastAsia" w:eastAsiaTheme="minorEastAsia"/>
                <w:b w:val="0"/>
                <w:bCs/>
                <w:color w:val="auto"/>
                <w:kern w:val="2"/>
                <w:sz w:val="24"/>
                <w:szCs w:val="24"/>
                <w:highlight w:val="none"/>
              </w:rPr>
              <w:t>个日历天内完工并验收合格。供应商自报的承诺工期为考核标准。因供应商原因造成的工期延误，每推迟一天，按合同价款（扣除暂估价和暂列金）万分之一处以违约金。</w:t>
            </w:r>
          </w:p>
        </w:tc>
      </w:tr>
      <w:tr w14:paraId="133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580CA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09573331">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F8B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09" w:type="pct"/>
            <w:vAlign w:val="center"/>
          </w:tcPr>
          <w:p w14:paraId="6BB54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61AF47AA">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r w14:paraId="4E78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09" w:type="pct"/>
            <w:vAlign w:val="center"/>
          </w:tcPr>
          <w:p w14:paraId="2CE5204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谈判小组签字</w:t>
            </w:r>
          </w:p>
        </w:tc>
        <w:tc>
          <w:tcPr>
            <w:tcW w:w="3491" w:type="pct"/>
          </w:tcPr>
          <w:p w14:paraId="628405B1">
            <w:pPr>
              <w:rPr>
                <w:rFonts w:cs="宋体" w:asciiTheme="minorEastAsia" w:hAnsiTheme="minorEastAsia" w:eastAsiaTheme="minorEastAsia"/>
                <w:b/>
                <w:color w:val="auto"/>
                <w:kern w:val="2"/>
                <w:sz w:val="24"/>
                <w:szCs w:val="24"/>
                <w:highlight w:val="none"/>
              </w:rPr>
            </w:pPr>
          </w:p>
        </w:tc>
      </w:tr>
    </w:tbl>
    <w:p w14:paraId="0C0E94F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90BC005">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0B07FFF">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90F0D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F1BF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17B2D46B">
      <w:pPr>
        <w:widowControl/>
        <w:jc w:val="left"/>
        <w:rPr>
          <w:bCs/>
          <w:color w:val="auto"/>
          <w:sz w:val="24"/>
          <w:highlight w:val="none"/>
        </w:rPr>
      </w:pPr>
      <w:r>
        <w:rPr>
          <w:bCs/>
          <w:color w:val="auto"/>
          <w:sz w:val="24"/>
          <w:highlight w:val="none"/>
        </w:rPr>
        <w:br w:type="page"/>
      </w:r>
    </w:p>
    <w:p w14:paraId="1987DF0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7" w:name="_Toc15150"/>
      <w:bookmarkStart w:id="688" w:name="_Toc1235"/>
      <w:bookmarkStart w:id="689"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87"/>
      <w:bookmarkEnd w:id="688"/>
    </w:p>
    <w:p w14:paraId="5FF12CA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3E7754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0556963">
      <w:pPr>
        <w:spacing w:line="360" w:lineRule="auto"/>
        <w:jc w:val="center"/>
        <w:outlineLvl w:val="1"/>
        <w:rPr>
          <w:rFonts w:asciiTheme="minorEastAsia" w:hAnsiTheme="minorEastAsia" w:eastAsiaTheme="minorEastAsia"/>
          <w:b/>
          <w:color w:val="auto"/>
          <w:sz w:val="24"/>
          <w:highlight w:val="none"/>
        </w:rPr>
      </w:pPr>
      <w:bookmarkStart w:id="690" w:name="_Toc6969"/>
      <w:bookmarkStart w:id="691" w:name="_Toc6032"/>
      <w:r>
        <w:rPr>
          <w:rFonts w:hint="eastAsia" w:asciiTheme="minorEastAsia" w:hAnsiTheme="minorEastAsia" w:eastAsiaTheme="minorEastAsia"/>
          <w:b/>
          <w:color w:val="auto"/>
          <w:sz w:val="24"/>
          <w:highlight w:val="none"/>
        </w:rPr>
        <w:t>四、谈判响应函</w:t>
      </w:r>
      <w:bookmarkEnd w:id="689"/>
      <w:bookmarkEnd w:id="690"/>
      <w:bookmarkEnd w:id="691"/>
    </w:p>
    <w:p w14:paraId="5109D588">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3A471EC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4A08C0C8">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F1AF7C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4AC9768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2B4AE7F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66EFEDE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6D623042">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5A0D98A">
      <w:pPr>
        <w:spacing w:line="360" w:lineRule="auto"/>
        <w:ind w:firstLine="3600" w:firstLineChars="1500"/>
        <w:rPr>
          <w:rFonts w:cs="@仿宋_GB2312"/>
          <w:color w:val="auto"/>
          <w:kern w:val="2"/>
          <w:sz w:val="24"/>
          <w:highlight w:val="none"/>
        </w:rPr>
      </w:pPr>
    </w:p>
    <w:p w14:paraId="1A87F574">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08F9F31">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BD00C2C">
      <w:pPr>
        <w:widowControl/>
        <w:jc w:val="left"/>
        <w:rPr>
          <w:color w:val="auto"/>
          <w:sz w:val="24"/>
          <w:highlight w:val="none"/>
        </w:rPr>
      </w:pPr>
      <w:r>
        <w:rPr>
          <w:color w:val="auto"/>
          <w:sz w:val="24"/>
          <w:highlight w:val="none"/>
        </w:rPr>
        <w:br w:type="page"/>
      </w:r>
    </w:p>
    <w:p w14:paraId="5E244742">
      <w:pPr>
        <w:spacing w:line="360" w:lineRule="auto"/>
        <w:jc w:val="center"/>
        <w:outlineLvl w:val="1"/>
        <w:rPr>
          <w:b/>
          <w:i/>
          <w:color w:val="auto"/>
          <w:sz w:val="24"/>
          <w:highlight w:val="none"/>
        </w:rPr>
      </w:pPr>
      <w:bookmarkStart w:id="692" w:name="_Toc2947"/>
      <w:bookmarkStart w:id="693" w:name="_Toc16222"/>
      <w:r>
        <w:rPr>
          <w:rFonts w:hint="eastAsia" w:asciiTheme="minorEastAsia" w:hAnsiTheme="minorEastAsia" w:eastAsiaTheme="minorEastAsia"/>
          <w:b/>
          <w:color w:val="auto"/>
          <w:sz w:val="24"/>
          <w:highlight w:val="none"/>
        </w:rPr>
        <w:t>五、</w:t>
      </w:r>
      <w:bookmarkEnd w:id="692"/>
      <w:bookmarkStart w:id="694" w:name="_Toc8658"/>
      <w:r>
        <w:rPr>
          <w:rFonts w:hint="eastAsia" w:asciiTheme="minorEastAsia" w:hAnsiTheme="minorEastAsia" w:eastAsiaTheme="minorEastAsia"/>
          <w:b/>
          <w:color w:val="auto"/>
          <w:sz w:val="24"/>
          <w:highlight w:val="none"/>
          <w:lang w:val="en-US" w:eastAsia="zh-CN"/>
        </w:rPr>
        <w:t>供应商资格声明书</w:t>
      </w:r>
      <w:bookmarkEnd w:id="693"/>
      <w:r>
        <w:rPr>
          <w:rFonts w:hint="eastAsia" w:asciiTheme="minorEastAsia" w:hAnsiTheme="minorEastAsia" w:eastAsiaTheme="minorEastAsia"/>
          <w:b/>
          <w:color w:val="auto"/>
          <w:sz w:val="24"/>
          <w:highlight w:val="none"/>
          <w:lang w:val="en-US" w:eastAsia="zh-CN"/>
        </w:rPr>
        <w:t xml:space="preserve"> </w:t>
      </w:r>
    </w:p>
    <w:p w14:paraId="428BCAAF">
      <w:pPr>
        <w:pStyle w:val="30"/>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F887B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在参与本次项目谈判中，我单位承诺：</w:t>
      </w:r>
    </w:p>
    <w:p w14:paraId="638FA0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F3FFE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7EC8F7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A3D6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103D58">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3D4AAC5">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0A619CD8">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085FE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DA86D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288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836A66">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42B0270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52025C0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2F3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987D9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B4070DE">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6536F19">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30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DBC96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058FA02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56A704B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FAFF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C38D5A7">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F38A06">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694"/>
    <w:p w14:paraId="72E2C9EA">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bookmarkStart w:id="695" w:name="_Toc516969106"/>
      <w:bookmarkStart w:id="696" w:name="_Toc8203"/>
      <w:bookmarkStart w:id="697" w:name="_Toc204594911"/>
      <w:bookmarkStart w:id="698" w:name="_Toc520983594"/>
      <w:bookmarkStart w:id="699" w:name="_Toc121626298"/>
    </w:p>
    <w:p w14:paraId="41DDF3D1">
      <w:pPr>
        <w:spacing w:line="360" w:lineRule="auto"/>
        <w:jc w:val="center"/>
        <w:outlineLvl w:val="1"/>
        <w:rPr>
          <w:rFonts w:asciiTheme="minorEastAsia" w:hAnsiTheme="minorEastAsia" w:eastAsiaTheme="minorEastAsia"/>
          <w:b/>
          <w:color w:val="auto"/>
          <w:sz w:val="24"/>
          <w:highlight w:val="none"/>
        </w:rPr>
      </w:pPr>
      <w:bookmarkStart w:id="700" w:name="_Toc11666"/>
      <w:r>
        <w:rPr>
          <w:rFonts w:hint="eastAsia" w:asciiTheme="minorEastAsia" w:hAnsiTheme="minorEastAsia" w:eastAsiaTheme="minorEastAsia"/>
          <w:b/>
          <w:color w:val="auto"/>
          <w:sz w:val="24"/>
          <w:highlight w:val="none"/>
        </w:rPr>
        <w:t>六、授权书</w:t>
      </w:r>
      <w:bookmarkEnd w:id="695"/>
      <w:bookmarkEnd w:id="696"/>
      <w:bookmarkEnd w:id="697"/>
      <w:bookmarkEnd w:id="698"/>
      <w:bookmarkEnd w:id="699"/>
      <w:bookmarkEnd w:id="700"/>
    </w:p>
    <w:p w14:paraId="07756719">
      <w:pPr>
        <w:spacing w:line="360" w:lineRule="auto"/>
        <w:jc w:val="center"/>
        <w:rPr>
          <w:rFonts w:asciiTheme="minorEastAsia" w:hAnsiTheme="minorEastAsia" w:eastAsiaTheme="minorEastAsia"/>
          <w:b/>
          <w:color w:val="auto"/>
          <w:sz w:val="24"/>
          <w:highlight w:val="none"/>
        </w:rPr>
      </w:pPr>
    </w:p>
    <w:p w14:paraId="0672196A">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0B95E24">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F6FD9DC">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3D0B431">
      <w:pPr>
        <w:pStyle w:val="28"/>
        <w:snapToGrid w:val="0"/>
        <w:spacing w:line="360" w:lineRule="auto"/>
        <w:ind w:firstLine="480" w:firstLineChars="200"/>
        <w:jc w:val="left"/>
        <w:rPr>
          <w:rFonts w:hAnsi="宋体" w:eastAsia="宋体"/>
          <w:color w:val="auto"/>
          <w:sz w:val="24"/>
          <w:highlight w:val="none"/>
        </w:rPr>
      </w:pPr>
    </w:p>
    <w:p w14:paraId="4682E3A7">
      <w:pPr>
        <w:pStyle w:val="28"/>
        <w:snapToGrid w:val="0"/>
        <w:spacing w:line="360" w:lineRule="auto"/>
        <w:ind w:firstLine="480" w:firstLineChars="200"/>
        <w:jc w:val="left"/>
        <w:rPr>
          <w:rFonts w:hAnsi="宋体" w:eastAsia="宋体"/>
          <w:color w:val="auto"/>
          <w:sz w:val="24"/>
          <w:highlight w:val="none"/>
        </w:rPr>
      </w:pPr>
    </w:p>
    <w:p w14:paraId="3FC1D29C">
      <w:pPr>
        <w:pStyle w:val="28"/>
        <w:snapToGrid w:val="0"/>
        <w:spacing w:line="360" w:lineRule="auto"/>
        <w:ind w:firstLine="480" w:firstLineChars="200"/>
        <w:jc w:val="left"/>
        <w:rPr>
          <w:rFonts w:hAnsi="宋体" w:eastAsia="宋体"/>
          <w:color w:val="auto"/>
          <w:sz w:val="24"/>
          <w:highlight w:val="none"/>
        </w:rPr>
      </w:pPr>
    </w:p>
    <w:p w14:paraId="7610B127">
      <w:pPr>
        <w:pStyle w:val="28"/>
        <w:snapToGrid w:val="0"/>
        <w:spacing w:line="360" w:lineRule="auto"/>
        <w:ind w:firstLine="480" w:firstLineChars="200"/>
        <w:jc w:val="left"/>
        <w:rPr>
          <w:rFonts w:hAnsi="宋体" w:eastAsia="宋体"/>
          <w:color w:val="auto"/>
          <w:sz w:val="24"/>
          <w:highlight w:val="none"/>
        </w:rPr>
      </w:pPr>
    </w:p>
    <w:p w14:paraId="7E7F358A">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8F9D80">
      <w:pPr>
        <w:pStyle w:val="28"/>
        <w:snapToGrid w:val="0"/>
        <w:spacing w:line="360" w:lineRule="auto"/>
        <w:ind w:firstLine="480" w:firstLineChars="200"/>
        <w:jc w:val="left"/>
        <w:rPr>
          <w:rFonts w:hAnsi="宋体" w:eastAsia="宋体"/>
          <w:color w:val="auto"/>
          <w:sz w:val="24"/>
          <w:szCs w:val="28"/>
          <w:highlight w:val="none"/>
        </w:rPr>
      </w:pPr>
    </w:p>
    <w:p w14:paraId="0A24FD0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A2A8817">
      <w:pPr>
        <w:spacing w:line="360" w:lineRule="auto"/>
        <w:rPr>
          <w:color w:val="auto"/>
          <w:sz w:val="24"/>
          <w:szCs w:val="28"/>
          <w:highlight w:val="none"/>
        </w:rPr>
      </w:pPr>
    </w:p>
    <w:p w14:paraId="0BA9E7C9">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4E0B96C">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262CEDC">
      <w:pPr>
        <w:spacing w:line="360" w:lineRule="auto"/>
        <w:rPr>
          <w:color w:val="auto"/>
          <w:sz w:val="24"/>
          <w:szCs w:val="28"/>
          <w:highlight w:val="none"/>
        </w:rPr>
      </w:pPr>
    </w:p>
    <w:p w14:paraId="5B155DB6">
      <w:pPr>
        <w:spacing w:line="360" w:lineRule="auto"/>
        <w:rPr>
          <w:color w:val="auto"/>
          <w:sz w:val="24"/>
          <w:szCs w:val="28"/>
          <w:highlight w:val="none"/>
        </w:rPr>
      </w:pPr>
    </w:p>
    <w:p w14:paraId="042766A8">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4D7B76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BC3BD1">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532F015C">
      <w:pPr>
        <w:widowControl/>
        <w:jc w:val="left"/>
        <w:rPr>
          <w:color w:val="auto"/>
          <w:sz w:val="24"/>
          <w:highlight w:val="none"/>
        </w:rPr>
      </w:pPr>
      <w:r>
        <w:rPr>
          <w:color w:val="auto"/>
          <w:sz w:val="24"/>
          <w:highlight w:val="none"/>
        </w:rPr>
        <w:br w:type="page"/>
      </w:r>
    </w:p>
    <w:p w14:paraId="166F0A53">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1" w:name="_Toc24843"/>
      <w:bookmarkStart w:id="702" w:name="_Toc15839"/>
      <w:r>
        <w:rPr>
          <w:rFonts w:hint="eastAsia" w:cs="@仿宋_GB2312" w:asciiTheme="minorEastAsia" w:hAnsiTheme="minorEastAsia" w:eastAsiaTheme="minorEastAsia"/>
          <w:b/>
          <w:bCs/>
          <w:color w:val="auto"/>
          <w:kern w:val="2"/>
          <w:sz w:val="24"/>
          <w:szCs w:val="24"/>
          <w:highlight w:val="none"/>
        </w:rPr>
        <w:t>七、法定代表人身份证明书</w:t>
      </w:r>
      <w:bookmarkEnd w:id="701"/>
      <w:bookmarkEnd w:id="702"/>
    </w:p>
    <w:p w14:paraId="6A673DBB">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3BAF402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4C7F6C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A11A1F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C7148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D0C756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8B0FD9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38A9C87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3E8A7E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FEA0B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46B77A1A">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4C9F765B">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19169BCF">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1CB9A9EA">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6F44EF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6ECDFE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6A62CF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2574F71">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4D3389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03" w:name="_Toc4373"/>
      <w:bookmarkStart w:id="704" w:name="_Toc3266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03"/>
      <w:bookmarkEnd w:id="704"/>
    </w:p>
    <w:p w14:paraId="1E1D60A8">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EAD0F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71E31A8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04456CD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211C690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2688AEB">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1ABA0D16">
      <w:pPr>
        <w:spacing w:line="360" w:lineRule="auto"/>
        <w:ind w:firstLine="480" w:firstLineChars="200"/>
        <w:rPr>
          <w:rFonts w:cs="宋体"/>
          <w:color w:val="auto"/>
          <w:kern w:val="2"/>
          <w:sz w:val="24"/>
          <w:szCs w:val="24"/>
          <w:highlight w:val="none"/>
        </w:rPr>
      </w:pPr>
    </w:p>
    <w:p w14:paraId="6C5A6DE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38237C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90ACAC0">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7FACC05">
      <w:pPr>
        <w:spacing w:line="360" w:lineRule="auto"/>
        <w:ind w:firstLine="480" w:firstLineChars="200"/>
        <w:rPr>
          <w:rFonts w:cs="宋体"/>
          <w:color w:val="auto"/>
          <w:kern w:val="2"/>
          <w:sz w:val="24"/>
          <w:szCs w:val="24"/>
          <w:highlight w:val="none"/>
        </w:rPr>
      </w:pPr>
    </w:p>
    <w:p w14:paraId="3A00291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56F406E">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4EAD70AC">
      <w:pPr>
        <w:spacing w:line="360" w:lineRule="auto"/>
        <w:jc w:val="center"/>
        <w:outlineLvl w:val="1"/>
        <w:rPr>
          <w:rFonts w:asciiTheme="minorEastAsia" w:hAnsiTheme="minorEastAsia" w:eastAsiaTheme="minorEastAsia"/>
          <w:b/>
          <w:color w:val="auto"/>
          <w:sz w:val="24"/>
          <w:highlight w:val="none"/>
        </w:rPr>
      </w:pPr>
      <w:bookmarkStart w:id="705" w:name="_Toc30344"/>
      <w:bookmarkStart w:id="706" w:name="_Toc30935"/>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705"/>
      <w:bookmarkEnd w:id="706"/>
    </w:p>
    <w:p w14:paraId="2624D2FE">
      <w:pPr>
        <w:pStyle w:val="19"/>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45FE22FE">
      <w:pPr>
        <w:rPr>
          <w:rFonts w:asciiTheme="minorEastAsia" w:hAnsiTheme="minorEastAsia" w:eastAsiaTheme="minorEastAsia"/>
          <w:color w:val="auto"/>
          <w:sz w:val="24"/>
          <w:szCs w:val="24"/>
          <w:highlight w:val="none"/>
        </w:rPr>
      </w:pPr>
    </w:p>
    <w:p w14:paraId="7083334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1B1C122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112E6A3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A2D5B3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5D324CC6">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621AE0F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C7B5069">
      <w:pPr>
        <w:spacing w:line="360" w:lineRule="auto"/>
        <w:ind w:firstLine="435"/>
        <w:rPr>
          <w:rFonts w:cs="@仿宋_GB2312" w:asciiTheme="minorEastAsia" w:hAnsiTheme="minorEastAsia" w:eastAsiaTheme="minorEastAsia"/>
          <w:color w:val="auto"/>
          <w:kern w:val="2"/>
          <w:sz w:val="24"/>
          <w:szCs w:val="24"/>
          <w:highlight w:val="none"/>
        </w:rPr>
      </w:pPr>
    </w:p>
    <w:p w14:paraId="0FCA109F">
      <w:pPr>
        <w:spacing w:line="360" w:lineRule="auto"/>
        <w:ind w:firstLine="435"/>
        <w:rPr>
          <w:rFonts w:cs="@仿宋_GB2312" w:asciiTheme="minorEastAsia" w:hAnsiTheme="minorEastAsia" w:eastAsiaTheme="minorEastAsia"/>
          <w:color w:val="auto"/>
          <w:kern w:val="2"/>
          <w:sz w:val="24"/>
          <w:szCs w:val="24"/>
          <w:highlight w:val="none"/>
        </w:rPr>
      </w:pPr>
    </w:p>
    <w:p w14:paraId="6279806C">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4FA50B74">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6B7AE3F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16ACC49">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082C523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E31255B">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0FB36D2">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41DB90A5">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193EB1DE">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4AB6952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57708ADB">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21282997">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5．填写示例：</w:t>
      </w:r>
      <w:r>
        <w:rPr>
          <w:rFonts w:hint="eastAsia" w:cs="宋体"/>
          <w:b/>
          <w:bCs/>
          <w:color w:val="auto"/>
          <w:kern w:val="2"/>
          <w:sz w:val="21"/>
          <w:szCs w:val="21"/>
          <w:highlight w:val="none"/>
          <w:u w:val="single"/>
        </w:rPr>
        <w:t>某标的名称</w:t>
      </w:r>
      <w:r>
        <w:rPr>
          <w:rFonts w:hint="eastAsia" w:cs="宋体"/>
          <w:b/>
          <w:bCs/>
          <w:color w:val="auto"/>
          <w:kern w:val="2"/>
          <w:sz w:val="21"/>
          <w:szCs w:val="21"/>
          <w:highlight w:val="none"/>
        </w:rPr>
        <w:t>（</w:t>
      </w:r>
      <w:r>
        <w:rPr>
          <w:rFonts w:hint="eastAsia" w:cs="宋体"/>
          <w:b/>
          <w:bCs/>
          <w:color w:val="auto"/>
          <w:kern w:val="2"/>
          <w:sz w:val="21"/>
          <w:szCs w:val="21"/>
          <w:highlight w:val="none"/>
          <w:u w:val="single"/>
        </w:rPr>
        <w:t>填写第三章采购需求前附表中明确的“标的名称”</w:t>
      </w:r>
      <w:r>
        <w:rPr>
          <w:rFonts w:hint="eastAsia" w:cs="宋体"/>
          <w:b/>
          <w:bCs/>
          <w:color w:val="auto"/>
          <w:kern w:val="2"/>
          <w:sz w:val="21"/>
          <w:szCs w:val="21"/>
          <w:highlight w:val="none"/>
        </w:rPr>
        <w:t>），属于</w:t>
      </w:r>
      <w:r>
        <w:rPr>
          <w:rFonts w:hint="eastAsia" w:cs="宋体"/>
          <w:b/>
          <w:bCs/>
          <w:color w:val="auto"/>
          <w:kern w:val="2"/>
          <w:sz w:val="21"/>
          <w:szCs w:val="21"/>
          <w:highlight w:val="none"/>
          <w:u w:val="single"/>
        </w:rPr>
        <w:t>（填写第三章采购需求前附表中明确的“所属行业”，如建筑业）</w:t>
      </w:r>
      <w:r>
        <w:rPr>
          <w:rFonts w:hint="eastAsia" w:cs="宋体"/>
          <w:b/>
          <w:bCs/>
          <w:color w:val="auto"/>
          <w:kern w:val="2"/>
          <w:sz w:val="21"/>
          <w:szCs w:val="21"/>
          <w:highlight w:val="none"/>
        </w:rPr>
        <w:t>行业；</w:t>
      </w:r>
      <w:r>
        <w:rPr>
          <w:rFonts w:hint="eastAsia" w:cs="宋体"/>
          <w:b/>
          <w:bCs/>
          <w:color w:val="auto"/>
          <w:kern w:val="2"/>
          <w:sz w:val="21"/>
          <w:szCs w:val="21"/>
          <w:highlight w:val="none"/>
          <w:lang w:eastAsia="zh-CN"/>
        </w:rPr>
        <w:t>承建</w:t>
      </w:r>
      <w:r>
        <w:rPr>
          <w:rFonts w:hint="eastAsia" w:cs="宋体"/>
          <w:b/>
          <w:bCs/>
          <w:color w:val="auto"/>
          <w:kern w:val="2"/>
          <w:sz w:val="21"/>
          <w:szCs w:val="21"/>
          <w:highlight w:val="none"/>
        </w:rPr>
        <w:t>企业为</w:t>
      </w:r>
      <w:r>
        <w:rPr>
          <w:rFonts w:hint="eastAsia" w:cs="宋体"/>
          <w:b/>
          <w:bCs/>
          <w:color w:val="auto"/>
          <w:kern w:val="2"/>
          <w:sz w:val="21"/>
          <w:szCs w:val="21"/>
          <w:highlight w:val="none"/>
          <w:u w:val="single"/>
          <w:lang w:val="zh-CN"/>
        </w:rPr>
        <w:t>某公司</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从业人员</w:t>
      </w:r>
      <w:r>
        <w:rPr>
          <w:rFonts w:hint="eastAsia" w:cs="宋体"/>
          <w:b/>
          <w:bCs/>
          <w:color w:val="auto"/>
          <w:kern w:val="2"/>
          <w:sz w:val="21"/>
          <w:szCs w:val="21"/>
          <w:highlight w:val="none"/>
          <w:u w:val="single"/>
        </w:rPr>
        <w:t>100</w:t>
      </w:r>
      <w:r>
        <w:rPr>
          <w:rFonts w:hint="eastAsia" w:cs="宋体"/>
          <w:b/>
          <w:bCs/>
          <w:color w:val="auto"/>
          <w:kern w:val="2"/>
          <w:sz w:val="21"/>
          <w:szCs w:val="21"/>
          <w:highlight w:val="none"/>
          <w:lang w:val="zh-CN"/>
        </w:rPr>
        <w:t>人</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营业收入为</w:t>
      </w:r>
      <w:r>
        <w:rPr>
          <w:rFonts w:hint="eastAsia" w:cs="宋体"/>
          <w:b/>
          <w:bCs/>
          <w:color w:val="auto"/>
          <w:kern w:val="2"/>
          <w:sz w:val="21"/>
          <w:szCs w:val="21"/>
          <w:highlight w:val="none"/>
          <w:u w:val="single"/>
        </w:rPr>
        <w:t>10000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资产总额为</w:t>
      </w:r>
      <w:r>
        <w:rPr>
          <w:rFonts w:hint="eastAsia" w:cs="宋体"/>
          <w:b/>
          <w:bCs/>
          <w:color w:val="auto"/>
          <w:kern w:val="2"/>
          <w:sz w:val="21"/>
          <w:szCs w:val="21"/>
          <w:highlight w:val="none"/>
          <w:u w:val="single"/>
        </w:rPr>
        <w:t>5000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属于</w:t>
      </w:r>
      <w:r>
        <w:rPr>
          <w:rFonts w:hint="eastAsia" w:cs="宋体"/>
          <w:b/>
          <w:bCs/>
          <w:color w:val="auto"/>
          <w:kern w:val="2"/>
          <w:sz w:val="21"/>
          <w:szCs w:val="21"/>
          <w:highlight w:val="none"/>
        </w:rPr>
        <w:t>中</w:t>
      </w:r>
      <w:r>
        <w:rPr>
          <w:rFonts w:hint="eastAsia" w:cs="宋体"/>
          <w:b/>
          <w:bCs/>
          <w:color w:val="auto"/>
          <w:kern w:val="2"/>
          <w:sz w:val="21"/>
          <w:szCs w:val="21"/>
          <w:highlight w:val="none"/>
          <w:u w:val="single"/>
          <w:lang w:val="zh-CN"/>
        </w:rPr>
        <w:t>型</w:t>
      </w:r>
      <w:r>
        <w:rPr>
          <w:rFonts w:hint="eastAsia" w:cs="宋体"/>
          <w:b/>
          <w:bCs/>
          <w:color w:val="auto"/>
          <w:kern w:val="2"/>
          <w:sz w:val="21"/>
          <w:szCs w:val="21"/>
          <w:highlight w:val="none"/>
          <w:lang w:val="zh-CN"/>
        </w:rPr>
        <w:t>企业</w:t>
      </w:r>
      <w:r>
        <w:rPr>
          <w:rFonts w:hint="eastAsia" w:cs="宋体"/>
          <w:b/>
          <w:bCs/>
          <w:color w:val="auto"/>
          <w:kern w:val="2"/>
          <w:sz w:val="21"/>
          <w:szCs w:val="21"/>
          <w:highlight w:val="none"/>
        </w:rPr>
        <w:t>[</w:t>
      </w:r>
      <w:r>
        <w:rPr>
          <w:rFonts w:hint="eastAsia" w:cs="宋体"/>
          <w:b/>
          <w:bCs/>
          <w:color w:val="auto"/>
          <w:kern w:val="2"/>
          <w:sz w:val="21"/>
          <w:szCs w:val="21"/>
          <w:highlight w:val="none"/>
          <w:lang w:val="en-US" w:eastAsia="zh-CN"/>
        </w:rPr>
        <w:t>供应商</w:t>
      </w:r>
      <w:r>
        <w:rPr>
          <w:rFonts w:hint="eastAsia" w:cs="宋体"/>
          <w:b/>
          <w:bCs/>
          <w:color w:val="auto"/>
          <w:kern w:val="2"/>
          <w:sz w:val="21"/>
          <w:szCs w:val="21"/>
          <w:highlight w:val="none"/>
        </w:rPr>
        <w:t>自行登录工业和信息化部官网进行中小企业规模类型自测（查询网址https://www.miit.gov.cn/）]。</w:t>
      </w:r>
    </w:p>
    <w:p w14:paraId="445EA08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EA313D6">
      <w:pPr>
        <w:spacing w:line="360" w:lineRule="auto"/>
        <w:jc w:val="center"/>
        <w:outlineLvl w:val="1"/>
        <w:rPr>
          <w:rFonts w:asciiTheme="minorEastAsia" w:hAnsiTheme="minorEastAsia" w:eastAsiaTheme="minorEastAsia"/>
          <w:b/>
          <w:color w:val="auto"/>
          <w:sz w:val="24"/>
          <w:highlight w:val="none"/>
        </w:rPr>
      </w:pPr>
      <w:bookmarkStart w:id="707" w:name="_Toc12123"/>
      <w:bookmarkStart w:id="708" w:name="_Toc28558"/>
      <w:r>
        <w:rPr>
          <w:rFonts w:hint="eastAsia" w:asciiTheme="minorEastAsia" w:hAnsiTheme="minorEastAsia" w:eastAsiaTheme="minorEastAsia"/>
          <w:b/>
          <w:color w:val="auto"/>
          <w:sz w:val="24"/>
          <w:highlight w:val="none"/>
        </w:rPr>
        <w:t>十、残疾人福利性单位声明函</w:t>
      </w:r>
      <w:bookmarkEnd w:id="707"/>
      <w:bookmarkEnd w:id="708"/>
    </w:p>
    <w:p w14:paraId="023E64CB">
      <w:pPr>
        <w:pStyle w:val="19"/>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（非残疾人福利性单位谈判，请删去“残疾人福利性单位声明函”）</w:t>
      </w:r>
    </w:p>
    <w:p w14:paraId="77742057">
      <w:pPr>
        <w:spacing w:line="360" w:lineRule="auto"/>
        <w:rPr>
          <w:rFonts w:cs="Times New Roman"/>
          <w:color w:val="auto"/>
          <w:spacing w:val="6"/>
          <w:kern w:val="2"/>
          <w:sz w:val="24"/>
          <w:szCs w:val="24"/>
          <w:highlight w:val="none"/>
        </w:rPr>
      </w:pPr>
    </w:p>
    <w:p w14:paraId="6BA9FBA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247E70D">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4B3824FC">
      <w:pPr>
        <w:spacing w:line="360" w:lineRule="auto"/>
        <w:ind w:firstLine="4228" w:firstLineChars="1762"/>
        <w:rPr>
          <w:rFonts w:cs="Times New Roman"/>
          <w:color w:val="auto"/>
          <w:kern w:val="2"/>
          <w:sz w:val="24"/>
          <w:szCs w:val="24"/>
          <w:highlight w:val="none"/>
        </w:rPr>
      </w:pPr>
    </w:p>
    <w:p w14:paraId="67C1E17C">
      <w:pPr>
        <w:spacing w:line="360" w:lineRule="auto"/>
        <w:ind w:firstLine="4228" w:firstLineChars="1762"/>
        <w:rPr>
          <w:rFonts w:cs="Times New Roman"/>
          <w:color w:val="auto"/>
          <w:kern w:val="2"/>
          <w:sz w:val="24"/>
          <w:szCs w:val="24"/>
          <w:highlight w:val="none"/>
        </w:rPr>
      </w:pPr>
    </w:p>
    <w:p w14:paraId="1DFDCD0C">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470B8807">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51D1C03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AFA094">
      <w:pPr>
        <w:spacing w:line="360" w:lineRule="auto"/>
        <w:jc w:val="center"/>
        <w:outlineLvl w:val="1"/>
        <w:rPr>
          <w:rFonts w:asciiTheme="minorEastAsia" w:hAnsiTheme="minorEastAsia" w:eastAsiaTheme="minorEastAsia"/>
          <w:b/>
          <w:color w:val="auto"/>
          <w:sz w:val="24"/>
          <w:highlight w:val="none"/>
        </w:rPr>
      </w:pPr>
      <w:bookmarkStart w:id="709" w:name="_Toc15906"/>
      <w:bookmarkStart w:id="710" w:name="_Toc16830"/>
      <w:bookmarkStart w:id="711"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709"/>
      <w:bookmarkEnd w:id="710"/>
    </w:p>
    <w:p w14:paraId="23EFF63B">
      <w:pPr>
        <w:spacing w:line="360" w:lineRule="auto"/>
        <w:rPr>
          <w:rFonts w:cs="@仿宋_GB2312" w:asciiTheme="minorEastAsia" w:hAnsiTheme="minorEastAsia" w:eastAsiaTheme="minorEastAsia"/>
          <w:b/>
          <w:bCs/>
          <w:color w:val="auto"/>
          <w:kern w:val="2"/>
          <w:sz w:val="24"/>
          <w:highlight w:val="none"/>
        </w:rPr>
      </w:pPr>
    </w:p>
    <w:p w14:paraId="1357876D">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C75740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72FD71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28B201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FFD9BA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D6BB83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7B7386C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45F59E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8482A0">
      <w:pPr>
        <w:spacing w:line="360" w:lineRule="auto"/>
        <w:rPr>
          <w:rFonts w:cs="@仿宋_GB2312" w:asciiTheme="minorEastAsia" w:hAnsiTheme="minorEastAsia" w:eastAsiaTheme="minorEastAsia"/>
          <w:bCs/>
          <w:color w:val="auto"/>
          <w:kern w:val="2"/>
          <w:sz w:val="24"/>
          <w:highlight w:val="none"/>
        </w:rPr>
      </w:pPr>
    </w:p>
    <w:p w14:paraId="092A6FD8">
      <w:pPr>
        <w:spacing w:line="360" w:lineRule="auto"/>
        <w:rPr>
          <w:rFonts w:cs="@仿宋_GB2312" w:asciiTheme="minorEastAsia" w:hAnsiTheme="minorEastAsia" w:eastAsiaTheme="minorEastAsia"/>
          <w:bCs/>
          <w:color w:val="auto"/>
          <w:kern w:val="2"/>
          <w:sz w:val="24"/>
          <w:highlight w:val="none"/>
        </w:rPr>
      </w:pPr>
    </w:p>
    <w:p w14:paraId="5A63C991">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7D750ED">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4170402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11"/>
    <w:p w14:paraId="3EF7B7D4">
      <w:pPr>
        <w:spacing w:line="360" w:lineRule="auto"/>
        <w:jc w:val="center"/>
        <w:outlineLvl w:val="1"/>
        <w:rPr>
          <w:rFonts w:hint="eastAsia" w:asciiTheme="minorEastAsia" w:hAnsiTheme="minorEastAsia" w:eastAsiaTheme="minorEastAsia"/>
          <w:b/>
          <w:color w:val="auto"/>
          <w:sz w:val="24"/>
          <w:highlight w:val="none"/>
          <w:lang w:eastAsia="zh-CN"/>
        </w:rPr>
      </w:pPr>
      <w:bookmarkStart w:id="712" w:name="_Toc13419"/>
      <w:bookmarkStart w:id="713" w:name="_Toc60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承诺</w:t>
      </w:r>
      <w:r>
        <w:rPr>
          <w:rFonts w:hint="eastAsia" w:asciiTheme="minorEastAsia" w:hAnsiTheme="minorEastAsia" w:eastAsiaTheme="minorEastAsia"/>
          <w:b/>
          <w:color w:val="auto"/>
          <w:sz w:val="24"/>
          <w:highlight w:val="none"/>
          <w:lang w:val="en-US" w:eastAsia="zh-CN"/>
        </w:rPr>
        <w:t>书</w:t>
      </w:r>
    </w:p>
    <w:p w14:paraId="5F6AB5FB">
      <w:pPr>
        <w:spacing w:line="500" w:lineRule="exact"/>
        <w:rPr>
          <w:rFonts w:cs="宋体"/>
          <w:color w:val="auto"/>
          <w:sz w:val="21"/>
          <w:szCs w:val="21"/>
          <w:highlight w:val="none"/>
        </w:rPr>
      </w:pPr>
      <w:r>
        <w:rPr>
          <w:rFonts w:hint="eastAsia" w:cs="宋体"/>
          <w:color w:val="auto"/>
          <w:sz w:val="21"/>
          <w:szCs w:val="21"/>
          <w:highlight w:val="none"/>
          <w:lang w:bidi="ar"/>
        </w:rPr>
        <w:t>本人以企业法定代表人的身份郑重承诺：</w:t>
      </w:r>
    </w:p>
    <w:p w14:paraId="465F4820">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一、将遵循公开、公正和诚实信用的原则自愿参加</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项目的磋商，所提供的一切材料都是真实、有效、合法的；</w:t>
      </w:r>
    </w:p>
    <w:p w14:paraId="767C6C5D">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70A9041">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三、不出借、转让资质证书，不让他人挂靠投标，不以他人名义投标或者以其他方式弄虚作假，骗取成交；</w:t>
      </w:r>
    </w:p>
    <w:p w14:paraId="638982A3">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四、不与其他供应商相互串通投标报价，不排挤其他供应商的公平竞争、损害采购人的合法权益；</w:t>
      </w:r>
    </w:p>
    <w:p w14:paraId="4BA1607C">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五、不与采购人、代理机构或其他供应商串通磋商，损害国家利益、社会公共利益或者他人的合法权益；</w:t>
      </w:r>
    </w:p>
    <w:p w14:paraId="5D11B0BD">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六、</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或</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法定代表人或拟派项目经理</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92CBB00">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七、严格遵守开标现场纪律，服从监管人员管理；</w:t>
      </w:r>
    </w:p>
    <w:p w14:paraId="21824975">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八、保证中标后不转包，若有分包征得招标人同意；</w:t>
      </w:r>
    </w:p>
    <w:p w14:paraId="66B2843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九、保证中标之后，按照</w:t>
      </w:r>
      <w:r>
        <w:rPr>
          <w:rFonts w:hint="eastAsia" w:cs="宋体"/>
          <w:color w:val="auto"/>
          <w:sz w:val="21"/>
          <w:szCs w:val="21"/>
          <w:highlight w:val="none"/>
          <w:lang w:val="en-US" w:eastAsia="zh-CN" w:bidi="ar"/>
        </w:rPr>
        <w:t>响应</w:t>
      </w:r>
      <w:r>
        <w:rPr>
          <w:rFonts w:hint="eastAsia" w:cs="宋体"/>
          <w:color w:val="auto"/>
          <w:sz w:val="21"/>
          <w:szCs w:val="21"/>
          <w:highlight w:val="none"/>
          <w:lang w:bidi="ar"/>
        </w:rPr>
        <w:t>文件要求提供相关后续服务；</w:t>
      </w:r>
    </w:p>
    <w:p w14:paraId="196344C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十、保证企业及所属相关人员在本次投标中无行贿等犯罪行为；</w:t>
      </w:r>
    </w:p>
    <w:p w14:paraId="29B022D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十一、如在</w:t>
      </w:r>
      <w:r>
        <w:rPr>
          <w:rFonts w:hint="eastAsia" w:cs="宋体"/>
          <w:color w:val="auto"/>
          <w:sz w:val="21"/>
          <w:szCs w:val="21"/>
          <w:highlight w:val="none"/>
          <w:lang w:val="en-US" w:eastAsia="zh-CN" w:bidi="ar"/>
        </w:rPr>
        <w:t>磋商</w:t>
      </w:r>
      <w:r>
        <w:rPr>
          <w:rFonts w:hint="eastAsia" w:cs="宋体"/>
          <w:color w:val="auto"/>
          <w:sz w:val="21"/>
          <w:szCs w:val="21"/>
          <w:highlight w:val="none"/>
          <w:lang w:bidi="ar"/>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0D8877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1C82CFF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 xml:space="preserve">开户银行：                      </w:t>
      </w:r>
      <w:r>
        <w:rPr>
          <w:rFonts w:hint="eastAsia" w:cs="宋体"/>
          <w:color w:val="auto"/>
          <w:sz w:val="21"/>
          <w:szCs w:val="21"/>
          <w:highlight w:val="none"/>
          <w:lang w:val="en-US" w:eastAsia="zh-CN" w:bidi="ar"/>
        </w:rPr>
        <w:t xml:space="preserve">  </w:t>
      </w:r>
      <w:r>
        <w:rPr>
          <w:rFonts w:hint="eastAsia" w:cs="宋体"/>
          <w:color w:val="auto"/>
          <w:sz w:val="21"/>
          <w:szCs w:val="21"/>
          <w:highlight w:val="none"/>
          <w:lang w:bidi="ar"/>
        </w:rPr>
        <w:t>基本账户：</w:t>
      </w:r>
    </w:p>
    <w:p w14:paraId="7B5D11A1">
      <w:pPr>
        <w:spacing w:line="500" w:lineRule="exact"/>
        <w:ind w:firstLine="420" w:firstLineChars="200"/>
        <w:rPr>
          <w:rFonts w:cs="宋体"/>
          <w:color w:val="auto"/>
          <w:sz w:val="21"/>
          <w:szCs w:val="21"/>
          <w:highlight w:val="none"/>
        </w:rPr>
      </w:pPr>
      <w:r>
        <w:rPr>
          <w:rFonts w:hint="eastAsia" w:cs="宋体"/>
          <w:color w:val="auto"/>
          <w:sz w:val="21"/>
          <w:szCs w:val="21"/>
          <w:highlight w:val="none"/>
          <w:lang w:val="en-US" w:eastAsia="zh-CN" w:bidi="ar"/>
        </w:rPr>
        <w:t>供应商</w:t>
      </w:r>
      <w:r>
        <w:rPr>
          <w:rFonts w:hint="eastAsia" w:cs="宋体"/>
          <w:color w:val="auto"/>
          <w:sz w:val="21"/>
          <w:szCs w:val="21"/>
          <w:highlight w:val="none"/>
          <w:lang w:bidi="ar"/>
        </w:rPr>
        <w:t>单位（签章）：               法定代表人（签章）：</w:t>
      </w:r>
    </w:p>
    <w:p w14:paraId="43FDAD73">
      <w:pPr>
        <w:spacing w:line="560" w:lineRule="exact"/>
        <w:jc w:val="right"/>
        <w:rPr>
          <w:rFonts w:ascii="仿宋_GB2312" w:eastAsia="仿宋_GB2312" w:cs="仿宋_GB2312"/>
          <w:color w:val="auto"/>
          <w:sz w:val="21"/>
          <w:szCs w:val="21"/>
          <w:highlight w:val="none"/>
        </w:rPr>
      </w:pPr>
      <w:r>
        <w:rPr>
          <w:rFonts w:hint="eastAsia" w:cs="宋体"/>
          <w:color w:val="auto"/>
          <w:sz w:val="21"/>
          <w:szCs w:val="21"/>
          <w:highlight w:val="none"/>
          <w:lang w:bidi="ar"/>
        </w:rPr>
        <w:t>日期：</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年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月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日</w:t>
      </w:r>
    </w:p>
    <w:p w14:paraId="55E11D0B">
      <w:pPr>
        <w:spacing w:line="560" w:lineRule="exact"/>
        <w:jc w:val="right"/>
        <w:rPr>
          <w:rFonts w:hint="eastAsia" w:ascii="仿宋_GB2312" w:eastAsia="仿宋_GB2312" w:cs="仿宋_GB2312"/>
          <w:color w:val="auto"/>
          <w:sz w:val="21"/>
          <w:szCs w:val="21"/>
          <w:highlight w:val="none"/>
        </w:rPr>
      </w:pPr>
    </w:p>
    <w:p w14:paraId="7A8AE343">
      <w:pPr>
        <w:pStyle w:val="54"/>
        <w:rPr>
          <w:color w:val="auto"/>
          <w:highlight w:val="none"/>
        </w:rPr>
      </w:pPr>
    </w:p>
    <w:p w14:paraId="2636B845">
      <w:pPr>
        <w:spacing w:line="360" w:lineRule="auto"/>
        <w:jc w:val="center"/>
        <w:outlineLvl w:val="1"/>
        <w:rPr>
          <w:rFonts w:hint="eastAsia" w:asciiTheme="minorEastAsia" w:hAnsiTheme="minorEastAsia" w:eastAsiaTheme="minorEastAsia"/>
          <w:b/>
          <w:color w:val="auto"/>
          <w:sz w:val="24"/>
          <w:highlight w:val="none"/>
        </w:rPr>
      </w:pPr>
    </w:p>
    <w:p w14:paraId="2C35A148">
      <w:pPr>
        <w:pStyle w:val="25"/>
        <w:rPr>
          <w:rFonts w:hint="eastAsia" w:asciiTheme="minorEastAsia" w:hAnsiTheme="minorEastAsia" w:eastAsiaTheme="minorEastAsia"/>
          <w:b/>
          <w:color w:val="auto"/>
          <w:sz w:val="24"/>
          <w:highlight w:val="none"/>
        </w:rPr>
      </w:pPr>
    </w:p>
    <w:p w14:paraId="21D6954D">
      <w:pPr>
        <w:rPr>
          <w:rFonts w:hint="eastAsia" w:asciiTheme="minorEastAsia" w:hAnsiTheme="minorEastAsia" w:eastAsiaTheme="minorEastAsia"/>
          <w:b/>
          <w:color w:val="auto"/>
          <w:sz w:val="24"/>
          <w:highlight w:val="none"/>
        </w:rPr>
      </w:pPr>
    </w:p>
    <w:p w14:paraId="0DABAA9C">
      <w:pPr>
        <w:pStyle w:val="25"/>
        <w:rPr>
          <w:rFonts w:hint="eastAsia" w:asciiTheme="minorEastAsia" w:hAnsiTheme="minorEastAsia" w:eastAsiaTheme="minorEastAsia"/>
          <w:b/>
          <w:color w:val="auto"/>
          <w:sz w:val="24"/>
          <w:highlight w:val="none"/>
        </w:rPr>
      </w:pPr>
    </w:p>
    <w:p w14:paraId="5486DFA7">
      <w:pPr>
        <w:rPr>
          <w:rFonts w:hint="eastAsia" w:asciiTheme="minorEastAsia" w:hAnsiTheme="minorEastAsia" w:eastAsiaTheme="minorEastAsia"/>
          <w:b/>
          <w:color w:val="auto"/>
          <w:sz w:val="24"/>
          <w:highlight w:val="none"/>
        </w:rPr>
      </w:pPr>
    </w:p>
    <w:p w14:paraId="25AC0808">
      <w:pPr>
        <w:pStyle w:val="25"/>
        <w:rPr>
          <w:rFonts w:hint="eastAsia" w:asciiTheme="minorEastAsia" w:hAnsiTheme="minorEastAsia" w:eastAsiaTheme="minorEastAsia"/>
          <w:b/>
          <w:color w:val="auto"/>
          <w:sz w:val="24"/>
          <w:highlight w:val="none"/>
        </w:rPr>
      </w:pPr>
    </w:p>
    <w:p w14:paraId="5B79818A">
      <w:pPr>
        <w:rPr>
          <w:rFonts w:hint="eastAsia" w:asciiTheme="minorEastAsia" w:hAnsiTheme="minorEastAsia" w:eastAsiaTheme="minorEastAsia"/>
          <w:b/>
          <w:color w:val="auto"/>
          <w:sz w:val="24"/>
          <w:highlight w:val="none"/>
        </w:rPr>
      </w:pPr>
    </w:p>
    <w:p w14:paraId="1A1011A0">
      <w:pPr>
        <w:pStyle w:val="25"/>
        <w:rPr>
          <w:rFonts w:hint="eastAsia" w:asciiTheme="minorEastAsia" w:hAnsiTheme="minorEastAsia" w:eastAsiaTheme="minorEastAsia"/>
          <w:b/>
          <w:color w:val="auto"/>
          <w:sz w:val="24"/>
          <w:highlight w:val="none"/>
        </w:rPr>
      </w:pPr>
    </w:p>
    <w:p w14:paraId="5F5A580A">
      <w:pPr>
        <w:rPr>
          <w:rFonts w:hint="eastAsia" w:asciiTheme="minorEastAsia" w:hAnsiTheme="minorEastAsia" w:eastAsiaTheme="minorEastAsia"/>
          <w:b/>
          <w:color w:val="auto"/>
          <w:sz w:val="24"/>
          <w:highlight w:val="none"/>
        </w:rPr>
      </w:pPr>
    </w:p>
    <w:p w14:paraId="2FF1F26B">
      <w:pPr>
        <w:pStyle w:val="25"/>
        <w:rPr>
          <w:rFonts w:hint="eastAsia" w:asciiTheme="minorEastAsia" w:hAnsiTheme="minorEastAsia" w:eastAsiaTheme="minorEastAsia"/>
          <w:b/>
          <w:color w:val="auto"/>
          <w:sz w:val="24"/>
          <w:highlight w:val="none"/>
        </w:rPr>
      </w:pPr>
    </w:p>
    <w:p w14:paraId="22D67EAC">
      <w:pPr>
        <w:rPr>
          <w:rFonts w:hint="eastAsia" w:asciiTheme="minorEastAsia" w:hAnsiTheme="minorEastAsia" w:eastAsiaTheme="minorEastAsia"/>
          <w:b/>
          <w:color w:val="auto"/>
          <w:sz w:val="24"/>
          <w:highlight w:val="none"/>
        </w:rPr>
      </w:pPr>
    </w:p>
    <w:p w14:paraId="4D4380BD">
      <w:pPr>
        <w:pStyle w:val="25"/>
        <w:rPr>
          <w:rFonts w:hint="eastAsia" w:asciiTheme="minorEastAsia" w:hAnsiTheme="minorEastAsia" w:eastAsiaTheme="minorEastAsia"/>
          <w:b/>
          <w:color w:val="auto"/>
          <w:sz w:val="24"/>
          <w:highlight w:val="none"/>
        </w:rPr>
      </w:pPr>
    </w:p>
    <w:p w14:paraId="28DAFBAD">
      <w:pPr>
        <w:rPr>
          <w:rFonts w:hint="eastAsia" w:asciiTheme="minorEastAsia" w:hAnsiTheme="minorEastAsia" w:eastAsiaTheme="minorEastAsia"/>
          <w:b/>
          <w:color w:val="auto"/>
          <w:sz w:val="24"/>
          <w:highlight w:val="none"/>
        </w:rPr>
      </w:pPr>
    </w:p>
    <w:p w14:paraId="23382E70">
      <w:pPr>
        <w:pStyle w:val="25"/>
        <w:rPr>
          <w:rFonts w:hint="eastAsia" w:asciiTheme="minorEastAsia" w:hAnsiTheme="minorEastAsia" w:eastAsiaTheme="minorEastAsia"/>
          <w:b/>
          <w:color w:val="auto"/>
          <w:sz w:val="24"/>
          <w:highlight w:val="none"/>
        </w:rPr>
      </w:pPr>
    </w:p>
    <w:p w14:paraId="22210AD2">
      <w:pPr>
        <w:rPr>
          <w:rFonts w:hint="eastAsia" w:asciiTheme="minorEastAsia" w:hAnsiTheme="minorEastAsia" w:eastAsiaTheme="minorEastAsia"/>
          <w:b/>
          <w:color w:val="auto"/>
          <w:sz w:val="24"/>
          <w:highlight w:val="none"/>
        </w:rPr>
      </w:pPr>
    </w:p>
    <w:p w14:paraId="691C74AD">
      <w:pPr>
        <w:pStyle w:val="25"/>
        <w:rPr>
          <w:rFonts w:hint="eastAsia" w:asciiTheme="minorEastAsia" w:hAnsiTheme="minorEastAsia" w:eastAsiaTheme="minorEastAsia"/>
          <w:b/>
          <w:color w:val="auto"/>
          <w:sz w:val="24"/>
          <w:highlight w:val="none"/>
        </w:rPr>
      </w:pPr>
    </w:p>
    <w:p w14:paraId="165A0135">
      <w:pPr>
        <w:rPr>
          <w:rFonts w:hint="eastAsia" w:asciiTheme="minorEastAsia" w:hAnsiTheme="minorEastAsia" w:eastAsiaTheme="minorEastAsia"/>
          <w:b/>
          <w:color w:val="auto"/>
          <w:sz w:val="24"/>
          <w:highlight w:val="none"/>
        </w:rPr>
      </w:pPr>
    </w:p>
    <w:p w14:paraId="78E229B0">
      <w:pPr>
        <w:pStyle w:val="25"/>
        <w:rPr>
          <w:rFonts w:hint="eastAsia" w:asciiTheme="minorEastAsia" w:hAnsiTheme="minorEastAsia" w:eastAsiaTheme="minorEastAsia"/>
          <w:b/>
          <w:color w:val="auto"/>
          <w:sz w:val="24"/>
          <w:highlight w:val="none"/>
        </w:rPr>
      </w:pPr>
    </w:p>
    <w:p w14:paraId="124F9576">
      <w:pPr>
        <w:rPr>
          <w:rFonts w:hint="eastAsia" w:asciiTheme="minorEastAsia" w:hAnsiTheme="minorEastAsia" w:eastAsiaTheme="minorEastAsia"/>
          <w:b/>
          <w:color w:val="auto"/>
          <w:sz w:val="24"/>
          <w:highlight w:val="none"/>
        </w:rPr>
      </w:pPr>
    </w:p>
    <w:p w14:paraId="7AE54D0E">
      <w:pPr>
        <w:pStyle w:val="25"/>
        <w:rPr>
          <w:rFonts w:hint="eastAsia" w:asciiTheme="minorEastAsia" w:hAnsiTheme="minorEastAsia" w:eastAsiaTheme="minorEastAsia"/>
          <w:b/>
          <w:color w:val="auto"/>
          <w:sz w:val="24"/>
          <w:highlight w:val="none"/>
        </w:rPr>
      </w:pPr>
    </w:p>
    <w:p w14:paraId="55BF452A">
      <w:pPr>
        <w:rPr>
          <w:rFonts w:hint="eastAsia" w:asciiTheme="minorEastAsia" w:hAnsiTheme="minorEastAsia" w:eastAsiaTheme="minorEastAsia"/>
          <w:b/>
          <w:color w:val="auto"/>
          <w:sz w:val="24"/>
          <w:highlight w:val="none"/>
        </w:rPr>
      </w:pPr>
    </w:p>
    <w:p w14:paraId="59A1C4AC">
      <w:pPr>
        <w:pStyle w:val="25"/>
        <w:rPr>
          <w:rFonts w:hint="eastAsia" w:asciiTheme="minorEastAsia" w:hAnsiTheme="minorEastAsia" w:eastAsiaTheme="minorEastAsia"/>
          <w:b/>
          <w:color w:val="auto"/>
          <w:sz w:val="24"/>
          <w:highlight w:val="none"/>
        </w:rPr>
      </w:pPr>
    </w:p>
    <w:p w14:paraId="36C96B7C">
      <w:pPr>
        <w:rPr>
          <w:rFonts w:hint="eastAsia" w:asciiTheme="minorEastAsia" w:hAnsiTheme="minorEastAsia" w:eastAsiaTheme="minorEastAsia"/>
          <w:b/>
          <w:color w:val="auto"/>
          <w:sz w:val="24"/>
          <w:highlight w:val="none"/>
        </w:rPr>
      </w:pPr>
    </w:p>
    <w:p w14:paraId="46964D3B">
      <w:pPr>
        <w:pStyle w:val="25"/>
        <w:rPr>
          <w:rFonts w:hint="eastAsia"/>
          <w:color w:val="auto"/>
          <w:highlight w:val="none"/>
        </w:rPr>
      </w:pPr>
    </w:p>
    <w:p w14:paraId="1E958B0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12"/>
      <w:bookmarkEnd w:id="713"/>
    </w:p>
    <w:p w14:paraId="42C3E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7084964D">
      <w:pPr>
        <w:spacing w:line="360" w:lineRule="auto"/>
        <w:ind w:firstLine="480" w:firstLineChars="200"/>
        <w:rPr>
          <w:rFonts w:asciiTheme="minorEastAsia" w:hAnsiTheme="minorEastAsia" w:eastAsiaTheme="minorEastAsia"/>
          <w:color w:val="auto"/>
          <w:sz w:val="24"/>
          <w:highlight w:val="none"/>
        </w:rPr>
      </w:pPr>
    </w:p>
    <w:p w14:paraId="0ED8E42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D783A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34B4F34">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64DB770">
      <w:pPr>
        <w:widowControl/>
        <w:jc w:val="left"/>
        <w:rPr>
          <w:bCs/>
          <w:color w:val="auto"/>
          <w:sz w:val="24"/>
          <w:highlight w:val="none"/>
        </w:rPr>
      </w:pPr>
    </w:p>
    <w:p w14:paraId="7B3F8F9D">
      <w:pPr>
        <w:spacing w:line="360" w:lineRule="auto"/>
        <w:jc w:val="center"/>
        <w:outlineLvl w:val="0"/>
        <w:rPr>
          <w:b/>
          <w:bCs/>
          <w:color w:val="auto"/>
          <w:sz w:val="28"/>
          <w:highlight w:val="none"/>
        </w:rPr>
      </w:pPr>
      <w:bookmarkStart w:id="714" w:name="_Toc921"/>
      <w:bookmarkStart w:id="715" w:name="_Toc25478"/>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14"/>
      <w:bookmarkEnd w:id="715"/>
    </w:p>
    <w:p w14:paraId="064B6906">
      <w:pPr>
        <w:spacing w:line="360" w:lineRule="auto"/>
        <w:jc w:val="center"/>
        <w:outlineLvl w:val="1"/>
        <w:rPr>
          <w:rFonts w:ascii="仿宋" w:hAnsi="仿宋" w:eastAsia="仿宋" w:cs="仿宋"/>
          <w:b/>
          <w:bCs/>
          <w:color w:val="auto"/>
          <w:sz w:val="32"/>
          <w:szCs w:val="44"/>
          <w:highlight w:val="none"/>
        </w:rPr>
      </w:pPr>
      <w:bookmarkStart w:id="716" w:name="_Toc30776"/>
      <w:bookmarkStart w:id="717" w:name="_Toc7450"/>
      <w:r>
        <w:rPr>
          <w:rFonts w:hint="eastAsia" w:ascii="仿宋" w:hAnsi="仿宋" w:eastAsia="仿宋" w:cs="仿宋"/>
          <w:b/>
          <w:bCs/>
          <w:color w:val="auto"/>
          <w:sz w:val="32"/>
          <w:szCs w:val="44"/>
          <w:highlight w:val="none"/>
        </w:rPr>
        <w:t>询问函范本</w:t>
      </w:r>
      <w:bookmarkEnd w:id="716"/>
      <w:bookmarkEnd w:id="717"/>
    </w:p>
    <w:p w14:paraId="763A762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C73ABE1">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2664FA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137D76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18" w:name="_Toc13620"/>
      <w:r>
        <w:rPr>
          <w:rFonts w:hint="eastAsia" w:cs="仿宋" w:asciiTheme="minorEastAsia" w:hAnsiTheme="minorEastAsia" w:eastAsiaTheme="minorEastAsia"/>
          <w:color w:val="auto"/>
          <w:sz w:val="24"/>
          <w:szCs w:val="24"/>
          <w:highlight w:val="none"/>
        </w:rPr>
        <w:t>一、(事项一)</w:t>
      </w:r>
      <w:bookmarkEnd w:id="718"/>
    </w:p>
    <w:p w14:paraId="666DE06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B563B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868CCD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B5A353">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19" w:name="_Toc14277"/>
      <w:r>
        <w:rPr>
          <w:rFonts w:hint="eastAsia" w:cs="仿宋" w:asciiTheme="minorEastAsia" w:hAnsiTheme="minorEastAsia" w:eastAsiaTheme="minorEastAsia"/>
          <w:color w:val="auto"/>
          <w:sz w:val="24"/>
          <w:szCs w:val="24"/>
          <w:highlight w:val="none"/>
        </w:rPr>
        <w:t>二、(事项二)</w:t>
      </w:r>
      <w:bookmarkEnd w:id="719"/>
    </w:p>
    <w:p w14:paraId="41E1C47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ECD9C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6C58B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D1B41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F231AE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798ED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138DF1C">
      <w:pPr>
        <w:jc w:val="center"/>
        <w:outlineLvl w:val="1"/>
        <w:rPr>
          <w:rFonts w:ascii="仿宋" w:hAnsi="仿宋" w:eastAsia="仿宋" w:cs="仿宋"/>
          <w:b/>
          <w:bCs/>
          <w:color w:val="auto"/>
          <w:sz w:val="32"/>
          <w:szCs w:val="44"/>
          <w:highlight w:val="none"/>
        </w:rPr>
      </w:pPr>
      <w:bookmarkStart w:id="720" w:name="_Toc16939"/>
      <w:bookmarkStart w:id="721" w:name="_Toc28125"/>
      <w:r>
        <w:rPr>
          <w:rFonts w:hint="eastAsia" w:ascii="仿宋" w:hAnsi="仿宋" w:eastAsia="仿宋" w:cs="仿宋"/>
          <w:b/>
          <w:bCs/>
          <w:color w:val="auto"/>
          <w:sz w:val="32"/>
          <w:szCs w:val="44"/>
          <w:highlight w:val="none"/>
        </w:rPr>
        <w:t>质疑函范本</w:t>
      </w:r>
      <w:bookmarkEnd w:id="720"/>
      <w:bookmarkEnd w:id="721"/>
    </w:p>
    <w:p w14:paraId="4634E69A">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22" w:name="_Toc21660"/>
      <w:r>
        <w:rPr>
          <w:rFonts w:hint="eastAsia" w:cs="仿宋" w:asciiTheme="minorEastAsia" w:hAnsiTheme="minorEastAsia" w:eastAsiaTheme="minorEastAsia"/>
          <w:b/>
          <w:bCs/>
          <w:color w:val="auto"/>
          <w:sz w:val="24"/>
          <w:szCs w:val="24"/>
          <w:highlight w:val="none"/>
        </w:rPr>
        <w:t>一、质疑供应商基本信息</w:t>
      </w:r>
      <w:bookmarkEnd w:id="722"/>
    </w:p>
    <w:p w14:paraId="60F907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308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8FCF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D277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7D0FC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7BCBD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F23C61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3" w:name="_Toc4238"/>
      <w:r>
        <w:rPr>
          <w:rFonts w:hint="eastAsia" w:cs="仿宋" w:asciiTheme="minorEastAsia" w:hAnsiTheme="minorEastAsia" w:eastAsiaTheme="minorEastAsia"/>
          <w:b/>
          <w:bCs/>
          <w:color w:val="auto"/>
          <w:sz w:val="24"/>
          <w:szCs w:val="24"/>
          <w:highlight w:val="none"/>
        </w:rPr>
        <w:t>二、质疑项目基本情况</w:t>
      </w:r>
      <w:bookmarkEnd w:id="723"/>
    </w:p>
    <w:p w14:paraId="546B5D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BAA1A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C9E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2D5C6A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960DAD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4" w:name="_Toc10846"/>
      <w:r>
        <w:rPr>
          <w:rFonts w:hint="eastAsia" w:cs="仿宋" w:asciiTheme="minorEastAsia" w:hAnsiTheme="minorEastAsia" w:eastAsiaTheme="minorEastAsia"/>
          <w:b/>
          <w:bCs/>
          <w:color w:val="auto"/>
          <w:sz w:val="24"/>
          <w:szCs w:val="24"/>
          <w:highlight w:val="none"/>
        </w:rPr>
        <w:t>三、质疑事项具体内容</w:t>
      </w:r>
      <w:bookmarkEnd w:id="724"/>
    </w:p>
    <w:p w14:paraId="6D105BA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FDB11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9220B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00E6D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C9946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1AA1F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8D5E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E8CD5F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5" w:name="_Toc15784"/>
      <w:r>
        <w:rPr>
          <w:rFonts w:hint="eastAsia" w:cs="仿宋" w:asciiTheme="minorEastAsia" w:hAnsiTheme="minorEastAsia" w:eastAsiaTheme="minorEastAsia"/>
          <w:b/>
          <w:bCs/>
          <w:color w:val="auto"/>
          <w:sz w:val="24"/>
          <w:szCs w:val="24"/>
          <w:highlight w:val="none"/>
        </w:rPr>
        <w:t>四、与质疑事项相关的质疑请求</w:t>
      </w:r>
      <w:bookmarkEnd w:id="725"/>
    </w:p>
    <w:p w14:paraId="47D5F8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E32E9F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0F6A8A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803E4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02808F">
      <w:pPr>
        <w:outlineLvl w:val="0"/>
        <w:rPr>
          <w:rFonts w:asciiTheme="minorEastAsia" w:hAnsiTheme="minorEastAsia" w:eastAsiaTheme="minorEastAsia"/>
          <w:b/>
          <w:color w:val="auto"/>
          <w:sz w:val="28"/>
          <w:szCs w:val="32"/>
          <w:highlight w:val="none"/>
        </w:rPr>
      </w:pPr>
      <w:bookmarkStart w:id="726" w:name="_Toc17542"/>
      <w:bookmarkStart w:id="727" w:name="_Toc23661"/>
      <w:r>
        <w:rPr>
          <w:rFonts w:hint="eastAsia" w:asciiTheme="minorEastAsia" w:hAnsiTheme="minorEastAsia" w:eastAsiaTheme="minorEastAsia"/>
          <w:b/>
          <w:color w:val="auto"/>
          <w:sz w:val="28"/>
          <w:szCs w:val="32"/>
          <w:highlight w:val="none"/>
        </w:rPr>
        <w:t>质疑函制作说明：</w:t>
      </w:r>
      <w:bookmarkEnd w:id="726"/>
      <w:bookmarkEnd w:id="727"/>
    </w:p>
    <w:p w14:paraId="38E718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862A9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D6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C7D2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3CD8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E86A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CC52FB">
      <w:pPr>
        <w:pStyle w:val="25"/>
        <w:rPr>
          <w:rFonts w:hint="eastAsia" w:asciiTheme="minorEastAsia" w:hAnsiTheme="minorEastAsia" w:eastAsiaTheme="minorEastAsia"/>
          <w:color w:val="auto"/>
          <w:sz w:val="24"/>
          <w:highlight w:val="none"/>
        </w:rPr>
      </w:pPr>
    </w:p>
    <w:p w14:paraId="6B62E9DC">
      <w:pPr>
        <w:rPr>
          <w:rFonts w:hint="eastAsia" w:asciiTheme="minorEastAsia" w:hAnsiTheme="minorEastAsia" w:eastAsiaTheme="minorEastAsia"/>
          <w:color w:val="auto"/>
          <w:sz w:val="24"/>
          <w:highlight w:val="none"/>
        </w:rPr>
      </w:pPr>
    </w:p>
    <w:p w14:paraId="0BBAE708">
      <w:pPr>
        <w:pStyle w:val="25"/>
        <w:rPr>
          <w:rFonts w:hint="eastAsia" w:asciiTheme="minorEastAsia" w:hAnsiTheme="minorEastAsia" w:eastAsiaTheme="minorEastAsia"/>
          <w:color w:val="auto"/>
          <w:sz w:val="24"/>
          <w:highlight w:val="none"/>
        </w:rPr>
      </w:pPr>
    </w:p>
    <w:p w14:paraId="67F1D28A">
      <w:pPr>
        <w:rPr>
          <w:rFonts w:hint="eastAsia" w:asciiTheme="minorEastAsia" w:hAnsiTheme="minorEastAsia" w:eastAsiaTheme="minorEastAsia"/>
          <w:color w:val="auto"/>
          <w:sz w:val="24"/>
          <w:highlight w:val="none"/>
        </w:rPr>
      </w:pPr>
    </w:p>
    <w:p w14:paraId="3FE47BA5">
      <w:pPr>
        <w:pStyle w:val="25"/>
        <w:rPr>
          <w:rFonts w:hint="eastAsia" w:asciiTheme="minorEastAsia" w:hAnsiTheme="minorEastAsia" w:eastAsiaTheme="minorEastAsia"/>
          <w:color w:val="auto"/>
          <w:sz w:val="24"/>
          <w:highlight w:val="none"/>
        </w:rPr>
      </w:pPr>
    </w:p>
    <w:p w14:paraId="095BCD9E">
      <w:pPr>
        <w:rPr>
          <w:rFonts w:hint="eastAsia" w:asciiTheme="minorEastAsia" w:hAnsiTheme="minorEastAsia" w:eastAsiaTheme="minorEastAsia"/>
          <w:color w:val="auto"/>
          <w:sz w:val="24"/>
          <w:highlight w:val="none"/>
        </w:rPr>
      </w:pPr>
    </w:p>
    <w:p w14:paraId="5D51982F">
      <w:pPr>
        <w:pStyle w:val="25"/>
        <w:rPr>
          <w:rFonts w:hint="eastAsia" w:asciiTheme="minorEastAsia" w:hAnsiTheme="minorEastAsia" w:eastAsiaTheme="minorEastAsia"/>
          <w:color w:val="auto"/>
          <w:sz w:val="24"/>
          <w:highlight w:val="none"/>
        </w:rPr>
      </w:pPr>
    </w:p>
    <w:p w14:paraId="3DE1EF10">
      <w:pPr>
        <w:rPr>
          <w:rFonts w:hint="eastAsia" w:asciiTheme="minorEastAsia" w:hAnsiTheme="minorEastAsia" w:eastAsiaTheme="minorEastAsia"/>
          <w:color w:val="auto"/>
          <w:sz w:val="24"/>
          <w:highlight w:val="none"/>
        </w:rPr>
      </w:pPr>
    </w:p>
    <w:p w14:paraId="4C040B92">
      <w:pPr>
        <w:pStyle w:val="25"/>
        <w:rPr>
          <w:rFonts w:hint="eastAsia" w:asciiTheme="minorEastAsia" w:hAnsiTheme="minorEastAsia" w:eastAsiaTheme="minorEastAsia"/>
          <w:color w:val="auto"/>
          <w:sz w:val="24"/>
          <w:highlight w:val="none"/>
        </w:rPr>
      </w:pPr>
    </w:p>
    <w:p w14:paraId="26997B41">
      <w:pPr>
        <w:rPr>
          <w:rFonts w:hint="eastAsia" w:asciiTheme="minorEastAsia" w:hAnsiTheme="minorEastAsia" w:eastAsiaTheme="minorEastAsia"/>
          <w:color w:val="auto"/>
          <w:sz w:val="24"/>
          <w:highlight w:val="none"/>
        </w:rPr>
      </w:pPr>
    </w:p>
    <w:p w14:paraId="74A801D9">
      <w:pPr>
        <w:pStyle w:val="25"/>
        <w:rPr>
          <w:rFonts w:hint="eastAsia" w:asciiTheme="minorEastAsia" w:hAnsiTheme="minorEastAsia" w:eastAsiaTheme="minorEastAsia"/>
          <w:color w:val="auto"/>
          <w:sz w:val="24"/>
          <w:highlight w:val="none"/>
        </w:rPr>
      </w:pPr>
    </w:p>
    <w:p w14:paraId="29411D86">
      <w:pPr>
        <w:rPr>
          <w:rFonts w:hint="eastAsia" w:asciiTheme="minorEastAsia" w:hAnsiTheme="minorEastAsia" w:eastAsiaTheme="minorEastAsia"/>
          <w:color w:val="auto"/>
          <w:sz w:val="24"/>
          <w:highlight w:val="none"/>
        </w:rPr>
      </w:pPr>
    </w:p>
    <w:p w14:paraId="37F05CD5">
      <w:pPr>
        <w:pStyle w:val="25"/>
        <w:rPr>
          <w:rFonts w:hint="eastAsia" w:asciiTheme="minorEastAsia" w:hAnsiTheme="minorEastAsia" w:eastAsiaTheme="minorEastAsia"/>
          <w:color w:val="auto"/>
          <w:sz w:val="24"/>
          <w:highlight w:val="none"/>
        </w:rPr>
      </w:pPr>
    </w:p>
    <w:p w14:paraId="443CEB64">
      <w:pPr>
        <w:rPr>
          <w:rFonts w:hint="eastAsia" w:asciiTheme="minorEastAsia" w:hAnsiTheme="minorEastAsia" w:eastAsiaTheme="minorEastAsia"/>
          <w:color w:val="auto"/>
          <w:sz w:val="24"/>
          <w:highlight w:val="none"/>
        </w:rPr>
      </w:pPr>
    </w:p>
    <w:p w14:paraId="1D88B343">
      <w:pPr>
        <w:pStyle w:val="25"/>
        <w:rPr>
          <w:rFonts w:hint="eastAsia" w:asciiTheme="minorEastAsia" w:hAnsiTheme="minorEastAsia" w:eastAsiaTheme="minorEastAsia"/>
          <w:color w:val="auto"/>
          <w:sz w:val="24"/>
          <w:highlight w:val="none"/>
        </w:rPr>
      </w:pPr>
    </w:p>
    <w:p w14:paraId="130C9DDC">
      <w:pPr>
        <w:rPr>
          <w:rFonts w:hint="eastAsia" w:asciiTheme="minorEastAsia" w:hAnsiTheme="minorEastAsia" w:eastAsiaTheme="minorEastAsia"/>
          <w:color w:val="auto"/>
          <w:sz w:val="24"/>
          <w:highlight w:val="none"/>
        </w:rPr>
      </w:pPr>
    </w:p>
    <w:p w14:paraId="5D776ACE">
      <w:pPr>
        <w:pStyle w:val="25"/>
        <w:rPr>
          <w:rFonts w:hint="eastAsia" w:asciiTheme="minorEastAsia" w:hAnsiTheme="minorEastAsia" w:eastAsiaTheme="minorEastAsia"/>
          <w:color w:val="auto"/>
          <w:sz w:val="24"/>
          <w:highlight w:val="none"/>
        </w:rPr>
      </w:pPr>
    </w:p>
    <w:p w14:paraId="60AC673F">
      <w:pPr>
        <w:rPr>
          <w:rFonts w:hint="eastAsia" w:asciiTheme="minorEastAsia" w:hAnsiTheme="minorEastAsia" w:eastAsiaTheme="minorEastAsia"/>
          <w:color w:val="auto"/>
          <w:sz w:val="24"/>
          <w:highlight w:val="none"/>
        </w:rPr>
      </w:pPr>
    </w:p>
    <w:p w14:paraId="4391D0E5">
      <w:pPr>
        <w:pStyle w:val="25"/>
        <w:rPr>
          <w:rFonts w:hint="eastAsia" w:asciiTheme="minorEastAsia" w:hAnsiTheme="minorEastAsia" w:eastAsiaTheme="minorEastAsia"/>
          <w:color w:val="auto"/>
          <w:sz w:val="24"/>
          <w:highlight w:val="none"/>
        </w:rPr>
      </w:pPr>
    </w:p>
    <w:p w14:paraId="464D9982">
      <w:pPr>
        <w:rPr>
          <w:rFonts w:hint="eastAsia" w:asciiTheme="minorEastAsia" w:hAnsiTheme="minorEastAsia" w:eastAsiaTheme="minorEastAsia"/>
          <w:color w:val="auto"/>
          <w:sz w:val="24"/>
          <w:highlight w:val="none"/>
        </w:rPr>
      </w:pPr>
    </w:p>
    <w:p w14:paraId="08F9E81A">
      <w:pPr>
        <w:pStyle w:val="25"/>
        <w:rPr>
          <w:rFonts w:hint="eastAsia"/>
          <w:color w:val="auto"/>
          <w:highlight w:val="none"/>
        </w:rPr>
      </w:pPr>
    </w:p>
    <w:p w14:paraId="2765D64A">
      <w:pPr>
        <w:pStyle w:val="25"/>
        <w:rPr>
          <w:rFonts w:hint="eastAsia" w:asciiTheme="minorEastAsia" w:hAnsiTheme="minorEastAsia" w:eastAsiaTheme="minorEastAsia"/>
          <w:color w:val="auto"/>
          <w:sz w:val="24"/>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728" w:name="OLE_LINK92"/>
      <w:bookmarkStart w:id="729" w:name="OLE_LINK93"/>
      <w:bookmarkStart w:id="730" w:name="OLE_LINK91"/>
      <w:bookmarkStart w:id="731" w:name="OLE_LINK103"/>
      <w:r>
        <w:rPr>
          <w:rFonts w:hint="eastAsia" w:ascii="仿宋_GB2312" w:hAnsi="宋体" w:eastAsia="仿宋_GB2312" w:cs="Times New Roman"/>
          <w:color w:val="auto"/>
          <w:sz w:val="28"/>
          <w:szCs w:val="28"/>
          <w:highlight w:val="none"/>
        </w:rPr>
        <w:t>投标人、法定代表人及其项目经理(建造师)</w:t>
      </w:r>
      <w:bookmarkEnd w:id="728"/>
      <w:bookmarkEnd w:id="729"/>
      <w:bookmarkEnd w:id="730"/>
      <w:bookmarkEnd w:id="731"/>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732" w:name="OLE_LINK87"/>
      <w:bookmarkStart w:id="733" w:name="OLE_LINK94"/>
      <w:bookmarkStart w:id="734" w:name="OLE_LINK119"/>
      <w:bookmarkStart w:id="735" w:name="OLE_LINK86"/>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736" w:name="OLE_LINK115"/>
      <w:bookmarkStart w:id="737" w:name="OLE_LINK118"/>
      <w:bookmarkStart w:id="738" w:name="OLE_LINK116"/>
      <w:bookmarkStart w:id="739" w:name="OLE_LINK117"/>
      <w:r>
        <w:rPr>
          <w:rFonts w:hint="eastAsia" w:ascii="仿宋_GB2312" w:hAnsi="宋体" w:eastAsia="仿宋_GB2312" w:cs="Times New Roman"/>
          <w:color w:val="auto"/>
          <w:sz w:val="28"/>
          <w:szCs w:val="28"/>
          <w:highlight w:val="none"/>
        </w:rPr>
        <w:t>“重大税收违法失信主体”</w:t>
      </w:r>
      <w:bookmarkEnd w:id="736"/>
      <w:bookmarkEnd w:id="737"/>
      <w:bookmarkEnd w:id="738"/>
      <w:bookmarkEnd w:id="739"/>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740" w:name="OLE_LINK85"/>
      <w:bookmarkStart w:id="741" w:name="OLE_LINK84"/>
      <w:r>
        <w:rPr>
          <w:rFonts w:hint="eastAsia" w:ascii="仿宋_GB2312" w:hAnsi="宋体" w:eastAsia="仿宋_GB2312" w:cs="Times New Roman"/>
          <w:color w:val="auto"/>
          <w:sz w:val="28"/>
          <w:szCs w:val="28"/>
          <w:highlight w:val="none"/>
        </w:rPr>
        <w:t>农民工工资失信联合惩戒对象</w:t>
      </w:r>
      <w:bookmarkEnd w:id="740"/>
      <w:bookmarkEnd w:id="741"/>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732"/>
    <w:bookmarkEnd w:id="733"/>
    <w:bookmarkEnd w:id="734"/>
    <w:bookmarkEnd w:id="735"/>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742" w:name="OLE_LINK130"/>
      <w:r>
        <w:rPr>
          <w:rFonts w:hint="eastAsia" w:ascii="仿宋_GB2312" w:hAnsi="宋体" w:eastAsia="仿宋_GB2312" w:cs="Times New Roman"/>
          <w:color w:val="auto"/>
          <w:sz w:val="28"/>
          <w:szCs w:val="28"/>
          <w:highlight w:val="none"/>
        </w:rPr>
        <w:t>国家企业信用信息公示系统网站</w:t>
      </w:r>
      <w:bookmarkEnd w:id="742"/>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743" w:name="OLE_LINK90"/>
      <w:bookmarkStart w:id="744" w:name="OLE_LINK89"/>
      <w:r>
        <w:rPr>
          <w:rStyle w:val="66"/>
          <w:rFonts w:hint="eastAsia" w:ascii="仿宋_GB2312" w:hAnsi="宋体" w:eastAsia="仿宋_GB2312" w:cs="Times New Roman"/>
          <w:color w:val="auto"/>
          <w:sz w:val="28"/>
          <w:szCs w:val="28"/>
          <w:highlight w:val="none"/>
        </w:rPr>
        <w:t>www.gsxt.gov.cn</w:t>
      </w:r>
      <w:bookmarkEnd w:id="743"/>
      <w:bookmarkEnd w:id="744"/>
      <w:r>
        <w:rPr>
          <w:rStyle w:val="66"/>
          <w:rFonts w:hint="eastAsia" w:ascii="仿宋_GB2312" w:hAnsi="宋体" w:eastAsia="仿宋_GB2312" w:cs="Times New Roman"/>
          <w:color w:val="auto"/>
          <w:sz w:val="28"/>
          <w:szCs w:val="28"/>
          <w:highlight w:val="none"/>
        </w:rPr>
        <w:t>）</w:t>
      </w:r>
      <w:r>
        <w:rPr>
          <w:rStyle w:val="66"/>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745" w:name="OLE_LINK121"/>
      <w:bookmarkStart w:id="746" w:name="OLE_LINK122"/>
      <w:bookmarkStart w:id="747" w:name="OLE_LINK120"/>
      <w:r>
        <w:rPr>
          <w:rFonts w:hint="eastAsia" w:ascii="仿宋_GB2312" w:hAnsi="宋体" w:eastAsia="仿宋_GB2312" w:cs="Times New Roman"/>
          <w:color w:val="auto"/>
          <w:sz w:val="28"/>
          <w:szCs w:val="28"/>
          <w:highlight w:val="none"/>
        </w:rPr>
        <w:t>①</w:t>
      </w:r>
      <w:bookmarkStart w:id="748" w:name="OLE_LINK113"/>
      <w:bookmarkStart w:id="749" w:name="OLE_LINK114"/>
      <w:r>
        <w:rPr>
          <w:rFonts w:hint="eastAsia" w:ascii="仿宋_GB2312" w:hAnsi="宋体" w:eastAsia="仿宋_GB2312" w:cs="Times New Roman"/>
          <w:color w:val="auto"/>
          <w:sz w:val="28"/>
          <w:szCs w:val="28"/>
          <w:highlight w:val="none"/>
        </w:rPr>
        <w:t>被列入“经营异常名录”或者“严重违法失信名单”的</w:t>
      </w:r>
      <w:bookmarkEnd w:id="748"/>
      <w:bookmarkEnd w:id="749"/>
      <w:r>
        <w:rPr>
          <w:rFonts w:hint="eastAsia" w:ascii="仿宋_GB2312" w:hAnsi="宋体" w:eastAsia="仿宋_GB2312" w:cs="Times New Roman"/>
          <w:color w:val="auto"/>
          <w:sz w:val="28"/>
          <w:szCs w:val="28"/>
          <w:highlight w:val="none"/>
        </w:rPr>
        <w:t>。</w:t>
      </w:r>
      <w:bookmarkEnd w:id="745"/>
      <w:bookmarkEnd w:id="746"/>
      <w:bookmarkEnd w:id="747"/>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750" w:name="OLE_LINK124"/>
      <w:bookmarkStart w:id="751"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752" w:name="OLE_LINK107"/>
      <w:bookmarkStart w:id="753"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752"/>
      <w:bookmarkEnd w:id="753"/>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750"/>
    <w:bookmarkEnd w:id="751"/>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66"/>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754" w:name="OLE_LINK100"/>
      <w:bookmarkStart w:id="755" w:name="OLE_LINK102"/>
      <w:bookmarkStart w:id="756" w:name="OLE_LINK101"/>
      <w:r>
        <w:rPr>
          <w:rFonts w:hint="eastAsia" w:ascii="仿宋_GB2312" w:hAnsi="宋体" w:eastAsia="仿宋_GB2312" w:cs="Times New Roman"/>
          <w:color w:val="auto"/>
          <w:sz w:val="28"/>
          <w:szCs w:val="28"/>
          <w:highlight w:val="none"/>
        </w:rPr>
        <w:t>被列入“经营异常名录”或者“严重违法失信名单”的</w:t>
      </w:r>
      <w:bookmarkEnd w:id="754"/>
      <w:bookmarkEnd w:id="755"/>
      <w:bookmarkEnd w:id="756"/>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757" w:name="OLE_LINK96"/>
      <w:bookmarkStart w:id="758"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757"/>
      <w:bookmarkEnd w:id="758"/>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759" w:name="OLE_LINK106"/>
      <w:bookmarkStart w:id="760" w:name="OLE_LINK104"/>
      <w:bookmarkStart w:id="761" w:name="OLE_LINK105"/>
      <w:r>
        <w:rPr>
          <w:rFonts w:hint="eastAsia" w:ascii="仿宋_GB2312" w:hAnsi="宋体" w:eastAsia="仿宋_GB2312" w:cs="Times New Roman"/>
          <w:color w:val="auto"/>
          <w:sz w:val="28"/>
          <w:szCs w:val="28"/>
          <w:highlight w:val="none"/>
        </w:rPr>
        <w:t>被列入“政府采购严重违法失信行为信息记录”的</w:t>
      </w:r>
      <w:bookmarkEnd w:id="759"/>
      <w:bookmarkEnd w:id="760"/>
      <w:bookmarkEnd w:id="761"/>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88" w:rightChars="-44"/>
        <w:rPr>
          <w:rFonts w:ascii="宋体" w:hAnsi="宋体" w:eastAsia="宋体" w:cs="宋体"/>
          <w:bCs/>
          <w:color w:val="auto"/>
          <w:szCs w:val="21"/>
          <w:highlight w:val="none"/>
        </w:rPr>
      </w:pPr>
    </w:p>
    <w:p w14:paraId="0E856F63">
      <w:pPr>
        <w:ind w:right="-88" w:rightChars="-44"/>
        <w:rPr>
          <w:rFonts w:ascii="宋体" w:hAnsi="宋体" w:eastAsia="宋体" w:cs="宋体"/>
          <w:bCs/>
          <w:color w:val="auto"/>
          <w:sz w:val="32"/>
          <w:szCs w:val="32"/>
          <w:highlight w:val="none"/>
        </w:rPr>
      </w:pPr>
    </w:p>
    <w:p w14:paraId="78ADE4DE">
      <w:pPr>
        <w:ind w:right="-88" w:rightChars="-44"/>
        <w:rPr>
          <w:rFonts w:ascii="宋体" w:hAnsi="宋体" w:eastAsia="宋体" w:cs="宋体"/>
          <w:bCs/>
          <w:color w:val="auto"/>
          <w:sz w:val="32"/>
          <w:szCs w:val="32"/>
          <w:highlight w:val="none"/>
        </w:rPr>
      </w:pPr>
    </w:p>
    <w:p w14:paraId="1C76BF93">
      <w:pPr>
        <w:ind w:right="-88" w:rightChars="-44"/>
        <w:rPr>
          <w:rFonts w:ascii="宋体" w:hAnsi="宋体" w:eastAsia="宋体" w:cs="宋体"/>
          <w:bCs/>
          <w:color w:val="auto"/>
          <w:sz w:val="32"/>
          <w:szCs w:val="32"/>
          <w:highlight w:val="none"/>
        </w:rPr>
      </w:pPr>
    </w:p>
    <w:p w14:paraId="20A7A99F">
      <w:pPr>
        <w:ind w:right="-88" w:rightChars="-44"/>
        <w:rPr>
          <w:rFonts w:ascii="宋体" w:hAnsi="宋体" w:eastAsia="宋体" w:cs="宋体"/>
          <w:bCs/>
          <w:color w:val="auto"/>
          <w:sz w:val="32"/>
          <w:szCs w:val="32"/>
          <w:highlight w:val="none"/>
        </w:rPr>
      </w:pPr>
    </w:p>
    <w:p w14:paraId="3ED00CAE">
      <w:pPr>
        <w:ind w:right="-88" w:rightChars="-44"/>
        <w:rPr>
          <w:rFonts w:ascii="宋体" w:hAnsi="宋体" w:eastAsia="宋体" w:cs="宋体"/>
          <w:bCs/>
          <w:color w:val="auto"/>
          <w:sz w:val="32"/>
          <w:szCs w:val="32"/>
          <w:highlight w:val="none"/>
        </w:rPr>
      </w:pPr>
    </w:p>
    <w:p w14:paraId="2C848AF2">
      <w:pPr>
        <w:ind w:right="-88" w:rightChars="-44"/>
        <w:rPr>
          <w:rFonts w:ascii="宋体" w:hAnsi="宋体" w:eastAsia="宋体" w:cs="宋体"/>
          <w:bCs/>
          <w:color w:val="auto"/>
          <w:sz w:val="32"/>
          <w:szCs w:val="32"/>
          <w:highlight w:val="none"/>
        </w:rPr>
      </w:pPr>
    </w:p>
    <w:p w14:paraId="7054BF99">
      <w:pPr>
        <w:ind w:right="-88" w:rightChars="-44"/>
        <w:rPr>
          <w:rFonts w:ascii="宋体" w:hAnsi="宋体" w:eastAsia="宋体" w:cs="宋体"/>
          <w:bCs/>
          <w:color w:val="auto"/>
          <w:sz w:val="32"/>
          <w:szCs w:val="32"/>
          <w:highlight w:val="none"/>
        </w:rPr>
      </w:pPr>
    </w:p>
    <w:p w14:paraId="390728C5">
      <w:pPr>
        <w:ind w:right="-88"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762" w:name="_Toc95223549"/>
      <w:bookmarkStart w:id="763" w:name="OLE_LINK31"/>
      <w:bookmarkStart w:id="764" w:name="OLE_LINK32"/>
      <w:bookmarkStart w:id="765" w:name="OLE_LINK41"/>
      <w:r>
        <w:rPr>
          <w:rFonts w:hint="eastAsia" w:ascii="黑体" w:hAnsi="黑体" w:eastAsia="黑体" w:cs="Times New Roman"/>
          <w:b/>
          <w:bCs/>
          <w:color w:val="auto"/>
          <w:kern w:val="44"/>
          <w:sz w:val="36"/>
          <w:szCs w:val="28"/>
          <w:highlight w:val="none"/>
        </w:rPr>
        <w:t xml:space="preserve">附件2 </w:t>
      </w:r>
      <w:bookmarkStart w:id="766" w:name="OLE_LINK74"/>
      <w:bookmarkStart w:id="767" w:name="OLE_LINK75"/>
      <w:r>
        <w:rPr>
          <w:rFonts w:hint="eastAsia" w:ascii="黑体" w:hAnsi="黑体" w:eastAsia="黑体" w:cs="Times New Roman"/>
          <w:b/>
          <w:bCs/>
          <w:color w:val="auto"/>
          <w:kern w:val="44"/>
          <w:sz w:val="36"/>
          <w:szCs w:val="28"/>
          <w:highlight w:val="none"/>
        </w:rPr>
        <w:t>“信用中国”查询的严重失信行为</w:t>
      </w:r>
      <w:bookmarkStart w:id="768" w:name="OLE_LINK76"/>
      <w:bookmarkStart w:id="769" w:name="OLE_LINK39"/>
      <w:bookmarkStart w:id="770" w:name="OLE_LINK38"/>
      <w:bookmarkStart w:id="771" w:name="OLE_LINK40"/>
      <w:r>
        <w:rPr>
          <w:rFonts w:hint="eastAsia" w:ascii="黑体" w:hAnsi="黑体" w:eastAsia="黑体" w:cs="Times New Roman"/>
          <w:b/>
          <w:bCs/>
          <w:color w:val="auto"/>
          <w:kern w:val="44"/>
          <w:sz w:val="36"/>
          <w:szCs w:val="28"/>
          <w:highlight w:val="none"/>
        </w:rPr>
        <w:t>类别及判定依据</w:t>
      </w:r>
      <w:bookmarkEnd w:id="762"/>
      <w:bookmarkEnd w:id="766"/>
      <w:bookmarkEnd w:id="767"/>
      <w:bookmarkEnd w:id="768"/>
      <w:bookmarkEnd w:id="769"/>
      <w:bookmarkEnd w:id="770"/>
      <w:bookmarkEnd w:id="771"/>
    </w:p>
    <w:bookmarkEnd w:id="763"/>
    <w:bookmarkEnd w:id="764"/>
    <w:bookmarkEnd w:id="765"/>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772" w:name="OLE_LINK10"/>
      <w:bookmarkStart w:id="773" w:name="OLE_LINK8"/>
      <w:bookmarkStart w:id="774"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772"/>
      <w:bookmarkEnd w:id="773"/>
      <w:bookmarkEnd w:id="774"/>
      <w:r>
        <w:rPr>
          <w:rFonts w:hint="eastAsia" w:ascii="仿宋_GB2312" w:hAnsi="宋体" w:eastAsia="仿宋_GB2312" w:cs="Times New Roman"/>
          <w:b/>
          <w:color w:val="auto"/>
          <w:sz w:val="28"/>
          <w:szCs w:val="28"/>
          <w:highlight w:val="none"/>
        </w:rPr>
        <w:t>》、《</w:t>
      </w:r>
      <w:bookmarkStart w:id="775" w:name="OLE_LINK12"/>
      <w:bookmarkStart w:id="776" w:name="OLE_LINK11"/>
      <w:r>
        <w:rPr>
          <w:rFonts w:hint="eastAsia" w:ascii="仿宋_GB2312" w:hAnsi="宋体" w:eastAsia="仿宋_GB2312" w:cs="Times New Roman"/>
          <w:b/>
          <w:color w:val="auto"/>
          <w:sz w:val="28"/>
          <w:szCs w:val="28"/>
          <w:highlight w:val="none"/>
        </w:rPr>
        <w:t>企业环境信用评价办法（试行）</w:t>
      </w:r>
      <w:bookmarkEnd w:id="775"/>
      <w:bookmarkEnd w:id="776"/>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34"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77" w:name="OLE_LINK15"/>
      <w:bookmarkStart w:id="778"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777"/>
      <w:bookmarkEnd w:id="778"/>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79" w:name="OLE_LINK18"/>
      <w:bookmarkStart w:id="780" w:name="OLE_LINK17"/>
      <w:r>
        <w:rPr>
          <w:rFonts w:hint="eastAsia" w:ascii="仿宋_GB2312" w:hAnsi="Calibri" w:eastAsia="仿宋_GB2312" w:cs="Times New Roman"/>
          <w:b/>
          <w:color w:val="auto"/>
          <w:sz w:val="28"/>
          <w:szCs w:val="28"/>
          <w:highlight w:val="none"/>
        </w:rPr>
        <w:t>建筑市场信用管理暂行办法</w:t>
      </w:r>
      <w:bookmarkEnd w:id="779"/>
      <w:bookmarkEnd w:id="780"/>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781" w:name="OLE_LINK20"/>
      <w:bookmarkStart w:id="782" w:name="OLE_LINK19"/>
      <w:r>
        <w:rPr>
          <w:rFonts w:hint="eastAsia" w:ascii="仿宋_GB2312" w:hAnsi="宋体" w:eastAsia="仿宋_GB2312" w:cs="Times New Roman"/>
          <w:b/>
          <w:color w:val="auto"/>
          <w:sz w:val="28"/>
          <w:szCs w:val="28"/>
          <w:highlight w:val="none"/>
        </w:rPr>
        <w:t>政府采购严重失信行为</w:t>
      </w:r>
      <w:bookmarkEnd w:id="781"/>
      <w:bookmarkEnd w:id="782"/>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88"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19A0FF50">
      <w:pPr>
        <w:spacing w:line="360" w:lineRule="auto"/>
        <w:ind w:firstLine="435"/>
        <w:rPr>
          <w:rFonts w:hint="eastAsia" w:asciiTheme="minorEastAsia" w:hAnsiTheme="minorEastAsia" w:eastAsiaTheme="minorEastAsia"/>
          <w:color w:val="auto"/>
          <w:sz w:val="24"/>
          <w:highlight w:val="none"/>
        </w:rPr>
      </w:pPr>
    </w:p>
    <w:p w14:paraId="7E25EFC7">
      <w:pPr>
        <w:rPr>
          <w:color w:val="auto"/>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078">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67DF0C63">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36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DB91">
                          <w:pPr>
                            <w:pStyle w:val="33"/>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EDB91">
                    <w:pPr>
                      <w:pStyle w:val="33"/>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CBA1">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9243">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1B2">
    <w:pPr>
      <w:pStyle w:val="34"/>
      <w:jc w:val="both"/>
      <w:rPr>
        <w:rFonts w:hint="eastAsia"/>
      </w:rPr>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506C173F"/>
    <w:multiLevelType w:val="singleLevel"/>
    <w:tmpl w:val="506C173F"/>
    <w:lvl w:ilvl="0" w:tentative="0">
      <w:start w:val="2"/>
      <w:numFmt w:val="chineseCounting"/>
      <w:suff w:val="nothing"/>
      <w:lvlText w:val="%1、"/>
      <w:lvlJc w:val="left"/>
      <w:rPr>
        <w:rFonts w:hint="eastAsia"/>
      </w:rPr>
    </w:lvl>
  </w:abstractNum>
  <w:abstractNum w:abstractNumId="3">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274C0"/>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3435B5"/>
    <w:rsid w:val="015659DA"/>
    <w:rsid w:val="02486573"/>
    <w:rsid w:val="029C3B08"/>
    <w:rsid w:val="02E806FA"/>
    <w:rsid w:val="035F40DD"/>
    <w:rsid w:val="03EF075E"/>
    <w:rsid w:val="04643CEC"/>
    <w:rsid w:val="057535C8"/>
    <w:rsid w:val="05AC0D47"/>
    <w:rsid w:val="062C3E14"/>
    <w:rsid w:val="0672656F"/>
    <w:rsid w:val="06CE52A8"/>
    <w:rsid w:val="0726460B"/>
    <w:rsid w:val="074D717F"/>
    <w:rsid w:val="079F4812"/>
    <w:rsid w:val="07B04F69"/>
    <w:rsid w:val="07C16525"/>
    <w:rsid w:val="07EC4BEA"/>
    <w:rsid w:val="08997B94"/>
    <w:rsid w:val="09731054"/>
    <w:rsid w:val="09B07E99"/>
    <w:rsid w:val="0A6D6A59"/>
    <w:rsid w:val="0AD835BA"/>
    <w:rsid w:val="0AF87D87"/>
    <w:rsid w:val="0B6D7C36"/>
    <w:rsid w:val="0BD115F6"/>
    <w:rsid w:val="0BE33FF4"/>
    <w:rsid w:val="0C6852C9"/>
    <w:rsid w:val="0C9C6D31"/>
    <w:rsid w:val="0CCC323C"/>
    <w:rsid w:val="0E194F31"/>
    <w:rsid w:val="0E6B25E0"/>
    <w:rsid w:val="0F7A244B"/>
    <w:rsid w:val="0F960BD1"/>
    <w:rsid w:val="0FFC3E38"/>
    <w:rsid w:val="102C27E7"/>
    <w:rsid w:val="103D2038"/>
    <w:rsid w:val="1056270F"/>
    <w:rsid w:val="11956312"/>
    <w:rsid w:val="11A7297E"/>
    <w:rsid w:val="12067E67"/>
    <w:rsid w:val="12790979"/>
    <w:rsid w:val="12FC1310"/>
    <w:rsid w:val="13433B2C"/>
    <w:rsid w:val="14257B28"/>
    <w:rsid w:val="14442136"/>
    <w:rsid w:val="148C213F"/>
    <w:rsid w:val="16AB3022"/>
    <w:rsid w:val="17750F09"/>
    <w:rsid w:val="1784011D"/>
    <w:rsid w:val="17AF353E"/>
    <w:rsid w:val="183028D1"/>
    <w:rsid w:val="18F5648F"/>
    <w:rsid w:val="19AE222D"/>
    <w:rsid w:val="19E155F7"/>
    <w:rsid w:val="1DE52AD1"/>
    <w:rsid w:val="1E2C10BC"/>
    <w:rsid w:val="1E711203"/>
    <w:rsid w:val="1EA41352"/>
    <w:rsid w:val="1F3276F4"/>
    <w:rsid w:val="1FEE0D9C"/>
    <w:rsid w:val="206155F1"/>
    <w:rsid w:val="20C11F53"/>
    <w:rsid w:val="21154D5A"/>
    <w:rsid w:val="23907598"/>
    <w:rsid w:val="23E06A22"/>
    <w:rsid w:val="242C3F8C"/>
    <w:rsid w:val="2449262D"/>
    <w:rsid w:val="24673AC7"/>
    <w:rsid w:val="246F40D7"/>
    <w:rsid w:val="24774A18"/>
    <w:rsid w:val="24A06DFA"/>
    <w:rsid w:val="25B10902"/>
    <w:rsid w:val="26D97A21"/>
    <w:rsid w:val="278A787E"/>
    <w:rsid w:val="27AA76B5"/>
    <w:rsid w:val="27BB0A3D"/>
    <w:rsid w:val="27E85AF1"/>
    <w:rsid w:val="28090FC9"/>
    <w:rsid w:val="28943FB7"/>
    <w:rsid w:val="296333CC"/>
    <w:rsid w:val="297406FE"/>
    <w:rsid w:val="29B368CB"/>
    <w:rsid w:val="2B806CA3"/>
    <w:rsid w:val="2B9B0870"/>
    <w:rsid w:val="2BED6E09"/>
    <w:rsid w:val="2D1633EB"/>
    <w:rsid w:val="2DFA27F2"/>
    <w:rsid w:val="2E160EED"/>
    <w:rsid w:val="2E3D3BD6"/>
    <w:rsid w:val="2E4C78E1"/>
    <w:rsid w:val="302E5052"/>
    <w:rsid w:val="30522E72"/>
    <w:rsid w:val="31175F84"/>
    <w:rsid w:val="31321010"/>
    <w:rsid w:val="323E3A6F"/>
    <w:rsid w:val="32D94B0D"/>
    <w:rsid w:val="3321791E"/>
    <w:rsid w:val="342D7F28"/>
    <w:rsid w:val="345614B9"/>
    <w:rsid w:val="34CC64BD"/>
    <w:rsid w:val="350E7D08"/>
    <w:rsid w:val="361D268E"/>
    <w:rsid w:val="36E83F1F"/>
    <w:rsid w:val="377E398B"/>
    <w:rsid w:val="37A37610"/>
    <w:rsid w:val="380A4A95"/>
    <w:rsid w:val="38AF2CB3"/>
    <w:rsid w:val="3A190B5C"/>
    <w:rsid w:val="3B92336A"/>
    <w:rsid w:val="3D464925"/>
    <w:rsid w:val="3E654273"/>
    <w:rsid w:val="3E8E1868"/>
    <w:rsid w:val="3F3426F2"/>
    <w:rsid w:val="3F8F0431"/>
    <w:rsid w:val="40254DC4"/>
    <w:rsid w:val="407B7BAD"/>
    <w:rsid w:val="41174523"/>
    <w:rsid w:val="42842924"/>
    <w:rsid w:val="432B3B11"/>
    <w:rsid w:val="43E678CC"/>
    <w:rsid w:val="45617CBE"/>
    <w:rsid w:val="45E85CE9"/>
    <w:rsid w:val="45F97EF6"/>
    <w:rsid w:val="465C4C5A"/>
    <w:rsid w:val="469E3992"/>
    <w:rsid w:val="472E5B48"/>
    <w:rsid w:val="47FA40E1"/>
    <w:rsid w:val="485E6108"/>
    <w:rsid w:val="48665B32"/>
    <w:rsid w:val="48743B3D"/>
    <w:rsid w:val="489C2933"/>
    <w:rsid w:val="49B276EA"/>
    <w:rsid w:val="49BF2A4F"/>
    <w:rsid w:val="4BBC7D76"/>
    <w:rsid w:val="4CB67A9B"/>
    <w:rsid w:val="4CCB12D0"/>
    <w:rsid w:val="4D4759EB"/>
    <w:rsid w:val="4D545FE5"/>
    <w:rsid w:val="4E3B1BCF"/>
    <w:rsid w:val="4EA15069"/>
    <w:rsid w:val="4FC350DF"/>
    <w:rsid w:val="500718A1"/>
    <w:rsid w:val="51973BEE"/>
    <w:rsid w:val="51BF1FF4"/>
    <w:rsid w:val="520C480A"/>
    <w:rsid w:val="528559C7"/>
    <w:rsid w:val="52CB277F"/>
    <w:rsid w:val="53675FC4"/>
    <w:rsid w:val="53DD0E57"/>
    <w:rsid w:val="53F109E6"/>
    <w:rsid w:val="54CD3304"/>
    <w:rsid w:val="55131DDA"/>
    <w:rsid w:val="556C28C7"/>
    <w:rsid w:val="55FA7A9F"/>
    <w:rsid w:val="565B309E"/>
    <w:rsid w:val="566F774E"/>
    <w:rsid w:val="56C66210"/>
    <w:rsid w:val="57401AE5"/>
    <w:rsid w:val="575E22AF"/>
    <w:rsid w:val="5809250B"/>
    <w:rsid w:val="58170ED4"/>
    <w:rsid w:val="59BD150F"/>
    <w:rsid w:val="5A8E586C"/>
    <w:rsid w:val="5B64628F"/>
    <w:rsid w:val="5C391541"/>
    <w:rsid w:val="5CA01A5A"/>
    <w:rsid w:val="5D1350D5"/>
    <w:rsid w:val="5DF97B87"/>
    <w:rsid w:val="5E9241C4"/>
    <w:rsid w:val="5E9860A7"/>
    <w:rsid w:val="5F722862"/>
    <w:rsid w:val="5FC77254"/>
    <w:rsid w:val="60665609"/>
    <w:rsid w:val="60705C16"/>
    <w:rsid w:val="62006926"/>
    <w:rsid w:val="6295006F"/>
    <w:rsid w:val="64EA414E"/>
    <w:rsid w:val="669E6224"/>
    <w:rsid w:val="66A009FE"/>
    <w:rsid w:val="68FE6526"/>
    <w:rsid w:val="692F6511"/>
    <w:rsid w:val="696D0DB3"/>
    <w:rsid w:val="6A3B3D97"/>
    <w:rsid w:val="6B0F2FA0"/>
    <w:rsid w:val="6B3F6731"/>
    <w:rsid w:val="6BA95B9A"/>
    <w:rsid w:val="6C8E0AE9"/>
    <w:rsid w:val="6D674868"/>
    <w:rsid w:val="6D6904D2"/>
    <w:rsid w:val="6E087F44"/>
    <w:rsid w:val="6E414065"/>
    <w:rsid w:val="6E672132"/>
    <w:rsid w:val="6F4D6A39"/>
    <w:rsid w:val="72743DB7"/>
    <w:rsid w:val="727447D3"/>
    <w:rsid w:val="72C62AF2"/>
    <w:rsid w:val="730A0F49"/>
    <w:rsid w:val="736507F6"/>
    <w:rsid w:val="73693599"/>
    <w:rsid w:val="736E72E6"/>
    <w:rsid w:val="73C963C3"/>
    <w:rsid w:val="74940C67"/>
    <w:rsid w:val="74AE38FD"/>
    <w:rsid w:val="74FC2405"/>
    <w:rsid w:val="753F634B"/>
    <w:rsid w:val="76797C2F"/>
    <w:rsid w:val="76885478"/>
    <w:rsid w:val="76FC1307"/>
    <w:rsid w:val="775678A3"/>
    <w:rsid w:val="79015FB4"/>
    <w:rsid w:val="791443AA"/>
    <w:rsid w:val="79523AA4"/>
    <w:rsid w:val="795F2373"/>
    <w:rsid w:val="799B26EC"/>
    <w:rsid w:val="79FA090D"/>
    <w:rsid w:val="7A0B3779"/>
    <w:rsid w:val="7A560E98"/>
    <w:rsid w:val="7AFD5272"/>
    <w:rsid w:val="7B021ACD"/>
    <w:rsid w:val="7B1E7CC8"/>
    <w:rsid w:val="7B407BFE"/>
    <w:rsid w:val="7BD232B0"/>
    <w:rsid w:val="7BE424D4"/>
    <w:rsid w:val="7C312D2E"/>
    <w:rsid w:val="7CD42548"/>
    <w:rsid w:val="7D3B4910"/>
    <w:rsid w:val="7F285D26"/>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next w:val="12"/>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2"/>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hint="default" w:ascii="monospace" w:hAnsi="monospace" w:eastAsia="monospace" w:cs="monospace"/>
      <w:sz w:val="20"/>
    </w:rPr>
  </w:style>
  <w:style w:type="character" w:styleId="64">
    <w:name w:val="HTML Acronym"/>
    <w:basedOn w:val="57"/>
    <w:semiHidden/>
    <w:unhideWhenUsed/>
    <w:qFormat/>
    <w:uiPriority w:val="99"/>
  </w:style>
  <w:style w:type="character" w:styleId="65">
    <w:name w:val="HTML Variable"/>
    <w:basedOn w:val="57"/>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hint="default"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qFormat/>
    <w:uiPriority w:val="99"/>
    <w:rPr>
      <w:rFonts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99"/>
    <w:rPr>
      <w:rFonts w:ascii="Arial" w:hAnsi="Arial" w:eastAsia="黑体" w:cs="Arial"/>
      <w:szCs w:val="20"/>
    </w:rPr>
  </w:style>
  <w:style w:type="character" w:customStyle="1" w:styleId="92">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4"/>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9"/>
    <w:autoRedefine/>
    <w:qFormat/>
    <w:uiPriority w:val="0"/>
    <w:rPr>
      <w:rFonts w:eastAsia="黑体" w:cs="Times New Roman"/>
      <w:kern w:val="2"/>
      <w:sz w:val="32"/>
      <w:szCs w:val="32"/>
      <w:lang w:val="zh-CN" w:eastAsia="zh-CN"/>
    </w:rPr>
  </w:style>
  <w:style w:type="character" w:customStyle="1" w:styleId="110">
    <w:name w:val="标题 9 Char"/>
    <w:basedOn w:val="57"/>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4"/>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first-child"/>
    <w:basedOn w:val="57"/>
    <w:qFormat/>
    <w:uiPriority w:val="0"/>
  </w:style>
  <w:style w:type="character" w:customStyle="1" w:styleId="279">
    <w:name w:val="layui-this"/>
    <w:basedOn w:val="57"/>
    <w:qFormat/>
    <w:uiPriority w:val="0"/>
    <w:rPr>
      <w:bdr w:val="single" w:color="EEEEEE" w:sz="6" w:space="0"/>
      <w:shd w:val="clear" w:fill="FFFFFF"/>
    </w:rPr>
  </w:style>
  <w:style w:type="character" w:customStyle="1" w:styleId="280">
    <w:name w:val="hover"/>
    <w:basedOn w:val="57"/>
    <w:uiPriority w:val="0"/>
  </w:style>
  <w:style w:type="character" w:customStyle="1" w:styleId="281">
    <w:name w:val="hover1"/>
    <w:basedOn w:val="57"/>
    <w:uiPriority w:val="0"/>
    <w:rPr>
      <w:color w:val="2590EB"/>
    </w:rPr>
  </w:style>
  <w:style w:type="character" w:customStyle="1" w:styleId="282">
    <w:name w:val="hover2"/>
    <w:basedOn w:val="57"/>
    <w:uiPriority w:val="0"/>
    <w:rPr>
      <w:color w:val="2590EB"/>
    </w:rPr>
  </w:style>
  <w:style w:type="character" w:customStyle="1" w:styleId="283">
    <w:name w:val="hover3"/>
    <w:basedOn w:val="57"/>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4CFDD-AEC3-4BBC-9B81-C7151120817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118</Pages>
  <Words>55866</Words>
  <Characters>58335</Characters>
  <Lines>445</Lines>
  <Paragraphs>125</Paragraphs>
  <TotalTime>52</TotalTime>
  <ScaleCrop>false</ScaleCrop>
  <LinksUpToDate>false</LinksUpToDate>
  <CharactersWithSpaces>66032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NTKO</cp:lastModifiedBy>
  <cp:lastPrinted>2019-12-07T15:20:00Z</cp:lastPrinted>
  <dcterms:modified xsi:type="dcterms:W3CDTF">2026-05-15T08:02:51Z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BE393E6EDC3845A1908AECFA21276DCE_12</vt:lpwstr>
  </property>
  <property fmtid="{D5CDD505-2E9C-101B-9397-08002B2CF9AE}" pid="4" name="KSOTemplateDocerSaveRecord">
    <vt:lpwstr>eyJoZGlkIjoiMDk2MmQyNTdjMmYyM2I4Njk3YjVkOTliYjhhNDZiYTEiLCJ1c2VySWQiOiI0MDkyMjI1MTkifQ==</vt:lpwstr>
  </property>
</Properties>
</file>