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E20BE">
      <w:pPr>
        <w:pStyle w:val="3"/>
        <w:keepNext w:val="0"/>
        <w:keepLines w:val="0"/>
        <w:pageBreakBefore w:val="0"/>
        <w:widowControl/>
        <w:wordWrap/>
        <w:overflowPunct/>
        <w:topLinePunct w:val="0"/>
        <w:autoSpaceDE/>
        <w:autoSpaceDN/>
        <w:bidi w:val="0"/>
        <w:snapToGrid/>
        <w:spacing w:line="480" w:lineRule="auto"/>
        <w:jc w:val="center"/>
        <w:rPr>
          <w:rFonts w:cs="宋体"/>
          <w:b/>
          <w:bCs/>
          <w:color w:val="auto"/>
          <w:sz w:val="32"/>
          <w:szCs w:val="32"/>
          <w:highlight w:val="none"/>
        </w:rPr>
      </w:pPr>
      <w:r>
        <w:rPr>
          <w:rFonts w:cs="宋体"/>
          <w:b/>
          <w:bCs/>
          <w:color w:val="auto"/>
          <w:sz w:val="32"/>
          <w:szCs w:val="32"/>
          <w:highlight w:val="none"/>
        </w:rPr>
        <w:t>合同条款及格式</w:t>
      </w:r>
    </w:p>
    <w:p w14:paraId="2FAAB6CA">
      <w:pPr>
        <w:keepNext w:val="0"/>
        <w:keepLines w:val="0"/>
        <w:pageBreakBefore w:val="0"/>
        <w:wordWrap/>
        <w:overflowPunct/>
        <w:topLinePunct w:val="0"/>
        <w:autoSpaceDE/>
        <w:autoSpaceDN/>
        <w:bidi w:val="0"/>
        <w:snapToGrid/>
        <w:spacing w:line="480" w:lineRule="auto"/>
        <w:jc w:val="center"/>
        <w:rPr>
          <w:sz w:val="21"/>
          <w:szCs w:val="21"/>
        </w:rPr>
      </w:pPr>
      <w:r>
        <w:rPr>
          <w:rFonts w:hint="eastAsia" w:ascii="Times New Roman" w:hAnsi="Times New Roman" w:eastAsia="宋体" w:cs="Times New Roman"/>
          <w:b/>
          <w:bCs/>
          <w:color w:val="auto"/>
          <w:sz w:val="21"/>
          <w:szCs w:val="21"/>
          <w:highlight w:val="none"/>
          <w:lang w:eastAsia="zh-CN"/>
        </w:rPr>
        <w:t>（格式仅供</w:t>
      </w:r>
      <w:r>
        <w:rPr>
          <w:rFonts w:hint="eastAsia" w:ascii="Times New Roman" w:hAnsi="Times New Roman" w:eastAsia="宋体" w:cs="Times New Roman"/>
          <w:b/>
          <w:bCs/>
          <w:color w:val="auto"/>
          <w:sz w:val="21"/>
          <w:szCs w:val="21"/>
          <w:highlight w:val="none"/>
          <w:lang w:val="en-US" w:eastAsia="zh-CN"/>
        </w:rPr>
        <w:t>参考</w:t>
      </w:r>
      <w:r>
        <w:rPr>
          <w:rFonts w:hint="eastAsia" w:ascii="Times New Roman" w:hAnsi="Times New Roman" w:eastAsia="宋体" w:cs="Times New Roman"/>
          <w:b/>
          <w:bCs/>
          <w:color w:val="auto"/>
          <w:sz w:val="21"/>
          <w:szCs w:val="21"/>
          <w:highlight w:val="none"/>
          <w:lang w:eastAsia="zh-CN"/>
        </w:rPr>
        <w:t>）</w:t>
      </w:r>
    </w:p>
    <w:p w14:paraId="34068846">
      <w:pPr>
        <w:pStyle w:val="5"/>
        <w:keepNext w:val="0"/>
        <w:keepLines w:val="0"/>
        <w:pageBreakBefore w:val="0"/>
        <w:widowControl/>
        <w:wordWrap/>
        <w:overflowPunct/>
        <w:topLinePunct w:val="0"/>
        <w:autoSpaceDE/>
        <w:autoSpaceDN/>
        <w:bidi w:val="0"/>
        <w:snapToGrid/>
        <w:spacing w:line="48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卖方 (以下简称：甲方):</w:t>
      </w:r>
    </w:p>
    <w:p w14:paraId="4DAFF335">
      <w:pPr>
        <w:pStyle w:val="5"/>
        <w:keepNext w:val="0"/>
        <w:keepLines w:val="0"/>
        <w:pageBreakBefore w:val="0"/>
        <w:widowControl/>
        <w:wordWrap/>
        <w:overflowPunct/>
        <w:topLinePunct w:val="0"/>
        <w:autoSpaceDE/>
        <w:autoSpaceDN/>
        <w:bidi w:val="0"/>
        <w:snapToGrid/>
        <w:spacing w:line="48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买方 (以下简称：乙方):</w:t>
      </w:r>
    </w:p>
    <w:p w14:paraId="2DDCF69A">
      <w:pPr>
        <w:pStyle w:val="5"/>
        <w:keepNext w:val="0"/>
        <w:keepLines w:val="0"/>
        <w:pageBreakBefore w:val="0"/>
        <w:widowControl/>
        <w:wordWrap/>
        <w:overflowPunct/>
        <w:topLinePunct w:val="0"/>
        <w:autoSpaceDE/>
        <w:autoSpaceDN/>
        <w:bidi w:val="0"/>
        <w:snapToGrid/>
        <w:spacing w:line="48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（以下简称：甲方）通过公开竞价，确定 （以下简称：乙方）为本项目竞得人，现按照竞价公告确定的事项签订本合同。</w:t>
      </w:r>
    </w:p>
    <w:p w14:paraId="734B2BAC">
      <w:pPr>
        <w:pStyle w:val="5"/>
        <w:keepNext w:val="0"/>
        <w:keepLines w:val="0"/>
        <w:pageBreakBefore w:val="0"/>
        <w:widowControl/>
        <w:wordWrap/>
        <w:overflowPunct/>
        <w:topLinePunct w:val="0"/>
        <w:autoSpaceDE/>
        <w:autoSpaceDN/>
        <w:bidi w:val="0"/>
        <w:snapToGrid/>
        <w:spacing w:line="48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根据《中华人民共和国民法典》等相关法律法规之规定，按照平等、自愿、公平和诚实信用的原则，经甲方和乙方协商一致，约定以下合同条款，以兹共同遵守、全面履行。</w:t>
      </w:r>
    </w:p>
    <w:p w14:paraId="5B337F47">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第一条 固定资产处置清单及价格</w:t>
      </w:r>
    </w:p>
    <w:p w14:paraId="6FC22985">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w:t>
      </w:r>
      <w:r>
        <w:rPr>
          <w:rFonts w:hint="eastAsia" w:ascii="宋体" w:hAnsi="宋体" w:eastAsia="宋体" w:cs="宋体"/>
          <w:bCs/>
          <w:color w:val="auto"/>
          <w:highlight w:val="none"/>
          <w:lang w:eastAsia="zh-CN"/>
        </w:rPr>
        <w:t>滁州市数据资源管理局资产处置项目</w:t>
      </w:r>
      <w:r>
        <w:rPr>
          <w:rFonts w:hint="eastAsia" w:ascii="宋体" w:hAnsi="宋体" w:cs="宋体"/>
          <w:bCs/>
          <w:color w:val="auto"/>
          <w:kern w:val="0"/>
          <w:szCs w:val="21"/>
          <w:highlight w:val="none"/>
        </w:rPr>
        <w:t>清单</w:t>
      </w:r>
    </w:p>
    <w:p w14:paraId="6F5F5747">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color w:val="auto"/>
          <w:highlight w:val="none"/>
        </w:rPr>
      </w:pPr>
      <w:r>
        <w:rPr>
          <w:rFonts w:hint="eastAsia" w:ascii="宋体" w:hAnsi="宋体" w:cs="宋体"/>
          <w:bCs/>
          <w:color w:val="auto"/>
          <w:kern w:val="0"/>
          <w:szCs w:val="21"/>
          <w:highlight w:val="none"/>
        </w:rPr>
        <w:t>1.2竞价价款：</w:t>
      </w:r>
      <w:r>
        <w:rPr>
          <w:rFonts w:hint="eastAsia" w:ascii="宋体" w:hAnsi="宋体" w:cs="宋体"/>
          <w:bCs/>
          <w:color w:val="auto"/>
          <w:kern w:val="0"/>
          <w:szCs w:val="21"/>
          <w:highlight w:val="none"/>
          <w:u w:val="single"/>
        </w:rPr>
        <w:t xml:space="preserve">        元(大写：   ) </w:t>
      </w:r>
      <w:r>
        <w:rPr>
          <w:rFonts w:hint="eastAsia" w:ascii="宋体" w:hAnsi="宋体" w:cs="宋体"/>
          <w:bCs/>
          <w:color w:val="auto"/>
          <w:kern w:val="0"/>
          <w:szCs w:val="21"/>
          <w:highlight w:val="none"/>
        </w:rPr>
        <w:t>。</w:t>
      </w:r>
    </w:p>
    <w:p w14:paraId="1F958671">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第二条 固定资产的处理</w:t>
      </w:r>
    </w:p>
    <w:p w14:paraId="32A501FE">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cyan"/>
        </w:rPr>
      </w:pPr>
      <w:r>
        <w:rPr>
          <w:rFonts w:hint="eastAsia" w:ascii="宋体" w:hAnsi="宋体" w:cs="宋体"/>
          <w:bCs/>
          <w:color w:val="auto"/>
          <w:kern w:val="0"/>
          <w:szCs w:val="21"/>
          <w:highlight w:val="none"/>
        </w:rPr>
        <w:t>2.</w:t>
      </w:r>
      <w:bookmarkStart w:id="0" w:name="_GoBack"/>
      <w:r>
        <w:rPr>
          <w:rFonts w:hint="eastAsia" w:ascii="宋体" w:hAnsi="宋体" w:cs="宋体"/>
          <w:bCs/>
          <w:color w:val="auto"/>
          <w:kern w:val="0"/>
          <w:szCs w:val="21"/>
          <w:highlight w:val="none"/>
        </w:rPr>
        <w:t>1所有处置货物以实际现状为准，否则带来的一切后果由乙方自行承担；由乙方在合同签订之日起</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个日历天内</w:t>
      </w:r>
      <w:r>
        <w:rPr>
          <w:rFonts w:hint="eastAsia" w:ascii="宋体" w:hAnsi="宋体" w:cs="宋体"/>
          <w:bCs/>
          <w:color w:val="auto"/>
          <w:kern w:val="0"/>
          <w:szCs w:val="21"/>
          <w:highlight w:val="none"/>
          <w:lang w:val="en-US" w:eastAsia="zh-CN"/>
        </w:rPr>
        <w:t>完成全部</w:t>
      </w:r>
      <w:r>
        <w:rPr>
          <w:rFonts w:hint="eastAsia" w:ascii="宋体" w:hAnsi="宋体" w:cs="宋体"/>
          <w:bCs/>
          <w:color w:val="auto"/>
          <w:kern w:val="0"/>
          <w:szCs w:val="21"/>
          <w:highlight w:val="none"/>
        </w:rPr>
        <w:t>货物</w:t>
      </w:r>
      <w:r>
        <w:rPr>
          <w:rFonts w:hint="eastAsia" w:ascii="宋体" w:hAnsi="宋体" w:cs="宋体"/>
          <w:bCs/>
          <w:color w:val="auto"/>
          <w:kern w:val="0"/>
          <w:szCs w:val="21"/>
          <w:highlight w:val="none"/>
          <w:lang w:val="en-US" w:eastAsia="zh-CN"/>
        </w:rPr>
        <w:t>的</w:t>
      </w:r>
      <w:r>
        <w:rPr>
          <w:rFonts w:hint="eastAsia" w:ascii="宋体" w:hAnsi="宋体" w:cs="宋体"/>
          <w:bCs/>
          <w:color w:val="auto"/>
          <w:kern w:val="0"/>
          <w:szCs w:val="21"/>
          <w:highlight w:val="none"/>
        </w:rPr>
        <w:t>清运</w:t>
      </w:r>
      <w:r>
        <w:rPr>
          <w:rFonts w:hint="eastAsia" w:ascii="宋体" w:hAnsi="宋体" w:cs="宋体"/>
          <w:bCs/>
          <w:color w:val="auto"/>
          <w:kern w:val="0"/>
          <w:szCs w:val="21"/>
          <w:highlight w:val="none"/>
          <w:lang w:val="en-US" w:eastAsia="zh-CN"/>
        </w:rPr>
        <w:t>并</w:t>
      </w:r>
      <w:r>
        <w:rPr>
          <w:rFonts w:hint="eastAsia" w:ascii="宋体" w:hAnsi="宋体" w:cs="宋体"/>
          <w:bCs/>
          <w:color w:val="auto"/>
          <w:kern w:val="0"/>
          <w:szCs w:val="21"/>
          <w:highlight w:val="none"/>
        </w:rPr>
        <w:t>负责所有安全问题及责任，甲方将不为此承担任何责任和费用。</w:t>
      </w:r>
      <w:bookmarkEnd w:id="0"/>
    </w:p>
    <w:p w14:paraId="7000CE0F">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乙方负责固定资产</w:t>
      </w:r>
      <w:r>
        <w:rPr>
          <w:rFonts w:hint="eastAsia" w:ascii="宋体" w:hAnsi="宋体" w:eastAsia="宋体" w:cs="宋体"/>
          <w:bCs/>
          <w:color w:val="auto"/>
          <w:kern w:val="0"/>
          <w:szCs w:val="21"/>
          <w:highlight w:val="none"/>
          <w:lang w:val="en-US" w:eastAsia="zh-CN"/>
        </w:rPr>
        <w:t>处置</w:t>
      </w:r>
      <w:r>
        <w:rPr>
          <w:rFonts w:hint="eastAsia" w:ascii="宋体" w:hAnsi="宋体" w:eastAsia="宋体" w:cs="宋体"/>
          <w:bCs/>
          <w:color w:val="auto"/>
          <w:kern w:val="0"/>
          <w:szCs w:val="21"/>
          <w:highlight w:val="none"/>
        </w:rPr>
        <w:t>的现场清理、装卸</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运输</w:t>
      </w:r>
      <w:r>
        <w:rPr>
          <w:rFonts w:hint="eastAsia" w:ascii="宋体" w:hAnsi="宋体" w:eastAsia="宋体" w:cs="宋体"/>
          <w:bCs/>
          <w:color w:val="auto"/>
          <w:kern w:val="0"/>
          <w:szCs w:val="21"/>
          <w:highlight w:val="none"/>
        </w:rPr>
        <w:t>。</w:t>
      </w:r>
    </w:p>
    <w:p w14:paraId="714CD7CE">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2.3乙方应确保固定资产报废处置完毕后现场的安全及清洁工作，并确保不造成任何污染</w:t>
      </w:r>
      <w:r>
        <w:rPr>
          <w:rFonts w:hint="eastAsia" w:ascii="宋体" w:hAnsi="宋体" w:eastAsia="宋体" w:cs="宋体"/>
          <w:bCs/>
          <w:color w:val="auto"/>
          <w:kern w:val="0"/>
          <w:szCs w:val="21"/>
          <w:highlight w:val="none"/>
          <w:lang w:eastAsia="zh-CN"/>
        </w:rPr>
        <w:t>。</w:t>
      </w:r>
    </w:p>
    <w:p w14:paraId="3BBDCF02">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第三条 结算与支付</w:t>
      </w:r>
    </w:p>
    <w:p w14:paraId="13B7E81C">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3.1合同签订前必须全额缴纳竞价款，否则视为竞得人自动放弃竞得资格，保证金不予退还，且甲方有权对外重新竞价。</w:t>
      </w:r>
    </w:p>
    <w:p w14:paraId="45F36182">
      <w:pPr>
        <w:keepNext w:val="0"/>
        <w:keepLines w:val="0"/>
        <w:pageBreakBefore w:val="0"/>
        <w:widowControl/>
        <w:kinsoku w:val="0"/>
        <w:wordWrap/>
        <w:overflowPunct/>
        <w:topLinePunct w:val="0"/>
        <w:autoSpaceDE/>
        <w:autoSpaceDN/>
        <w:bidi w:val="0"/>
        <w:adjustRightInd w:val="0"/>
        <w:snapToGrid/>
        <w:spacing w:line="480" w:lineRule="auto"/>
        <w:ind w:firstLine="420" w:firstLineChars="200"/>
        <w:jc w:val="left"/>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rPr>
        <w:t xml:space="preserve">户名：    </w:t>
      </w:r>
      <w:r>
        <w:rPr>
          <w:rFonts w:hint="eastAsia" w:ascii="宋体" w:hAnsi="宋体" w:cs="宋体"/>
          <w:bCs/>
          <w:color w:val="auto"/>
          <w:kern w:val="0"/>
          <w:szCs w:val="21"/>
          <w:highlight w:val="none"/>
          <w:lang w:val="en-US" w:eastAsia="zh-CN"/>
        </w:rPr>
        <w:t xml:space="preserve">      </w:t>
      </w:r>
    </w:p>
    <w:p w14:paraId="6044CC30">
      <w:pPr>
        <w:keepNext w:val="0"/>
        <w:keepLines w:val="0"/>
        <w:pageBreakBefore w:val="0"/>
        <w:widowControl/>
        <w:kinsoku w:val="0"/>
        <w:wordWrap/>
        <w:overflowPunct/>
        <w:topLinePunct w:val="0"/>
        <w:autoSpaceDE/>
        <w:autoSpaceDN/>
        <w:bidi w:val="0"/>
        <w:adjustRightInd w:val="0"/>
        <w:snapToGrid/>
        <w:spacing w:line="480" w:lineRule="auto"/>
        <w:ind w:firstLine="420" w:firstLineChars="200"/>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开户行：            </w:t>
      </w:r>
    </w:p>
    <w:p w14:paraId="4EAC0A5A">
      <w:pPr>
        <w:keepNext w:val="0"/>
        <w:keepLines w:val="0"/>
        <w:pageBreakBefore w:val="0"/>
        <w:widowControl/>
        <w:kinsoku w:val="0"/>
        <w:wordWrap/>
        <w:overflowPunct/>
        <w:topLinePunct w:val="0"/>
        <w:autoSpaceDE/>
        <w:autoSpaceDN/>
        <w:bidi w:val="0"/>
        <w:adjustRightInd w:val="0"/>
        <w:snapToGrid/>
        <w:spacing w:line="480" w:lineRule="auto"/>
        <w:ind w:firstLine="420" w:firstLineChars="200"/>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账号：</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w:t>
      </w:r>
    </w:p>
    <w:p w14:paraId="059C7585">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附言中注明“</w:t>
      </w:r>
      <w:r>
        <w:rPr>
          <w:rFonts w:hint="eastAsia" w:ascii="宋体" w:hAnsi="宋体" w:cs="宋体"/>
          <w:b/>
          <w:color w:val="auto"/>
          <w:kern w:val="0"/>
          <w:szCs w:val="21"/>
          <w:highlight w:val="none"/>
          <w:lang w:eastAsia="zh-CN"/>
        </w:rPr>
        <w:t>滁州市数据资源管理局资产处置项目</w:t>
      </w:r>
      <w:r>
        <w:rPr>
          <w:rFonts w:hint="eastAsia" w:ascii="宋体" w:hAnsi="宋体" w:cs="宋体"/>
          <w:bCs/>
          <w:color w:val="auto"/>
          <w:kern w:val="0"/>
          <w:szCs w:val="21"/>
          <w:highlight w:val="none"/>
        </w:rPr>
        <w:t>”竞价款。</w:t>
      </w:r>
    </w:p>
    <w:p w14:paraId="31A91055">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第四条 安全条款</w:t>
      </w:r>
    </w:p>
    <w:p w14:paraId="23C0D085">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4.1 乙方派往甲方工作人员，有责任遵守甲方有关的安全和环保要求；乙方有关办事人员或受雇于乙方的人员在甲方场所内应遵守甲方所有规定。</w:t>
      </w:r>
    </w:p>
    <w:p w14:paraId="59FE4219">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rPr>
      </w:pPr>
      <w:r>
        <w:rPr>
          <w:rFonts w:hint="eastAsia" w:ascii="宋体" w:hAnsi="宋体" w:eastAsia="宋体" w:cs="宋体"/>
          <w:bCs/>
          <w:color w:val="auto"/>
          <w:kern w:val="0"/>
          <w:szCs w:val="21"/>
          <w:highlight w:val="none"/>
        </w:rPr>
        <w:t>4.2乙方运输工具应清洁卫生，不得装载过有毒有害或其他对货物可能造成污染的物品，在甲方场所内应按甲方规定的限速行使，由于乙方原因，乙方车辆在甲方场所造成安全、污染事故由乙方负赔偿责任。</w:t>
      </w:r>
    </w:p>
    <w:p w14:paraId="16935C2F">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因乙方工作人员的过错造成对人员的人身伤害及财产的损失，由乙方承担全部法律责任。</w:t>
      </w:r>
    </w:p>
    <w:p w14:paraId="22EC7A60">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在甲方的处理现场，乙方工作人员在搬运、装卸、处置工作过程中所发生的任何安全事故、由乙方自行承担，与甲方无关。</w:t>
      </w:r>
    </w:p>
    <w:p w14:paraId="2644FDA6">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第五条 合同的解除和转让</w:t>
      </w:r>
    </w:p>
    <w:p w14:paraId="2EF53745">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5.1合同的解除</w:t>
      </w:r>
    </w:p>
    <w:p w14:paraId="58C4821A">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(1)买方和卖方协商一致，可以解除合同。</w:t>
      </w:r>
    </w:p>
    <w:p w14:paraId="3BAD3E01">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(2)有下列情形之一，合同一方可以解除合同：</w:t>
      </w:r>
    </w:p>
    <w:p w14:paraId="1A072AE8">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&lt;1&gt;因不可抗力致使不能实现合同目的，未受不可抗力影响的一方有权解除合同；</w:t>
      </w:r>
    </w:p>
    <w:p w14:paraId="41303517">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&lt;2&gt;因合同一方违约导致合同不能履行，另一方有权解除合同。</w:t>
      </w:r>
    </w:p>
    <w:p w14:paraId="37456F52">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(3)有权解除合同的一方，应当在违约事实或不可抗力发生之后三十天内书面通知对方以主张解除合同，合同在书面通知到达对方时解除。</w:t>
      </w:r>
    </w:p>
    <w:p w14:paraId="35B22B82">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5.2.合同的转让</w:t>
      </w:r>
    </w:p>
    <w:p w14:paraId="5E29DC50">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合同的部分和全部都不得转让。</w:t>
      </w:r>
    </w:p>
    <w:p w14:paraId="35F967A0">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第六条 合同的生效</w:t>
      </w:r>
    </w:p>
    <w:p w14:paraId="36A6376F">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6.1.合同的生效</w:t>
      </w:r>
    </w:p>
    <w:p w14:paraId="140E9E78">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本合同在双方签字盖章后生效。</w:t>
      </w:r>
    </w:p>
    <w:p w14:paraId="21A74676">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color w:val="auto"/>
          <w:highlight w:val="none"/>
        </w:rPr>
      </w:pPr>
      <w:r>
        <w:rPr>
          <w:rFonts w:hint="eastAsia" w:ascii="宋体" w:hAnsi="宋体" w:cs="宋体"/>
          <w:b/>
          <w:color w:val="auto"/>
          <w:kern w:val="0"/>
          <w:szCs w:val="21"/>
          <w:highlight w:val="none"/>
        </w:rPr>
        <w:t>第七条 争议解决</w:t>
      </w:r>
    </w:p>
    <w:p w14:paraId="07FBB56B">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7.1争议解决</w:t>
      </w:r>
    </w:p>
    <w:p w14:paraId="4603FF13">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买卖双方因合同发生争议，进行调解，协商不成，可选择：</w:t>
      </w:r>
    </w:p>
    <w:p w14:paraId="4F1B635C">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(1)双方同时将争议提交滁州仲裁委员会进行仲裁；</w:t>
      </w:r>
    </w:p>
    <w:p w14:paraId="21D02A4F">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(2)向买方所在地人民法院提起诉讼。</w:t>
      </w:r>
    </w:p>
    <w:p w14:paraId="5E074028">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第八条 附则</w:t>
      </w:r>
    </w:p>
    <w:p w14:paraId="63261ED4">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8.1.合同份数。</w:t>
      </w:r>
    </w:p>
    <w:p w14:paraId="166A2DC3">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本合同一式</w:t>
      </w:r>
      <w:r>
        <w:rPr>
          <w:rFonts w:hint="eastAsia" w:ascii="宋体" w:hAnsi="宋体" w:cs="宋体"/>
          <w:bCs/>
          <w:color w:val="auto"/>
          <w:kern w:val="0"/>
          <w:szCs w:val="21"/>
          <w:highlight w:val="none"/>
          <w:lang w:val="en-US" w:eastAsia="zh-CN"/>
        </w:rPr>
        <w:t>肆</w:t>
      </w:r>
      <w:r>
        <w:rPr>
          <w:rFonts w:hint="eastAsia" w:ascii="宋体" w:hAnsi="宋体" w:cs="宋体"/>
          <w:bCs/>
          <w:color w:val="auto"/>
          <w:kern w:val="0"/>
          <w:szCs w:val="21"/>
          <w:highlight w:val="none"/>
        </w:rPr>
        <w:t>份，买卖双方各执</w:t>
      </w:r>
      <w:r>
        <w:rPr>
          <w:rFonts w:hint="eastAsia" w:ascii="宋体" w:hAnsi="宋体" w:cs="宋体"/>
          <w:bCs/>
          <w:color w:val="auto"/>
          <w:kern w:val="0"/>
          <w:szCs w:val="21"/>
          <w:highlight w:val="none"/>
          <w:lang w:val="en-US" w:eastAsia="zh-CN"/>
        </w:rPr>
        <w:t>贰</w:t>
      </w:r>
      <w:r>
        <w:rPr>
          <w:rFonts w:hint="eastAsia" w:ascii="宋体" w:hAnsi="宋体" w:cs="宋体"/>
          <w:bCs/>
          <w:color w:val="auto"/>
          <w:kern w:val="0"/>
          <w:szCs w:val="21"/>
          <w:highlight w:val="none"/>
        </w:rPr>
        <w:t>份。</w:t>
      </w:r>
    </w:p>
    <w:p w14:paraId="1FA12EAC">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8.2.未尽事宜</w:t>
      </w:r>
    </w:p>
    <w:p w14:paraId="036A96D3">
      <w:pPr>
        <w:keepNext w:val="0"/>
        <w:keepLines w:val="0"/>
        <w:pageBreakBefore w:val="0"/>
        <w:widowControl/>
        <w:kinsoku w:val="0"/>
        <w:wordWrap/>
        <w:overflowPunct/>
        <w:topLinePunct w:val="0"/>
        <w:autoSpaceDE/>
        <w:autoSpaceDN/>
        <w:bidi w:val="0"/>
        <w:adjustRightInd w:val="0"/>
        <w:snapToGrid/>
        <w:spacing w:line="480" w:lineRule="auto"/>
        <w:ind w:firstLine="420" w:firstLineChars="200"/>
        <w:jc w:val="left"/>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本合同未尽事宜应按《中华人民共和国民法典》、《中华人民共和国产品质量法》之规定解释。</w:t>
      </w:r>
    </w:p>
    <w:p w14:paraId="6652551F">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lang w:val="en-US" w:eastAsia="zh-CN"/>
        </w:rPr>
      </w:pPr>
    </w:p>
    <w:p w14:paraId="78C19AD9">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卖</w:t>
      </w:r>
      <w:r>
        <w:rPr>
          <w:rFonts w:hint="eastAsia" w:ascii="宋体" w:hAnsi="宋体" w:cs="宋体"/>
          <w:bCs/>
          <w:color w:val="auto"/>
          <w:kern w:val="0"/>
          <w:szCs w:val="21"/>
          <w:highlight w:val="none"/>
        </w:rPr>
        <w:t xml:space="preserve">  方：                          </w:t>
      </w:r>
      <w:r>
        <w:rPr>
          <w:rFonts w:hint="eastAsia" w:ascii="宋体" w:hAnsi="宋体" w:cs="宋体"/>
          <w:bCs/>
          <w:color w:val="auto"/>
          <w:kern w:val="0"/>
          <w:szCs w:val="21"/>
          <w:highlight w:val="none"/>
          <w:lang w:val="en-US" w:eastAsia="zh-CN"/>
        </w:rPr>
        <w:t>买</w:t>
      </w:r>
      <w:r>
        <w:rPr>
          <w:rFonts w:hint="eastAsia" w:ascii="宋体" w:hAnsi="宋体" w:cs="宋体"/>
          <w:bCs/>
          <w:color w:val="auto"/>
          <w:kern w:val="0"/>
          <w:szCs w:val="21"/>
          <w:highlight w:val="none"/>
        </w:rPr>
        <w:t xml:space="preserve">  方：</w:t>
      </w:r>
    </w:p>
    <w:p w14:paraId="66A43257">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  称：（盖章）                  名  称：（盖章）</w:t>
      </w:r>
    </w:p>
    <w:p w14:paraId="6243E875">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法定代表人（或委托代理人）：      法定代表人（或委托代理人）：</w:t>
      </w:r>
    </w:p>
    <w:p w14:paraId="2E11C9E4">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（签字）                                        （签字）</w:t>
      </w:r>
    </w:p>
    <w:p w14:paraId="50781191">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    址：                        地    址：</w:t>
      </w:r>
    </w:p>
    <w:p w14:paraId="2C451343">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邮政编码：                        邮政编码：</w:t>
      </w:r>
    </w:p>
    <w:p w14:paraId="1A15A32D">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电    话：                        电    话：</w:t>
      </w:r>
    </w:p>
    <w:p w14:paraId="380CE4AA">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开户银行：                        开户银行：</w:t>
      </w:r>
    </w:p>
    <w:p w14:paraId="628E78C0">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账</w:t>
      </w:r>
      <w:r>
        <w:rPr>
          <w:rFonts w:hint="eastAsia" w:ascii="宋体" w:hAnsi="宋体" w:cs="宋体"/>
          <w:bCs/>
          <w:color w:val="auto"/>
          <w:kern w:val="0"/>
          <w:szCs w:val="21"/>
          <w:highlight w:val="none"/>
        </w:rPr>
        <w:t xml:space="preserve">    号：                        </w:t>
      </w:r>
      <w:r>
        <w:rPr>
          <w:rFonts w:hint="eastAsia" w:ascii="宋体" w:hAnsi="宋体" w:cs="宋体"/>
          <w:bCs/>
          <w:color w:val="auto"/>
          <w:kern w:val="0"/>
          <w:szCs w:val="21"/>
          <w:highlight w:val="none"/>
          <w:lang w:val="en-US" w:eastAsia="zh-CN"/>
        </w:rPr>
        <w:t>账</w:t>
      </w:r>
      <w:r>
        <w:rPr>
          <w:rFonts w:hint="eastAsia" w:ascii="宋体" w:hAnsi="宋体" w:cs="宋体"/>
          <w:bCs/>
          <w:color w:val="auto"/>
          <w:kern w:val="0"/>
          <w:szCs w:val="21"/>
          <w:highlight w:val="none"/>
        </w:rPr>
        <w:t xml:space="preserve">    号：</w:t>
      </w:r>
    </w:p>
    <w:p w14:paraId="6272A21E">
      <w:pPr>
        <w:keepNext w:val="0"/>
        <w:keepLines w:val="0"/>
        <w:pageBreakBefore w:val="0"/>
        <w:widowControl/>
        <w:kinsoku w:val="0"/>
        <w:wordWrap/>
        <w:overflowPunct/>
        <w:topLinePunct w:val="0"/>
        <w:autoSpaceDE/>
        <w:autoSpaceDN/>
        <w:bidi w:val="0"/>
        <w:adjustRightInd w:val="0"/>
        <w:snapToGrid/>
        <w:spacing w:line="48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    间：                        时    间：</w:t>
      </w:r>
    </w:p>
    <w:sectPr>
      <w:headerReference r:id="rId3" w:type="default"/>
      <w:pgSz w:w="11906" w:h="16838"/>
      <w:pgMar w:top="1418" w:right="1247" w:bottom="1418"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831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66D83"/>
    <w:rsid w:val="0B401B0D"/>
    <w:rsid w:val="10D35967"/>
    <w:rsid w:val="10D862D2"/>
    <w:rsid w:val="1E1F4D66"/>
    <w:rsid w:val="1EFC2EE1"/>
    <w:rsid w:val="251E0B12"/>
    <w:rsid w:val="444B768F"/>
    <w:rsid w:val="48376AE4"/>
    <w:rsid w:val="49141147"/>
    <w:rsid w:val="4D166A6B"/>
    <w:rsid w:val="62E66D83"/>
    <w:rsid w:val="69053333"/>
    <w:rsid w:val="7B1D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Calibri" w:hAnsi="Calibri"/>
      <w:kern w:val="0"/>
      <w:sz w:val="24"/>
    </w:rPr>
  </w:style>
  <w:style w:type="paragraph" w:customStyle="1" w:styleId="8">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1200</Words>
  <Characters>1253</Characters>
  <Lines>0</Lines>
  <Paragraphs>0</Paragraphs>
  <TotalTime>10</TotalTime>
  <ScaleCrop>false</ScaleCrop>
  <LinksUpToDate>false</LinksUpToDate>
  <CharactersWithSpaces>1590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2025-02-18T03:29:00Z</dcterms:created>
  <dc:creator>Pim Pom丶</dc:creator>
  <cp:lastModifiedBy>傻傻一辈子</cp:lastModifiedBy>
  <dcterms:modified xsi:type="dcterms:W3CDTF">2025-08-20T03:31:25Z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40305E2D9813463086E7581AABB3862C_11</vt:lpwstr>
  </property>
  <property fmtid="{D5CDD505-2E9C-101B-9397-08002B2CF9AE}" pid="4" name="KSOTemplateDocerSaveRecord">
    <vt:lpwstr>eyJoZGlkIjoiMTljMDcwYWJmYjExZWQzNTVmZDAzZTYwM2JlMzJmZDYiLCJ1c2VySWQiOiIzODU2Mzk2OTQifQ==</vt:lpwstr>
  </property>
</Properties>
</file>