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6DC9B">
      <w:pPr>
        <w:ind w:right="-315" w:rightChars="-150"/>
        <w:jc w:val="center"/>
        <w:rPr>
          <w:rFonts w:hint="eastAsia" w:ascii="宋体" w:hAnsi="宋体" w:eastAsia="宋体" w:cs="宋体"/>
          <w:b/>
          <w:bCs/>
          <w:color w:val="auto"/>
          <w:sz w:val="92"/>
          <w:szCs w:val="92"/>
          <w:highlight w:val="none"/>
          <w:u w:val="single"/>
          <w:vertAlign w:val="subscript"/>
        </w:rPr>
      </w:pPr>
    </w:p>
    <w:p w14:paraId="6B503F7B">
      <w:pPr>
        <w:spacing w:line="720" w:lineRule="auto"/>
        <w:jc w:val="center"/>
        <w:rPr>
          <w:rFonts w:hint="eastAsia" w:ascii="宋体" w:hAnsi="宋体" w:eastAsia="宋体" w:cs="宋体"/>
          <w:b/>
          <w:bCs/>
          <w:color w:val="auto"/>
          <w:spacing w:val="-10"/>
          <w:sz w:val="48"/>
          <w:szCs w:val="48"/>
          <w:highlight w:val="none"/>
          <w:lang w:val="en-US" w:eastAsia="zh-CN"/>
        </w:rPr>
      </w:pPr>
      <w:r>
        <w:rPr>
          <w:rFonts w:hint="eastAsia" w:ascii="宋体" w:hAnsi="宋体" w:cs="宋体"/>
          <w:b/>
          <w:bCs/>
          <w:color w:val="auto"/>
          <w:spacing w:val="-10"/>
          <w:sz w:val="48"/>
          <w:szCs w:val="48"/>
          <w:highlight w:val="none"/>
          <w:lang w:val="en-US" w:eastAsia="zh-CN"/>
        </w:rPr>
        <w:t>滁城西片区排水综合整治工程四批次跟踪审计项目</w:t>
      </w:r>
    </w:p>
    <w:p w14:paraId="559D772C">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19F15149">
      <w:pPr>
        <w:spacing w:line="480" w:lineRule="exact"/>
        <w:ind w:firstLine="2880" w:firstLineChars="900"/>
        <w:rPr>
          <w:rFonts w:hint="eastAsia" w:ascii="宋体" w:hAnsi="宋体" w:eastAsia="宋体" w:cs="宋体"/>
          <w:color w:val="auto"/>
          <w:sz w:val="32"/>
          <w:highlight w:val="none"/>
          <w:u w:val="none"/>
          <w:lang w:val="en-US" w:eastAsia="zh-CN"/>
        </w:rPr>
      </w:pPr>
    </w:p>
    <w:p w14:paraId="5E1922AA">
      <w:pPr>
        <w:spacing w:line="480" w:lineRule="exact"/>
        <w:jc w:val="center"/>
        <w:rPr>
          <w:rFonts w:hint="eastAsia" w:ascii="宋体" w:hAnsi="宋体" w:eastAsia="宋体" w:cs="宋体"/>
          <w:color w:val="auto"/>
          <w:sz w:val="32"/>
          <w:highlight w:val="none"/>
          <w:u w:val="none"/>
          <w:lang w:val="en-US" w:eastAsia="zh-CN"/>
        </w:rPr>
      </w:pPr>
    </w:p>
    <w:p w14:paraId="6228E25F">
      <w:pPr>
        <w:spacing w:line="480" w:lineRule="exact"/>
        <w:jc w:val="center"/>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color w:val="auto"/>
          <w:sz w:val="32"/>
          <w:highlight w:val="none"/>
          <w:u w:val="none"/>
          <w:lang w:val="en-US" w:eastAsia="zh-CN"/>
        </w:rPr>
        <w:t>项目</w:t>
      </w:r>
      <w:bookmarkStart w:id="66" w:name="_GoBack"/>
      <w:r>
        <w:rPr>
          <w:rFonts w:hint="eastAsia" w:ascii="宋体" w:hAnsi="宋体" w:eastAsia="宋体" w:cs="宋体"/>
          <w:color w:val="auto"/>
          <w:sz w:val="32"/>
          <w:highlight w:val="none"/>
          <w:u w:val="none"/>
          <w:lang w:val="en-US" w:eastAsia="zh-CN"/>
        </w:rPr>
        <w:t>编号</w:t>
      </w:r>
      <w:bookmarkEnd w:id="66"/>
      <w:r>
        <w:rPr>
          <w:rFonts w:hint="eastAsia" w:ascii="宋体" w:hAnsi="宋体" w:eastAsia="宋体" w:cs="宋体"/>
          <w:color w:val="auto"/>
          <w:sz w:val="32"/>
          <w:highlight w:val="none"/>
          <w:u w:val="none"/>
          <w:lang w:val="en-US" w:eastAsia="zh-CN"/>
        </w:rPr>
        <w:t>：HXJY1110001042054001</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2968F6F1">
      <w:pPr>
        <w:spacing w:line="480" w:lineRule="exact"/>
        <w:ind w:firstLine="472" w:firstLineChars="147"/>
        <w:rPr>
          <w:rFonts w:hint="eastAsia" w:ascii="宋体" w:hAnsi="宋体" w:eastAsia="宋体" w:cs="宋体"/>
          <w:b/>
          <w:bCs/>
          <w:color w:val="auto"/>
          <w:sz w:val="32"/>
          <w:szCs w:val="32"/>
          <w:highlight w:val="none"/>
        </w:rPr>
      </w:pPr>
    </w:p>
    <w:p w14:paraId="07CE3B8E">
      <w:pPr>
        <w:spacing w:line="480" w:lineRule="exact"/>
        <w:ind w:firstLine="472" w:firstLineChars="147"/>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0292DE31">
      <w:pPr>
        <w:rPr>
          <w:rFonts w:hint="eastAsia" w:ascii="宋体" w:hAnsi="宋体" w:eastAsia="宋体" w:cs="宋体"/>
          <w:color w:val="auto"/>
          <w:sz w:val="32"/>
          <w:highlight w:val="none"/>
        </w:rPr>
      </w:pPr>
    </w:p>
    <w:p w14:paraId="20B531C3">
      <w:pPr>
        <w:spacing w:line="800" w:lineRule="exact"/>
        <w:jc w:val="center"/>
        <w:rPr>
          <w:rFonts w:hint="eastAsia" w:ascii="宋体" w:hAnsi="宋体" w:eastAsia="宋体" w:cs="宋体"/>
          <w:color w:val="auto"/>
          <w:sz w:val="32"/>
          <w:highlight w:val="none"/>
          <w:lang w:val="en-US" w:eastAsia="zh-CN"/>
        </w:rPr>
      </w:pPr>
    </w:p>
    <w:p w14:paraId="44D60B52">
      <w:pPr>
        <w:spacing w:line="800" w:lineRule="exact"/>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hAnsi="宋体" w:cs="宋体"/>
          <w:color w:val="auto"/>
          <w:sz w:val="32"/>
          <w:highlight w:val="none"/>
          <w:u w:val="single"/>
          <w:lang w:val="en-US" w:eastAsia="zh-CN"/>
        </w:rPr>
        <w:t xml:space="preserve">   </w:t>
      </w:r>
      <w:r>
        <w:rPr>
          <w:rFonts w:hint="eastAsia" w:ascii="宋体" w:cs="宋体"/>
          <w:color w:val="auto"/>
          <w:sz w:val="32"/>
          <w:highlight w:val="none"/>
          <w:u w:val="single"/>
          <w:lang w:val="en-US" w:eastAsia="zh-CN"/>
        </w:rPr>
        <w:t xml:space="preserve">滁州市重点工程建设管理处   </w:t>
      </w:r>
      <w:r>
        <w:rPr>
          <w:rFonts w:hint="eastAsia" w:ascii="宋体" w:hAnsi="宋体" w:eastAsia="宋体" w:cs="宋体"/>
          <w:color w:val="auto"/>
          <w:sz w:val="32"/>
          <w:highlight w:val="none"/>
          <w:u w:val="single"/>
        </w:rPr>
        <w:t>（盖章）</w:t>
      </w:r>
    </w:p>
    <w:p w14:paraId="7964B908">
      <w:pPr>
        <w:spacing w:line="800" w:lineRule="exact"/>
        <w:jc w:val="cente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滁州市城投工程咨询管理有限公司（盖章）</w:t>
      </w:r>
    </w:p>
    <w:p w14:paraId="6435FF63">
      <w:pPr>
        <w:spacing w:line="800" w:lineRule="exact"/>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u w:val="single"/>
        </w:rPr>
        <w:t>202</w:t>
      </w:r>
      <w:r>
        <w:rPr>
          <w:rFonts w:hint="eastAsia" w:ascii="宋体" w:hAnsi="宋体" w:cs="宋体"/>
          <w:color w:val="auto"/>
          <w:sz w:val="32"/>
          <w:highlight w:val="none"/>
          <w:u w:val="single"/>
          <w:lang w:val="en-US" w:eastAsia="zh-CN"/>
        </w:rPr>
        <w:t>5</w:t>
      </w:r>
      <w:r>
        <w:rPr>
          <w:rFonts w:hint="eastAsia" w:ascii="宋体" w:hAnsi="宋体" w:eastAsia="宋体" w:cs="宋体"/>
          <w:color w:val="auto"/>
          <w:sz w:val="32"/>
          <w:highlight w:val="none"/>
        </w:rPr>
        <w:t>年</w:t>
      </w:r>
      <w:r>
        <w:rPr>
          <w:rFonts w:hint="eastAsia" w:ascii="宋体" w:hAnsi="宋体" w:cs="宋体"/>
          <w:color w:val="auto"/>
          <w:sz w:val="32"/>
          <w:highlight w:val="none"/>
          <w:u w:val="single"/>
          <w:lang w:val="en-US" w:eastAsia="zh-CN"/>
        </w:rPr>
        <w:t xml:space="preserve"> 8 </w:t>
      </w:r>
      <w:r>
        <w:rPr>
          <w:rFonts w:hint="eastAsia" w:ascii="宋体" w:hAnsi="宋体" w:eastAsia="宋体" w:cs="宋体"/>
          <w:color w:val="auto"/>
          <w:sz w:val="32"/>
          <w:highlight w:val="none"/>
        </w:rPr>
        <w:t>月</w:t>
      </w:r>
    </w:p>
    <w:p w14:paraId="236D7D19">
      <w:pPr>
        <w:spacing w:line="800" w:lineRule="exact"/>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35F77A08">
      <w:pPr>
        <w:spacing w:line="800" w:lineRule="exact"/>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2"/>
        <w:tabs>
          <w:tab w:val="right" w:leader="dot" w:pos="9541"/>
          <w:tab w:val="clear" w:pos="8296"/>
        </w:tabs>
        <w:rPr>
          <w:rFonts w:hint="eastAsia" w:ascii="宋体" w:hAnsi="宋体" w:eastAsia="宋体" w:cs="宋体"/>
          <w:b w:val="0"/>
          <w:bCs w:val="0"/>
          <w:color w:val="auto"/>
          <w:sz w:val="24"/>
          <w:szCs w:val="24"/>
          <w:highlight w:val="none"/>
        </w:rPr>
      </w:pPr>
    </w:p>
    <w:p w14:paraId="5F0FFD1A">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_Toc16309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A、</w:t>
      </w:r>
      <w:r>
        <w:rPr>
          <w:rFonts w:hint="eastAsia" w:hAnsi="宋体" w:eastAsia="宋体" w:cs="宋体"/>
          <w:color w:val="auto"/>
          <w:highlight w:val="none"/>
          <w:lang w:val="en-US" w:eastAsia="zh-CN"/>
        </w:rPr>
        <w:t>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4CD5E4E4">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_Toc2525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w:t>
      </w:r>
      <w:r>
        <w:rPr>
          <w:rFonts w:hint="eastAsia" w:hAnsi="宋体" w:eastAsia="宋体" w:cs="宋体"/>
          <w:color w:val="auto"/>
          <w:highlight w:val="none"/>
          <w:lang w:val="en-US" w:eastAsia="zh-CN"/>
        </w:rPr>
        <w:t>人</w:t>
      </w:r>
      <w:r>
        <w:rPr>
          <w:rFonts w:hint="eastAsia" w:ascii="宋体" w:hAnsi="宋体" w:eastAsia="宋体" w:cs="宋体"/>
          <w:color w:val="auto"/>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37667979">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_Toc13234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第二章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65E06610">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_Toc3848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szCs w:val="44"/>
          <w:highlight w:val="none"/>
          <w:lang w:val="en-US" w:eastAsia="zh-CN"/>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02A250ED">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_Toc30675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第四章 投标文件格式</w:t>
      </w:r>
      <w:r>
        <w:rPr>
          <w:rFonts w:hint="eastAsia" w:ascii="宋体" w:hAnsi="宋体" w:eastAsia="宋体" w:cs="宋体"/>
          <w:color w:val="auto"/>
          <w:highlight w:val="none"/>
        </w:rPr>
        <w:tab/>
      </w:r>
      <w:r>
        <w:rPr>
          <w:rFonts w:hint="eastAsia" w:hAnsi="宋体" w:eastAsia="宋体" w:cs="宋体"/>
          <w:color w:val="auto"/>
          <w:highlight w:val="none"/>
          <w:lang w:val="en-US" w:eastAsia="zh-CN"/>
        </w:rPr>
        <w:t>3</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2</w:t>
      </w:r>
    </w:p>
    <w:p w14:paraId="703F52F3">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_Toc31498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第五章 招标单位、招标代理机构对本招标文件的确认</w:t>
      </w:r>
      <w:r>
        <w:rPr>
          <w:rFonts w:hint="eastAsia" w:ascii="宋体" w:hAnsi="宋体" w:eastAsia="宋体" w:cs="宋体"/>
          <w:color w:val="auto"/>
          <w:highlight w:val="none"/>
        </w:rPr>
        <w:tab/>
      </w:r>
      <w:r>
        <w:rPr>
          <w:rFonts w:hint="eastAsia" w:hAnsi="宋体" w:eastAsia="宋体" w:cs="宋体"/>
          <w:color w:val="auto"/>
          <w:highlight w:val="none"/>
          <w:lang w:val="en-US" w:eastAsia="zh-CN"/>
        </w:rPr>
        <w:t>3</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7</w:t>
      </w:r>
    </w:p>
    <w:p w14:paraId="2E1D2DC7">
      <w:pPr>
        <w:pStyle w:val="6"/>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val="0"/>
          <w:color w:val="auto"/>
          <w:szCs w:val="24"/>
          <w:highlight w:val="none"/>
        </w:rPr>
        <w:fldChar w:fldCharType="end"/>
      </w:r>
      <w:r>
        <w:rPr>
          <w:rFonts w:hint="eastAsia" w:ascii="宋体" w:hAnsi="宋体" w:eastAsia="宋体" w:cs="宋体"/>
          <w:b w:val="0"/>
          <w:bCs w:val="0"/>
          <w:color w:val="auto"/>
          <w:sz w:val="24"/>
          <w:szCs w:val="24"/>
          <w:highlight w:val="none"/>
          <w:lang w:val="en-US" w:eastAsia="zh-CN"/>
        </w:rPr>
        <w:t xml:space="preserve"> </w:t>
      </w:r>
    </w:p>
    <w:p w14:paraId="7DC563D7">
      <w:pPr>
        <w:rPr>
          <w:rFonts w:hint="eastAsia" w:ascii="宋体" w:hAnsi="宋体" w:eastAsia="宋体" w:cs="宋体"/>
          <w:color w:val="auto"/>
          <w:highlight w:val="none"/>
        </w:rPr>
        <w:sectPr>
          <w:footerReference r:id="rId5" w:type="first"/>
          <w:headerReference r:id="rId3" w:type="default"/>
          <w:footerReference r:id="rId4"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3D41C168">
      <w:pPr>
        <w:pStyle w:val="6"/>
        <w:keepNext/>
        <w:keepLines/>
        <w:pageBreakBefore w:val="0"/>
        <w:widowControl w:val="0"/>
        <w:numPr>
          <w:ilvl w:val="0"/>
          <w:numId w:val="1"/>
        </w:numPr>
        <w:kinsoku/>
        <w:wordWrap/>
        <w:overflowPunct/>
        <w:topLinePunct w:val="0"/>
        <w:bidi w:val="0"/>
        <w:snapToGrid/>
        <w:spacing w:before="0" w:after="0" w:line="500" w:lineRule="exact"/>
        <w:textAlignment w:val="auto"/>
        <w:rPr>
          <w:rFonts w:hint="eastAsia" w:ascii="宋体" w:hAnsi="宋体" w:eastAsia="宋体" w:cs="宋体"/>
          <w:color w:val="auto"/>
          <w:highlight w:val="none"/>
          <w:lang w:val="en-US" w:eastAsia="zh-CN"/>
        </w:rPr>
      </w:pPr>
      <w:bookmarkStart w:id="0" w:name="_Toc16309"/>
      <w:r>
        <w:rPr>
          <w:rFonts w:hint="eastAsia" w:ascii="宋体" w:hAnsi="宋体" w:eastAsia="宋体" w:cs="宋体"/>
          <w:color w:val="auto"/>
          <w:highlight w:val="none"/>
          <w:lang w:val="en-US" w:eastAsia="zh-CN"/>
        </w:rPr>
        <w:t>招标公告</w:t>
      </w:r>
    </w:p>
    <w:p w14:paraId="6153588B">
      <w:pPr>
        <w:pStyle w:val="6"/>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华文中宋" w:hAnsi="华文中宋" w:eastAsia="华文中宋" w:cs="Times New Roman"/>
          <w:color w:val="auto"/>
          <w:highlight w:val="none"/>
          <w:lang w:eastAsia="zh-CN"/>
        </w:rPr>
      </w:pPr>
      <w:bookmarkStart w:id="1" w:name="_Toc14627"/>
      <w:bookmarkStart w:id="2" w:name="_Toc21262"/>
      <w:r>
        <w:rPr>
          <w:rFonts w:hint="eastAsia" w:ascii="华文中宋" w:hAnsi="华文中宋" w:eastAsia="华文中宋" w:cs="Times New Roman"/>
          <w:color w:val="auto"/>
          <w:highlight w:val="none"/>
          <w:lang w:val="en-US" w:eastAsia="zh-CN"/>
        </w:rPr>
        <w:t>滁城西片区排水综合整治工程四批次跟踪审计项目</w:t>
      </w:r>
      <w:r>
        <w:rPr>
          <w:rFonts w:hint="eastAsia" w:ascii="华文中宋" w:hAnsi="华文中宋" w:eastAsia="华文中宋" w:cs="Times New Roman"/>
          <w:color w:val="auto"/>
          <w:highlight w:val="none"/>
          <w:lang w:eastAsia="zh-CN"/>
        </w:rPr>
        <w:t>招标公告</w:t>
      </w:r>
      <w:bookmarkEnd w:id="1"/>
      <w:bookmarkEnd w:id="2"/>
      <w:r>
        <w:rPr>
          <w:rFonts w:hint="eastAsia" w:ascii="华文中宋" w:hAnsi="华文中宋" w:eastAsia="华文中宋" w:cs="Times New Roman"/>
          <w:color w:val="auto"/>
          <w:highlight w:val="none"/>
          <w:lang w:eastAsia="zh-CN"/>
        </w:rPr>
        <w:t>（</w:t>
      </w:r>
      <w:r>
        <w:rPr>
          <w:rFonts w:hint="eastAsia" w:ascii="华文中宋" w:hAnsi="华文中宋" w:eastAsia="华文中宋" w:cs="Times New Roman"/>
          <w:color w:val="auto"/>
          <w:highlight w:val="none"/>
          <w:lang w:val="en-US" w:eastAsia="zh-CN"/>
        </w:rPr>
        <w:t>不见面开标</w:t>
      </w:r>
      <w:r>
        <w:rPr>
          <w:rFonts w:hint="eastAsia" w:ascii="华文中宋" w:hAnsi="华文中宋" w:eastAsia="华文中宋" w:cs="Times New Roman"/>
          <w:color w:val="auto"/>
          <w:highlight w:val="none"/>
          <w:lang w:eastAsia="zh-CN"/>
        </w:rPr>
        <w:t>）</w:t>
      </w:r>
    </w:p>
    <w:p w14:paraId="6AFAA93A">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3" w:name="_Toc23993"/>
      <w:bookmarkStart w:id="4" w:name="_Toc11704"/>
      <w:bookmarkStart w:id="5" w:name="_Toc31215"/>
      <w:bookmarkStart w:id="6" w:name="_Toc35393621"/>
      <w:bookmarkStart w:id="7" w:name="_Toc35393790"/>
      <w:bookmarkStart w:id="8" w:name="_Toc28359002"/>
      <w:bookmarkStart w:id="9" w:name="_Toc28359079"/>
      <w:bookmarkStart w:id="10" w:name="_Hlk24379207"/>
    </w:p>
    <w:p w14:paraId="0105351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bookmarkEnd w:id="3"/>
      <w:bookmarkEnd w:id="4"/>
      <w:bookmarkEnd w:id="5"/>
      <w:bookmarkEnd w:id="6"/>
      <w:bookmarkEnd w:id="7"/>
      <w:bookmarkEnd w:id="8"/>
      <w:bookmarkEnd w:id="9"/>
    </w:p>
    <w:bookmarkEnd w:id="10"/>
    <w:p w14:paraId="660E9687">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bookmarkStart w:id="11" w:name="_Toc35393791"/>
      <w:bookmarkStart w:id="12" w:name="_Toc35393622"/>
      <w:bookmarkStart w:id="13" w:name="_Toc28359003"/>
      <w:bookmarkStart w:id="14" w:name="_Toc4879"/>
      <w:bookmarkStart w:id="15" w:name="_Toc28004"/>
      <w:bookmarkStart w:id="16" w:name="_Toc28359080"/>
      <w:r>
        <w:rPr>
          <w:rFonts w:hint="eastAsia" w:ascii="宋体" w:hAnsi="宋体" w:eastAsia="宋体" w:cs="宋体"/>
          <w:i w:val="0"/>
          <w:iCs w:val="0"/>
          <w:caps w:val="0"/>
          <w:color w:val="auto"/>
          <w:spacing w:val="0"/>
          <w:kern w:val="0"/>
          <w:sz w:val="21"/>
          <w:szCs w:val="21"/>
          <w:highlight w:val="none"/>
          <w:shd w:val="clear" w:fill="FFFFFF"/>
          <w:lang w:val="en-US" w:eastAsia="zh-CN" w:bidi="ar"/>
        </w:rPr>
        <w:t>项目编号：HXJY1110001042054001</w:t>
      </w:r>
    </w:p>
    <w:p w14:paraId="1E27E1DB">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项目名称：滁城西片区排水综合整治工程四批次跟踪审计项目。</w:t>
      </w:r>
    </w:p>
    <w:p w14:paraId="1991BF28">
      <w:pPr>
        <w:pageBreakBefore w:val="0"/>
        <w:kinsoku/>
        <w:overflowPunct/>
        <w:topLinePunct w:val="0"/>
        <w:autoSpaceDE/>
        <w:autoSpaceDN/>
        <w:bidi w:val="0"/>
        <w:spacing w:line="360" w:lineRule="auto"/>
        <w:ind w:firstLine="420" w:firstLineChars="200"/>
        <w:rPr>
          <w:rFonts w:hint="default"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预算金额：约</w:t>
      </w:r>
      <w:r>
        <w:rPr>
          <w:rFonts w:hint="eastAsia" w:ascii="宋体" w:hAnsi="宋体" w:cs="宋体"/>
          <w:i w:val="0"/>
          <w:iCs w:val="0"/>
          <w:caps w:val="0"/>
          <w:color w:val="auto"/>
          <w:spacing w:val="0"/>
          <w:kern w:val="0"/>
          <w:sz w:val="21"/>
          <w:szCs w:val="21"/>
          <w:highlight w:val="none"/>
          <w:shd w:val="clear" w:fill="FFFFFF"/>
          <w:lang w:val="en-US" w:eastAsia="zh-CN" w:bidi="ar"/>
        </w:rPr>
        <w:t>20万元</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5705B9E1">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最高限价：本项目的最高限价为基本费率1.5‰、审核成果费率4%（审核成果费率为不可竞争费率，固定不变），基本费率由投标人自主报价，不得高于上述基本费率最高限价，否则按无效标处理。（投标报价费率要求精确到小数点后两位，投标费率不可以填报0或负数，否则按无效标处理）。</w:t>
      </w:r>
    </w:p>
    <w:p w14:paraId="45CFA020">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采购需求：滁城西片区排水综合整治工程四批次，工程投资额约8055万元（具体以施工实际发生为准），跟踪审计服务费约</w:t>
      </w:r>
      <w:r>
        <w:rPr>
          <w:rFonts w:hint="eastAsia" w:ascii="宋体" w:hAnsi="宋体" w:cs="宋体"/>
          <w:i w:val="0"/>
          <w:iCs w:val="0"/>
          <w:caps w:val="0"/>
          <w:color w:val="auto"/>
          <w:spacing w:val="0"/>
          <w:kern w:val="0"/>
          <w:sz w:val="21"/>
          <w:szCs w:val="21"/>
          <w:highlight w:val="none"/>
          <w:shd w:val="clear" w:fill="FFFFFF"/>
          <w:lang w:val="en-US" w:eastAsia="zh-CN" w:bidi="ar"/>
        </w:rPr>
        <w:t>20万元</w:t>
      </w:r>
      <w:r>
        <w:rPr>
          <w:rFonts w:hint="eastAsia" w:ascii="宋体" w:hAnsi="宋体" w:eastAsia="宋体" w:cs="宋体"/>
          <w:i w:val="0"/>
          <w:iCs w:val="0"/>
          <w:caps w:val="0"/>
          <w:color w:val="auto"/>
          <w:spacing w:val="0"/>
          <w:kern w:val="0"/>
          <w:sz w:val="21"/>
          <w:szCs w:val="21"/>
          <w:highlight w:val="none"/>
          <w:shd w:val="clear" w:fill="FFFFFF"/>
          <w:lang w:val="en-US" w:eastAsia="zh-CN" w:bidi="ar"/>
        </w:rPr>
        <w:t>。本次招标需求为上述工程的跟踪（结算）审计服务。</w:t>
      </w:r>
    </w:p>
    <w:p w14:paraId="1042DD81">
      <w:pPr>
        <w:pageBreakBefore w:val="0"/>
        <w:kinsoku/>
        <w:overflowPunct/>
        <w:topLinePunct w:val="0"/>
        <w:autoSpaceDE/>
        <w:autoSpaceDN/>
        <w:bidi w:val="0"/>
        <w:spacing w:line="360" w:lineRule="auto"/>
        <w:ind w:firstLine="420" w:firstLineChars="200"/>
        <w:rPr>
          <w:rFonts w:hint="default"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标段（包别）划分：1个标段。</w:t>
      </w:r>
    </w:p>
    <w:p w14:paraId="20F129E5">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本项目不接受联合体。</w:t>
      </w:r>
    </w:p>
    <w:p w14:paraId="101A37A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17" w:name="_Toc30013"/>
      <w:r>
        <w:rPr>
          <w:rFonts w:hint="eastAsia" w:ascii="宋体" w:hAnsi="宋体" w:eastAsia="宋体" w:cs="宋体"/>
          <w:b/>
          <w:bCs/>
          <w:color w:val="auto"/>
          <w:sz w:val="21"/>
          <w:szCs w:val="21"/>
          <w:highlight w:val="none"/>
        </w:rPr>
        <w:t>二、申请人的资格要求：</w:t>
      </w:r>
      <w:bookmarkEnd w:id="11"/>
      <w:bookmarkEnd w:id="12"/>
      <w:bookmarkEnd w:id="13"/>
      <w:bookmarkEnd w:id="14"/>
      <w:bookmarkEnd w:id="15"/>
      <w:bookmarkEnd w:id="16"/>
      <w:bookmarkEnd w:id="17"/>
    </w:p>
    <w:p w14:paraId="41B157CB">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1.投标人要求：具有独立承担民事责任的能力；</w:t>
      </w:r>
    </w:p>
    <w:p w14:paraId="2E536E7B">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bookmarkStart w:id="18" w:name="_Toc28359004"/>
      <w:bookmarkStart w:id="19" w:name="_Toc28359081"/>
      <w:r>
        <w:rPr>
          <w:rFonts w:hint="eastAsia" w:ascii="宋体" w:hAnsi="宋体" w:eastAsia="宋体" w:cs="宋体"/>
          <w:i w:val="0"/>
          <w:iCs w:val="0"/>
          <w:caps w:val="0"/>
          <w:color w:val="auto"/>
          <w:spacing w:val="0"/>
          <w:kern w:val="0"/>
          <w:sz w:val="21"/>
          <w:szCs w:val="21"/>
          <w:highlight w:val="none"/>
          <w:shd w:val="clear" w:fill="FFFFFF"/>
          <w:lang w:val="en-US" w:eastAsia="zh-CN" w:bidi="ar"/>
        </w:rPr>
        <w:t>2.项目负责人要求：须具有注册在投标单位的土木建筑工程专业一级注册造价工程师（或原注册造价工程师）；</w:t>
      </w:r>
    </w:p>
    <w:p w14:paraId="171F54D0">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3.项目组其他成员（不含项目负责人）要求：不少于2名注册在投标单位的二级及以上造价工程师（土木建筑工程专业至少1名、安装工程专业至少1名）。</w:t>
      </w:r>
    </w:p>
    <w:p w14:paraId="2AEC28B0">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bookmarkStart w:id="20" w:name="_Toc7189"/>
      <w:bookmarkStart w:id="21" w:name="_Toc2689"/>
      <w:bookmarkStart w:id="22" w:name="_Toc35393623"/>
      <w:bookmarkStart w:id="23" w:name="_Toc28172"/>
      <w:bookmarkStart w:id="24" w:name="_Toc35393792"/>
      <w:r>
        <w:rPr>
          <w:rFonts w:hint="eastAsia" w:ascii="宋体" w:hAnsi="宋体" w:eastAsia="宋体" w:cs="宋体"/>
          <w:b/>
          <w:bCs/>
          <w:color w:val="auto"/>
          <w:sz w:val="21"/>
          <w:szCs w:val="21"/>
          <w:highlight w:val="none"/>
        </w:rPr>
        <w:t>三、获取</w:t>
      </w:r>
      <w:bookmarkEnd w:id="18"/>
      <w:bookmarkEnd w:id="19"/>
      <w:bookmarkEnd w:id="20"/>
      <w:bookmarkEnd w:id="21"/>
      <w:bookmarkEnd w:id="22"/>
      <w:bookmarkEnd w:id="23"/>
      <w:bookmarkEnd w:id="24"/>
      <w:r>
        <w:rPr>
          <w:rFonts w:hint="eastAsia" w:ascii="宋体" w:hAnsi="宋体" w:eastAsia="宋体" w:cs="宋体"/>
          <w:b/>
          <w:bCs/>
          <w:color w:val="auto"/>
          <w:sz w:val="21"/>
          <w:szCs w:val="21"/>
          <w:highlight w:val="none"/>
          <w:lang w:eastAsia="zh-CN"/>
        </w:rPr>
        <w:t>招标文件</w:t>
      </w:r>
    </w:p>
    <w:p w14:paraId="32031D63">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时间：2025年</w:t>
      </w:r>
      <w:r>
        <w:rPr>
          <w:rFonts w:hint="eastAsia" w:ascii="宋体" w:hAnsi="宋体" w:cs="宋体"/>
          <w:i w:val="0"/>
          <w:iCs w:val="0"/>
          <w:caps w:val="0"/>
          <w:color w:val="auto"/>
          <w:spacing w:val="0"/>
          <w:kern w:val="0"/>
          <w:sz w:val="21"/>
          <w:szCs w:val="21"/>
          <w:highlight w:val="none"/>
          <w:shd w:val="clear" w:fill="FFFFFF"/>
          <w:lang w:val="en-US" w:eastAsia="zh-CN" w:bidi="ar"/>
        </w:rPr>
        <w:t>8</w:t>
      </w:r>
      <w:r>
        <w:rPr>
          <w:rFonts w:hint="eastAsia" w:ascii="宋体" w:hAnsi="宋体" w:eastAsia="宋体" w:cs="宋体"/>
          <w:i w:val="0"/>
          <w:iCs w:val="0"/>
          <w:caps w:val="0"/>
          <w:color w:val="auto"/>
          <w:spacing w:val="0"/>
          <w:kern w:val="0"/>
          <w:sz w:val="21"/>
          <w:szCs w:val="21"/>
          <w:highlight w:val="none"/>
          <w:shd w:val="clear" w:fill="FFFFFF"/>
          <w:lang w:val="en-US" w:eastAsia="zh-CN" w:bidi="ar"/>
        </w:rPr>
        <w:t>月</w:t>
      </w:r>
      <w:r>
        <w:rPr>
          <w:rFonts w:hint="eastAsia" w:ascii="宋体" w:hAnsi="宋体" w:cs="宋体"/>
          <w:i w:val="0"/>
          <w:iCs w:val="0"/>
          <w:caps w:val="0"/>
          <w:color w:val="auto"/>
          <w:spacing w:val="0"/>
          <w:kern w:val="0"/>
          <w:sz w:val="21"/>
          <w:szCs w:val="21"/>
          <w:highlight w:val="none"/>
          <w:shd w:val="clear" w:fill="FFFFFF"/>
          <w:lang w:val="en-US" w:eastAsia="zh-CN" w:bidi="ar"/>
        </w:rPr>
        <w:t>27</w:t>
      </w:r>
      <w:r>
        <w:rPr>
          <w:rFonts w:hint="eastAsia" w:ascii="宋体" w:hAnsi="宋体" w:eastAsia="宋体" w:cs="宋体"/>
          <w:i w:val="0"/>
          <w:iCs w:val="0"/>
          <w:caps w:val="0"/>
          <w:color w:val="auto"/>
          <w:spacing w:val="0"/>
          <w:kern w:val="0"/>
          <w:sz w:val="21"/>
          <w:szCs w:val="21"/>
          <w:highlight w:val="none"/>
          <w:shd w:val="clear" w:fill="FFFFFF"/>
          <w:lang w:val="en-US" w:eastAsia="zh-CN" w:bidi="ar"/>
        </w:rPr>
        <w:t>日至2025年</w:t>
      </w:r>
      <w:r>
        <w:rPr>
          <w:rFonts w:hint="eastAsia" w:ascii="宋体" w:hAnsi="宋体" w:cs="宋体"/>
          <w:i w:val="0"/>
          <w:iCs w:val="0"/>
          <w:caps w:val="0"/>
          <w:color w:val="auto"/>
          <w:spacing w:val="0"/>
          <w:kern w:val="0"/>
          <w:sz w:val="21"/>
          <w:szCs w:val="21"/>
          <w:highlight w:val="none"/>
          <w:shd w:val="clear" w:fill="FFFFFF"/>
          <w:lang w:val="en-US" w:eastAsia="zh-CN" w:bidi="ar"/>
        </w:rPr>
        <w:t>9</w:t>
      </w:r>
      <w:r>
        <w:rPr>
          <w:rFonts w:hint="eastAsia" w:ascii="宋体" w:hAnsi="宋体" w:eastAsia="宋体" w:cs="宋体"/>
          <w:i w:val="0"/>
          <w:iCs w:val="0"/>
          <w:caps w:val="0"/>
          <w:color w:val="auto"/>
          <w:spacing w:val="0"/>
          <w:kern w:val="0"/>
          <w:sz w:val="21"/>
          <w:szCs w:val="21"/>
          <w:highlight w:val="none"/>
          <w:shd w:val="clear" w:fill="FFFFFF"/>
          <w:lang w:val="en-US" w:eastAsia="zh-CN" w:bidi="ar"/>
        </w:rPr>
        <w:t>月</w:t>
      </w:r>
      <w:r>
        <w:rPr>
          <w:rFonts w:hint="eastAsia" w:ascii="宋体" w:hAnsi="宋体" w:cs="宋体"/>
          <w:i w:val="0"/>
          <w:iCs w:val="0"/>
          <w:caps w:val="0"/>
          <w:color w:val="auto"/>
          <w:spacing w:val="0"/>
          <w:kern w:val="0"/>
          <w:sz w:val="21"/>
          <w:szCs w:val="21"/>
          <w:highlight w:val="none"/>
          <w:shd w:val="clear" w:fill="FFFFFF"/>
          <w:lang w:val="en-US" w:eastAsia="zh-CN" w:bidi="ar"/>
        </w:rPr>
        <w:t>3</w:t>
      </w:r>
      <w:r>
        <w:rPr>
          <w:rFonts w:hint="eastAsia" w:ascii="宋体" w:hAnsi="宋体" w:eastAsia="宋体" w:cs="宋体"/>
          <w:i w:val="0"/>
          <w:iCs w:val="0"/>
          <w:caps w:val="0"/>
          <w:color w:val="auto"/>
          <w:spacing w:val="0"/>
          <w:kern w:val="0"/>
          <w:sz w:val="21"/>
          <w:szCs w:val="21"/>
          <w:highlight w:val="none"/>
          <w:shd w:val="clear" w:fill="FFFFFF"/>
          <w:lang w:val="en-US" w:eastAsia="zh-CN" w:bidi="ar"/>
        </w:rPr>
        <w:t>日</w:t>
      </w:r>
      <w:r>
        <w:rPr>
          <w:rFonts w:hint="eastAsia" w:ascii="宋体" w:hAnsi="宋体" w:cs="宋体"/>
          <w:i w:val="0"/>
          <w:iCs w:val="0"/>
          <w:caps w:val="0"/>
          <w:color w:val="auto"/>
          <w:spacing w:val="0"/>
          <w:kern w:val="0"/>
          <w:sz w:val="21"/>
          <w:szCs w:val="21"/>
          <w:highlight w:val="none"/>
          <w:shd w:val="clear" w:fill="FFFFFF"/>
          <w:lang w:val="en-US" w:eastAsia="zh-CN" w:bidi="ar"/>
        </w:rPr>
        <w:t>9</w:t>
      </w:r>
      <w:r>
        <w:rPr>
          <w:rFonts w:hint="eastAsia" w:ascii="宋体" w:hAnsi="宋体" w:eastAsia="宋体" w:cs="宋体"/>
          <w:i w:val="0"/>
          <w:iCs w:val="0"/>
          <w:caps w:val="0"/>
          <w:color w:val="auto"/>
          <w:spacing w:val="0"/>
          <w:kern w:val="0"/>
          <w:sz w:val="21"/>
          <w:szCs w:val="21"/>
          <w:highlight w:val="none"/>
          <w:shd w:val="clear" w:fill="FFFFFF"/>
          <w:lang w:val="en-US" w:eastAsia="zh-CN" w:bidi="ar"/>
        </w:rPr>
        <w:t>时00分。</w:t>
      </w:r>
    </w:p>
    <w:p w14:paraId="68787255">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地点：请于公告发布之日起从滁州市重点工程建设管理处（http://zdc.chuzhou.gov.cn/）或滁州市城投工程咨询管理有限公司（https://www.czctgczx.com/）网站下载。</w:t>
      </w:r>
    </w:p>
    <w:p w14:paraId="2FCAD652">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方式：网上下载</w:t>
      </w:r>
    </w:p>
    <w:p w14:paraId="27A9C381">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售价：0元</w:t>
      </w:r>
    </w:p>
    <w:p w14:paraId="09247A6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bookmarkStart w:id="25" w:name="_Toc28359082"/>
      <w:bookmarkStart w:id="26" w:name="_Toc28359005"/>
      <w:bookmarkStart w:id="27" w:name="_Toc35393624"/>
      <w:bookmarkStart w:id="28" w:name="_Toc35393793"/>
      <w:bookmarkStart w:id="29" w:name="_Toc6135"/>
      <w:bookmarkStart w:id="30" w:name="_Toc19139"/>
      <w:bookmarkStart w:id="31" w:name="_Toc23486"/>
      <w:r>
        <w:rPr>
          <w:rFonts w:hint="eastAsia" w:ascii="宋体" w:hAnsi="宋体" w:eastAsia="宋体" w:cs="宋体"/>
          <w:b/>
          <w:bCs/>
          <w:color w:val="auto"/>
          <w:sz w:val="21"/>
          <w:szCs w:val="21"/>
          <w:highlight w:val="none"/>
          <w:lang w:eastAsia="zh-CN"/>
        </w:rPr>
        <w:t>四、提交投标文件</w:t>
      </w:r>
      <w:bookmarkEnd w:id="25"/>
      <w:bookmarkEnd w:id="26"/>
      <w:r>
        <w:rPr>
          <w:rFonts w:hint="eastAsia" w:ascii="宋体" w:hAnsi="宋体" w:eastAsia="宋体" w:cs="宋体"/>
          <w:b/>
          <w:bCs/>
          <w:color w:val="auto"/>
          <w:sz w:val="21"/>
          <w:szCs w:val="21"/>
          <w:highlight w:val="none"/>
          <w:lang w:eastAsia="zh-CN"/>
        </w:rPr>
        <w:t>截止时间、开标时间和地点</w:t>
      </w:r>
      <w:bookmarkEnd w:id="27"/>
      <w:bookmarkEnd w:id="28"/>
      <w:bookmarkEnd w:id="29"/>
      <w:bookmarkEnd w:id="30"/>
      <w:bookmarkEnd w:id="31"/>
    </w:p>
    <w:p w14:paraId="78DDBB26">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bookmarkStart w:id="32" w:name="_Toc28359007"/>
      <w:bookmarkStart w:id="33" w:name="_Toc19623"/>
      <w:bookmarkStart w:id="34" w:name="_Toc35393625"/>
      <w:bookmarkStart w:id="35" w:name="_Toc28359084"/>
      <w:bookmarkStart w:id="36" w:name="_Toc5602"/>
      <w:bookmarkStart w:id="37" w:name="_Toc1913"/>
      <w:bookmarkStart w:id="38" w:name="_Toc35393794"/>
      <w:r>
        <w:rPr>
          <w:rFonts w:hint="eastAsia" w:ascii="宋体" w:hAnsi="宋体" w:eastAsia="宋体" w:cs="宋体"/>
          <w:i w:val="0"/>
          <w:iCs w:val="0"/>
          <w:caps w:val="0"/>
          <w:color w:val="auto"/>
          <w:spacing w:val="0"/>
          <w:kern w:val="0"/>
          <w:sz w:val="21"/>
          <w:szCs w:val="21"/>
          <w:highlight w:val="none"/>
          <w:shd w:val="clear" w:fill="FFFFFF"/>
          <w:lang w:val="en-US" w:eastAsia="zh-CN" w:bidi="ar"/>
        </w:rPr>
        <w:t>1.投标文件递交的截止时间为2025年</w:t>
      </w:r>
      <w:r>
        <w:rPr>
          <w:rFonts w:hint="eastAsia" w:ascii="宋体" w:hAnsi="宋体" w:cs="宋体"/>
          <w:i w:val="0"/>
          <w:iCs w:val="0"/>
          <w:caps w:val="0"/>
          <w:color w:val="auto"/>
          <w:spacing w:val="0"/>
          <w:kern w:val="0"/>
          <w:sz w:val="21"/>
          <w:szCs w:val="21"/>
          <w:highlight w:val="none"/>
          <w:shd w:val="clear" w:fill="FFFFFF"/>
          <w:lang w:val="en-US" w:eastAsia="zh-CN" w:bidi="ar"/>
        </w:rPr>
        <w:t>9</w:t>
      </w:r>
      <w:r>
        <w:rPr>
          <w:rFonts w:hint="eastAsia" w:ascii="宋体" w:hAnsi="宋体" w:eastAsia="宋体" w:cs="宋体"/>
          <w:i w:val="0"/>
          <w:iCs w:val="0"/>
          <w:caps w:val="0"/>
          <w:color w:val="auto"/>
          <w:spacing w:val="0"/>
          <w:kern w:val="0"/>
          <w:sz w:val="21"/>
          <w:szCs w:val="21"/>
          <w:highlight w:val="none"/>
          <w:shd w:val="clear" w:fill="FFFFFF"/>
          <w:lang w:val="en-US" w:eastAsia="zh-CN" w:bidi="ar"/>
        </w:rPr>
        <w:t>月</w:t>
      </w:r>
      <w:r>
        <w:rPr>
          <w:rFonts w:hint="eastAsia" w:ascii="宋体" w:hAnsi="宋体" w:cs="宋体"/>
          <w:i w:val="0"/>
          <w:iCs w:val="0"/>
          <w:caps w:val="0"/>
          <w:color w:val="auto"/>
          <w:spacing w:val="0"/>
          <w:kern w:val="0"/>
          <w:sz w:val="21"/>
          <w:szCs w:val="21"/>
          <w:highlight w:val="none"/>
          <w:shd w:val="clear" w:fill="FFFFFF"/>
          <w:lang w:val="en-US" w:eastAsia="zh-CN" w:bidi="ar"/>
        </w:rPr>
        <w:t>3</w:t>
      </w:r>
      <w:r>
        <w:rPr>
          <w:rFonts w:hint="eastAsia" w:ascii="宋体" w:hAnsi="宋体" w:eastAsia="宋体" w:cs="宋体"/>
          <w:i w:val="0"/>
          <w:iCs w:val="0"/>
          <w:caps w:val="0"/>
          <w:color w:val="auto"/>
          <w:spacing w:val="0"/>
          <w:kern w:val="0"/>
          <w:sz w:val="21"/>
          <w:szCs w:val="21"/>
          <w:highlight w:val="none"/>
          <w:shd w:val="clear" w:fill="FFFFFF"/>
          <w:lang w:val="en-US" w:eastAsia="zh-CN" w:bidi="ar"/>
        </w:rPr>
        <w:t>日</w:t>
      </w:r>
      <w:r>
        <w:rPr>
          <w:rFonts w:hint="eastAsia" w:ascii="宋体" w:hAnsi="宋体" w:cs="宋体"/>
          <w:i w:val="0"/>
          <w:iCs w:val="0"/>
          <w:caps w:val="0"/>
          <w:color w:val="auto"/>
          <w:spacing w:val="0"/>
          <w:kern w:val="0"/>
          <w:sz w:val="21"/>
          <w:szCs w:val="21"/>
          <w:highlight w:val="none"/>
          <w:shd w:val="clear" w:fill="FFFFFF"/>
          <w:lang w:val="en-US" w:eastAsia="zh-CN" w:bidi="ar"/>
        </w:rPr>
        <w:t>9</w:t>
      </w:r>
      <w:r>
        <w:rPr>
          <w:rFonts w:hint="eastAsia" w:ascii="宋体" w:hAnsi="宋体" w:eastAsia="宋体" w:cs="宋体"/>
          <w:i w:val="0"/>
          <w:iCs w:val="0"/>
          <w:caps w:val="0"/>
          <w:color w:val="auto"/>
          <w:spacing w:val="0"/>
          <w:kern w:val="0"/>
          <w:sz w:val="21"/>
          <w:szCs w:val="21"/>
          <w:highlight w:val="none"/>
          <w:shd w:val="clear" w:fill="FFFFFF"/>
          <w:lang w:val="en-US" w:eastAsia="zh-CN" w:bidi="ar"/>
        </w:rPr>
        <w:t>时00分；</w:t>
      </w:r>
    </w:p>
    <w:p w14:paraId="5E1653DD">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2.网上开标，投标人登录滁州市城投工程咨询</w:t>
      </w:r>
      <w:r>
        <w:rPr>
          <w:rFonts w:hint="eastAsia" w:ascii="宋体" w:hAnsi="宋体" w:cs="宋体"/>
          <w:i w:val="0"/>
          <w:iCs w:val="0"/>
          <w:caps w:val="0"/>
          <w:color w:val="auto"/>
          <w:spacing w:val="0"/>
          <w:kern w:val="0"/>
          <w:sz w:val="21"/>
          <w:szCs w:val="21"/>
          <w:highlight w:val="none"/>
          <w:shd w:val="clear" w:fill="FFFFFF"/>
          <w:lang w:val="en-US" w:eastAsia="zh-CN" w:bidi="ar"/>
        </w:rPr>
        <w:t>管理</w:t>
      </w:r>
      <w:r>
        <w:rPr>
          <w:rFonts w:hint="eastAsia" w:ascii="宋体" w:hAnsi="宋体" w:eastAsia="宋体" w:cs="宋体"/>
          <w:i w:val="0"/>
          <w:iCs w:val="0"/>
          <w:caps w:val="0"/>
          <w:color w:val="auto"/>
          <w:spacing w:val="0"/>
          <w:kern w:val="0"/>
          <w:sz w:val="21"/>
          <w:szCs w:val="21"/>
          <w:highlight w:val="none"/>
          <w:shd w:val="clear" w:fill="FFFFFF"/>
          <w:lang w:val="en-US" w:eastAsia="zh-CN" w:bidi="ar"/>
        </w:rPr>
        <w:t>有限公司不见面开标系统参与网上开标（网址：http://js.etrading.cn/EpointBidOpening/bidopeninghallaction/hall/login）。</w:t>
      </w:r>
    </w:p>
    <w:p w14:paraId="11B42555">
      <w:pPr>
        <w:pageBreakBefore w:val="0"/>
        <w:kinsoku/>
        <w:overflowPunct/>
        <w:topLinePunct w:val="0"/>
        <w:autoSpaceDE/>
        <w:autoSpaceDN/>
        <w:bidi w:val="0"/>
        <w:spacing w:line="360" w:lineRule="auto"/>
        <w:ind w:firstLine="420" w:firstLineChars="200"/>
        <w:rPr>
          <w:rFonts w:hint="default"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3.投标人应在投标截止时间之前，登陆新点电子交易平台【滁州专区】上传投标文件。</w:t>
      </w:r>
    </w:p>
    <w:p w14:paraId="68E70389">
      <w:pPr>
        <w:pageBreakBefore w:val="0"/>
        <w:kinsoku/>
        <w:overflowPunct/>
        <w:topLinePunct w:val="0"/>
        <w:autoSpaceDE/>
        <w:autoSpaceDN/>
        <w:bidi w:val="0"/>
        <w:spacing w:line="360" w:lineRule="auto"/>
        <w:ind w:firstLine="420" w:firstLineChars="200"/>
        <w:rPr>
          <w:rFonts w:hint="default"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4.投标人逾期上传投标文件的，电子系统不予受理。</w:t>
      </w:r>
    </w:p>
    <w:p w14:paraId="39276E8D">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五、公告</w:t>
      </w:r>
      <w:bookmarkEnd w:id="32"/>
      <w:bookmarkEnd w:id="33"/>
      <w:bookmarkEnd w:id="34"/>
      <w:bookmarkEnd w:id="35"/>
      <w:bookmarkEnd w:id="36"/>
      <w:bookmarkEnd w:id="37"/>
      <w:bookmarkEnd w:id="38"/>
      <w:r>
        <w:rPr>
          <w:rFonts w:hint="eastAsia" w:ascii="宋体" w:hAnsi="宋体" w:eastAsia="宋体" w:cs="宋体"/>
          <w:b/>
          <w:bCs/>
          <w:color w:val="auto"/>
          <w:sz w:val="21"/>
          <w:szCs w:val="21"/>
          <w:highlight w:val="none"/>
          <w:lang w:val="en-US" w:eastAsia="zh-CN"/>
        </w:rPr>
        <w:t>发布期限及媒体</w:t>
      </w:r>
    </w:p>
    <w:p w14:paraId="70ADAEFA">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自本公告发布之日起至投标截止时间止。</w:t>
      </w:r>
    </w:p>
    <w:p w14:paraId="55C898ED">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本次招标公告同时在中国招标公共服务平台（http://www.cebpubservice.com/）、安徽省招标投标信息网（www.ahtba.org.cn）、滁州市城投工程咨询管理有限公司（https://www.czctgczx.com/）、滁州市重点工程建设管理处（http://zdc.chuzhou.gov.cn/）网站上发布。</w:t>
      </w:r>
    </w:p>
    <w:p w14:paraId="25B232D4">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六、投标保证金金额及缴纳账户</w:t>
      </w:r>
    </w:p>
    <w:p w14:paraId="1B54B949">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是否要求投标人提交投标保证金：不要求。</w:t>
      </w:r>
    </w:p>
    <w:p w14:paraId="464AC674">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、重要提醒</w:t>
      </w:r>
    </w:p>
    <w:p w14:paraId="73ADC5F0">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438E66D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02598D4C">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2C7C5FFB">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4CE71258">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5.本项目采用不见面开标，投标人登录滁州市城投工程咨询有限公司不见面开标系统参与网上开标（网址：http://js.etrading.cn/EpointBidOpening/bidopeninghallaction/hall/login）。</w:t>
      </w:r>
    </w:p>
    <w:p w14:paraId="01C1FB9E">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6.投标人应在投标截止时间之前，登录新点电子交易平台【滁州专区】上传投标文件。投标人逾期上传投标文件的，电子系统不予受理。</w:t>
      </w:r>
    </w:p>
    <w:p w14:paraId="1B85BE5F">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3769CA16">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8.投标人的联系人电话(手机)、电子邮箱等通讯方式在开标过程中必须保持畅通，否则因上述原因造成的后果，责任自负。</w:t>
      </w:r>
    </w:p>
    <w:p w14:paraId="0369C8D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对本次招标提出询问，请按以下方式联系</w:t>
      </w:r>
    </w:p>
    <w:p w14:paraId="0C5B6E15">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1.招标人信息</w:t>
      </w:r>
    </w:p>
    <w:p w14:paraId="1E1DF206">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 xml:space="preserve">名    称：滁州市重点工程建设管理处 </w:t>
      </w:r>
    </w:p>
    <w:p w14:paraId="304CDFCF">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地    址：滁州市琅琊西路建设大厦4楼</w:t>
      </w:r>
    </w:p>
    <w:p w14:paraId="04EA343F">
      <w:pPr>
        <w:pageBreakBefore w:val="0"/>
        <w:kinsoku/>
        <w:overflowPunct/>
        <w:topLinePunct w:val="0"/>
        <w:autoSpaceDE/>
        <w:autoSpaceDN/>
        <w:bidi w:val="0"/>
        <w:spacing w:line="360" w:lineRule="auto"/>
        <w:ind w:firstLine="420" w:firstLineChars="200"/>
        <w:rPr>
          <w:rFonts w:hint="default"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联 系 人：马雪婷</w:t>
      </w:r>
    </w:p>
    <w:p w14:paraId="6FA7F725">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 xml:space="preserve">联系方式：0550-3046029 </w:t>
      </w:r>
    </w:p>
    <w:p w14:paraId="0133B105">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2.代理机构信息</w:t>
      </w:r>
    </w:p>
    <w:p w14:paraId="594F2357">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名    称：滁州市城投工程咨询管理有限公司</w:t>
      </w:r>
    </w:p>
    <w:p w14:paraId="442918BA">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地　　址：滁州市龙蟠大道109号房产商务大厦6楼</w:t>
      </w:r>
    </w:p>
    <w:p w14:paraId="2904F47C">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联 系 人：胡国庆</w:t>
      </w:r>
    </w:p>
    <w:p w14:paraId="715B43AC">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联系方式：0550-3519517、18005500950</w:t>
      </w:r>
    </w:p>
    <w:p w14:paraId="2B50E2F9">
      <w:pPr>
        <w:pageBreakBefore w:val="0"/>
        <w:kinsoku/>
        <w:overflowPunct/>
        <w:topLinePunct w:val="0"/>
        <w:autoSpaceDE/>
        <w:autoSpaceDN/>
        <w:bidi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lang w:val="en-US" w:eastAsia="zh-CN" w:bidi="ar"/>
        </w:rPr>
      </w:pPr>
    </w:p>
    <w:p w14:paraId="0477B4B4">
      <w:pPr>
        <w:pStyle w:val="2"/>
        <w:rPr>
          <w:rFonts w:hint="eastAsia"/>
          <w:color w:val="auto"/>
          <w:highlight w:val="none"/>
          <w:lang w:val="en-US" w:eastAsia="zh-CN"/>
        </w:rPr>
      </w:pPr>
    </w:p>
    <w:p w14:paraId="0B7C01C1">
      <w:pPr>
        <w:pStyle w:val="6"/>
        <w:keepNext/>
        <w:keepLines/>
        <w:pageBreakBefore/>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lang w:eastAsia="zh-CN"/>
        </w:rPr>
      </w:pPr>
      <w:bookmarkStart w:id="39" w:name="_Toc252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bookmarkEnd w:id="39"/>
      <w:r>
        <w:rPr>
          <w:rFonts w:hint="eastAsia" w:ascii="宋体" w:hAnsi="宋体" w:eastAsia="宋体" w:cs="宋体"/>
          <w:color w:val="auto"/>
          <w:highlight w:val="none"/>
          <w:lang w:eastAsia="zh-CN"/>
        </w:rPr>
        <w:t>投标人须知</w:t>
      </w:r>
    </w:p>
    <w:p w14:paraId="11A55803">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0"/>
    </w:p>
    <w:tbl>
      <w:tblPr>
        <w:tblStyle w:val="45"/>
        <w:tblW w:w="9588" w:type="dxa"/>
        <w:tblInd w:w="2" w:type="dxa"/>
        <w:tblLayout w:type="fixed"/>
        <w:tblCellMar>
          <w:top w:w="0" w:type="dxa"/>
          <w:left w:w="0" w:type="dxa"/>
          <w:bottom w:w="0" w:type="dxa"/>
          <w:right w:w="0" w:type="dxa"/>
        </w:tblCellMar>
      </w:tblPr>
      <w:tblGrid>
        <w:gridCol w:w="731"/>
        <w:gridCol w:w="1654"/>
        <w:gridCol w:w="7203"/>
      </w:tblGrid>
      <w:tr w14:paraId="78EF493F">
        <w:tblPrEx>
          <w:tblCellMar>
            <w:top w:w="0" w:type="dxa"/>
            <w:left w:w="0" w:type="dxa"/>
            <w:bottom w:w="0" w:type="dxa"/>
            <w:right w:w="0" w:type="dxa"/>
          </w:tblCellMar>
        </w:tblPrEx>
        <w:trPr>
          <w:trHeight w:val="474" w:hRule="atLeast"/>
        </w:trPr>
        <w:tc>
          <w:tcPr>
            <w:tcW w:w="731"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654"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w:t>
            </w:r>
          </w:p>
        </w:tc>
        <w:tc>
          <w:tcPr>
            <w:tcW w:w="7203"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说明与要求</w:t>
            </w:r>
          </w:p>
        </w:tc>
      </w:tr>
      <w:tr w14:paraId="726904A0">
        <w:tblPrEx>
          <w:tblCellMar>
            <w:top w:w="0" w:type="dxa"/>
            <w:left w:w="0" w:type="dxa"/>
            <w:bottom w:w="0" w:type="dxa"/>
            <w:right w:w="0" w:type="dxa"/>
          </w:tblCellMar>
        </w:tblPrEx>
        <w:trPr>
          <w:trHeight w:val="986" w:hRule="atLeast"/>
        </w:trPr>
        <w:tc>
          <w:tcPr>
            <w:tcW w:w="731"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54"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203"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cs="宋体"/>
                <w:color w:val="auto"/>
                <w:kern w:val="0"/>
                <w:sz w:val="21"/>
                <w:szCs w:val="21"/>
                <w:highlight w:val="none"/>
                <w:lang w:val="en-US" w:eastAsia="zh-CN"/>
              </w:rPr>
              <w:t>滁城西片区排水综合整治工程四批次跟踪审计项目</w:t>
            </w:r>
          </w:p>
          <w:p w14:paraId="3D870AD5">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14:paraId="70D97D96">
            <w:pPr>
              <w:keepNext w:val="0"/>
              <w:keepLines w:val="0"/>
              <w:pageBreakBefore w:val="0"/>
              <w:widowControl w:val="0"/>
              <w:kinsoku/>
              <w:wordWrap w:val="0"/>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rPr>
              <w:t>建设规模：</w:t>
            </w:r>
            <w:r>
              <w:rPr>
                <w:rFonts w:hint="eastAsia" w:ascii="宋体" w:hAnsi="宋体" w:cs="宋体"/>
                <w:color w:val="auto"/>
                <w:kern w:val="0"/>
                <w:sz w:val="21"/>
                <w:szCs w:val="21"/>
                <w:highlight w:val="none"/>
                <w:lang w:val="en-US" w:eastAsia="zh-CN"/>
              </w:rPr>
              <w:t>滁城西片区排水综合整治工程四批次</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工程投资额8055万元（具体以施工实际发生为准）</w:t>
            </w:r>
            <w:r>
              <w:rPr>
                <w:rFonts w:hint="eastAsia" w:ascii="宋体" w:hAnsi="宋体" w:eastAsia="宋体" w:cs="宋体"/>
                <w:color w:val="auto"/>
                <w:kern w:val="0"/>
                <w:sz w:val="21"/>
                <w:szCs w:val="21"/>
                <w:highlight w:val="none"/>
                <w:lang w:val="en-US" w:eastAsia="zh-CN"/>
              </w:rPr>
              <w:t>。</w:t>
            </w:r>
          </w:p>
        </w:tc>
      </w:tr>
      <w:tr w14:paraId="4047B0BA">
        <w:tblPrEx>
          <w:tblCellMar>
            <w:top w:w="0" w:type="dxa"/>
            <w:left w:w="0" w:type="dxa"/>
            <w:bottom w:w="0" w:type="dxa"/>
            <w:right w:w="0" w:type="dxa"/>
          </w:tblCellMar>
        </w:tblPrEx>
        <w:trPr>
          <w:trHeight w:val="255" w:hRule="atLeast"/>
        </w:trPr>
        <w:tc>
          <w:tcPr>
            <w:tcW w:w="731"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54"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203" w:type="dxa"/>
            <w:tcBorders>
              <w:top w:val="single" w:color="auto" w:sz="8" w:space="0"/>
              <w:left w:val="single" w:color="auto" w:sz="4" w:space="0"/>
              <w:bottom w:val="single" w:color="auto" w:sz="8" w:space="0"/>
              <w:right w:val="single" w:color="auto" w:sz="8" w:space="0"/>
            </w:tcBorders>
            <w:vAlign w:val="center"/>
          </w:tcPr>
          <w:p w14:paraId="0003F08F">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滁城西片区排水综合整治工程四批次</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工程投资额8055万元（具体以施工实际发生为准）</w:t>
            </w:r>
            <w:r>
              <w:rPr>
                <w:rFonts w:hint="eastAsia" w:ascii="宋体" w:hAnsi="宋体" w:eastAsia="宋体" w:cs="宋体"/>
                <w:color w:val="auto"/>
                <w:kern w:val="0"/>
                <w:sz w:val="21"/>
                <w:szCs w:val="21"/>
                <w:highlight w:val="none"/>
                <w:lang w:val="en-US" w:eastAsia="zh-CN"/>
              </w:rPr>
              <w:t>，跟踪审计服务费约</w:t>
            </w:r>
            <w:r>
              <w:rPr>
                <w:rFonts w:hint="eastAsia" w:ascii="宋体" w:hAnsi="宋体" w:cs="宋体"/>
                <w:color w:val="auto"/>
                <w:kern w:val="0"/>
                <w:sz w:val="21"/>
                <w:szCs w:val="21"/>
                <w:highlight w:val="none"/>
                <w:lang w:val="en-US" w:eastAsia="zh-CN"/>
              </w:rPr>
              <w:t>20万元</w:t>
            </w:r>
            <w:r>
              <w:rPr>
                <w:rFonts w:hint="eastAsia" w:ascii="宋体" w:hAnsi="宋体" w:eastAsia="宋体" w:cs="宋体"/>
                <w:color w:val="auto"/>
                <w:kern w:val="0"/>
                <w:sz w:val="21"/>
                <w:szCs w:val="21"/>
                <w:highlight w:val="none"/>
                <w:lang w:val="en-US" w:eastAsia="zh-CN"/>
              </w:rPr>
              <w:t>。本次招标需求为上述工程的跟踪（结算）审计服务</w:t>
            </w:r>
            <w:r>
              <w:rPr>
                <w:rFonts w:hint="eastAsia" w:ascii="宋体" w:hAnsi="宋体" w:eastAsia="宋体" w:cs="宋体"/>
                <w:color w:val="auto"/>
                <w:kern w:val="0"/>
                <w:sz w:val="21"/>
                <w:szCs w:val="21"/>
                <w:highlight w:val="none"/>
                <w:lang w:eastAsia="zh-CN"/>
              </w:rPr>
              <w:t>。</w:t>
            </w:r>
          </w:p>
        </w:tc>
      </w:tr>
      <w:tr w14:paraId="597FACB0">
        <w:tblPrEx>
          <w:tblCellMar>
            <w:top w:w="0" w:type="dxa"/>
            <w:left w:w="0" w:type="dxa"/>
            <w:bottom w:w="0" w:type="dxa"/>
            <w:right w:w="0" w:type="dxa"/>
          </w:tblCellMar>
        </w:tblPrEx>
        <w:trPr>
          <w:trHeight w:val="315" w:hRule="atLeast"/>
        </w:trPr>
        <w:tc>
          <w:tcPr>
            <w:tcW w:w="731"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54"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203" w:type="dxa"/>
            <w:tcBorders>
              <w:top w:val="single" w:color="auto" w:sz="8" w:space="0"/>
              <w:left w:val="single" w:color="auto" w:sz="4" w:space="0"/>
              <w:bottom w:val="single" w:color="auto" w:sz="8" w:space="0"/>
              <w:right w:val="single" w:color="auto" w:sz="8" w:space="0"/>
            </w:tcBorders>
            <w:vAlign w:val="center"/>
          </w:tcPr>
          <w:p w14:paraId="5DB7864B">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满足关于印发《工程造价咨询服务管理办法》的通知（滁重〔2022〕55号）规定要求。</w:t>
            </w:r>
          </w:p>
        </w:tc>
      </w:tr>
      <w:tr w14:paraId="24784F21">
        <w:tblPrEx>
          <w:tblCellMar>
            <w:top w:w="0" w:type="dxa"/>
            <w:left w:w="0" w:type="dxa"/>
            <w:bottom w:w="0" w:type="dxa"/>
            <w:right w:w="0" w:type="dxa"/>
          </w:tblCellMar>
        </w:tblPrEx>
        <w:trPr>
          <w:trHeight w:val="425" w:hRule="atLeast"/>
        </w:trPr>
        <w:tc>
          <w:tcPr>
            <w:tcW w:w="731"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54"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203" w:type="dxa"/>
            <w:tcBorders>
              <w:top w:val="single" w:color="auto" w:sz="8" w:space="0"/>
              <w:left w:val="single" w:color="auto" w:sz="4" w:space="0"/>
              <w:bottom w:val="single" w:color="auto" w:sz="8" w:space="0"/>
              <w:right w:val="single" w:color="auto" w:sz="8" w:space="0"/>
            </w:tcBorders>
            <w:vAlign w:val="center"/>
          </w:tcPr>
          <w:p w14:paraId="27135FFC">
            <w:pPr>
              <w:keepNext w:val="0"/>
              <w:keepLines w:val="0"/>
              <w:pageBreakBefore w:val="0"/>
              <w:widowControl w:val="0"/>
              <w:kinsoku/>
              <w:wordWrap/>
              <w:overflowPunct/>
              <w:topLinePunct w:val="0"/>
              <w:autoSpaceDE/>
              <w:autoSpaceDN/>
              <w:bidi w:val="0"/>
              <w:adjustRightInd/>
              <w:snapToGrid/>
              <w:spacing w:line="440" w:lineRule="exact"/>
              <w:ind w:left="57" w:leftChars="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投标人出具的工程造价咨询成果文件质量应符合现行国家或行业工程计价有关规定、标准、规范的要求</w:t>
            </w:r>
            <w:r>
              <w:rPr>
                <w:rFonts w:hint="eastAsia" w:ascii="宋体" w:hAnsi="宋体" w:eastAsia="宋体" w:cs="宋体"/>
                <w:color w:val="auto"/>
                <w:kern w:val="0"/>
                <w:sz w:val="21"/>
                <w:szCs w:val="21"/>
                <w:highlight w:val="none"/>
                <w:lang w:eastAsia="zh-CN"/>
              </w:rPr>
              <w:t>；</w:t>
            </w:r>
          </w:p>
        </w:tc>
      </w:tr>
      <w:tr w14:paraId="21D1049F">
        <w:tblPrEx>
          <w:tblCellMar>
            <w:top w:w="0" w:type="dxa"/>
            <w:left w:w="0" w:type="dxa"/>
            <w:bottom w:w="0" w:type="dxa"/>
            <w:right w:w="0" w:type="dxa"/>
          </w:tblCellMar>
        </w:tblPrEx>
        <w:trPr>
          <w:trHeight w:val="286" w:hRule="atLeast"/>
        </w:trPr>
        <w:tc>
          <w:tcPr>
            <w:tcW w:w="731"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54"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48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48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203"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详</w:t>
            </w:r>
            <w:r>
              <w:rPr>
                <w:rFonts w:hint="eastAsia" w:ascii="宋体" w:hAnsi="宋体" w:eastAsia="宋体" w:cs="宋体"/>
                <w:color w:val="auto"/>
                <w:kern w:val="0"/>
                <w:sz w:val="21"/>
                <w:szCs w:val="21"/>
                <w:highlight w:val="none"/>
                <w:lang w:val="en-US" w:eastAsia="zh-CN"/>
              </w:rPr>
              <w:t>见招标公告</w:t>
            </w:r>
            <w:r>
              <w:rPr>
                <w:rFonts w:hint="eastAsia" w:ascii="宋体" w:hAnsi="宋体" w:eastAsia="宋体" w:cs="宋体"/>
                <w:color w:val="auto"/>
                <w:kern w:val="0"/>
                <w:sz w:val="21"/>
                <w:szCs w:val="21"/>
                <w:highlight w:val="none"/>
              </w:rPr>
              <w:t>。</w:t>
            </w:r>
          </w:p>
        </w:tc>
      </w:tr>
      <w:tr w14:paraId="26978DB0">
        <w:tblPrEx>
          <w:tblCellMar>
            <w:top w:w="0" w:type="dxa"/>
            <w:left w:w="0" w:type="dxa"/>
            <w:bottom w:w="0" w:type="dxa"/>
            <w:right w:w="0" w:type="dxa"/>
          </w:tblCellMar>
        </w:tblPrEx>
        <w:trPr>
          <w:trHeight w:val="656" w:hRule="atLeast"/>
        </w:trPr>
        <w:tc>
          <w:tcPr>
            <w:tcW w:w="731"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54"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203"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435" w:hRule="atLeast"/>
        </w:trPr>
        <w:tc>
          <w:tcPr>
            <w:tcW w:w="731"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54" w:type="dxa"/>
            <w:tcBorders>
              <w:top w:val="single" w:color="auto" w:sz="8" w:space="0"/>
              <w:left w:val="single" w:color="auto" w:sz="4" w:space="0"/>
              <w:bottom w:val="single" w:color="auto" w:sz="8" w:space="0"/>
              <w:right w:val="single" w:color="auto" w:sz="4" w:space="0"/>
            </w:tcBorders>
            <w:vAlign w:val="center"/>
          </w:tcPr>
          <w:p w14:paraId="396C664A">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招标方式</w:t>
            </w:r>
          </w:p>
        </w:tc>
        <w:tc>
          <w:tcPr>
            <w:tcW w:w="7203" w:type="dxa"/>
            <w:tcBorders>
              <w:top w:val="single" w:color="auto" w:sz="8" w:space="0"/>
              <w:left w:val="single" w:color="auto" w:sz="4" w:space="0"/>
              <w:bottom w:val="single" w:color="auto" w:sz="8" w:space="0"/>
              <w:right w:val="single" w:color="auto" w:sz="8" w:space="0"/>
            </w:tcBorders>
            <w:vAlign w:val="center"/>
          </w:tcPr>
          <w:p w14:paraId="59739CC9">
            <w:pPr>
              <w:pStyle w:val="25"/>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kern w:val="0"/>
                <w:sz w:val="21"/>
                <w:szCs w:val="21"/>
                <w:highlight w:val="none"/>
              </w:rPr>
            </w:pPr>
            <w:r>
              <w:rPr>
                <w:rFonts w:hint="eastAsia" w:ascii="宋体" w:hAnsi="宋体" w:eastAsia="宋体" w:cs="宋体"/>
                <w:b/>
                <w:bCs w:val="0"/>
                <w:color w:val="auto"/>
                <w:sz w:val="21"/>
                <w:szCs w:val="21"/>
                <w:highlight w:val="none"/>
              </w:rPr>
              <w:t xml:space="preserve">公开招标(本项目采用网上电子招投标) </w:t>
            </w:r>
          </w:p>
        </w:tc>
      </w:tr>
      <w:tr w14:paraId="0DEE0E5F">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654"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203" w:type="dxa"/>
            <w:tcBorders>
              <w:top w:val="single" w:color="auto" w:sz="8" w:space="0"/>
              <w:left w:val="single" w:color="auto" w:sz="4" w:space="0"/>
              <w:bottom w:val="single" w:color="auto" w:sz="8" w:space="0"/>
              <w:right w:val="single" w:color="auto" w:sz="8" w:space="0"/>
            </w:tcBorders>
            <w:vAlign w:val="center"/>
          </w:tcPr>
          <w:p w14:paraId="455EC4D9">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rPr>
              <w:t>为基本费率</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审核成果费率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%（审核成果费率</w:t>
            </w:r>
            <w:r>
              <w:rPr>
                <w:rFonts w:hint="eastAsia" w:ascii="宋体" w:hAnsi="宋体" w:eastAsia="宋体" w:cs="宋体"/>
                <w:color w:val="auto"/>
                <w:sz w:val="21"/>
                <w:szCs w:val="21"/>
                <w:highlight w:val="none"/>
                <w:lang w:val="en-US" w:eastAsia="zh-CN"/>
              </w:rPr>
              <w:t>为不可竞争费率，</w:t>
            </w:r>
            <w:r>
              <w:rPr>
                <w:rFonts w:hint="eastAsia" w:ascii="宋体" w:hAnsi="宋体" w:eastAsia="宋体" w:cs="宋体"/>
                <w:color w:val="auto"/>
                <w:sz w:val="21"/>
                <w:szCs w:val="21"/>
                <w:highlight w:val="none"/>
              </w:rPr>
              <w:t>固定不变）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基本费率由投标人自主报价，</w:t>
            </w:r>
            <w:r>
              <w:rPr>
                <w:rFonts w:hint="eastAsia" w:ascii="宋体" w:hAnsi="宋体" w:eastAsia="宋体" w:cs="宋体"/>
                <w:color w:val="auto"/>
                <w:sz w:val="21"/>
                <w:szCs w:val="21"/>
                <w:highlight w:val="none"/>
              </w:rPr>
              <w:t>不得高于上述基本</w:t>
            </w:r>
            <w:r>
              <w:rPr>
                <w:rFonts w:hint="eastAsia" w:ascii="宋体" w:hAnsi="宋体" w:eastAsia="宋体" w:cs="宋体"/>
                <w:color w:val="auto"/>
                <w:sz w:val="21"/>
                <w:szCs w:val="21"/>
                <w:highlight w:val="none"/>
                <w:lang w:eastAsia="zh-CN"/>
              </w:rPr>
              <w:t>费率</w:t>
            </w:r>
            <w:r>
              <w:rPr>
                <w:rFonts w:hint="eastAsia" w:ascii="宋体" w:hAnsi="宋体" w:eastAsia="宋体" w:cs="宋体"/>
                <w:color w:val="auto"/>
                <w:sz w:val="21"/>
                <w:szCs w:val="21"/>
                <w:highlight w:val="none"/>
              </w:rPr>
              <w:t>最高限价，否则按无效标处理。</w:t>
            </w:r>
            <w:r>
              <w:rPr>
                <w:rFonts w:hint="eastAsia" w:ascii="宋体" w:hAnsi="宋体" w:eastAsia="宋体" w:cs="宋体"/>
                <w:color w:val="auto"/>
                <w:sz w:val="21"/>
                <w:szCs w:val="21"/>
                <w:highlight w:val="none"/>
                <w:lang w:eastAsia="zh-CN"/>
              </w:rPr>
              <w:t>（投标报价费率要求精确到小数点后</w:t>
            </w:r>
            <w:r>
              <w:rPr>
                <w:rFonts w:hint="eastAsia" w:ascii="宋体" w:hAnsi="宋体" w:eastAsia="宋体" w:cs="宋体"/>
                <w:color w:val="auto"/>
                <w:sz w:val="21"/>
                <w:szCs w:val="21"/>
                <w:highlight w:val="none"/>
                <w:lang w:val="en-US" w:eastAsia="zh-CN"/>
              </w:rPr>
              <w:t>两位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投标费率不可以填报0或负数，否则按无效标处理</w:t>
            </w:r>
            <w:r>
              <w:rPr>
                <w:rFonts w:hint="eastAsia" w:ascii="宋体" w:hAnsi="宋体" w:eastAsia="宋体" w:cs="宋体"/>
                <w:color w:val="auto"/>
                <w:sz w:val="21"/>
                <w:szCs w:val="21"/>
                <w:highlight w:val="none"/>
                <w:lang w:eastAsia="zh-CN"/>
              </w:rPr>
              <w:t>）</w:t>
            </w:r>
          </w:p>
          <w:p w14:paraId="3F53467E">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5704048A">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无论任何原因（包含但不限于设计图纸变更等）导致的项目期限延长，委托人均不再增加</w:t>
            </w:r>
            <w:r>
              <w:rPr>
                <w:rFonts w:hint="eastAsia" w:ascii="宋体" w:hAnsi="宋体" w:eastAsia="宋体" w:cs="宋体"/>
                <w:color w:val="auto"/>
                <w:sz w:val="21"/>
                <w:szCs w:val="21"/>
                <w:highlight w:val="none"/>
                <w:lang w:val="en-US" w:eastAsia="zh-CN"/>
              </w:rPr>
              <w:t>审计服务</w:t>
            </w:r>
            <w:r>
              <w:rPr>
                <w:rFonts w:hint="eastAsia" w:ascii="宋体" w:hAnsi="宋体" w:eastAsia="宋体" w:cs="宋体"/>
                <w:color w:val="auto"/>
                <w:sz w:val="21"/>
                <w:szCs w:val="21"/>
                <w:highlight w:val="none"/>
              </w:rPr>
              <w:t>费用</w:t>
            </w:r>
            <w:r>
              <w:rPr>
                <w:rFonts w:hint="eastAsia" w:ascii="宋体" w:hAnsi="宋体" w:cs="宋体"/>
                <w:color w:val="auto"/>
                <w:sz w:val="21"/>
                <w:szCs w:val="21"/>
                <w:highlight w:val="none"/>
                <w:lang w:eastAsia="zh-CN"/>
              </w:rPr>
              <w:t>。</w:t>
            </w:r>
          </w:p>
          <w:p w14:paraId="77F81A81">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投标人须认真研究项目的招标文件，并仔细踏勘现场，若对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有异议，应在投标答疑时向招标人提出</w:t>
            </w:r>
            <w:r>
              <w:rPr>
                <w:rFonts w:hint="eastAsia" w:ascii="宋体" w:hAnsi="宋体" w:eastAsia="宋体" w:cs="宋体"/>
                <w:color w:val="auto"/>
                <w:sz w:val="21"/>
                <w:szCs w:val="21"/>
                <w:highlight w:val="none"/>
                <w:lang w:eastAsia="zh-CN"/>
              </w:rPr>
              <w:t>。</w:t>
            </w:r>
          </w:p>
          <w:p w14:paraId="688F025F">
            <w:pPr>
              <w:keepNext w:val="0"/>
              <w:keepLines w:val="0"/>
              <w:pageBreakBefore w:val="0"/>
              <w:kinsoku/>
              <w:wordWrap/>
              <w:overflowPunct/>
              <w:topLinePunct w:val="0"/>
              <w:autoSpaceDE/>
              <w:autoSpaceDN/>
              <w:bidi w:val="0"/>
              <w:adjustRightInd/>
              <w:snapToGrid/>
              <w:spacing w:line="440" w:lineRule="exact"/>
              <w:ind w:left="57"/>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3、系统生成投标文件时系统默认费率单位为%，投标人可直接填写</w:t>
            </w:r>
            <w:r>
              <w:rPr>
                <w:rFonts w:hint="eastAsia" w:ascii="宋体" w:hAnsi="宋体" w:cs="宋体"/>
                <w:b/>
                <w:bCs/>
                <w:color w:val="auto"/>
                <w:sz w:val="21"/>
                <w:szCs w:val="21"/>
                <w:highlight w:val="none"/>
                <w:lang w:val="en-US" w:eastAsia="zh-CN"/>
              </w:rPr>
              <w:t>所报</w:t>
            </w:r>
            <w:r>
              <w:rPr>
                <w:rFonts w:hint="eastAsia" w:ascii="宋体" w:hAnsi="宋体" w:eastAsia="宋体" w:cs="宋体"/>
                <w:b/>
                <w:bCs/>
                <w:color w:val="auto"/>
                <w:sz w:val="21"/>
                <w:szCs w:val="21"/>
                <w:highlight w:val="none"/>
                <w:lang w:val="en-US" w:eastAsia="zh-CN"/>
              </w:rPr>
              <w:t>投标费率</w:t>
            </w:r>
            <w:r>
              <w:rPr>
                <w:rFonts w:hint="eastAsia" w:ascii="宋体" w:hAnsi="宋体" w:cs="宋体"/>
                <w:b/>
                <w:bCs/>
                <w:color w:val="auto"/>
                <w:sz w:val="21"/>
                <w:szCs w:val="21"/>
                <w:highlight w:val="none"/>
                <w:lang w:val="en-US" w:eastAsia="zh-CN"/>
              </w:rPr>
              <w:t>即可</w:t>
            </w:r>
            <w:r>
              <w:rPr>
                <w:rFonts w:hint="eastAsia" w:ascii="宋体" w:hAnsi="宋体" w:eastAsia="宋体" w:cs="宋体"/>
                <w:b/>
                <w:bCs/>
                <w:color w:val="auto"/>
                <w:sz w:val="21"/>
                <w:szCs w:val="21"/>
                <w:highlight w:val="none"/>
                <w:lang w:val="en-US" w:eastAsia="zh-CN"/>
              </w:rPr>
              <w:t>，无需考虑</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转</w:t>
            </w:r>
            <w:r>
              <w:rPr>
                <w:rFonts w:hint="eastAsia" w:ascii="宋体" w:hAnsi="宋体" w:cs="宋体"/>
                <w:b/>
                <w:bCs/>
                <w:color w:val="auto"/>
                <w:sz w:val="21"/>
                <w:szCs w:val="21"/>
                <w:highlight w:val="none"/>
                <w:lang w:val="en-US" w:eastAsia="zh-CN"/>
              </w:rPr>
              <w:t>化</w:t>
            </w:r>
            <w:r>
              <w:rPr>
                <w:rFonts w:hint="eastAsia" w:ascii="宋体" w:hAnsi="宋体" w:eastAsia="宋体" w:cs="宋体"/>
                <w:b/>
                <w:bCs/>
                <w:color w:val="auto"/>
                <w:sz w:val="21"/>
                <w:szCs w:val="21"/>
                <w:highlight w:val="none"/>
                <w:lang w:val="en-US" w:eastAsia="zh-CN"/>
              </w:rPr>
              <w:t>为%问题。</w:t>
            </w:r>
          </w:p>
        </w:tc>
      </w:tr>
      <w:tr w14:paraId="689F356F">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654" w:type="dxa"/>
            <w:tcBorders>
              <w:top w:val="single" w:color="auto" w:sz="8" w:space="0"/>
              <w:left w:val="single" w:color="auto" w:sz="4" w:space="0"/>
              <w:bottom w:val="single" w:color="auto" w:sz="8" w:space="0"/>
              <w:right w:val="single" w:color="auto" w:sz="4" w:space="0"/>
            </w:tcBorders>
            <w:vAlign w:val="center"/>
          </w:tcPr>
          <w:p w14:paraId="0CDB768E">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156BE6F6">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203"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val="0"/>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如投标人对招标文件有疑问，请于202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8</w:t>
            </w:r>
            <w:r>
              <w:rPr>
                <w:rFonts w:hint="eastAsia" w:ascii="宋体" w:hAnsi="宋体" w:eastAsia="宋体" w:cs="宋体"/>
                <w:color w:val="auto"/>
                <w:spacing w:val="-4"/>
                <w:kern w:val="0"/>
                <w:sz w:val="21"/>
                <w:szCs w:val="21"/>
                <w:highlight w:val="none"/>
              </w:rPr>
              <w:t>月</w:t>
            </w:r>
            <w:r>
              <w:rPr>
                <w:rFonts w:hint="eastAsia" w:ascii="宋体" w:hAnsi="宋体" w:cs="宋体"/>
                <w:color w:val="auto"/>
                <w:spacing w:val="-4"/>
                <w:kern w:val="0"/>
                <w:sz w:val="21"/>
                <w:szCs w:val="21"/>
                <w:highlight w:val="none"/>
                <w:lang w:val="en-US" w:eastAsia="zh-CN"/>
              </w:rPr>
              <w:t>29</w:t>
            </w:r>
            <w:r>
              <w:rPr>
                <w:rFonts w:hint="eastAsia" w:ascii="宋体" w:hAnsi="宋体" w:eastAsia="宋体" w:cs="宋体"/>
                <w:color w:val="auto"/>
                <w:spacing w:val="-4"/>
                <w:kern w:val="0"/>
                <w:sz w:val="21"/>
                <w:szCs w:val="21"/>
                <w:highlight w:val="none"/>
                <w:u w:val="none"/>
              </w:rPr>
              <w:t>日1</w:t>
            </w:r>
            <w:r>
              <w:rPr>
                <w:rFonts w:hint="eastAsia" w:ascii="宋体" w:hAnsi="宋体" w:cs="宋体"/>
                <w:color w:val="auto"/>
                <w:spacing w:val="-4"/>
                <w:kern w:val="0"/>
                <w:sz w:val="21"/>
                <w:szCs w:val="21"/>
                <w:highlight w:val="none"/>
                <w:u w:val="none"/>
                <w:lang w:val="en-US" w:eastAsia="zh-CN"/>
              </w:rPr>
              <w:t>1</w:t>
            </w:r>
            <w:r>
              <w:rPr>
                <w:rFonts w:hint="eastAsia" w:ascii="宋体" w:hAnsi="宋体" w:eastAsia="宋体" w:cs="宋体"/>
                <w:color w:val="auto"/>
                <w:spacing w:val="-4"/>
                <w:kern w:val="0"/>
                <w:sz w:val="21"/>
                <w:szCs w:val="21"/>
                <w:highlight w:val="none"/>
                <w:u w:val="none"/>
              </w:rPr>
              <w:t>时前</w:t>
            </w:r>
            <w:r>
              <w:rPr>
                <w:rFonts w:hint="eastAsia" w:ascii="宋体" w:hAnsi="宋体" w:eastAsia="宋体" w:cs="宋体"/>
                <w:color w:val="auto"/>
                <w:kern w:val="0"/>
                <w:sz w:val="21"/>
                <w:szCs w:val="21"/>
                <w:highlight w:val="none"/>
                <w:u w:val="none"/>
                <w:lang w:val="en-US" w:eastAsia="zh-CN"/>
              </w:rPr>
              <w:t>通过新点电子交易平台【滁州专区】对招标文件提出澄清（质疑）</w:t>
            </w:r>
            <w:r>
              <w:rPr>
                <w:rFonts w:hint="eastAsia" w:ascii="宋体" w:hAnsi="宋体" w:eastAsia="宋体" w:cs="宋体"/>
                <w:color w:val="auto"/>
                <w:spacing w:val="-4"/>
                <w:kern w:val="0"/>
                <w:sz w:val="21"/>
                <w:szCs w:val="21"/>
                <w:highlight w:val="none"/>
                <w:u w:val="none"/>
              </w:rPr>
              <w:t>，招标人将在202</w:t>
            </w:r>
            <w:r>
              <w:rPr>
                <w:rFonts w:hint="eastAsia" w:ascii="宋体" w:hAnsi="宋体" w:eastAsia="宋体" w:cs="宋体"/>
                <w:color w:val="auto"/>
                <w:spacing w:val="-4"/>
                <w:kern w:val="0"/>
                <w:sz w:val="21"/>
                <w:szCs w:val="21"/>
                <w:highlight w:val="none"/>
                <w:u w:val="none"/>
                <w:lang w:val="en-US" w:eastAsia="zh-CN"/>
              </w:rPr>
              <w:t>5</w:t>
            </w:r>
            <w:r>
              <w:rPr>
                <w:rFonts w:hint="eastAsia" w:ascii="宋体" w:hAnsi="宋体" w:eastAsia="宋体" w:cs="宋体"/>
                <w:color w:val="auto"/>
                <w:spacing w:val="-4"/>
                <w:kern w:val="0"/>
                <w:sz w:val="21"/>
                <w:szCs w:val="21"/>
                <w:highlight w:val="none"/>
                <w:u w:val="none"/>
              </w:rPr>
              <w:t>年</w:t>
            </w:r>
            <w:r>
              <w:rPr>
                <w:rFonts w:hint="eastAsia" w:ascii="宋体" w:hAnsi="宋体" w:cs="宋体"/>
                <w:color w:val="auto"/>
                <w:spacing w:val="-4"/>
                <w:kern w:val="0"/>
                <w:sz w:val="21"/>
                <w:szCs w:val="21"/>
                <w:highlight w:val="none"/>
                <w:u w:val="none"/>
                <w:lang w:val="en-US" w:eastAsia="zh-CN"/>
              </w:rPr>
              <w:t>8</w:t>
            </w:r>
            <w:r>
              <w:rPr>
                <w:rFonts w:hint="eastAsia" w:ascii="宋体" w:hAnsi="宋体" w:eastAsia="宋体" w:cs="宋体"/>
                <w:color w:val="auto"/>
                <w:spacing w:val="-4"/>
                <w:kern w:val="0"/>
                <w:sz w:val="21"/>
                <w:szCs w:val="21"/>
                <w:highlight w:val="none"/>
                <w:u w:val="none"/>
              </w:rPr>
              <w:t>月</w:t>
            </w:r>
            <w:r>
              <w:rPr>
                <w:rFonts w:hint="eastAsia" w:ascii="宋体" w:hAnsi="宋体" w:cs="宋体"/>
                <w:color w:val="auto"/>
                <w:spacing w:val="-4"/>
                <w:kern w:val="0"/>
                <w:sz w:val="21"/>
                <w:szCs w:val="21"/>
                <w:highlight w:val="none"/>
                <w:lang w:val="en-US" w:eastAsia="zh-CN"/>
              </w:rPr>
              <w:t>29</w:t>
            </w:r>
            <w:r>
              <w:rPr>
                <w:rFonts w:hint="eastAsia" w:ascii="宋体" w:hAnsi="宋体" w:eastAsia="宋体" w:cs="宋体"/>
                <w:color w:val="auto"/>
                <w:spacing w:val="-4"/>
                <w:kern w:val="0"/>
                <w:sz w:val="21"/>
                <w:szCs w:val="21"/>
                <w:highlight w:val="none"/>
              </w:rPr>
              <w:t>日1</w:t>
            </w:r>
            <w:r>
              <w:rPr>
                <w:rFonts w:hint="eastAsia" w:ascii="宋体" w:hAnsi="宋体" w:eastAsia="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时后</w:t>
            </w:r>
            <w:r>
              <w:rPr>
                <w:rFonts w:hint="eastAsia" w:ascii="宋体" w:hAnsi="宋体" w:eastAsia="宋体" w:cs="宋体"/>
                <w:color w:val="auto"/>
                <w:spacing w:val="-4"/>
                <w:kern w:val="0"/>
                <w:sz w:val="21"/>
                <w:szCs w:val="21"/>
                <w:highlight w:val="none"/>
                <w:lang w:eastAsia="zh-CN"/>
              </w:rPr>
              <w:t>在</w:t>
            </w:r>
            <w:r>
              <w:rPr>
                <w:rFonts w:hint="eastAsia" w:ascii="宋体" w:hAnsi="宋体" w:eastAsia="宋体" w:cs="宋体"/>
                <w:color w:val="auto"/>
                <w:sz w:val="21"/>
                <w:szCs w:val="21"/>
                <w:highlight w:val="none"/>
              </w:rPr>
              <w:t>滁州市城投工程咨询管理有限公司（https://www.czctgczx.com/）</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网站发布</w:t>
            </w:r>
            <w:r>
              <w:rPr>
                <w:rFonts w:hint="eastAsia" w:ascii="宋体" w:hAnsi="宋体" w:eastAsia="宋体" w:cs="宋体"/>
                <w:color w:val="auto"/>
                <w:spacing w:val="-4"/>
                <w:kern w:val="0"/>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654" w:type="dxa"/>
            <w:tcBorders>
              <w:top w:val="single" w:color="auto" w:sz="8" w:space="0"/>
              <w:left w:val="single" w:color="auto" w:sz="4" w:space="0"/>
              <w:bottom w:val="single" w:color="auto" w:sz="8" w:space="0"/>
              <w:right w:val="single" w:color="auto" w:sz="4" w:space="0"/>
            </w:tcBorders>
            <w:vAlign w:val="center"/>
          </w:tcPr>
          <w:p w14:paraId="0B644D17">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w:t>
            </w:r>
          </w:p>
        </w:tc>
        <w:tc>
          <w:tcPr>
            <w:tcW w:w="7203" w:type="dxa"/>
            <w:tcBorders>
              <w:top w:val="single" w:color="auto" w:sz="8" w:space="0"/>
              <w:left w:val="single" w:color="auto" w:sz="4" w:space="0"/>
              <w:bottom w:val="single" w:color="auto" w:sz="8" w:space="0"/>
              <w:right w:val="single" w:color="auto" w:sz="8" w:space="0"/>
            </w:tcBorders>
            <w:vAlign w:val="center"/>
          </w:tcPr>
          <w:p w14:paraId="0CB8330D">
            <w:pPr>
              <w:pStyle w:val="25"/>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投标有效期为</w:t>
            </w:r>
            <w:r>
              <w:rPr>
                <w:rFonts w:hint="eastAsia"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654" w:type="dxa"/>
            <w:tcBorders>
              <w:top w:val="single" w:color="auto" w:sz="8" w:space="0"/>
              <w:left w:val="single" w:color="auto" w:sz="4" w:space="0"/>
              <w:bottom w:val="single" w:color="auto" w:sz="8" w:space="0"/>
              <w:right w:val="single" w:color="auto" w:sz="4" w:space="0"/>
            </w:tcBorders>
            <w:vAlign w:val="center"/>
          </w:tcPr>
          <w:p w14:paraId="32269176">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递交</w:t>
            </w:r>
          </w:p>
        </w:tc>
        <w:tc>
          <w:tcPr>
            <w:tcW w:w="7203"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val="0"/>
              <w:overflowPunct/>
              <w:topLinePunct w:val="0"/>
              <w:autoSpaceDE/>
              <w:autoSpaceDN/>
              <w:bidi w:val="0"/>
              <w:adjustRightInd w:val="0"/>
              <w:snapToGrid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加密电子投标文件投标人应在投标截止时间前通过新点电子交易平台后在【滁州专区】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https://www.etrading.cn/BREpointSSO/login/oauth2login?regioncode=DQ_ChuZhou</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交易系统递交电子投标文件。</w:t>
            </w:r>
          </w:p>
          <w:p w14:paraId="6AD718D2">
            <w:pPr>
              <w:keepNext w:val="0"/>
              <w:keepLines w:val="0"/>
              <w:pageBreakBefore w:val="0"/>
              <w:widowControl/>
              <w:kinsoku/>
              <w:overflowPunct/>
              <w:topLinePunct w:val="0"/>
              <w:autoSpaceDE/>
              <w:autoSpaceDN/>
              <w:bidi w:val="0"/>
              <w:spacing w:line="440" w:lineRule="exact"/>
              <w:ind w:left="57"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（投标人中标后须递交与网上电子投标文件完全一致的纸质版投标文件，并按要求加盖单位章；份数：正本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1</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54" w:type="dxa"/>
            <w:tcBorders>
              <w:top w:val="single" w:color="auto" w:sz="8" w:space="0"/>
              <w:left w:val="single" w:color="auto" w:sz="4" w:space="0"/>
              <w:bottom w:val="single" w:color="auto" w:sz="8" w:space="0"/>
              <w:right w:val="single" w:color="auto" w:sz="4" w:space="0"/>
            </w:tcBorders>
            <w:vAlign w:val="center"/>
          </w:tcPr>
          <w:p w14:paraId="6AF10602">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203" w:type="dxa"/>
            <w:tcBorders>
              <w:top w:val="single" w:color="auto" w:sz="8" w:space="0"/>
              <w:left w:val="single" w:color="auto" w:sz="4" w:space="0"/>
              <w:bottom w:val="single" w:color="auto" w:sz="8" w:space="0"/>
              <w:right w:val="single" w:color="auto" w:sz="8" w:space="0"/>
            </w:tcBorders>
            <w:vAlign w:val="center"/>
          </w:tcPr>
          <w:p w14:paraId="4FCD2EB5">
            <w:pPr>
              <w:pStyle w:val="2"/>
              <w:keepNext w:val="0"/>
              <w:keepLines w:val="0"/>
              <w:pageBreakBefore w:val="0"/>
              <w:kinsoku/>
              <w:overflowPunct/>
              <w:topLinePunct w:val="0"/>
              <w:autoSpaceDE/>
              <w:autoSpaceDN/>
              <w:bidi w:val="0"/>
              <w:spacing w:line="440" w:lineRule="exact"/>
              <w:ind w:left="57" w:leftChars="0" w:firstLine="0" w:firstLineChars="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招标文件中“签章”是指签字或盖章。在“投标文件格式”中要求</w:t>
            </w:r>
            <w:r>
              <w:rPr>
                <w:rFonts w:hint="eastAsia" w:ascii="宋体" w:hAnsi="宋体" w:cs="宋体"/>
                <w:b/>
                <w:color w:val="auto"/>
                <w:kern w:val="0"/>
                <w:sz w:val="21"/>
                <w:szCs w:val="21"/>
                <w:highlight w:val="none"/>
                <w:lang w:val="en-US" w:eastAsia="zh-CN" w:bidi="ar-SA"/>
              </w:rPr>
              <w:t>单位</w:t>
            </w:r>
            <w:r>
              <w:rPr>
                <w:rFonts w:hint="eastAsia" w:ascii="宋体" w:hAnsi="宋体" w:eastAsia="宋体" w:cs="宋体"/>
                <w:b/>
                <w:color w:val="auto"/>
                <w:kern w:val="0"/>
                <w:sz w:val="21"/>
                <w:szCs w:val="21"/>
                <w:highlight w:val="none"/>
                <w:lang w:val="en-US" w:eastAsia="zh-CN" w:bidi="ar-SA"/>
              </w:rPr>
              <w:t>签章</w:t>
            </w:r>
            <w:r>
              <w:rPr>
                <w:rFonts w:hint="eastAsia" w:ascii="宋体" w:hAnsi="宋体" w:cs="宋体"/>
                <w:b/>
                <w:color w:val="auto"/>
                <w:kern w:val="0"/>
                <w:sz w:val="21"/>
                <w:szCs w:val="21"/>
                <w:highlight w:val="none"/>
                <w:lang w:val="en-US" w:eastAsia="zh-CN" w:bidi="ar-SA"/>
              </w:rPr>
              <w:t>的</w:t>
            </w:r>
            <w:r>
              <w:rPr>
                <w:rFonts w:hint="eastAsia" w:ascii="宋体" w:hAnsi="宋体" w:eastAsia="宋体" w:cs="宋体"/>
                <w:b/>
                <w:color w:val="auto"/>
                <w:kern w:val="0"/>
                <w:sz w:val="21"/>
                <w:szCs w:val="21"/>
                <w:highlight w:val="none"/>
                <w:lang w:val="en-US" w:eastAsia="zh-CN" w:bidi="ar-SA"/>
              </w:rPr>
              <w:t>，投标人应加盖投标人单位电子印章或直接上传加盖投标人单位印章原件彩色扫描件。</w:t>
            </w:r>
            <w:r>
              <w:rPr>
                <w:rFonts w:hint="eastAsia" w:ascii="宋体" w:hAnsi="宋体" w:cs="宋体"/>
                <w:b/>
                <w:color w:val="auto"/>
                <w:kern w:val="0"/>
                <w:sz w:val="21"/>
                <w:szCs w:val="21"/>
                <w:highlight w:val="none"/>
                <w:lang w:val="en-US" w:eastAsia="zh-CN" w:bidi="ar-SA"/>
              </w:rPr>
              <w:t>要求个人签章的，加盖相应人员</w:t>
            </w:r>
            <w:r>
              <w:rPr>
                <w:rFonts w:hint="eastAsia" w:ascii="宋体" w:hAnsi="宋体" w:eastAsia="宋体" w:cs="宋体"/>
                <w:b/>
                <w:color w:val="auto"/>
                <w:kern w:val="0"/>
                <w:sz w:val="21"/>
                <w:szCs w:val="21"/>
                <w:highlight w:val="none"/>
                <w:lang w:val="en-US" w:eastAsia="zh-CN" w:bidi="ar-SA"/>
              </w:rPr>
              <w:t>印章</w:t>
            </w:r>
            <w:r>
              <w:rPr>
                <w:rFonts w:hint="eastAsia" w:ascii="宋体" w:hAnsi="宋体" w:cs="宋体"/>
                <w:b/>
                <w:color w:val="auto"/>
                <w:kern w:val="0"/>
                <w:sz w:val="21"/>
                <w:szCs w:val="21"/>
                <w:highlight w:val="none"/>
                <w:lang w:val="en-US" w:eastAsia="zh-CN" w:bidi="ar-SA"/>
              </w:rPr>
              <w:t>（或电子印章）</w:t>
            </w:r>
            <w:r>
              <w:rPr>
                <w:rFonts w:hint="eastAsia" w:ascii="宋体" w:hAnsi="宋体" w:eastAsia="宋体" w:cs="宋体"/>
                <w:b/>
                <w:color w:val="auto"/>
                <w:kern w:val="0"/>
                <w:sz w:val="21"/>
                <w:szCs w:val="21"/>
                <w:highlight w:val="none"/>
                <w:lang w:val="en-US" w:eastAsia="zh-CN" w:bidi="ar-SA"/>
              </w:rPr>
              <w:t>或</w:t>
            </w:r>
            <w:r>
              <w:rPr>
                <w:rFonts w:hint="eastAsia" w:ascii="宋体" w:hAnsi="宋体" w:cs="宋体"/>
                <w:b/>
                <w:color w:val="auto"/>
                <w:kern w:val="0"/>
                <w:sz w:val="21"/>
                <w:szCs w:val="21"/>
                <w:highlight w:val="none"/>
                <w:lang w:val="en-US" w:eastAsia="zh-CN" w:bidi="ar-SA"/>
              </w:rPr>
              <w:t>相应人员</w:t>
            </w:r>
            <w:r>
              <w:rPr>
                <w:rFonts w:hint="eastAsia" w:ascii="宋体" w:hAnsi="宋体" w:eastAsia="宋体" w:cs="宋体"/>
                <w:b/>
                <w:color w:val="auto"/>
                <w:kern w:val="0"/>
                <w:sz w:val="21"/>
                <w:szCs w:val="21"/>
                <w:highlight w:val="none"/>
                <w:lang w:val="en-US" w:eastAsia="zh-CN" w:bidi="ar-SA"/>
              </w:rPr>
              <w:t>签字</w:t>
            </w:r>
            <w:r>
              <w:rPr>
                <w:rFonts w:hint="eastAsia" w:ascii="宋体" w:hAnsi="宋体" w:cs="宋体"/>
                <w:b/>
                <w:color w:val="auto"/>
                <w:kern w:val="0"/>
                <w:sz w:val="21"/>
                <w:szCs w:val="21"/>
                <w:highlight w:val="none"/>
                <w:lang w:val="en-US" w:eastAsia="zh-CN" w:bidi="ar-SA"/>
              </w:rPr>
              <w:t>均可。</w:t>
            </w:r>
          </w:p>
          <w:p w14:paraId="66A35DAC">
            <w:pPr>
              <w:keepNext w:val="0"/>
              <w:keepLines w:val="0"/>
              <w:pageBreakBefore w:val="0"/>
              <w:widowControl/>
              <w:kinsoku/>
              <w:overflowPunct/>
              <w:topLinePunct w:val="0"/>
              <w:autoSpaceDE/>
              <w:autoSpaceDN/>
              <w:bidi w:val="0"/>
              <w:spacing w:line="440" w:lineRule="exact"/>
              <w:ind w:left="57" w:firstLine="89" w:firstLineChars="42"/>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SA"/>
              </w:rPr>
              <w:t>否则经评委会一致认定后，按照无效投标处理。</w:t>
            </w:r>
          </w:p>
        </w:tc>
      </w:tr>
      <w:tr w14:paraId="443033B5">
        <w:tblPrEx>
          <w:tblCellMar>
            <w:top w:w="0" w:type="dxa"/>
            <w:left w:w="0" w:type="dxa"/>
            <w:bottom w:w="0" w:type="dxa"/>
            <w:right w:w="0" w:type="dxa"/>
          </w:tblCellMar>
        </w:tblPrEx>
        <w:trPr>
          <w:trHeight w:val="1573" w:hRule="atLeast"/>
        </w:trPr>
        <w:tc>
          <w:tcPr>
            <w:tcW w:w="731"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13</w:t>
            </w:r>
          </w:p>
        </w:tc>
        <w:tc>
          <w:tcPr>
            <w:tcW w:w="1654" w:type="dxa"/>
            <w:tcBorders>
              <w:top w:val="single" w:color="auto" w:sz="8" w:space="0"/>
              <w:left w:val="single" w:color="auto" w:sz="4" w:space="0"/>
              <w:bottom w:val="single" w:color="auto" w:sz="8" w:space="0"/>
              <w:right w:val="single" w:color="auto" w:sz="4" w:space="0"/>
            </w:tcBorders>
            <w:vAlign w:val="center"/>
          </w:tcPr>
          <w:p w14:paraId="5C83C75F">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投标文件提交截止时间</w:t>
            </w:r>
          </w:p>
        </w:tc>
        <w:tc>
          <w:tcPr>
            <w:tcW w:w="7203"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网上递交投标文件截止时间：</w:t>
            </w:r>
            <w:r>
              <w:rPr>
                <w:rFonts w:hint="eastAsia" w:ascii="宋体" w:hAnsi="宋体" w:eastAsia="宋体" w:cs="宋体"/>
                <w:b/>
                <w:bCs/>
                <w:color w:val="auto"/>
                <w:sz w:val="21"/>
                <w:szCs w:val="21"/>
                <w:highlight w:val="none"/>
                <w:lang w:val="en-US" w:eastAsia="zh-CN"/>
              </w:rPr>
              <w:t>2025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分（北京时间）</w:t>
            </w:r>
          </w:p>
          <w:p w14:paraId="6FF010F2">
            <w:pPr>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注：以投标人在投标截止时间前网上递交的电子投标文件为准，逾期提交的，投标文件将被拒绝。</w:t>
            </w:r>
          </w:p>
          <w:p w14:paraId="2D17B673">
            <w:pPr>
              <w:keepNext w:val="0"/>
              <w:keepLines w:val="0"/>
              <w:pageBreakBefore w:val="0"/>
              <w:kinsoku/>
              <w:wordWrap w:val="0"/>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1.解密程序开始后</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0分钟内（以本项目网上招投标系统解密倒计时为准）。</w:t>
            </w:r>
          </w:p>
        </w:tc>
      </w:tr>
      <w:tr w14:paraId="39CAD765">
        <w:tblPrEx>
          <w:tblCellMar>
            <w:top w:w="0" w:type="dxa"/>
            <w:left w:w="0" w:type="dxa"/>
            <w:bottom w:w="0" w:type="dxa"/>
            <w:right w:w="0" w:type="dxa"/>
          </w:tblCellMar>
        </w:tblPrEx>
        <w:trPr>
          <w:trHeight w:val="688" w:hRule="atLeast"/>
        </w:trPr>
        <w:tc>
          <w:tcPr>
            <w:tcW w:w="731"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54" w:type="dxa"/>
            <w:tcBorders>
              <w:top w:val="single" w:color="auto" w:sz="8" w:space="0"/>
              <w:left w:val="single" w:color="auto" w:sz="4" w:space="0"/>
              <w:bottom w:val="single" w:color="auto" w:sz="8" w:space="0"/>
              <w:right w:val="single" w:color="auto" w:sz="4" w:space="0"/>
            </w:tcBorders>
            <w:vAlign w:val="center"/>
          </w:tcPr>
          <w:p w14:paraId="03D51B63">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7203"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66A8CA8">
        <w:tblPrEx>
          <w:tblCellMar>
            <w:top w:w="0" w:type="dxa"/>
            <w:left w:w="0" w:type="dxa"/>
            <w:bottom w:w="0" w:type="dxa"/>
            <w:right w:w="0" w:type="dxa"/>
          </w:tblCellMar>
        </w:tblPrEx>
        <w:trPr>
          <w:trHeight w:val="544" w:hRule="atLeast"/>
        </w:trPr>
        <w:tc>
          <w:tcPr>
            <w:tcW w:w="731"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15</w:t>
            </w:r>
          </w:p>
        </w:tc>
        <w:tc>
          <w:tcPr>
            <w:tcW w:w="1654" w:type="dxa"/>
            <w:tcBorders>
              <w:top w:val="single" w:color="auto" w:sz="8" w:space="0"/>
              <w:left w:val="single" w:color="auto" w:sz="4" w:space="0"/>
              <w:bottom w:val="single" w:color="auto" w:sz="8" w:space="0"/>
              <w:right w:val="single" w:color="auto" w:sz="4" w:space="0"/>
            </w:tcBorders>
            <w:vAlign w:val="center"/>
          </w:tcPr>
          <w:p w14:paraId="53C0A74C">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开标时间及地点</w:t>
            </w:r>
          </w:p>
        </w:tc>
        <w:tc>
          <w:tcPr>
            <w:tcW w:w="7203" w:type="dxa"/>
            <w:tcBorders>
              <w:top w:val="single" w:color="auto" w:sz="8" w:space="0"/>
              <w:left w:val="single" w:color="auto" w:sz="4" w:space="0"/>
              <w:bottom w:val="single" w:color="auto" w:sz="8" w:space="0"/>
              <w:right w:val="single" w:color="auto" w:sz="8" w:space="0"/>
            </w:tcBorders>
            <w:vAlign w:val="center"/>
          </w:tcPr>
          <w:p w14:paraId="18B45F6F">
            <w:pPr>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076992A3">
        <w:tblPrEx>
          <w:tblCellMar>
            <w:top w:w="0" w:type="dxa"/>
            <w:left w:w="0" w:type="dxa"/>
            <w:bottom w:w="0" w:type="dxa"/>
            <w:right w:w="0" w:type="dxa"/>
          </w:tblCellMar>
        </w:tblPrEx>
        <w:trPr>
          <w:trHeight w:val="445" w:hRule="atLeast"/>
        </w:trPr>
        <w:tc>
          <w:tcPr>
            <w:tcW w:w="731"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16</w:t>
            </w:r>
          </w:p>
        </w:tc>
        <w:tc>
          <w:tcPr>
            <w:tcW w:w="1654" w:type="dxa"/>
            <w:tcBorders>
              <w:top w:val="single" w:color="auto" w:sz="8" w:space="0"/>
              <w:left w:val="single" w:color="auto" w:sz="4" w:space="0"/>
              <w:bottom w:val="single" w:color="auto" w:sz="8" w:space="0"/>
              <w:right w:val="single" w:color="auto" w:sz="4" w:space="0"/>
            </w:tcBorders>
            <w:vAlign w:val="center"/>
          </w:tcPr>
          <w:p w14:paraId="57F847A2">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开标程序</w:t>
            </w:r>
          </w:p>
        </w:tc>
        <w:tc>
          <w:tcPr>
            <w:tcW w:w="7203"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786" w:hRule="atLeast"/>
        </w:trPr>
        <w:tc>
          <w:tcPr>
            <w:tcW w:w="731"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17</w:t>
            </w:r>
          </w:p>
        </w:tc>
        <w:tc>
          <w:tcPr>
            <w:tcW w:w="1654" w:type="dxa"/>
            <w:tcBorders>
              <w:top w:val="single" w:color="auto" w:sz="8" w:space="0"/>
              <w:left w:val="single" w:color="auto" w:sz="4" w:space="0"/>
              <w:bottom w:val="single" w:color="auto" w:sz="8" w:space="0"/>
              <w:right w:val="single" w:color="auto" w:sz="4" w:space="0"/>
            </w:tcBorders>
            <w:vAlign w:val="center"/>
          </w:tcPr>
          <w:p w14:paraId="5CB513ED">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203" w:type="dxa"/>
            <w:tcBorders>
              <w:top w:val="single" w:color="auto" w:sz="8" w:space="0"/>
              <w:left w:val="single" w:color="auto" w:sz="4" w:space="0"/>
              <w:bottom w:val="single" w:color="auto" w:sz="8" w:space="0"/>
              <w:right w:val="single" w:color="auto" w:sz="8" w:space="0"/>
            </w:tcBorders>
            <w:vAlign w:val="top"/>
          </w:tcPr>
          <w:p w14:paraId="4FB4DBB5">
            <w:pPr>
              <w:pStyle w:val="157"/>
              <w:keepNext w:val="0"/>
              <w:keepLines w:val="0"/>
              <w:pageBreakBefore w:val="0"/>
              <w:kinsoku/>
              <w:overflowPunct/>
              <w:topLinePunct w:val="0"/>
              <w:autoSpaceDE/>
              <w:autoSpaceDN/>
              <w:bidi w:val="0"/>
              <w:adjustRightInd/>
              <w:snapToGrid/>
              <w:spacing w:line="440" w:lineRule="exact"/>
              <w:ind w:left="5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w:t>
            </w:r>
            <w:r>
              <w:rPr>
                <w:rFonts w:hint="eastAsia" w:ascii="宋体"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w:t>
            </w:r>
          </w:p>
          <w:p w14:paraId="6B4E98E9">
            <w:pPr>
              <w:pStyle w:val="25"/>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评标专家确定方式：专家评委由采购人在开标前从专家库中随机抽取。</w:t>
            </w:r>
          </w:p>
        </w:tc>
      </w:tr>
      <w:tr w14:paraId="02D6C8AD">
        <w:tblPrEx>
          <w:tblCellMar>
            <w:top w:w="0" w:type="dxa"/>
            <w:left w:w="0" w:type="dxa"/>
            <w:bottom w:w="0" w:type="dxa"/>
            <w:right w:w="0" w:type="dxa"/>
          </w:tblCellMar>
        </w:tblPrEx>
        <w:trPr>
          <w:trHeight w:val="786" w:hRule="atLeast"/>
        </w:trPr>
        <w:tc>
          <w:tcPr>
            <w:tcW w:w="731"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18</w:t>
            </w:r>
          </w:p>
        </w:tc>
        <w:tc>
          <w:tcPr>
            <w:tcW w:w="1654" w:type="dxa"/>
            <w:tcBorders>
              <w:top w:val="single" w:color="auto" w:sz="8" w:space="0"/>
              <w:left w:val="single" w:color="auto" w:sz="4" w:space="0"/>
              <w:bottom w:val="single" w:color="auto" w:sz="8" w:space="0"/>
              <w:right w:val="single" w:color="auto" w:sz="4" w:space="0"/>
            </w:tcBorders>
            <w:vAlign w:val="center"/>
          </w:tcPr>
          <w:p w14:paraId="289798AF">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7203" w:type="dxa"/>
            <w:tcBorders>
              <w:top w:val="single" w:color="auto" w:sz="8" w:space="0"/>
              <w:left w:val="single" w:color="auto" w:sz="4" w:space="0"/>
              <w:bottom w:val="single" w:color="auto" w:sz="8" w:space="0"/>
              <w:right w:val="single" w:color="auto" w:sz="8" w:space="0"/>
            </w:tcBorders>
            <w:vAlign w:val="center"/>
          </w:tcPr>
          <w:p w14:paraId="50C3E122">
            <w:pPr>
              <w:pStyle w:val="25"/>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评标委员会</w:t>
            </w:r>
            <w:r>
              <w:rPr>
                <w:rFonts w:hint="eastAsia" w:hAnsi="宋体" w:cs="宋体"/>
                <w:color w:val="auto"/>
                <w:sz w:val="21"/>
                <w:szCs w:val="21"/>
                <w:highlight w:val="none"/>
                <w:lang w:val="en-US" w:eastAsia="zh-CN"/>
              </w:rPr>
              <w:t>每标段</w:t>
            </w:r>
            <w:r>
              <w:rPr>
                <w:rFonts w:hint="eastAsia" w:ascii="宋体" w:hAnsi="宋体" w:eastAsia="宋体" w:cs="宋体"/>
                <w:color w:val="auto"/>
                <w:sz w:val="21"/>
                <w:szCs w:val="21"/>
                <w:highlight w:val="none"/>
              </w:rPr>
              <w:t>推荐</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2</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名中标候选人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并标明排序</w:t>
            </w:r>
            <w:r>
              <w:rPr>
                <w:rFonts w:hint="eastAsia" w:ascii="宋体" w:hAnsi="宋体" w:eastAsia="宋体" w:cs="宋体"/>
                <w:color w:val="auto"/>
                <w:sz w:val="21"/>
                <w:szCs w:val="21"/>
                <w:highlight w:val="none"/>
              </w:rPr>
              <w:t>。</w:t>
            </w:r>
          </w:p>
        </w:tc>
      </w:tr>
      <w:tr w14:paraId="191E86E8">
        <w:tblPrEx>
          <w:tblCellMar>
            <w:top w:w="0" w:type="dxa"/>
            <w:left w:w="0" w:type="dxa"/>
            <w:bottom w:w="0" w:type="dxa"/>
            <w:right w:w="0" w:type="dxa"/>
          </w:tblCellMar>
        </w:tblPrEx>
        <w:trPr>
          <w:trHeight w:val="786" w:hRule="atLeast"/>
        </w:trPr>
        <w:tc>
          <w:tcPr>
            <w:tcW w:w="731"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19</w:t>
            </w:r>
          </w:p>
        </w:tc>
        <w:tc>
          <w:tcPr>
            <w:tcW w:w="1654" w:type="dxa"/>
            <w:tcBorders>
              <w:top w:val="single" w:color="auto" w:sz="8" w:space="0"/>
              <w:left w:val="single" w:color="auto" w:sz="4" w:space="0"/>
              <w:bottom w:val="single" w:color="auto" w:sz="8" w:space="0"/>
              <w:right w:val="single" w:color="auto" w:sz="4" w:space="0"/>
            </w:tcBorders>
            <w:vAlign w:val="center"/>
          </w:tcPr>
          <w:p w14:paraId="77F75070">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中标结果公告媒介</w:t>
            </w:r>
          </w:p>
        </w:tc>
        <w:tc>
          <w:tcPr>
            <w:tcW w:w="7203" w:type="dxa"/>
            <w:tcBorders>
              <w:top w:val="single" w:color="auto" w:sz="8" w:space="0"/>
              <w:left w:val="single" w:color="auto" w:sz="4" w:space="0"/>
              <w:bottom w:val="single" w:color="auto" w:sz="8" w:space="0"/>
              <w:right w:val="single" w:color="auto" w:sz="8" w:space="0"/>
            </w:tcBorders>
            <w:vAlign w:val="top"/>
          </w:tcPr>
          <w:p w14:paraId="2F0DB711">
            <w:pPr>
              <w:pStyle w:val="25"/>
              <w:keepNext w:val="0"/>
              <w:keepLines w:val="0"/>
              <w:pageBreakBefore w:val="0"/>
              <w:kinsoku/>
              <w:wordWrap w:val="0"/>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滁州市城投工程咨询管理有限公司（https://www.czctgczx.com/）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滁州市重点工程建设管理处（http://zdc.chuzhou.gov.cn/）</w:t>
            </w:r>
            <w:r>
              <w:rPr>
                <w:rFonts w:hint="eastAsia" w:ascii="宋体" w:hAnsi="宋体" w:eastAsia="宋体" w:cs="宋体"/>
                <w:color w:val="auto"/>
                <w:spacing w:val="-4"/>
                <w:sz w:val="21"/>
                <w:szCs w:val="21"/>
                <w:highlight w:val="none"/>
              </w:rPr>
              <w:t>等网站</w:t>
            </w:r>
          </w:p>
        </w:tc>
      </w:tr>
      <w:tr w14:paraId="6EA640C0">
        <w:tblPrEx>
          <w:tblCellMar>
            <w:top w:w="0" w:type="dxa"/>
            <w:left w:w="0" w:type="dxa"/>
            <w:bottom w:w="0" w:type="dxa"/>
            <w:right w:w="0" w:type="dxa"/>
          </w:tblCellMar>
        </w:tblPrEx>
        <w:trPr>
          <w:trHeight w:val="478" w:hRule="atLeast"/>
        </w:trPr>
        <w:tc>
          <w:tcPr>
            <w:tcW w:w="731"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20</w:t>
            </w:r>
          </w:p>
        </w:tc>
        <w:tc>
          <w:tcPr>
            <w:tcW w:w="1654" w:type="dxa"/>
            <w:tcBorders>
              <w:top w:val="single" w:color="auto" w:sz="8" w:space="0"/>
              <w:left w:val="single" w:color="auto" w:sz="4" w:space="0"/>
              <w:bottom w:val="single" w:color="auto" w:sz="8" w:space="0"/>
              <w:right w:val="single" w:color="auto" w:sz="4" w:space="0"/>
            </w:tcBorders>
            <w:vAlign w:val="center"/>
          </w:tcPr>
          <w:p w14:paraId="5C02703D">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203"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overflowPunct/>
              <w:topLinePunct w:val="0"/>
              <w:autoSpaceDE/>
              <w:autoSpaceDN/>
              <w:bidi w:val="0"/>
              <w:spacing w:line="440" w:lineRule="exact"/>
              <w:ind w:left="57"/>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是否收取履约担保：□收取，</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不收取</w:t>
            </w:r>
          </w:p>
        </w:tc>
      </w:tr>
      <w:tr w14:paraId="53B9F13B">
        <w:tblPrEx>
          <w:tblCellMar>
            <w:top w:w="0" w:type="dxa"/>
            <w:left w:w="0" w:type="dxa"/>
            <w:bottom w:w="0" w:type="dxa"/>
            <w:right w:w="0" w:type="dxa"/>
          </w:tblCellMar>
        </w:tblPrEx>
        <w:trPr>
          <w:trHeight w:val="478" w:hRule="atLeast"/>
        </w:trPr>
        <w:tc>
          <w:tcPr>
            <w:tcW w:w="9588" w:type="dxa"/>
            <w:gridSpan w:val="3"/>
            <w:tcBorders>
              <w:top w:val="single" w:color="auto" w:sz="8" w:space="0"/>
              <w:left w:val="single" w:color="auto" w:sz="8" w:space="0"/>
              <w:bottom w:val="single" w:color="auto" w:sz="8" w:space="0"/>
              <w:right w:val="single" w:color="auto" w:sz="8" w:space="0"/>
            </w:tcBorders>
            <w:vAlign w:val="center"/>
          </w:tcPr>
          <w:p w14:paraId="0FD01F5C">
            <w:pPr>
              <w:keepNext w:val="0"/>
              <w:keepLines w:val="0"/>
              <w:pageBreakBefore w:val="0"/>
              <w:widowControl/>
              <w:kinsoku/>
              <w:overflowPunct/>
              <w:topLinePunct w:val="0"/>
              <w:autoSpaceDE/>
              <w:autoSpaceDN/>
              <w:bidi w:val="0"/>
              <w:spacing w:line="440" w:lineRule="exact"/>
              <w:ind w:left="57"/>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需要补充的其他内容</w:t>
            </w:r>
          </w:p>
        </w:tc>
      </w:tr>
      <w:tr w14:paraId="54EFCC42">
        <w:tblPrEx>
          <w:tblCellMar>
            <w:top w:w="0" w:type="dxa"/>
            <w:left w:w="0" w:type="dxa"/>
            <w:bottom w:w="0" w:type="dxa"/>
            <w:right w:w="0" w:type="dxa"/>
          </w:tblCellMar>
        </w:tblPrEx>
        <w:trPr>
          <w:trHeight w:val="478"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5A46107E">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7203" w:type="dxa"/>
            <w:tcBorders>
              <w:top w:val="single" w:color="auto" w:sz="8" w:space="0"/>
              <w:left w:val="single" w:color="auto" w:sz="4" w:space="0"/>
              <w:bottom w:val="single" w:color="auto" w:sz="8" w:space="0"/>
              <w:right w:val="single" w:color="auto" w:sz="8" w:space="0"/>
            </w:tcBorders>
            <w:vAlign w:val="center"/>
          </w:tcPr>
          <w:p w14:paraId="042E25F9">
            <w:pPr>
              <w:keepNext w:val="0"/>
              <w:keepLines w:val="0"/>
              <w:pageBreakBefore w:val="0"/>
              <w:kinsoku/>
              <w:overflowPunct/>
              <w:topLinePunct w:val="0"/>
              <w:autoSpaceDE/>
              <w:autoSpaceDN/>
              <w:bidi w:val="0"/>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是，具体要求：按招标文件规定。</w:t>
            </w:r>
          </w:p>
        </w:tc>
      </w:tr>
      <w:tr w14:paraId="1140AE85">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41EEFE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限制投标情形</w:t>
            </w:r>
          </w:p>
        </w:tc>
        <w:tc>
          <w:tcPr>
            <w:tcW w:w="7203" w:type="dxa"/>
            <w:tcBorders>
              <w:top w:val="single" w:color="auto" w:sz="8" w:space="0"/>
              <w:left w:val="single" w:color="auto" w:sz="4" w:space="0"/>
              <w:bottom w:val="single" w:color="auto" w:sz="8" w:space="0"/>
              <w:right w:val="single" w:color="auto" w:sz="8" w:space="0"/>
            </w:tcBorders>
            <w:vAlign w:val="center"/>
          </w:tcPr>
          <w:p w14:paraId="544763DD">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1.限制近两年内在承接我单位工程造价、审计结算等业务过程中，因工作疏漏对我单位产生不良影响的咨询公司参加投标。</w:t>
            </w:r>
          </w:p>
          <w:p w14:paraId="148E1483">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2.在我处限制承揽业务期限内的企业不予参加。</w:t>
            </w:r>
          </w:p>
          <w:p w14:paraId="6543D70B">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3.被市重点处列入“不良行为企业名单”和“暂停委托项目跟踪审计的工程造价咨询企业名单”的单位不得参加。</w:t>
            </w:r>
          </w:p>
          <w:p w14:paraId="5F2A2E55">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4.本项目招标代理单位、清单控制价编制单位及监理单位不得参加投标。</w:t>
            </w:r>
          </w:p>
        </w:tc>
      </w:tr>
      <w:tr w14:paraId="234C8D6C">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203" w:type="dxa"/>
            <w:tcBorders>
              <w:top w:val="single" w:color="auto" w:sz="8" w:space="0"/>
              <w:left w:val="single" w:color="auto" w:sz="4" w:space="0"/>
              <w:bottom w:val="single" w:color="auto" w:sz="8" w:space="0"/>
              <w:right w:val="single" w:color="auto" w:sz="8" w:space="0"/>
            </w:tcBorders>
            <w:vAlign w:val="center"/>
          </w:tcPr>
          <w:p w14:paraId="7ED64295">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1、项目建设期间，相关部门将对跟踪审计工作进行不定期检查，如发现有不符合《跟踪审计委托协议》相关工作要求的行为，我处将按照约定给予相应的处罚。</w:t>
            </w:r>
          </w:p>
          <w:p w14:paraId="6D70A519">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2、我单位将严格执行《工程造价咨询服务管理办法》。</w:t>
            </w:r>
          </w:p>
          <w:p w14:paraId="1470349C">
            <w:pPr>
              <w:pStyle w:val="2"/>
              <w:keepNext w:val="0"/>
              <w:keepLines w:val="0"/>
              <w:pageBreakBefore w:val="0"/>
              <w:kinsoku/>
              <w:overflowPunct/>
              <w:topLinePunct w:val="0"/>
              <w:autoSpaceDE/>
              <w:autoSpaceDN/>
              <w:bidi w:val="0"/>
              <w:spacing w:line="440" w:lineRule="exact"/>
              <w:ind w:left="57" w:leftChars="0" w:firstLine="0" w:firstLineChars="0"/>
              <w:textAlignment w:val="auto"/>
              <w:rPr>
                <w:rFonts w:hint="default"/>
                <w:b/>
                <w:bCs/>
                <w:color w:val="auto"/>
                <w:highlight w:val="none"/>
                <w:lang w:val="en-US" w:eastAsia="zh-CN"/>
              </w:rPr>
            </w:pPr>
            <w:r>
              <w:rPr>
                <w:rFonts w:hint="eastAsia" w:ascii="宋体" w:hAnsi="宋体" w:cs="宋体"/>
                <w:b/>
                <w:bCs/>
                <w:color w:val="auto"/>
                <w:kern w:val="0"/>
                <w:sz w:val="21"/>
                <w:szCs w:val="21"/>
                <w:highlight w:val="none"/>
                <w:lang w:val="en-US" w:eastAsia="zh-CN"/>
              </w:rPr>
              <w:t>3、本项目工程款结算仅支付给中标单位，不支持支付给授权的分公司、子公司等分支机构。（请款所提供的发票名称须与中标单位名称保持一致）。</w:t>
            </w:r>
          </w:p>
          <w:p w14:paraId="549DC940">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中标单位项目组人员变更，变更后人员必须满足本项目招标要求。由中标单位向综合计划科提出申请并提供相应证明，由中标单位向业主单位提出申请并提供相应证明，业主单位会商提出意见，报业主单位领导批准后予以备案。</w:t>
            </w:r>
          </w:p>
          <w:p w14:paraId="589A0E2D">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tc>
      </w:tr>
      <w:tr w14:paraId="6E099D79">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203" w:type="dxa"/>
            <w:tcBorders>
              <w:top w:val="single" w:color="auto" w:sz="8" w:space="0"/>
              <w:left w:val="single" w:color="auto" w:sz="4" w:space="0"/>
              <w:bottom w:val="single" w:color="auto" w:sz="8" w:space="0"/>
              <w:right w:val="single" w:color="auto" w:sz="8" w:space="0"/>
            </w:tcBorders>
            <w:vAlign w:val="center"/>
          </w:tcPr>
          <w:p w14:paraId="67DB5D0C">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出具审核报告，交付招标人初审确认，报经招标人备案审查通过后，按照招标人审查备案金额结算支付审计服务费用。（注：发包人请款额度须在政府资金调度会批准且发票送达后完成支付）。</w:t>
            </w:r>
          </w:p>
        </w:tc>
      </w:tr>
      <w:tr w14:paraId="25B900FF">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招标代理费及专家评审费</w:t>
            </w:r>
          </w:p>
        </w:tc>
        <w:tc>
          <w:tcPr>
            <w:tcW w:w="7203"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本项目招标代理服务费用</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lang w:val="en-US" w:eastAsia="zh-CN"/>
              </w:rPr>
              <w:t>00元，专家评审费另计（最终以实际发生为准），中标单位在领取中标通知书前一次性支付给代理公司</w:t>
            </w:r>
            <w:r>
              <w:rPr>
                <w:rFonts w:hint="eastAsia" w:ascii="宋体" w:hAnsi="宋体" w:eastAsia="宋体" w:cs="宋体"/>
                <w:b/>
                <w:bCs/>
                <w:color w:val="auto"/>
                <w:kern w:val="0"/>
                <w:sz w:val="21"/>
                <w:szCs w:val="21"/>
                <w:highlight w:val="none"/>
                <w:lang w:val="en-US" w:eastAsia="zh-CN"/>
              </w:rPr>
              <w:t>。</w:t>
            </w:r>
          </w:p>
        </w:tc>
      </w:tr>
      <w:tr w14:paraId="6C5E33CA">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DBB6D63">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评标过程中的澄清、说明或补正</w:t>
            </w:r>
          </w:p>
        </w:tc>
        <w:tc>
          <w:tcPr>
            <w:tcW w:w="7203"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）评标委员会通过</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系统将需要澄清、说明或补正的内容以询标函的形式发送给投标人，投标人应安排专人登录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系统并保持在线状态，以便及时接收评标委员会可能发出的询标函。</w:t>
            </w:r>
          </w:p>
          <w:p w14:paraId="6C77080F">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）因投标人未登录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2410C0F2">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705F4D2">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bookmarkStart w:id="40" w:name="_Toc13663"/>
            <w:bookmarkStart w:id="41" w:name="_Toc515"/>
            <w:r>
              <w:rPr>
                <w:rFonts w:hint="eastAsia" w:ascii="宋体" w:hAnsi="宋体" w:eastAsia="宋体" w:cs="宋体"/>
                <w:color w:val="auto"/>
                <w:sz w:val="21"/>
                <w:szCs w:val="21"/>
                <w:highlight w:val="none"/>
              </w:rPr>
              <w:t>解释权</w:t>
            </w:r>
          </w:p>
        </w:tc>
        <w:tc>
          <w:tcPr>
            <w:tcW w:w="7203" w:type="dxa"/>
            <w:tcBorders>
              <w:top w:val="single" w:color="auto" w:sz="8" w:space="0"/>
              <w:left w:val="single" w:color="auto" w:sz="4" w:space="0"/>
              <w:bottom w:val="single" w:color="auto" w:sz="8" w:space="0"/>
              <w:right w:val="single" w:color="auto" w:sz="8" w:space="0"/>
            </w:tcBorders>
            <w:vAlign w:val="center"/>
          </w:tcPr>
          <w:p w14:paraId="742D0067">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1、构成本招标文件的各个组成文件应互为解释，互为说明；</w:t>
            </w:r>
          </w:p>
          <w:p w14:paraId="7558CB5B">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2、同一组成文件中就同一事项的规定或约定不一致的，以编排顺序在后者为准；</w:t>
            </w:r>
          </w:p>
          <w:p w14:paraId="12A1C4B2">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3、如有不明确或不一致，构成合同文件组成内容的，以合同文件约定内容为准，且以专用合同条款约定的合同文件优先顺序解释；</w:t>
            </w:r>
          </w:p>
          <w:p w14:paraId="166A876D">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4、系统中提供的表格（或格式文件）与招标文件中不一致时，以招标文件中提供的为准；</w:t>
            </w:r>
          </w:p>
          <w:p w14:paraId="4FAE2F1B">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5、按本款前述规定仍不能形成结论的，由招标人负责解释。</w:t>
            </w:r>
          </w:p>
        </w:tc>
      </w:tr>
    </w:tbl>
    <w:p w14:paraId="768D0C63">
      <w:pPr>
        <w:pStyle w:val="2"/>
        <w:rPr>
          <w:rFonts w:hint="eastAsia"/>
          <w:color w:val="auto"/>
          <w:highlight w:val="none"/>
        </w:rPr>
      </w:pPr>
    </w:p>
    <w:p w14:paraId="5115A68F">
      <w:pPr>
        <w:pStyle w:val="2"/>
        <w:rPr>
          <w:rFonts w:hint="eastAsia"/>
          <w:color w:val="auto"/>
          <w:highlight w:val="none"/>
        </w:rPr>
      </w:pPr>
    </w:p>
    <w:p w14:paraId="4F1B10CE">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p>
    <w:p w14:paraId="727A26BE">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6094F76D">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一、总  则</w:t>
      </w:r>
      <w:bookmarkEnd w:id="40"/>
      <w:bookmarkEnd w:id="41"/>
    </w:p>
    <w:p w14:paraId="5FB33392">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val="en-US" w:eastAsia="zh-CN"/>
        </w:rPr>
        <w:t>滁城西片区排水综合整治工程四批次跟踪审计项目</w:t>
      </w:r>
    </w:p>
    <w:p w14:paraId="26F9FD9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cs="宋体"/>
          <w:color w:val="auto"/>
          <w:sz w:val="21"/>
          <w:szCs w:val="21"/>
          <w:highlight w:val="none"/>
          <w:u w:val="none"/>
          <w:lang w:eastAsia="zh-CN"/>
        </w:rPr>
        <w:t>滁州市重点工程建设管理处</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cs="宋体"/>
          <w:color w:val="auto"/>
          <w:sz w:val="21"/>
          <w:szCs w:val="21"/>
          <w:highlight w:val="none"/>
          <w:u w:val="none"/>
          <w:lang w:val="en-US" w:eastAsia="zh-CN"/>
        </w:rPr>
        <w:t>工程投资额8055万元（具体以施工实际发生为准）</w:t>
      </w:r>
      <w:r>
        <w:rPr>
          <w:rFonts w:hint="eastAsia" w:ascii="宋体" w:hAnsi="宋体" w:eastAsia="宋体" w:cs="宋体"/>
          <w:color w:val="auto"/>
          <w:sz w:val="21"/>
          <w:szCs w:val="21"/>
          <w:highlight w:val="none"/>
          <w:u w:val="none"/>
          <w:lang w:val="en-US" w:eastAsia="zh-CN"/>
        </w:rPr>
        <w:t>，跟踪审计服务费约</w:t>
      </w:r>
      <w:r>
        <w:rPr>
          <w:rFonts w:hint="eastAsia" w:ascii="宋体" w:hAnsi="宋体" w:cs="宋体"/>
          <w:color w:val="auto"/>
          <w:sz w:val="21"/>
          <w:szCs w:val="21"/>
          <w:highlight w:val="none"/>
          <w:u w:val="none"/>
          <w:lang w:val="en-US" w:eastAsia="zh-CN"/>
        </w:rPr>
        <w:t>20万元</w:t>
      </w:r>
      <w:r>
        <w:rPr>
          <w:rFonts w:hint="eastAsia" w:ascii="宋体" w:hAnsi="宋体" w:eastAsia="宋体" w:cs="宋体"/>
          <w:color w:val="auto"/>
          <w:kern w:val="0"/>
          <w:sz w:val="21"/>
          <w:szCs w:val="21"/>
          <w:highlight w:val="none"/>
          <w:u w:val="none"/>
          <w:lang w:val="en-US" w:eastAsia="zh-CN"/>
        </w:rPr>
        <w:t>。</w:t>
      </w:r>
    </w:p>
    <w:p w14:paraId="67586197">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outlineLvl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cs="宋体"/>
          <w:color w:val="auto"/>
          <w:sz w:val="21"/>
          <w:szCs w:val="21"/>
          <w:highlight w:val="none"/>
          <w:lang w:val="en-US" w:eastAsia="zh-CN"/>
        </w:rPr>
        <w:t>服务需求</w:t>
      </w:r>
    </w:p>
    <w:p w14:paraId="67DEE0C4">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0FE54FE">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7F965071">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eastAsia="宋体" w:cs="宋体"/>
          <w:color w:val="auto"/>
          <w:sz w:val="21"/>
          <w:szCs w:val="21"/>
          <w:highlight w:val="none"/>
          <w:lang w:val="en-US" w:eastAsia="zh-CN"/>
        </w:rPr>
        <w:t>固定</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w:t>
      </w:r>
    </w:p>
    <w:p w14:paraId="06FDAF9B">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2E0A7DF4">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0BCBF344">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4592EB5D">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796160D6">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1DAD49D1">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788E0003">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04B3D660">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资金 </w:t>
      </w:r>
      <w:r>
        <w:rPr>
          <w:rFonts w:hint="eastAsia" w:ascii="宋体" w:hAnsi="宋体" w:eastAsia="宋体" w:cs="宋体"/>
          <w:color w:val="auto"/>
          <w:sz w:val="21"/>
          <w:szCs w:val="21"/>
          <w:highlight w:val="none"/>
        </w:rPr>
        <w:t>；资金已落实。</w:t>
      </w:r>
    </w:p>
    <w:p w14:paraId="16562C86">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2EB90A2C">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个标段  </w:t>
      </w:r>
    </w:p>
    <w:p w14:paraId="084D1B0F">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585C687E">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4E82FFBC">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A62DB5F">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lang w:val="en-US" w:eastAsia="zh-CN"/>
        </w:rPr>
        <w:t>固定费率</w:t>
      </w:r>
      <w:r>
        <w:rPr>
          <w:rFonts w:hint="eastAsia" w:ascii="宋体" w:hAnsi="宋体" w:eastAsia="宋体" w:cs="宋体"/>
          <w:color w:val="auto"/>
          <w:sz w:val="21"/>
          <w:szCs w:val="21"/>
          <w:highlight w:val="none"/>
        </w:rPr>
        <w:t>。</w:t>
      </w:r>
    </w:p>
    <w:p w14:paraId="08A7EAA4">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480" w:lineRule="exact"/>
        <w:ind w:left="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综合评估法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章评标办法）。</w:t>
      </w:r>
    </w:p>
    <w:p w14:paraId="2DD47ABF">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bookmarkStart w:id="42" w:name="_Toc29988"/>
      <w:bookmarkStart w:id="43" w:name="_Toc17301"/>
      <w:r>
        <w:rPr>
          <w:rFonts w:hint="eastAsia" w:ascii="宋体" w:hAnsi="宋体" w:eastAsia="宋体" w:cs="宋体"/>
          <w:b/>
          <w:bCs/>
          <w:color w:val="auto"/>
          <w:sz w:val="28"/>
          <w:highlight w:val="none"/>
        </w:rPr>
        <w:t>二、招标文件</w:t>
      </w:r>
      <w:bookmarkEnd w:id="42"/>
      <w:bookmarkEnd w:id="43"/>
    </w:p>
    <w:p w14:paraId="62AC36E5">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480" w:lineRule="exact"/>
        <w:ind w:firstLine="840" w:firstLineChars="4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480" w:lineRule="exact"/>
        <w:ind w:firstLine="840" w:firstLineChars="4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480" w:lineRule="exact"/>
        <w:ind w:firstLine="840" w:firstLineChars="4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480" w:lineRule="exact"/>
        <w:ind w:firstLine="840" w:firstLineChars="4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480" w:lineRule="exact"/>
        <w:ind w:firstLine="840" w:firstLineChars="4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keepNext w:val="0"/>
        <w:keepLines w:val="0"/>
        <w:pageBreakBefore w:val="0"/>
        <w:widowControl w:val="0"/>
        <w:kinsoku/>
        <w:wordWrap w:val="0"/>
        <w:overflowPunct/>
        <w:topLinePunct w:val="0"/>
        <w:autoSpaceDE/>
        <w:autoSpaceDN/>
        <w:bidi w:val="0"/>
        <w:adjustRightInd/>
        <w:snapToGrid/>
        <w:spacing w:line="480" w:lineRule="exact"/>
        <w:ind w:left="0" w:leftChars="0" w:firstLine="422" w:firstLineChars="200"/>
        <w:textAlignment w:val="auto"/>
        <w:rPr>
          <w:rFonts w:hint="default" w:eastAsia="宋体"/>
          <w:color w:val="auto"/>
          <w:highlight w:val="none"/>
          <w:lang w:val="en-US" w:eastAsia="zh-CN"/>
        </w:rPr>
      </w:pPr>
      <w:r>
        <w:rPr>
          <w:rFonts w:hint="eastAsia" w:ascii="宋体" w:hAnsi="宋体" w:eastAsia="宋体" w:cs="宋体"/>
          <w:b/>
          <w:bCs/>
          <w:color w:val="auto"/>
          <w:kern w:val="0"/>
          <w:sz w:val="21"/>
          <w:szCs w:val="21"/>
          <w:highlight w:val="none"/>
          <w:lang w:val="en-US" w:eastAsia="zh-CN"/>
        </w:rPr>
        <w:t>13.4投标人可以通过新点电子交易平台【滁州专区】对招标文件提出澄清（质疑）。招标文件的澄清将在滁州市城投工程咨询管理有限公司（https://www.czctgczx.com/）、滁州市重点工程建设管理处（http://zdc.chuzhou.gov.cn/）发布，但不指明澄清问题的来源。如果澄清内容影响投标文件编制的，将相应延长投标截止时间。</w:t>
      </w:r>
    </w:p>
    <w:p w14:paraId="182D12DA">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、滁州市重点工程建设管理处（http://zdc.chuzhou.gov.cn/）</w:t>
      </w:r>
      <w:r>
        <w:rPr>
          <w:rFonts w:hint="eastAsia"/>
          <w:color w:val="auto"/>
          <w:szCs w:val="21"/>
          <w:highlight w:val="none"/>
          <w:lang w:val="en-US" w:eastAsia="zh-CN"/>
        </w:rPr>
        <w:t>网站发布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32E39163">
      <w:pPr>
        <w:keepNext w:val="0"/>
        <w:keepLines w:val="0"/>
        <w:pageBreakBefore w:val="0"/>
        <w:widowControl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w:t>
      </w:r>
      <w:r>
        <w:rPr>
          <w:rFonts w:hint="eastAsia" w:ascii="宋体" w:hAnsi="宋体" w:eastAsia="宋体" w:cs="宋体"/>
          <w:b/>
          <w:bCs/>
          <w:color w:val="auto"/>
          <w:sz w:val="21"/>
          <w:szCs w:val="21"/>
          <w:highlight w:val="none"/>
        </w:rPr>
        <w:t>本项目的</w:t>
      </w:r>
      <w:r>
        <w:rPr>
          <w:rFonts w:hint="eastAsia" w:ascii="宋体" w:hAnsi="宋体" w:eastAsia="宋体" w:cs="宋体"/>
          <w:b/>
          <w:bCs/>
          <w:color w:val="auto"/>
          <w:sz w:val="21"/>
          <w:szCs w:val="21"/>
          <w:highlight w:val="none"/>
          <w:lang w:val="en-US" w:eastAsia="zh-CN"/>
        </w:rPr>
        <w:t>最高限价</w:t>
      </w:r>
      <w:r>
        <w:rPr>
          <w:rFonts w:hint="eastAsia" w:ascii="宋体" w:hAnsi="宋体" w:eastAsia="宋体" w:cs="宋体"/>
          <w:b/>
          <w:bCs/>
          <w:color w:val="auto"/>
          <w:sz w:val="21"/>
          <w:szCs w:val="21"/>
          <w:highlight w:val="none"/>
        </w:rPr>
        <w:t>为基本费率</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审核成果费率</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%（审核成果费率</w:t>
      </w:r>
      <w:r>
        <w:rPr>
          <w:rFonts w:hint="eastAsia" w:ascii="宋体" w:hAnsi="宋体" w:cs="宋体"/>
          <w:b/>
          <w:bCs/>
          <w:color w:val="auto"/>
          <w:sz w:val="21"/>
          <w:szCs w:val="21"/>
          <w:highlight w:val="none"/>
          <w:lang w:val="en-US" w:eastAsia="zh-CN"/>
        </w:rPr>
        <w:t>为不可竞争费率，</w:t>
      </w:r>
      <w:r>
        <w:rPr>
          <w:rFonts w:hint="eastAsia" w:ascii="宋体" w:hAnsi="宋体" w:eastAsia="宋体" w:cs="宋体"/>
          <w:b/>
          <w:bCs/>
          <w:color w:val="auto"/>
          <w:sz w:val="21"/>
          <w:szCs w:val="21"/>
          <w:highlight w:val="none"/>
        </w:rPr>
        <w:t>固定不变）</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基本费率由投标人自主报价，</w:t>
      </w:r>
      <w:r>
        <w:rPr>
          <w:rFonts w:hint="eastAsia" w:ascii="宋体" w:hAnsi="宋体" w:eastAsia="宋体" w:cs="宋体"/>
          <w:b/>
          <w:bCs/>
          <w:color w:val="auto"/>
          <w:sz w:val="21"/>
          <w:szCs w:val="21"/>
          <w:highlight w:val="none"/>
        </w:rPr>
        <w:t>不得高于上述基本</w:t>
      </w:r>
      <w:r>
        <w:rPr>
          <w:rFonts w:hint="eastAsia" w:ascii="宋体" w:hAnsi="宋体" w:eastAsia="宋体" w:cs="宋体"/>
          <w:b/>
          <w:bCs/>
          <w:color w:val="auto"/>
          <w:sz w:val="21"/>
          <w:szCs w:val="21"/>
          <w:highlight w:val="none"/>
          <w:lang w:eastAsia="zh-CN"/>
        </w:rPr>
        <w:t>费率</w:t>
      </w:r>
      <w:r>
        <w:rPr>
          <w:rFonts w:hint="eastAsia" w:ascii="宋体" w:hAnsi="宋体" w:eastAsia="宋体" w:cs="宋体"/>
          <w:b/>
          <w:bCs/>
          <w:color w:val="auto"/>
          <w:sz w:val="21"/>
          <w:szCs w:val="21"/>
          <w:highlight w:val="none"/>
        </w:rPr>
        <w:t>最高限价，否则按无效标处理。</w:t>
      </w:r>
    </w:p>
    <w:p w14:paraId="344A8BB9">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bookmarkStart w:id="44" w:name="_Toc6831"/>
      <w:bookmarkStart w:id="45" w:name="_Toc24852"/>
      <w:r>
        <w:rPr>
          <w:rFonts w:hint="eastAsia" w:ascii="宋体" w:hAnsi="宋体" w:eastAsia="宋体" w:cs="宋体"/>
          <w:b/>
          <w:bCs/>
          <w:color w:val="auto"/>
          <w:sz w:val="28"/>
          <w:highlight w:val="none"/>
        </w:rPr>
        <w:t>三、投标文件的编制</w:t>
      </w:r>
      <w:bookmarkEnd w:id="44"/>
      <w:bookmarkEnd w:id="45"/>
    </w:p>
    <w:p w14:paraId="64695F4A">
      <w:pPr>
        <w:keepNext w:val="0"/>
        <w:keepLines w:val="0"/>
        <w:pageBreakBefore w:val="0"/>
        <w:widowControl w:val="0"/>
        <w:kinsoku/>
        <w:wordWrap/>
        <w:overflowPunct/>
        <w:topLinePunct w:val="0"/>
        <w:autoSpaceDE/>
        <w:autoSpaceDN/>
        <w:bidi w:val="0"/>
        <w:spacing w:line="48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57A6517E">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2342D3FE">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14CE7639">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65209427">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01A2C048">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不少于2名注册在投标单位的二级及以上造价工程师（</w:t>
      </w:r>
      <w:r>
        <w:rPr>
          <w:rFonts w:hint="eastAsia" w:ascii="宋体" w:hAnsi="宋体" w:cs="宋体"/>
          <w:color w:val="auto"/>
          <w:kern w:val="0"/>
          <w:sz w:val="21"/>
          <w:szCs w:val="21"/>
          <w:highlight w:val="none"/>
          <w:lang w:val="en-US" w:eastAsia="zh-CN"/>
        </w:rPr>
        <w:t>土木建筑工程专业</w:t>
      </w:r>
      <w:r>
        <w:rPr>
          <w:rFonts w:hint="eastAsia" w:ascii="宋体" w:hAnsi="宋体" w:eastAsia="宋体" w:cs="宋体"/>
          <w:color w:val="auto"/>
          <w:kern w:val="0"/>
          <w:sz w:val="21"/>
          <w:szCs w:val="21"/>
          <w:highlight w:val="none"/>
          <w:lang w:val="en-US" w:eastAsia="zh-CN"/>
        </w:rPr>
        <w:t>至少1名、安装工程专业至少1名）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70AD6D8C">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承诺书1：投标人对所提供的上述材料作出承诺，若投标人存在弄虚作假，提供虚假资料的，若中标，则取消中标资格。（承诺书格式自拟并注明开标日期，加盖投标单位公章）</w:t>
      </w:r>
    </w:p>
    <w:p w14:paraId="1B10E9C8">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3F0F7B4A">
      <w:pPr>
        <w:keepNext w:val="0"/>
        <w:keepLines w:val="0"/>
        <w:pageBreakBefore w:val="0"/>
        <w:widowControl w:val="0"/>
        <w:numPr>
          <w:ilvl w:val="0"/>
          <w:numId w:val="0"/>
        </w:numPr>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须持有社保部门出具的本单位为其缴纳的投标前近三个月内任意一月的养老保险证明（含官网在线打印件，证明文件两个月内有效），或投标人提供承诺已为上述人员缴纳养老保险证明的承诺书（格式自拟）。</w:t>
      </w:r>
    </w:p>
    <w:p w14:paraId="1D000F8A">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3DC867D5">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6CFB64B6">
      <w:pPr>
        <w:keepNext w:val="0"/>
        <w:keepLines w:val="0"/>
        <w:pageBreakBefore w:val="0"/>
        <w:widowControl w:val="0"/>
        <w:numPr>
          <w:ilvl w:val="0"/>
          <w:numId w:val="0"/>
        </w:numPr>
        <w:kinsoku/>
        <w:wordWrap/>
        <w:overflowPunct/>
        <w:topLinePunct w:val="0"/>
        <w:autoSpaceDE/>
        <w:autoSpaceDN/>
        <w:bidi w:val="0"/>
        <w:spacing w:line="480" w:lineRule="exact"/>
        <w:ind w:firstLine="422" w:firstLineChars="200"/>
        <w:jc w:val="both"/>
        <w:textAlignment w:val="auto"/>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276CFE5B">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42834304">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64DCFAF7">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6D4B70A1">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12304D1D">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62D31D9D">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2"/>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b/>
          <w:color w:val="auto"/>
          <w:szCs w:val="21"/>
          <w:highlight w:val="none"/>
          <w:lang w:val="en-US" w:eastAsia="zh-CN"/>
        </w:rPr>
        <w:t>。在“投标文件格式”中要求单位签章的，投标人应加盖投标人单位电子印章或直接上传加盖投标人单位印章原件彩色扫描件。要求个人签章的，加盖相应人员印章（或电子印章）或相应人员签字均可。</w:t>
      </w:r>
    </w:p>
    <w:p w14:paraId="52D29299">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BE993A2">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color w:val="auto"/>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235F678A">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0A229A7F">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color w:val="auto"/>
          <w:sz w:val="28"/>
          <w:szCs w:val="28"/>
          <w:highlight w:val="none"/>
        </w:rPr>
      </w:pPr>
      <w:bookmarkStart w:id="46" w:name="_Toc27519"/>
      <w:bookmarkStart w:id="47" w:name="_Toc13407"/>
      <w:r>
        <w:rPr>
          <w:rFonts w:hint="eastAsia" w:ascii="宋体" w:hAnsi="宋体" w:eastAsia="宋体" w:cs="宋体"/>
          <w:b/>
          <w:bCs/>
          <w:color w:val="auto"/>
          <w:sz w:val="28"/>
          <w:highlight w:val="none"/>
        </w:rPr>
        <w:t>四、投标文件的递交</w:t>
      </w:r>
      <w:bookmarkEnd w:id="46"/>
      <w:bookmarkEnd w:id="47"/>
    </w:p>
    <w:p w14:paraId="3545408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2" w:firstLineChars="200"/>
        <w:jc w:val="both"/>
        <w:textAlignment w:val="auto"/>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w:t>
      </w:r>
      <w:r>
        <w:rPr>
          <w:rFonts w:hint="eastAsia" w:ascii="宋体" w:hAnsi="宋体"/>
          <w:b/>
          <w:color w:val="auto"/>
          <w:szCs w:val="21"/>
          <w:highlight w:val="none"/>
        </w:rPr>
        <w:t>递</w:t>
      </w:r>
      <w:r>
        <w:rPr>
          <w:rFonts w:hint="eastAsia" w:ascii="宋体" w:hAnsi="宋体"/>
          <w:b/>
          <w:bCs/>
          <w:color w:val="auto"/>
          <w:szCs w:val="21"/>
          <w:highlight w:val="none"/>
        </w:rPr>
        <w:t>交</w:t>
      </w:r>
    </w:p>
    <w:p w14:paraId="7F8AEA89">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8"/>
          <w:szCs w:val="28"/>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ascii="宋体" w:hAnsi="宋体" w:cs="宋体"/>
          <w:color w:val="auto"/>
          <w:szCs w:val="21"/>
          <w:highlight w:val="none"/>
        </w:rPr>
        <w:t>在“招标公告”规定的投标截止时间前，投标人可以自行从网上</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撤回已递交的投标文件，并可修改后重新加密上传，开标时以投标截止时间前投标人最终上传的投标文件为准</w:t>
      </w:r>
      <w:r>
        <w:rPr>
          <w:rFonts w:hint="eastAsia" w:ascii="宋体" w:hAnsi="宋体" w:cs="宋体"/>
          <w:color w:val="auto"/>
          <w:szCs w:val="21"/>
          <w:highlight w:val="none"/>
          <w:lang w:eastAsia="zh-CN"/>
        </w:rPr>
        <w:t>。</w:t>
      </w:r>
    </w:p>
    <w:p w14:paraId="7500E7D0">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48" w:name="_Toc18173"/>
      <w:bookmarkStart w:id="49" w:name="_Toc24005"/>
      <w:r>
        <w:rPr>
          <w:rFonts w:hint="eastAsia" w:ascii="宋体" w:hAnsi="宋体" w:eastAsia="宋体" w:cs="宋体"/>
          <w:b/>
          <w:bCs/>
          <w:color w:val="auto"/>
          <w:sz w:val="28"/>
          <w:highlight w:val="none"/>
        </w:rPr>
        <w:t>五、开标、评标和定标</w:t>
      </w:r>
      <w:bookmarkEnd w:id="48"/>
      <w:bookmarkEnd w:id="49"/>
    </w:p>
    <w:p w14:paraId="066918F9">
      <w:pPr>
        <w:keepNext w:val="0"/>
        <w:keepLines w:val="0"/>
        <w:pageBreakBefore w:val="0"/>
        <w:widowControl w:val="0"/>
        <w:kinsoku/>
        <w:wordWrap/>
        <w:overflowPunct/>
        <w:topLinePunct w:val="0"/>
        <w:autoSpaceDE/>
        <w:autoSpaceDN/>
        <w:bidi w:val="0"/>
        <w:spacing w:line="48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48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48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48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48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keepNext w:val="0"/>
        <w:keepLines w:val="0"/>
        <w:pageBreakBefore w:val="0"/>
        <w:widowControl w:val="0"/>
        <w:kinsoku/>
        <w:wordWrap w:val="0"/>
        <w:overflowPunct/>
        <w:topLinePunct w:val="0"/>
        <w:autoSpaceDE/>
        <w:autoSpaceDN/>
        <w:bidi w:val="0"/>
        <w:spacing w:line="480" w:lineRule="exact"/>
        <w:ind w:right="0" w:rightChars="0" w:firstLine="420" w:firstLineChars="200"/>
        <w:jc w:val="left"/>
        <w:textAlignment w:val="auto"/>
        <w:rPr>
          <w:rFonts w:hint="eastAsia" w:ascii="宋体"/>
          <w:color w:val="auto"/>
          <w:szCs w:val="21"/>
          <w:highlight w:val="none"/>
        </w:rPr>
      </w:pPr>
      <w:r>
        <w:rPr>
          <w:rFonts w:hint="eastAsia" w:ascii="宋体"/>
          <w:color w:val="auto"/>
          <w:szCs w:val="21"/>
          <w:highlight w:val="none"/>
          <w:lang w:val="en-US" w:eastAsia="zh-CN"/>
        </w:rPr>
        <w:t xml:space="preserve">开标会议由采购代理机构主持。 </w:t>
      </w:r>
    </w:p>
    <w:p w14:paraId="04855B42">
      <w:pPr>
        <w:keepNext w:val="0"/>
        <w:keepLines w:val="0"/>
        <w:pageBreakBefore w:val="0"/>
        <w:widowControl w:val="0"/>
        <w:kinsoku/>
        <w:wordWrap w:val="0"/>
        <w:overflowPunct/>
        <w:topLinePunct w:val="0"/>
        <w:autoSpaceDE/>
        <w:autoSpaceDN/>
        <w:bidi w:val="0"/>
        <w:spacing w:line="480" w:lineRule="exact"/>
        <w:ind w:right="0" w:rightChars="0" w:firstLine="420" w:firstLineChars="2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keepNext w:val="0"/>
        <w:keepLines w:val="0"/>
        <w:pageBreakBefore w:val="0"/>
        <w:widowControl w:val="0"/>
        <w:kinsoku/>
        <w:wordWrap w:val="0"/>
        <w:overflowPunct/>
        <w:topLinePunct w:val="0"/>
        <w:autoSpaceDE/>
        <w:autoSpaceDN/>
        <w:bidi w:val="0"/>
        <w:spacing w:line="480" w:lineRule="exact"/>
        <w:ind w:right="0" w:rightChars="0" w:firstLine="420" w:firstLineChars="2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keepNext w:val="0"/>
        <w:keepLines w:val="0"/>
        <w:pageBreakBefore w:val="0"/>
        <w:widowControl w:val="0"/>
        <w:kinsoku/>
        <w:wordWrap w:val="0"/>
        <w:overflowPunct/>
        <w:topLinePunct w:val="0"/>
        <w:autoSpaceDE/>
        <w:autoSpaceDN/>
        <w:bidi w:val="0"/>
        <w:spacing w:line="480" w:lineRule="exact"/>
        <w:ind w:right="0" w:rightChars="0" w:firstLine="420" w:firstLineChars="2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keepNext w:val="0"/>
        <w:keepLines w:val="0"/>
        <w:pageBreakBefore w:val="0"/>
        <w:widowControl w:val="0"/>
        <w:kinsoku/>
        <w:wordWrap w:val="0"/>
        <w:overflowPunct/>
        <w:topLinePunct w:val="0"/>
        <w:autoSpaceDE/>
        <w:autoSpaceDN/>
        <w:bidi w:val="0"/>
        <w:spacing w:line="480" w:lineRule="exact"/>
        <w:ind w:right="0" w:rightChars="0" w:firstLine="420" w:firstLineChars="2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keepNext w:val="0"/>
        <w:keepLines w:val="0"/>
        <w:pageBreakBefore w:val="0"/>
        <w:widowControl w:val="0"/>
        <w:kinsoku/>
        <w:wordWrap w:val="0"/>
        <w:overflowPunct/>
        <w:topLinePunct w:val="0"/>
        <w:autoSpaceDE/>
        <w:autoSpaceDN/>
        <w:bidi w:val="0"/>
        <w:spacing w:line="480" w:lineRule="exact"/>
        <w:ind w:right="0" w:rightChars="0" w:firstLine="420" w:firstLineChars="2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 xml:space="preserve">（5）开标结束。 </w:t>
      </w:r>
    </w:p>
    <w:p w14:paraId="10B86A20">
      <w:pPr>
        <w:keepNext w:val="0"/>
        <w:keepLines w:val="0"/>
        <w:pageBreakBefore w:val="0"/>
        <w:widowControl w:val="0"/>
        <w:kinsoku/>
        <w:wordWrap/>
        <w:overflowPunct/>
        <w:topLinePunct w:val="0"/>
        <w:autoSpaceDE/>
        <w:autoSpaceDN/>
        <w:bidi w:val="0"/>
        <w:spacing w:line="48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742AB9AD">
      <w:pPr>
        <w:pStyle w:val="2"/>
        <w:keepNext w:val="0"/>
        <w:keepLines w:val="0"/>
        <w:pageBreakBefore w:val="0"/>
        <w:widowControl w:val="0"/>
        <w:kinsoku/>
        <w:overflowPunct/>
        <w:topLinePunct w:val="0"/>
        <w:autoSpaceDE/>
        <w:autoSpaceDN/>
        <w:bidi w:val="0"/>
        <w:spacing w:line="480" w:lineRule="exact"/>
        <w:ind w:right="0" w:rightChars="0" w:firstLine="420" w:firstLineChars="200"/>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keepNext w:val="0"/>
        <w:keepLines w:val="0"/>
        <w:pageBreakBefore w:val="0"/>
        <w:widowControl w:val="0"/>
        <w:kinsoku/>
        <w:overflowPunct/>
        <w:topLinePunct w:val="0"/>
        <w:autoSpaceDE/>
        <w:autoSpaceDN/>
        <w:bidi w:val="0"/>
        <w:spacing w:line="480" w:lineRule="exact"/>
        <w:ind w:right="0" w:rightChars="0" w:firstLine="420" w:firstLineChars="200"/>
        <w:jc w:val="left"/>
        <w:textAlignment w:val="auto"/>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keepNext w:val="0"/>
        <w:keepLines w:val="0"/>
        <w:pageBreakBefore w:val="0"/>
        <w:widowControl w:val="0"/>
        <w:kinsoku/>
        <w:overflowPunct/>
        <w:topLinePunct w:val="0"/>
        <w:autoSpaceDE/>
        <w:autoSpaceDN/>
        <w:bidi w:val="0"/>
        <w:spacing w:line="480" w:lineRule="exact"/>
        <w:ind w:right="0" w:rightChars="0" w:firstLine="420" w:firstLineChars="200"/>
        <w:jc w:val="left"/>
        <w:textAlignment w:val="auto"/>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keepNext w:val="0"/>
        <w:keepLines w:val="0"/>
        <w:pageBreakBefore w:val="0"/>
        <w:widowControl w:val="0"/>
        <w:kinsoku/>
        <w:overflowPunct/>
        <w:topLinePunct w:val="0"/>
        <w:autoSpaceDE/>
        <w:autoSpaceDN/>
        <w:bidi w:val="0"/>
        <w:spacing w:line="480" w:lineRule="exact"/>
        <w:ind w:right="0" w:rightChars="0" w:firstLine="422" w:firstLineChars="200"/>
        <w:jc w:val="left"/>
        <w:textAlignment w:val="auto"/>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4E4A2BF0">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2A215DB6">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 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p>
    <w:p w14:paraId="196EDBAE">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（2）招标投标当事人对评标结果提出质疑或者投诉，公共资源交易监督机构认为需要重新进行评标的，评标委员会成员应当按照公共资源交易监督机构要求重新评标。</w:t>
      </w:r>
    </w:p>
    <w:p w14:paraId="630F06F4">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keepNext w:val="0"/>
        <w:keepLines w:val="0"/>
        <w:pageBreakBefore w:val="0"/>
        <w:widowControl w:val="0"/>
        <w:kinsoku/>
        <w:overflowPunct/>
        <w:topLinePunct w:val="0"/>
        <w:autoSpaceDE/>
        <w:autoSpaceDN/>
        <w:bidi w:val="0"/>
        <w:spacing w:line="480" w:lineRule="exact"/>
        <w:ind w:right="0" w:rightChars="0" w:firstLine="420" w:firstLineChars="200"/>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keepNext w:val="0"/>
        <w:keepLines w:val="0"/>
        <w:pageBreakBefore w:val="0"/>
        <w:widowControl w:val="0"/>
        <w:kinsoku/>
        <w:overflowPunct/>
        <w:topLinePunct w:val="0"/>
        <w:autoSpaceDE/>
        <w:autoSpaceDN/>
        <w:bidi w:val="0"/>
        <w:spacing w:line="480" w:lineRule="exact"/>
        <w:ind w:right="0" w:rightChars="0" w:firstLine="422" w:firstLineChars="200"/>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招标人应将中标人的情况在滁州市城投工程咨询管理有限公司（https://www.czctgczx.com/）、滁州市重点工程建设管理处（http://zdc.chuzhou.gov.cn/）等网站上予以公告，公告期为3日</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7CBC244B">
      <w:pPr>
        <w:pStyle w:val="18"/>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312012EC">
      <w:pPr>
        <w:pStyle w:val="18"/>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7A869D92">
      <w:pPr>
        <w:pStyle w:val="18"/>
        <w:keepNext w:val="0"/>
        <w:keepLines w:val="0"/>
        <w:pageBreakBefore w:val="0"/>
        <w:widowControl w:val="0"/>
        <w:kinsoku/>
        <w:wordWrap w:val="0"/>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滁州市城投工程咨询管理有限公司（https://www.czctgczx.com/）、滁州市重点工程建设管理处（http://zdc.chuzhou.gov.cn/）等</w:t>
      </w:r>
      <w:r>
        <w:rPr>
          <w:rFonts w:hint="eastAsia" w:ascii="宋体" w:hAnsi="宋体" w:eastAsia="宋体" w:cs="宋体"/>
          <w:color w:val="auto"/>
          <w:szCs w:val="21"/>
          <w:highlight w:val="none"/>
        </w:rPr>
        <w:t>网站上公告。</w:t>
      </w:r>
    </w:p>
    <w:p w14:paraId="5604CD8A">
      <w:pPr>
        <w:pStyle w:val="18"/>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240A53A8">
      <w:pPr>
        <w:pStyle w:val="18"/>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8"/>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480" w:lineRule="exact"/>
        <w:ind w:right="0" w:righ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keepNext w:val="0"/>
        <w:keepLines w:val="0"/>
        <w:pageBreakBefore w:val="0"/>
        <w:widowControl w:val="0"/>
        <w:kinsoku/>
        <w:overflowPunct/>
        <w:topLinePunct w:val="0"/>
        <w:autoSpaceDE/>
        <w:autoSpaceDN/>
        <w:bidi w:val="0"/>
        <w:adjustRightInd w:val="0"/>
        <w:snapToGrid w:val="0"/>
        <w:spacing w:line="48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keepNext w:val="0"/>
        <w:keepLines w:val="0"/>
        <w:pageBreakBefore w:val="0"/>
        <w:widowControl w:val="0"/>
        <w:kinsoku/>
        <w:overflowPunct/>
        <w:topLinePunct w:val="0"/>
        <w:autoSpaceDE/>
        <w:autoSpaceDN/>
        <w:bidi w:val="0"/>
        <w:adjustRightInd w:val="0"/>
        <w:snapToGrid w:val="0"/>
        <w:spacing w:line="48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keepNext w:val="0"/>
        <w:keepLines w:val="0"/>
        <w:pageBreakBefore w:val="0"/>
        <w:widowControl w:val="0"/>
        <w:kinsoku/>
        <w:overflowPunct/>
        <w:topLinePunct w:val="0"/>
        <w:autoSpaceDE/>
        <w:autoSpaceDN/>
        <w:bidi w:val="0"/>
        <w:adjustRightInd w:val="0"/>
        <w:snapToGrid w:val="0"/>
        <w:spacing w:line="48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keepNext w:val="0"/>
        <w:keepLines w:val="0"/>
        <w:pageBreakBefore w:val="0"/>
        <w:widowControl w:val="0"/>
        <w:kinsoku/>
        <w:overflowPunct/>
        <w:topLinePunct w:val="0"/>
        <w:autoSpaceDE/>
        <w:autoSpaceDN/>
        <w:bidi w:val="0"/>
        <w:adjustRightInd w:val="0"/>
        <w:snapToGrid w:val="0"/>
        <w:spacing w:line="48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keepNext w:val="0"/>
        <w:keepLines w:val="0"/>
        <w:pageBreakBefore w:val="0"/>
        <w:widowControl w:val="0"/>
        <w:kinsoku/>
        <w:overflowPunct/>
        <w:topLinePunct w:val="0"/>
        <w:autoSpaceDE/>
        <w:autoSpaceDN/>
        <w:bidi w:val="0"/>
        <w:adjustRightInd w:val="0"/>
        <w:snapToGrid w:val="0"/>
        <w:spacing w:line="48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7295FCC4">
      <w:pPr>
        <w:keepNext w:val="0"/>
        <w:keepLines w:val="0"/>
        <w:pageBreakBefore w:val="0"/>
        <w:widowControl w:val="0"/>
        <w:kinsoku/>
        <w:overflowPunct/>
        <w:topLinePunct w:val="0"/>
        <w:autoSpaceDE/>
        <w:autoSpaceDN/>
        <w:bidi w:val="0"/>
        <w:spacing w:line="480" w:lineRule="exact"/>
        <w:ind w:right="0" w:rightChars="0" w:firstLine="420" w:firstLineChars="200"/>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 </w:t>
      </w:r>
    </w:p>
    <w:p w14:paraId="6CB16242">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0" w:name="_Toc22926"/>
      <w:bookmarkStart w:id="51" w:name="_Toc21491"/>
      <w:r>
        <w:rPr>
          <w:rFonts w:hint="eastAsia" w:ascii="宋体" w:hAnsi="宋体" w:eastAsia="宋体" w:cs="宋体"/>
          <w:b/>
          <w:bCs/>
          <w:color w:val="auto"/>
          <w:sz w:val="28"/>
          <w:highlight w:val="none"/>
        </w:rPr>
        <w:t>六、合同的授予</w:t>
      </w:r>
      <w:bookmarkEnd w:id="50"/>
      <w:bookmarkEnd w:id="51"/>
    </w:p>
    <w:p w14:paraId="2EDC141E">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52" w:name="_Toc3222"/>
      <w:bookmarkStart w:id="53" w:name="_Toc31589_WPSOffice_Level1"/>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p>
    <w:p w14:paraId="4D39E8B8">
      <w:pPr>
        <w:keepNext w:val="0"/>
        <w:keepLines w:val="0"/>
        <w:pageBreakBefore w:val="0"/>
        <w:widowControl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4" w:name="_Toc449028875"/>
      <w:r>
        <w:rPr>
          <w:rFonts w:hint="eastAsia" w:ascii="宋体" w:hAnsi="宋体" w:eastAsia="宋体" w:cs="宋体"/>
          <w:b/>
          <w:bCs/>
          <w:color w:val="auto"/>
          <w:sz w:val="28"/>
          <w:highlight w:val="none"/>
          <w:lang w:val="en-US" w:eastAsia="zh-CN"/>
        </w:rPr>
        <w:t>八、</w:t>
      </w:r>
      <w:r>
        <w:rPr>
          <w:rFonts w:hint="eastAsia" w:ascii="宋体" w:hAnsi="宋体" w:eastAsia="宋体" w:cs="宋体"/>
          <w:b/>
          <w:bCs/>
          <w:color w:val="auto"/>
          <w:sz w:val="28"/>
          <w:highlight w:val="none"/>
        </w:rPr>
        <w:t>质疑</w:t>
      </w:r>
      <w:bookmarkEnd w:id="54"/>
    </w:p>
    <w:p w14:paraId="1CD4C1C5">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询问、质疑</w:t>
      </w:r>
    </w:p>
    <w:p w14:paraId="2E4B5FF5">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一份质疑（异议）函只能针对一个项目提出质疑（异议），且针对同一招标采购程序环节的质疑（异议）应当一次性提出</w:t>
      </w:r>
      <w:r>
        <w:rPr>
          <w:rFonts w:hint="eastAsia" w:ascii="宋体" w:hAnsi="宋体" w:eastAsia="宋体" w:cs="宋体"/>
          <w:b/>
          <w:bCs/>
          <w:color w:val="auto"/>
          <w:sz w:val="21"/>
          <w:szCs w:val="21"/>
          <w:highlight w:val="none"/>
          <w:lang w:eastAsia="zh-CN"/>
        </w:rPr>
        <w:t>。</w:t>
      </w:r>
    </w:p>
    <w:p w14:paraId="358F522D">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36.4参与投标的投标人对中标公告提出的质疑，负有举证的责任。投标人提出质疑应当提交质疑函和必要的证明材料。质疑函应当包括下列内容：</w:t>
      </w:r>
    </w:p>
    <w:p w14:paraId="1CBAEEF6">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（一）投标人的姓名或者名称、地址、邮编、联系人及联系电话；</w:t>
      </w:r>
    </w:p>
    <w:p w14:paraId="7763497A">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（二）质疑项目的名称、编号；</w:t>
      </w:r>
    </w:p>
    <w:p w14:paraId="2B5293BB">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（三）具体、明确的质疑事项和与质疑事项相关的请求；</w:t>
      </w:r>
    </w:p>
    <w:p w14:paraId="0CC942E4">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（四）事实依据；</w:t>
      </w:r>
    </w:p>
    <w:p w14:paraId="0F584D02">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（五）必要的法律依据；</w:t>
      </w:r>
    </w:p>
    <w:p w14:paraId="615070B5">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（六）提出质疑的日期。</w:t>
      </w:r>
    </w:p>
    <w:p w14:paraId="07F11C0E">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投标人为自然人的，应当由本人签字；投标人为法人或者其他组织的，应当由法定代表人、主要负责人，或者其授权代表签字或者盖章，并加盖公章。</w:t>
      </w:r>
    </w:p>
    <w:p w14:paraId="26A452B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在收到投标人的质疑函后，将审查质疑函的格式、内容以及所附的证明文件是否符合要求。如不符合，说明原因退回投标人；如符合要求，则接受该质疑函并向投标人出具受理证明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36.6处理质疑的时间，从实际接受投标人质疑函的时间开始计算</w:t>
      </w:r>
      <w:r>
        <w:rPr>
          <w:rFonts w:hint="eastAsia" w:ascii="宋体" w:hAnsi="宋体" w:eastAsia="宋体" w:cs="宋体"/>
          <w:color w:val="auto"/>
          <w:kern w:val="10"/>
          <w:sz w:val="21"/>
          <w:szCs w:val="21"/>
          <w:highlight w:val="none"/>
        </w:rPr>
        <w:t>。</w:t>
      </w:r>
    </w:p>
    <w:p w14:paraId="2DFD0EC6">
      <w:pPr>
        <w:pStyle w:val="6"/>
        <w:spacing w:before="0" w:after="0"/>
        <w:rPr>
          <w:rFonts w:hint="eastAsia" w:ascii="宋体" w:hAnsi="宋体" w:eastAsia="宋体" w:cs="宋体"/>
          <w:color w:val="auto"/>
          <w:highlight w:val="none"/>
          <w:lang w:val="en-US" w:eastAsia="zh-CN"/>
        </w:rPr>
      </w:pPr>
    </w:p>
    <w:p w14:paraId="32EDDA19">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55" w:name="_Toc13234"/>
      <w:r>
        <w:rPr>
          <w:rFonts w:hint="eastAsia" w:ascii="宋体" w:hAnsi="宋体" w:eastAsia="宋体" w:cs="宋体"/>
          <w:color w:val="auto"/>
          <w:highlight w:val="none"/>
          <w:lang w:val="en-US" w:eastAsia="zh-CN"/>
        </w:rPr>
        <w:t>第二章 评标办法</w:t>
      </w:r>
      <w:bookmarkEnd w:id="55"/>
    </w:p>
    <w:p w14:paraId="4E420EF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56" w:name="_Toc14912"/>
      <w:r>
        <w:rPr>
          <w:rFonts w:hint="eastAsia" w:ascii="宋体" w:hAnsi="宋体" w:eastAsia="宋体" w:cs="宋体"/>
          <w:b/>
          <w:bCs/>
          <w:color w:val="auto"/>
          <w:sz w:val="24"/>
          <w:szCs w:val="24"/>
          <w:highlight w:val="none"/>
          <w:lang w:val="en-US" w:eastAsia="zh-CN"/>
        </w:rPr>
        <w:t>一、总则</w:t>
      </w:r>
      <w:bookmarkEnd w:id="56"/>
    </w:p>
    <w:p w14:paraId="068C5033">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 本次评标采用综合评估法</w:t>
      </w:r>
    </w:p>
    <w:p w14:paraId="64AB08B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1.1综合评</w:t>
      </w:r>
      <w:r>
        <w:rPr>
          <w:rFonts w:hint="eastAsia" w:ascii="宋体" w:hAnsi="宋体" w:cs="宋体"/>
          <w:color w:val="auto"/>
          <w:sz w:val="21"/>
          <w:szCs w:val="21"/>
          <w:highlight w:val="none"/>
          <w:lang w:val="en-US" w:eastAsia="zh-CN"/>
        </w:rPr>
        <w:t>估</w:t>
      </w:r>
      <w:r>
        <w:rPr>
          <w:rFonts w:hint="eastAsia" w:ascii="宋体" w:hAnsi="宋体" w:eastAsia="宋体" w:cs="宋体"/>
          <w:color w:val="auto"/>
          <w:sz w:val="21"/>
          <w:szCs w:val="21"/>
          <w:highlight w:val="none"/>
          <w:lang w:val="en-US" w:eastAsia="zh-CN"/>
        </w:rPr>
        <w:t>法，评标委员会按照本章规定的评分标准进行打分，</w:t>
      </w:r>
      <w:r>
        <w:rPr>
          <w:rFonts w:hint="eastAsia" w:ascii="宋体" w:hAnsi="宋体" w:cs="宋体"/>
          <w:b/>
          <w:bCs/>
          <w:color w:val="auto"/>
          <w:szCs w:val="21"/>
          <w:highlight w:val="none"/>
        </w:rPr>
        <w:t>并按总得分由高到低顺序推荐</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名中标候选人，并标明排序</w:t>
      </w:r>
      <w:r>
        <w:rPr>
          <w:rFonts w:hint="eastAsia" w:ascii="宋体" w:hAnsi="宋体" w:cs="宋体"/>
          <w:b/>
          <w:bCs/>
          <w:color w:val="auto"/>
          <w:szCs w:val="21"/>
          <w:highlight w:val="none"/>
          <w:lang w:eastAsia="zh-CN"/>
        </w:rPr>
        <w:t>，但投标报价低于其成本的除外</w:t>
      </w:r>
      <w:r>
        <w:rPr>
          <w:rFonts w:hint="eastAsia" w:ascii="宋体" w:hAnsi="宋体" w:eastAsia="宋体" w:cs="宋体"/>
          <w:color w:val="auto"/>
          <w:sz w:val="21"/>
          <w:szCs w:val="21"/>
          <w:highlight w:val="none"/>
          <w:lang w:val="en-US" w:eastAsia="zh-CN"/>
        </w:rPr>
        <w:t>。得分最高的为第一中标候选人，第二高的为第二中标候选人。</w:t>
      </w:r>
      <w:r>
        <w:rPr>
          <w:rFonts w:hint="eastAsia" w:ascii="宋体" w:hAnsi="宋体" w:eastAsia="宋体" w:cs="宋体"/>
          <w:b/>
          <w:bCs/>
          <w:color w:val="auto"/>
          <w:sz w:val="21"/>
          <w:szCs w:val="21"/>
          <w:highlight w:val="none"/>
        </w:rPr>
        <w:t>如总得分相等，以投标报价低的优先，投标报价仍相等，由评标委员会或招标人随机抽取确定排名，不得并列</w:t>
      </w:r>
      <w:r>
        <w:rPr>
          <w:rFonts w:hint="eastAsia" w:ascii="宋体" w:hAnsi="宋体" w:eastAsia="宋体" w:cs="宋体"/>
          <w:color w:val="auto"/>
          <w:sz w:val="21"/>
          <w:szCs w:val="21"/>
          <w:highlight w:val="none"/>
        </w:rPr>
        <w:t>。</w:t>
      </w:r>
    </w:p>
    <w:p w14:paraId="403526C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2．评标程序</w:t>
      </w:r>
    </w:p>
    <w:p w14:paraId="59C70429">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按计算标准计算得分，得分按照从高到低进行排序（如总得分相等，以投标报价低的优先，投标报价仍相等，由招标人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文件评审不通过，则按得分排序递补至</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591D37D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2.1投标文件的初审</w:t>
      </w:r>
    </w:p>
    <w:p w14:paraId="29ADB9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0B195F5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2.1.2符合性检查。依据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p w14:paraId="7593A8C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2.2投标文件的澄清</w:t>
      </w:r>
    </w:p>
    <w:p w14:paraId="11B3623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14:paraId="0684D5D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79CAB15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color w:val="auto"/>
          <w:sz w:val="21"/>
          <w:szCs w:val="21"/>
          <w:highlight w:val="none"/>
        </w:rPr>
        <w:t>2.2.3  招标人不接受投标单位主动提出的澄清。</w:t>
      </w:r>
    </w:p>
    <w:p w14:paraId="34335270">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1"/>
        <w:rPr>
          <w:rFonts w:hint="eastAsia" w:ascii="宋体"/>
          <w:b/>
          <w:color w:val="auto"/>
          <w:sz w:val="28"/>
          <w:szCs w:val="28"/>
          <w:highlight w:val="none"/>
        </w:rPr>
      </w:pPr>
      <w:bookmarkStart w:id="57" w:name="_Toc58430318"/>
      <w:bookmarkStart w:id="58" w:name="_Toc449028878"/>
      <w:bookmarkStart w:id="59" w:name="_Toc29779"/>
      <w:r>
        <w:rPr>
          <w:rFonts w:hint="eastAsia" w:ascii="宋体"/>
          <w:b/>
          <w:color w:val="auto"/>
          <w:sz w:val="28"/>
          <w:szCs w:val="28"/>
          <w:highlight w:val="none"/>
        </w:rPr>
        <w:t>二、投标文件初审</w:t>
      </w:r>
      <w:bookmarkEnd w:id="57"/>
      <w:bookmarkEnd w:id="58"/>
    </w:p>
    <w:p w14:paraId="60FE3D0D">
      <w:pPr>
        <w:ind w:firstLine="310" w:firstLineChars="147"/>
        <w:rPr>
          <w:rFonts w:hint="eastAsia" w:ascii="宋体"/>
          <w:b/>
          <w:color w:val="auto"/>
          <w:szCs w:val="21"/>
          <w:highlight w:val="none"/>
        </w:rPr>
      </w:pPr>
      <w:r>
        <w:rPr>
          <w:rFonts w:hint="eastAsia" w:ascii="宋体"/>
          <w:b/>
          <w:color w:val="auto"/>
          <w:szCs w:val="21"/>
          <w:highlight w:val="none"/>
        </w:rPr>
        <w:t>3.资格性审查:</w:t>
      </w:r>
    </w:p>
    <w:p w14:paraId="31119948">
      <w:pPr>
        <w:spacing w:line="400" w:lineRule="exact"/>
        <w:ind w:firstLine="308" w:firstLineChars="147"/>
        <w:rPr>
          <w:rFonts w:hint="eastAsia"/>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45"/>
        <w:tblW w:w="10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5296"/>
        <w:gridCol w:w="2757"/>
      </w:tblGrid>
      <w:tr w14:paraId="169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CC68F38">
            <w:pPr>
              <w:spacing w:line="320" w:lineRule="exact"/>
              <w:jc w:val="center"/>
              <w:rPr>
                <w:rFonts w:hint="eastAsia"/>
                <w:color w:val="auto"/>
                <w:highlight w:val="none"/>
              </w:rPr>
            </w:pPr>
            <w:r>
              <w:rPr>
                <w:rFonts w:hint="eastAsia" w:ascii="黑体" w:eastAsia="黑体" w:cs="黑体"/>
                <w:b/>
                <w:bCs/>
                <w:color w:val="auto"/>
                <w:szCs w:val="21"/>
                <w:highlight w:val="none"/>
              </w:rPr>
              <w:t>序号</w:t>
            </w:r>
          </w:p>
        </w:tc>
        <w:tc>
          <w:tcPr>
            <w:tcW w:w="6531" w:type="dxa"/>
            <w:gridSpan w:val="2"/>
            <w:noWrap w:val="0"/>
            <w:vAlign w:val="center"/>
          </w:tcPr>
          <w:p w14:paraId="7F5E48E7">
            <w:pPr>
              <w:spacing w:line="320" w:lineRule="exact"/>
              <w:jc w:val="center"/>
              <w:rPr>
                <w:rFonts w:hint="eastAsia"/>
                <w:color w:val="auto"/>
                <w:highlight w:val="none"/>
              </w:rPr>
            </w:pPr>
            <w:r>
              <w:rPr>
                <w:rFonts w:hint="eastAsia" w:ascii="宋体" w:hAnsi="宋体"/>
                <w:color w:val="auto"/>
                <w:szCs w:val="21"/>
                <w:highlight w:val="none"/>
              </w:rPr>
              <w:t>评审因素</w:t>
            </w:r>
          </w:p>
        </w:tc>
        <w:tc>
          <w:tcPr>
            <w:tcW w:w="2757" w:type="dxa"/>
            <w:noWrap w:val="0"/>
            <w:vAlign w:val="center"/>
          </w:tcPr>
          <w:p w14:paraId="52F81DF4">
            <w:pPr>
              <w:spacing w:line="320" w:lineRule="exact"/>
              <w:jc w:val="center"/>
              <w:rPr>
                <w:rFonts w:hint="eastAsia"/>
                <w:color w:val="auto"/>
                <w:highlight w:val="none"/>
              </w:rPr>
            </w:pPr>
            <w:r>
              <w:rPr>
                <w:rFonts w:hint="eastAsia" w:ascii="宋体" w:hAnsi="宋体"/>
                <w:color w:val="auto"/>
                <w:szCs w:val="21"/>
                <w:highlight w:val="none"/>
              </w:rPr>
              <w:t>评审标准</w:t>
            </w:r>
          </w:p>
        </w:tc>
      </w:tr>
      <w:tr w14:paraId="5D7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0B9A4B5D">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3034F54A">
            <w:pPr>
              <w:spacing w:line="32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5296" w:type="dxa"/>
            <w:noWrap w:val="0"/>
            <w:vAlign w:val="center"/>
          </w:tcPr>
          <w:p w14:paraId="79A38230">
            <w:pPr>
              <w:spacing w:line="320" w:lineRule="exact"/>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2757" w:type="dxa"/>
            <w:noWrap w:val="0"/>
            <w:vAlign w:val="center"/>
          </w:tcPr>
          <w:p w14:paraId="27142348">
            <w:pPr>
              <w:spacing w:line="320" w:lineRule="exact"/>
              <w:jc w:val="left"/>
              <w:rPr>
                <w:rFonts w:hint="eastAsia" w:ascii="宋体" w:hAnsi="宋体"/>
                <w:color w:val="auto"/>
                <w:szCs w:val="21"/>
                <w:highlight w:val="none"/>
              </w:rPr>
            </w:pPr>
            <w:r>
              <w:rPr>
                <w:rFonts w:hint="eastAsia"/>
                <w:color w:val="auto"/>
                <w:highlight w:val="none"/>
              </w:rPr>
              <w:t>检验电子标书。</w:t>
            </w:r>
          </w:p>
        </w:tc>
      </w:tr>
      <w:tr w14:paraId="206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399706DB">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5C913C04">
            <w:pPr>
              <w:spacing w:line="320" w:lineRule="exact"/>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5296" w:type="dxa"/>
            <w:noWrap w:val="0"/>
            <w:vAlign w:val="center"/>
          </w:tcPr>
          <w:p w14:paraId="3C024E83">
            <w:pPr>
              <w:spacing w:line="320" w:lineRule="exac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）具有为本项目提供相应服务的能力</w:t>
            </w:r>
          </w:p>
        </w:tc>
        <w:tc>
          <w:tcPr>
            <w:tcW w:w="2757" w:type="dxa"/>
            <w:noWrap w:val="0"/>
            <w:vAlign w:val="center"/>
          </w:tcPr>
          <w:p w14:paraId="607FD99B">
            <w:pPr>
              <w:spacing w:line="320" w:lineRule="exact"/>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734641F7">
            <w:pPr>
              <w:spacing w:line="320" w:lineRule="exact"/>
              <w:rPr>
                <w:rFonts w:hint="eastAsia" w:ascii="宋体"/>
                <w:color w:val="auto"/>
                <w:szCs w:val="21"/>
                <w:highlight w:val="none"/>
              </w:rPr>
            </w:pPr>
            <w:r>
              <w:rPr>
                <w:rFonts w:hint="eastAsia"/>
                <w:color w:val="auto"/>
                <w:highlight w:val="none"/>
              </w:rPr>
              <w:t>投标人有效的营业执照、税务登记证、组</w:t>
            </w:r>
            <w:r>
              <w:rPr>
                <w:rFonts w:hint="eastAsia" w:ascii="Times New Roman" w:hAnsi="Times New Roman" w:eastAsia="宋体" w:cs="Times New Roman"/>
                <w:color w:val="auto"/>
                <w:highlight w:val="none"/>
              </w:rPr>
              <w:t>织机构码证（或“三证合一证书”）</w:t>
            </w:r>
          </w:p>
        </w:tc>
      </w:tr>
      <w:tr w14:paraId="7F07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1878E8D">
            <w:pPr>
              <w:spacing w:line="320" w:lineRule="exact"/>
              <w:jc w:val="center"/>
              <w:rPr>
                <w:rFonts w:hint="eastAsia" w:ascii="宋体" w:hAnsi="宋体"/>
                <w:color w:val="auto"/>
                <w:szCs w:val="21"/>
                <w:highlight w:val="none"/>
              </w:rPr>
            </w:pPr>
          </w:p>
        </w:tc>
        <w:tc>
          <w:tcPr>
            <w:tcW w:w="1235" w:type="dxa"/>
            <w:vMerge w:val="continue"/>
            <w:noWrap w:val="0"/>
            <w:vAlign w:val="center"/>
          </w:tcPr>
          <w:p w14:paraId="7227E239">
            <w:pPr>
              <w:spacing w:line="320" w:lineRule="exact"/>
              <w:rPr>
                <w:rFonts w:hint="eastAsia" w:ascii="宋体" w:hAnsi="宋体"/>
                <w:color w:val="auto"/>
                <w:szCs w:val="21"/>
                <w:highlight w:val="none"/>
              </w:rPr>
            </w:pPr>
          </w:p>
        </w:tc>
        <w:tc>
          <w:tcPr>
            <w:tcW w:w="5296" w:type="dxa"/>
            <w:noWrap w:val="0"/>
            <w:vAlign w:val="center"/>
          </w:tcPr>
          <w:p w14:paraId="45201212">
            <w:pPr>
              <w:spacing w:line="360" w:lineRule="exact"/>
              <w:jc w:val="both"/>
              <w:rPr>
                <w:rFonts w:hint="eastAsia" w:ascii="宋体" w:hAnsi="宋体" w:cs="宋体"/>
                <w:b/>
                <w:color w:val="auto"/>
                <w:szCs w:val="21"/>
                <w:highlight w:val="none"/>
              </w:rPr>
            </w:pPr>
            <w:r>
              <w:rPr>
                <w:rFonts w:hint="eastAsia"/>
                <w:color w:val="auto"/>
                <w:highlight w:val="none"/>
              </w:rPr>
              <w:t>（3）</w:t>
            </w:r>
            <w:r>
              <w:rPr>
                <w:rFonts w:hint="eastAsia" w:ascii="宋体" w:hAnsi="宋体" w:cs="宋体"/>
                <w:color w:val="auto"/>
                <w:sz w:val="21"/>
                <w:szCs w:val="21"/>
                <w:highlight w:val="none"/>
                <w:lang w:val="en-US" w:eastAsia="zh-CN"/>
              </w:rPr>
              <w:t>项目人员配备表</w:t>
            </w:r>
          </w:p>
        </w:tc>
        <w:tc>
          <w:tcPr>
            <w:tcW w:w="2757" w:type="dxa"/>
            <w:noWrap w:val="0"/>
            <w:vAlign w:val="center"/>
          </w:tcPr>
          <w:p w14:paraId="2E0E8AE1">
            <w:pPr>
              <w:spacing w:line="360" w:lineRule="exact"/>
              <w:jc w:val="both"/>
              <w:rPr>
                <w:rFonts w:hint="eastAsia" w:ascii="宋体"/>
                <w:b/>
                <w:color w:val="auto"/>
                <w:szCs w:val="21"/>
                <w:highlight w:val="none"/>
              </w:rPr>
            </w:pPr>
            <w:r>
              <w:rPr>
                <w:rFonts w:hint="eastAsia"/>
                <w:color w:val="auto"/>
                <w:highlight w:val="none"/>
              </w:rPr>
              <w:t>格式见附件，检验电子标书</w:t>
            </w:r>
          </w:p>
        </w:tc>
      </w:tr>
      <w:tr w14:paraId="5B8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DD7B0EC">
            <w:pPr>
              <w:spacing w:line="320" w:lineRule="exact"/>
              <w:jc w:val="center"/>
              <w:rPr>
                <w:rFonts w:hint="eastAsia" w:ascii="宋体" w:hAnsi="宋体"/>
                <w:color w:val="auto"/>
                <w:szCs w:val="21"/>
                <w:highlight w:val="none"/>
              </w:rPr>
            </w:pPr>
          </w:p>
        </w:tc>
        <w:tc>
          <w:tcPr>
            <w:tcW w:w="1235" w:type="dxa"/>
            <w:vMerge w:val="continue"/>
            <w:noWrap w:val="0"/>
            <w:vAlign w:val="center"/>
          </w:tcPr>
          <w:p w14:paraId="2744FACC">
            <w:pPr>
              <w:spacing w:line="320" w:lineRule="exact"/>
              <w:rPr>
                <w:rFonts w:hint="eastAsia" w:ascii="宋体" w:hAnsi="宋体"/>
                <w:color w:val="auto"/>
                <w:szCs w:val="21"/>
                <w:highlight w:val="none"/>
              </w:rPr>
            </w:pPr>
          </w:p>
        </w:tc>
        <w:tc>
          <w:tcPr>
            <w:tcW w:w="5296" w:type="dxa"/>
            <w:noWrap w:val="0"/>
            <w:vAlign w:val="center"/>
          </w:tcPr>
          <w:p w14:paraId="69BC9D2B">
            <w:pPr>
              <w:spacing w:line="360" w:lineRule="exact"/>
              <w:jc w:val="both"/>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p>
        </w:tc>
        <w:tc>
          <w:tcPr>
            <w:tcW w:w="2757" w:type="dxa"/>
            <w:noWrap w:val="0"/>
            <w:vAlign w:val="center"/>
          </w:tcPr>
          <w:p w14:paraId="68DD7B74">
            <w:pPr>
              <w:spacing w:line="360" w:lineRule="exact"/>
              <w:jc w:val="both"/>
              <w:rPr>
                <w:rFonts w:hint="eastAsia"/>
                <w:color w:val="auto"/>
                <w:highlight w:val="none"/>
              </w:rPr>
            </w:pPr>
            <w:r>
              <w:rPr>
                <w:rFonts w:hint="eastAsia"/>
                <w:color w:val="auto"/>
                <w:highlight w:val="none"/>
              </w:rPr>
              <w:t>检验电子标书</w:t>
            </w:r>
          </w:p>
        </w:tc>
      </w:tr>
      <w:tr w14:paraId="4FB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546C486">
            <w:pPr>
              <w:spacing w:line="320" w:lineRule="exact"/>
              <w:jc w:val="center"/>
              <w:rPr>
                <w:rFonts w:hint="eastAsia" w:ascii="宋体" w:hAnsi="宋体"/>
                <w:color w:val="auto"/>
                <w:szCs w:val="21"/>
                <w:highlight w:val="none"/>
              </w:rPr>
            </w:pPr>
          </w:p>
        </w:tc>
        <w:tc>
          <w:tcPr>
            <w:tcW w:w="1235" w:type="dxa"/>
            <w:vMerge w:val="continue"/>
            <w:noWrap w:val="0"/>
            <w:vAlign w:val="center"/>
          </w:tcPr>
          <w:p w14:paraId="7B141123">
            <w:pPr>
              <w:spacing w:line="320" w:lineRule="exact"/>
              <w:rPr>
                <w:rFonts w:hint="eastAsia" w:ascii="宋体" w:hAnsi="宋体"/>
                <w:color w:val="auto"/>
                <w:szCs w:val="21"/>
                <w:highlight w:val="none"/>
              </w:rPr>
            </w:pPr>
          </w:p>
        </w:tc>
        <w:tc>
          <w:tcPr>
            <w:tcW w:w="5296" w:type="dxa"/>
            <w:noWrap w:val="0"/>
            <w:vAlign w:val="center"/>
          </w:tcPr>
          <w:p w14:paraId="6F4CA723">
            <w:pPr>
              <w:spacing w:line="360" w:lineRule="exact"/>
              <w:jc w:val="both"/>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不少于2名注册在投标单位的二级及以上造价工程师（</w:t>
            </w:r>
            <w:r>
              <w:rPr>
                <w:rFonts w:hint="eastAsia" w:ascii="宋体" w:hAnsi="宋体" w:cs="宋体"/>
                <w:color w:val="auto"/>
                <w:kern w:val="0"/>
                <w:sz w:val="21"/>
                <w:szCs w:val="21"/>
                <w:highlight w:val="none"/>
                <w:lang w:val="en-US" w:eastAsia="zh-CN"/>
              </w:rPr>
              <w:t>土木建筑工程专业</w:t>
            </w:r>
            <w:r>
              <w:rPr>
                <w:rFonts w:hint="eastAsia" w:ascii="宋体" w:hAnsi="宋体" w:eastAsia="宋体" w:cs="宋体"/>
                <w:color w:val="auto"/>
                <w:kern w:val="0"/>
                <w:sz w:val="21"/>
                <w:szCs w:val="21"/>
                <w:highlight w:val="none"/>
                <w:lang w:val="en-US" w:eastAsia="zh-CN"/>
              </w:rPr>
              <w:t>至少1名、安装工程专业至少1名）</w:t>
            </w:r>
          </w:p>
        </w:tc>
        <w:tc>
          <w:tcPr>
            <w:tcW w:w="2757" w:type="dxa"/>
            <w:noWrap w:val="0"/>
            <w:vAlign w:val="center"/>
          </w:tcPr>
          <w:p w14:paraId="551EAE52">
            <w:pPr>
              <w:spacing w:line="360" w:lineRule="exact"/>
              <w:jc w:val="both"/>
              <w:rPr>
                <w:rFonts w:hint="eastAsia"/>
                <w:color w:val="auto"/>
                <w:highlight w:val="none"/>
              </w:rPr>
            </w:pPr>
            <w:r>
              <w:rPr>
                <w:rFonts w:hint="eastAsia"/>
                <w:color w:val="auto"/>
                <w:highlight w:val="none"/>
              </w:rPr>
              <w:t>检验电子标书</w:t>
            </w:r>
          </w:p>
        </w:tc>
      </w:tr>
      <w:tr w14:paraId="386B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62FBCB7F">
            <w:pPr>
              <w:spacing w:line="320" w:lineRule="exact"/>
              <w:jc w:val="center"/>
              <w:rPr>
                <w:rFonts w:hint="eastAsia" w:ascii="宋体" w:hAnsi="宋体"/>
                <w:color w:val="auto"/>
                <w:szCs w:val="21"/>
                <w:highlight w:val="none"/>
              </w:rPr>
            </w:pPr>
          </w:p>
        </w:tc>
        <w:tc>
          <w:tcPr>
            <w:tcW w:w="1235" w:type="dxa"/>
            <w:vMerge w:val="continue"/>
            <w:noWrap w:val="0"/>
            <w:vAlign w:val="center"/>
          </w:tcPr>
          <w:p w14:paraId="1B267B9A">
            <w:pPr>
              <w:spacing w:line="320" w:lineRule="exact"/>
              <w:rPr>
                <w:rFonts w:hint="eastAsia" w:ascii="宋体" w:hAnsi="宋体"/>
                <w:color w:val="auto"/>
                <w:szCs w:val="21"/>
                <w:highlight w:val="none"/>
              </w:rPr>
            </w:pPr>
          </w:p>
        </w:tc>
        <w:tc>
          <w:tcPr>
            <w:tcW w:w="5296" w:type="dxa"/>
            <w:noWrap w:val="0"/>
            <w:vAlign w:val="center"/>
          </w:tcPr>
          <w:p w14:paraId="05277027">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（6）承诺书1：投标人对所提供的上述材料作出承诺，若投标人存在弄虚作假，提供虚假资料的，若中标，则取消中标资格</w:t>
            </w:r>
          </w:p>
        </w:tc>
        <w:tc>
          <w:tcPr>
            <w:tcW w:w="2757" w:type="dxa"/>
            <w:noWrap w:val="0"/>
            <w:vAlign w:val="center"/>
          </w:tcPr>
          <w:p w14:paraId="7662CE20">
            <w:pPr>
              <w:spacing w:line="360" w:lineRule="exact"/>
              <w:jc w:val="both"/>
              <w:rPr>
                <w:rFonts w:hint="eastAsia"/>
                <w:color w:val="auto"/>
                <w:highlight w:val="none"/>
              </w:rPr>
            </w:pPr>
            <w:r>
              <w:rPr>
                <w:rFonts w:hint="eastAsia"/>
                <w:color w:val="auto"/>
                <w:highlight w:val="none"/>
              </w:rPr>
              <w:t>检验电子标书</w:t>
            </w:r>
          </w:p>
        </w:tc>
      </w:tr>
      <w:tr w14:paraId="5EF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13D42F0B">
            <w:pPr>
              <w:spacing w:line="320" w:lineRule="exact"/>
              <w:jc w:val="center"/>
              <w:rPr>
                <w:rFonts w:hint="eastAsia" w:ascii="宋体" w:hAnsi="宋体"/>
                <w:color w:val="auto"/>
                <w:szCs w:val="21"/>
                <w:highlight w:val="none"/>
              </w:rPr>
            </w:pPr>
          </w:p>
        </w:tc>
        <w:tc>
          <w:tcPr>
            <w:tcW w:w="1235" w:type="dxa"/>
            <w:vMerge w:val="continue"/>
            <w:noWrap w:val="0"/>
            <w:vAlign w:val="center"/>
          </w:tcPr>
          <w:p w14:paraId="63886723">
            <w:pPr>
              <w:spacing w:line="320" w:lineRule="exact"/>
              <w:rPr>
                <w:rFonts w:hint="eastAsia" w:ascii="宋体" w:hAnsi="宋体"/>
                <w:color w:val="auto"/>
                <w:szCs w:val="21"/>
                <w:highlight w:val="none"/>
              </w:rPr>
            </w:pPr>
          </w:p>
        </w:tc>
        <w:tc>
          <w:tcPr>
            <w:tcW w:w="5296" w:type="dxa"/>
            <w:noWrap w:val="0"/>
            <w:vAlign w:val="center"/>
          </w:tcPr>
          <w:p w14:paraId="2A2A922E">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w:t>
            </w:r>
          </w:p>
        </w:tc>
        <w:tc>
          <w:tcPr>
            <w:tcW w:w="2757" w:type="dxa"/>
            <w:noWrap w:val="0"/>
            <w:vAlign w:val="center"/>
          </w:tcPr>
          <w:p w14:paraId="48FC5614">
            <w:pPr>
              <w:spacing w:line="360" w:lineRule="exact"/>
              <w:jc w:val="both"/>
              <w:rPr>
                <w:rFonts w:hint="eastAsia"/>
                <w:color w:val="auto"/>
                <w:highlight w:val="none"/>
              </w:rPr>
            </w:pPr>
            <w:r>
              <w:rPr>
                <w:rFonts w:hint="eastAsia"/>
                <w:color w:val="auto"/>
                <w:highlight w:val="none"/>
              </w:rPr>
              <w:t>检验电子标书</w:t>
            </w:r>
          </w:p>
        </w:tc>
      </w:tr>
      <w:tr w14:paraId="708A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05D7143">
            <w:pPr>
              <w:spacing w:line="320" w:lineRule="exact"/>
              <w:jc w:val="center"/>
              <w:rPr>
                <w:rFonts w:hint="eastAsia" w:ascii="宋体" w:hAnsi="宋体"/>
                <w:color w:val="auto"/>
                <w:szCs w:val="21"/>
                <w:highlight w:val="none"/>
              </w:rPr>
            </w:pPr>
          </w:p>
        </w:tc>
        <w:tc>
          <w:tcPr>
            <w:tcW w:w="1235" w:type="dxa"/>
            <w:vMerge w:val="continue"/>
            <w:noWrap w:val="0"/>
            <w:vAlign w:val="center"/>
          </w:tcPr>
          <w:p w14:paraId="28996A16">
            <w:pPr>
              <w:spacing w:line="320" w:lineRule="exact"/>
              <w:rPr>
                <w:rFonts w:hint="eastAsia" w:ascii="宋体" w:hAnsi="宋体"/>
                <w:color w:val="auto"/>
                <w:szCs w:val="21"/>
                <w:highlight w:val="none"/>
              </w:rPr>
            </w:pPr>
          </w:p>
        </w:tc>
        <w:tc>
          <w:tcPr>
            <w:tcW w:w="5296" w:type="dxa"/>
            <w:noWrap w:val="0"/>
            <w:vAlign w:val="center"/>
          </w:tcPr>
          <w:p w14:paraId="2BA92C2C">
            <w:pPr>
              <w:spacing w:line="360" w:lineRule="exact"/>
              <w:jc w:val="both"/>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须持有社保部门出具的本单位为其缴纳的投标前近三个月内任意一月的养老保险证明，或投标人提供承诺已为上述人员缴纳养老保险证明的承诺书（格式自拟）</w:t>
            </w:r>
          </w:p>
        </w:tc>
        <w:tc>
          <w:tcPr>
            <w:tcW w:w="2757" w:type="dxa"/>
            <w:noWrap w:val="0"/>
            <w:vAlign w:val="center"/>
          </w:tcPr>
          <w:p w14:paraId="4606370E">
            <w:pPr>
              <w:spacing w:line="360" w:lineRule="exact"/>
              <w:jc w:val="both"/>
              <w:rPr>
                <w:rFonts w:hint="eastAsia"/>
                <w:color w:val="auto"/>
                <w:highlight w:val="none"/>
              </w:rPr>
            </w:pPr>
            <w:r>
              <w:rPr>
                <w:rFonts w:hint="eastAsia"/>
                <w:color w:val="auto"/>
                <w:highlight w:val="none"/>
              </w:rPr>
              <w:t>检验电子标书</w:t>
            </w:r>
          </w:p>
        </w:tc>
      </w:tr>
      <w:tr w14:paraId="646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5" w:type="dxa"/>
            <w:vMerge w:val="continue"/>
            <w:noWrap w:val="0"/>
            <w:vAlign w:val="center"/>
          </w:tcPr>
          <w:p w14:paraId="1E9B2A14">
            <w:pPr>
              <w:spacing w:line="320" w:lineRule="exact"/>
              <w:jc w:val="center"/>
              <w:rPr>
                <w:rFonts w:hint="eastAsia" w:ascii="宋体" w:hAnsi="宋体"/>
                <w:color w:val="auto"/>
                <w:szCs w:val="21"/>
                <w:highlight w:val="none"/>
              </w:rPr>
            </w:pPr>
          </w:p>
        </w:tc>
        <w:tc>
          <w:tcPr>
            <w:tcW w:w="1235" w:type="dxa"/>
            <w:vMerge w:val="continue"/>
            <w:noWrap w:val="0"/>
            <w:vAlign w:val="center"/>
          </w:tcPr>
          <w:p w14:paraId="2546461F">
            <w:pPr>
              <w:spacing w:line="320" w:lineRule="exact"/>
              <w:rPr>
                <w:rFonts w:hint="eastAsia" w:ascii="宋体" w:hAnsi="宋体"/>
                <w:color w:val="auto"/>
                <w:szCs w:val="21"/>
                <w:highlight w:val="none"/>
              </w:rPr>
            </w:pPr>
          </w:p>
        </w:tc>
        <w:tc>
          <w:tcPr>
            <w:tcW w:w="5296" w:type="dxa"/>
            <w:noWrap w:val="0"/>
            <w:vAlign w:val="center"/>
          </w:tcPr>
          <w:p w14:paraId="202375EC">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（9）投标函</w:t>
            </w:r>
          </w:p>
        </w:tc>
        <w:tc>
          <w:tcPr>
            <w:tcW w:w="2757" w:type="dxa"/>
            <w:noWrap w:val="0"/>
            <w:vAlign w:val="center"/>
          </w:tcPr>
          <w:p w14:paraId="3BC905C0">
            <w:pPr>
              <w:spacing w:line="360" w:lineRule="exact"/>
              <w:jc w:val="both"/>
              <w:rPr>
                <w:rFonts w:hint="eastAsia"/>
                <w:color w:val="auto"/>
                <w:highlight w:val="none"/>
              </w:rPr>
            </w:pPr>
            <w:r>
              <w:rPr>
                <w:rFonts w:hint="eastAsia"/>
                <w:color w:val="auto"/>
                <w:highlight w:val="none"/>
              </w:rPr>
              <w:t>格式见附件，检验电子标书</w:t>
            </w:r>
          </w:p>
        </w:tc>
      </w:tr>
    </w:tbl>
    <w:p w14:paraId="609AB6C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highlight w:val="none"/>
        </w:rPr>
      </w:pPr>
      <w:r>
        <w:rPr>
          <w:rFonts w:hint="eastAsia" w:ascii="宋体"/>
          <w:b/>
          <w:color w:val="auto"/>
          <w:szCs w:val="21"/>
          <w:highlight w:val="none"/>
          <w:lang w:val="en-US" w:eastAsia="zh-CN"/>
        </w:rPr>
        <w:t xml:space="preserve">3.2 </w:t>
      </w:r>
      <w:r>
        <w:rPr>
          <w:rFonts w:hint="eastAsia" w:ascii="宋体" w:hAnsi="宋体"/>
          <w:b/>
          <w:color w:val="auto"/>
          <w:szCs w:val="21"/>
          <w:highlight w:val="none"/>
        </w:rPr>
        <w:t>如评标专家在检验电子投标文件过程中，如果由于投标人自身原因导致评标专家无法查看并检验电子投标文件中相关资料的，否决其投标。即使投标人将原件携带至现场的，同样按否决投标处理。</w:t>
      </w:r>
    </w:p>
    <w:p w14:paraId="5DB0972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招标文件中资格审查及评标细则中涉及到的投标人需要提供企业的相关证书扫描件，如企业的资格证书、营业执照（或三证合一的有效证件）等可以提供公证件扫描件，公证件扫描件的效力等同于原件扫描件。交易活动资格审查和评标环节中，凡是要求提供相关证书或证明原件扫描件的，投标企业均可以提供带官方二维码的相关证书（证明）复印件扫描件替代原件扫描件，但投标企业自行承担复印件扫描件二维码不清晰，无法扫描，可能导致资格审查不通过的后果</w:t>
      </w:r>
      <w:r>
        <w:rPr>
          <w:rFonts w:hint="eastAsia" w:ascii="宋体"/>
          <w:b/>
          <w:color w:val="auto"/>
          <w:szCs w:val="21"/>
          <w:highlight w:val="none"/>
          <w:lang w:val="en-US" w:eastAsia="zh-CN"/>
        </w:rPr>
        <w:t xml:space="preserve">。 </w:t>
      </w:r>
    </w:p>
    <w:p w14:paraId="3E11B30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b/>
          <w:color w:val="auto"/>
          <w:szCs w:val="21"/>
          <w:highlight w:val="none"/>
        </w:rPr>
      </w:pPr>
      <w:r>
        <w:rPr>
          <w:rFonts w:hint="eastAsia" w:ascii="宋体"/>
          <w:b/>
          <w:color w:val="auto"/>
          <w:szCs w:val="21"/>
          <w:highlight w:val="none"/>
        </w:rPr>
        <w:t>4.符合性审查</w:t>
      </w:r>
    </w:p>
    <w:p w14:paraId="52B474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4．1评审细则</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101"/>
      </w:tblGrid>
      <w:tr w14:paraId="21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4B6CA4D">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noWrap w:val="0"/>
            <w:vAlign w:val="center"/>
          </w:tcPr>
          <w:p w14:paraId="39163DAC">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5101" w:type="dxa"/>
            <w:noWrap w:val="0"/>
            <w:vAlign w:val="center"/>
          </w:tcPr>
          <w:p w14:paraId="40130CA8">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6972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31" w:type="dxa"/>
            <w:vMerge w:val="restart"/>
            <w:noWrap w:val="0"/>
            <w:vAlign w:val="center"/>
          </w:tcPr>
          <w:p w14:paraId="5E30E1AC">
            <w:pPr>
              <w:spacing w:line="320" w:lineRule="atLeast"/>
              <w:jc w:val="center"/>
              <w:rPr>
                <w:rFonts w:hint="eastAsia" w:ascii="宋体"/>
                <w:color w:val="auto"/>
                <w:szCs w:val="21"/>
                <w:highlight w:val="none"/>
              </w:rPr>
            </w:pPr>
            <w:r>
              <w:rPr>
                <w:rFonts w:hint="eastAsia" w:ascii="宋体"/>
                <w:color w:val="auto"/>
                <w:szCs w:val="21"/>
                <w:highlight w:val="none"/>
              </w:rPr>
              <w:t>1</w:t>
            </w:r>
          </w:p>
        </w:tc>
        <w:tc>
          <w:tcPr>
            <w:tcW w:w="1204" w:type="dxa"/>
            <w:vMerge w:val="restart"/>
            <w:noWrap w:val="0"/>
            <w:vAlign w:val="center"/>
          </w:tcPr>
          <w:p w14:paraId="14328F5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投标文件的有效性</w:t>
            </w:r>
          </w:p>
        </w:tc>
        <w:tc>
          <w:tcPr>
            <w:tcW w:w="2931" w:type="dxa"/>
            <w:noWrap w:val="0"/>
            <w:vAlign w:val="center"/>
          </w:tcPr>
          <w:p w14:paraId="0151183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5101" w:type="dxa"/>
            <w:noWrap w:val="0"/>
            <w:vAlign w:val="center"/>
          </w:tcPr>
          <w:p w14:paraId="1DA41EB0">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14:paraId="553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7905205E">
            <w:pPr>
              <w:spacing w:line="320" w:lineRule="atLeast"/>
              <w:rPr>
                <w:color w:val="auto"/>
                <w:highlight w:val="none"/>
              </w:rPr>
            </w:pPr>
          </w:p>
        </w:tc>
        <w:tc>
          <w:tcPr>
            <w:tcW w:w="1204" w:type="dxa"/>
            <w:vMerge w:val="continue"/>
            <w:noWrap w:val="0"/>
            <w:vAlign w:val="center"/>
          </w:tcPr>
          <w:p w14:paraId="0C50280C">
            <w:pPr>
              <w:spacing w:line="320" w:lineRule="atLeast"/>
              <w:rPr>
                <w:color w:val="auto"/>
                <w:highlight w:val="none"/>
              </w:rPr>
            </w:pPr>
          </w:p>
        </w:tc>
        <w:tc>
          <w:tcPr>
            <w:tcW w:w="2931" w:type="dxa"/>
            <w:noWrap w:val="0"/>
            <w:vAlign w:val="center"/>
          </w:tcPr>
          <w:p w14:paraId="3A2D0D4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（2）投标方案</w:t>
            </w:r>
          </w:p>
        </w:tc>
        <w:tc>
          <w:tcPr>
            <w:tcW w:w="5101" w:type="dxa"/>
            <w:noWrap w:val="0"/>
            <w:vAlign w:val="center"/>
          </w:tcPr>
          <w:p w14:paraId="49240866">
            <w:pPr>
              <w:spacing w:line="320" w:lineRule="atLeast"/>
              <w:rPr>
                <w:rFonts w:hint="eastAsia" w:ascii="宋体" w:cs="宋体"/>
                <w:color w:val="auto"/>
                <w:szCs w:val="21"/>
                <w:highlight w:val="none"/>
              </w:rPr>
            </w:pPr>
            <w:r>
              <w:rPr>
                <w:rFonts w:hint="eastAsia" w:ascii="宋体" w:hAnsi="宋体" w:cs="仿宋_GB2312"/>
                <w:color w:val="auto"/>
                <w:szCs w:val="21"/>
                <w:highlight w:val="none"/>
                <w:lang w:val="zh-CN"/>
              </w:rPr>
              <w:t>每个分包只能有一个方案投标。</w:t>
            </w:r>
          </w:p>
        </w:tc>
      </w:tr>
      <w:tr w14:paraId="3DA8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3B748B3B">
            <w:pPr>
              <w:spacing w:line="320" w:lineRule="atLeast"/>
              <w:rPr>
                <w:color w:val="auto"/>
                <w:highlight w:val="none"/>
              </w:rPr>
            </w:pPr>
          </w:p>
        </w:tc>
        <w:tc>
          <w:tcPr>
            <w:tcW w:w="1204" w:type="dxa"/>
            <w:vMerge w:val="continue"/>
            <w:noWrap w:val="0"/>
            <w:vAlign w:val="center"/>
          </w:tcPr>
          <w:p w14:paraId="58AA67A8">
            <w:pPr>
              <w:spacing w:line="320" w:lineRule="atLeast"/>
              <w:rPr>
                <w:color w:val="auto"/>
                <w:highlight w:val="none"/>
              </w:rPr>
            </w:pPr>
          </w:p>
        </w:tc>
        <w:tc>
          <w:tcPr>
            <w:tcW w:w="2931" w:type="dxa"/>
            <w:noWrap w:val="0"/>
            <w:vAlign w:val="center"/>
          </w:tcPr>
          <w:p w14:paraId="16A8D7B3">
            <w:pPr>
              <w:spacing w:line="320" w:lineRule="atLeast"/>
              <w:rPr>
                <w:rFonts w:hint="eastAsia" w:ascii="宋体" w:cs="仿宋_GB2312"/>
                <w:color w:val="auto"/>
                <w:szCs w:val="21"/>
                <w:highlight w:val="none"/>
                <w:lang w:val="zh-CN"/>
              </w:rPr>
            </w:pPr>
            <w:r>
              <w:rPr>
                <w:rFonts w:hint="eastAsia" w:ascii="宋体"/>
                <w:color w:val="auto"/>
                <w:szCs w:val="21"/>
                <w:highlight w:val="none"/>
              </w:rPr>
              <w:t>（3）报价唯一</w:t>
            </w:r>
          </w:p>
        </w:tc>
        <w:tc>
          <w:tcPr>
            <w:tcW w:w="5101" w:type="dxa"/>
            <w:noWrap w:val="0"/>
            <w:vAlign w:val="center"/>
          </w:tcPr>
          <w:p w14:paraId="5B76B05E">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14:paraId="6D9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5BB5A752">
            <w:pPr>
              <w:spacing w:line="320" w:lineRule="atLeast"/>
              <w:rPr>
                <w:color w:val="auto"/>
                <w:highlight w:val="none"/>
              </w:rPr>
            </w:pPr>
          </w:p>
        </w:tc>
        <w:tc>
          <w:tcPr>
            <w:tcW w:w="1204" w:type="dxa"/>
            <w:vMerge w:val="continue"/>
            <w:noWrap w:val="0"/>
            <w:vAlign w:val="center"/>
          </w:tcPr>
          <w:p w14:paraId="3D464BDC">
            <w:pPr>
              <w:spacing w:line="320" w:lineRule="atLeast"/>
              <w:rPr>
                <w:color w:val="auto"/>
                <w:highlight w:val="none"/>
              </w:rPr>
            </w:pPr>
          </w:p>
        </w:tc>
        <w:tc>
          <w:tcPr>
            <w:tcW w:w="2931" w:type="dxa"/>
            <w:noWrap w:val="0"/>
            <w:vAlign w:val="center"/>
          </w:tcPr>
          <w:p w14:paraId="1570C2C0">
            <w:pPr>
              <w:spacing w:line="320" w:lineRule="atLeast"/>
              <w:rPr>
                <w:rFonts w:hint="eastAsia" w:ascii="宋体"/>
                <w:color w:val="auto"/>
                <w:szCs w:val="21"/>
                <w:highlight w:val="none"/>
              </w:rPr>
            </w:pPr>
            <w:r>
              <w:rPr>
                <w:rFonts w:hint="eastAsia" w:ascii="宋体"/>
                <w:color w:val="auto"/>
                <w:szCs w:val="21"/>
                <w:highlight w:val="none"/>
              </w:rPr>
              <w:t xml:space="preserve"> (4) 投标文件的有效期</w:t>
            </w:r>
          </w:p>
        </w:tc>
        <w:tc>
          <w:tcPr>
            <w:tcW w:w="5101" w:type="dxa"/>
            <w:noWrap w:val="0"/>
            <w:vAlign w:val="center"/>
          </w:tcPr>
          <w:p w14:paraId="0A10476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完全响应。</w:t>
            </w:r>
          </w:p>
        </w:tc>
      </w:tr>
      <w:tr w14:paraId="4B6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31" w:type="dxa"/>
            <w:vMerge w:val="restart"/>
            <w:noWrap w:val="0"/>
            <w:vAlign w:val="center"/>
          </w:tcPr>
          <w:p w14:paraId="4503882E">
            <w:pPr>
              <w:spacing w:line="320" w:lineRule="atLeast"/>
              <w:jc w:val="center"/>
              <w:rPr>
                <w:rFonts w:hint="eastAsia" w:ascii="宋体"/>
                <w:color w:val="auto"/>
                <w:szCs w:val="21"/>
                <w:highlight w:val="none"/>
              </w:rPr>
            </w:pPr>
            <w:r>
              <w:rPr>
                <w:rFonts w:hint="eastAsia" w:ascii="宋体"/>
                <w:color w:val="auto"/>
                <w:szCs w:val="21"/>
                <w:highlight w:val="none"/>
              </w:rPr>
              <w:t>2</w:t>
            </w:r>
          </w:p>
        </w:tc>
        <w:tc>
          <w:tcPr>
            <w:tcW w:w="1204" w:type="dxa"/>
            <w:vMerge w:val="restart"/>
            <w:noWrap w:val="0"/>
            <w:vAlign w:val="center"/>
          </w:tcPr>
          <w:p w14:paraId="7F32534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投标文件的完整性</w:t>
            </w:r>
          </w:p>
        </w:tc>
        <w:tc>
          <w:tcPr>
            <w:tcW w:w="2931" w:type="dxa"/>
            <w:noWrap w:val="0"/>
            <w:vAlign w:val="center"/>
          </w:tcPr>
          <w:p w14:paraId="5EF20D31">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（5）投标文件份数</w:t>
            </w:r>
          </w:p>
        </w:tc>
        <w:tc>
          <w:tcPr>
            <w:tcW w:w="5101" w:type="dxa"/>
            <w:noWrap w:val="0"/>
            <w:vAlign w:val="center"/>
          </w:tcPr>
          <w:p w14:paraId="0504A0B0">
            <w:pPr>
              <w:spacing w:line="320" w:lineRule="atLeast"/>
              <w:rPr>
                <w:rFonts w:hint="eastAsia" w:ascii="宋体" w:cs="宋体"/>
                <w:color w:val="auto"/>
                <w:szCs w:val="21"/>
                <w:highlight w:val="none"/>
              </w:rPr>
            </w:pPr>
            <w:r>
              <w:rPr>
                <w:rFonts w:hint="eastAsia" w:ascii="宋体" w:hAnsi="宋体" w:cs="宋体"/>
                <w:color w:val="auto"/>
                <w:szCs w:val="21"/>
                <w:highlight w:val="none"/>
              </w:rPr>
              <w:t>网上递交的电子投标文件：一份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tc>
      </w:tr>
      <w:tr w14:paraId="2B6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54C11AB6">
            <w:pPr>
              <w:spacing w:line="320" w:lineRule="atLeast"/>
              <w:rPr>
                <w:color w:val="auto"/>
                <w:highlight w:val="none"/>
              </w:rPr>
            </w:pPr>
          </w:p>
        </w:tc>
        <w:tc>
          <w:tcPr>
            <w:tcW w:w="1204" w:type="dxa"/>
            <w:vMerge w:val="continue"/>
            <w:noWrap w:val="0"/>
            <w:vAlign w:val="center"/>
          </w:tcPr>
          <w:p w14:paraId="068F4ED8">
            <w:pPr>
              <w:spacing w:line="320" w:lineRule="atLeast"/>
              <w:rPr>
                <w:color w:val="auto"/>
                <w:highlight w:val="none"/>
              </w:rPr>
            </w:pPr>
          </w:p>
        </w:tc>
        <w:tc>
          <w:tcPr>
            <w:tcW w:w="2931" w:type="dxa"/>
            <w:noWrap w:val="0"/>
            <w:vAlign w:val="center"/>
          </w:tcPr>
          <w:p w14:paraId="5F71AFEB">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（6）投标文件形式内容</w:t>
            </w:r>
          </w:p>
        </w:tc>
        <w:tc>
          <w:tcPr>
            <w:tcW w:w="5101" w:type="dxa"/>
            <w:noWrap w:val="0"/>
            <w:vAlign w:val="center"/>
          </w:tcPr>
          <w:p w14:paraId="253308E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14:paraId="713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1" w:type="dxa"/>
            <w:vMerge w:val="restart"/>
            <w:noWrap w:val="0"/>
            <w:vAlign w:val="center"/>
          </w:tcPr>
          <w:p w14:paraId="390BF16A">
            <w:pPr>
              <w:spacing w:line="320" w:lineRule="atLeast"/>
              <w:jc w:val="center"/>
              <w:rPr>
                <w:rFonts w:hint="eastAsia" w:ascii="宋体"/>
                <w:color w:val="auto"/>
                <w:szCs w:val="21"/>
                <w:highlight w:val="none"/>
              </w:rPr>
            </w:pPr>
            <w:r>
              <w:rPr>
                <w:rFonts w:hint="eastAsia" w:ascii="宋体"/>
                <w:color w:val="auto"/>
                <w:szCs w:val="21"/>
                <w:highlight w:val="none"/>
              </w:rPr>
              <w:t>3</w:t>
            </w:r>
          </w:p>
        </w:tc>
        <w:tc>
          <w:tcPr>
            <w:tcW w:w="1204" w:type="dxa"/>
            <w:vMerge w:val="restart"/>
            <w:noWrap w:val="0"/>
            <w:vAlign w:val="center"/>
          </w:tcPr>
          <w:p w14:paraId="7CDB2375">
            <w:pPr>
              <w:spacing w:line="320" w:lineRule="atLeast"/>
              <w:jc w:val="center"/>
              <w:rPr>
                <w:rFonts w:hint="eastAsia" w:ascii="宋体" w:cs="仿宋_GB2312"/>
                <w:color w:val="auto"/>
                <w:szCs w:val="21"/>
                <w:highlight w:val="none"/>
                <w:lang w:val="zh-CN"/>
              </w:rPr>
            </w:pPr>
            <w:r>
              <w:rPr>
                <w:rFonts w:hint="eastAsia" w:ascii="宋体" w:cs="仿宋_GB2312"/>
                <w:color w:val="auto"/>
                <w:szCs w:val="21"/>
                <w:highlight w:val="none"/>
                <w:lang w:val="zh-CN"/>
              </w:rPr>
              <w:t>投标文件的响应程度</w:t>
            </w:r>
          </w:p>
        </w:tc>
        <w:tc>
          <w:tcPr>
            <w:tcW w:w="2931" w:type="dxa"/>
            <w:noWrap w:val="0"/>
            <w:vAlign w:val="center"/>
          </w:tcPr>
          <w:p w14:paraId="76621B39">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（7）采购需求响应程度</w:t>
            </w:r>
          </w:p>
        </w:tc>
        <w:tc>
          <w:tcPr>
            <w:tcW w:w="5101" w:type="dxa"/>
            <w:noWrap w:val="0"/>
            <w:vAlign w:val="center"/>
          </w:tcPr>
          <w:p w14:paraId="3CC7D23C">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最大限度地满足招标文件要求。</w:t>
            </w:r>
          </w:p>
        </w:tc>
      </w:tr>
      <w:tr w14:paraId="7B4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7E2F7823">
            <w:pPr>
              <w:spacing w:line="320" w:lineRule="atLeast"/>
              <w:rPr>
                <w:color w:val="auto"/>
                <w:highlight w:val="none"/>
              </w:rPr>
            </w:pPr>
          </w:p>
        </w:tc>
        <w:tc>
          <w:tcPr>
            <w:tcW w:w="1204" w:type="dxa"/>
            <w:vMerge w:val="continue"/>
            <w:noWrap w:val="0"/>
            <w:vAlign w:val="center"/>
          </w:tcPr>
          <w:p w14:paraId="3B6CA584">
            <w:pPr>
              <w:spacing w:line="320" w:lineRule="atLeast"/>
              <w:rPr>
                <w:color w:val="auto"/>
                <w:highlight w:val="none"/>
              </w:rPr>
            </w:pPr>
          </w:p>
        </w:tc>
        <w:tc>
          <w:tcPr>
            <w:tcW w:w="2931" w:type="dxa"/>
            <w:noWrap w:val="0"/>
            <w:vAlign w:val="center"/>
          </w:tcPr>
          <w:p w14:paraId="0D9E24C6">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（8）商务条款响应程度（包括不限于业绩、服务期、售后服务、技术培训等）</w:t>
            </w:r>
          </w:p>
        </w:tc>
        <w:tc>
          <w:tcPr>
            <w:tcW w:w="5101" w:type="dxa"/>
            <w:noWrap w:val="0"/>
            <w:vAlign w:val="center"/>
          </w:tcPr>
          <w:p w14:paraId="1DE6E434">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响应招标文件要求。</w:t>
            </w:r>
          </w:p>
        </w:tc>
      </w:tr>
    </w:tbl>
    <w:p w14:paraId="63A99023">
      <w:pPr>
        <w:spacing w:line="400" w:lineRule="exact"/>
        <w:ind w:firstLine="506" w:firstLineChars="241"/>
        <w:rPr>
          <w:rFonts w:hint="eastAsia" w:ascii="宋体"/>
          <w:color w:val="auto"/>
          <w:szCs w:val="21"/>
          <w:highlight w:val="none"/>
        </w:rPr>
      </w:pPr>
      <w:r>
        <w:rPr>
          <w:rFonts w:hint="eastAsia" w:ascii="宋体"/>
          <w:color w:val="auto"/>
          <w:szCs w:val="21"/>
          <w:highlight w:val="none"/>
        </w:rPr>
        <w:t>4.2资格审查及评分细则中涉及的有关证明材料及相关证书，电子投标文件中须按招标文件要求上传</w:t>
      </w:r>
      <w:r>
        <w:rPr>
          <w:rFonts w:hint="eastAsia" w:ascii="宋体" w:hAnsi="宋体"/>
          <w:b/>
          <w:color w:val="auto"/>
          <w:szCs w:val="21"/>
          <w:highlight w:val="none"/>
        </w:rPr>
        <w:t>扫描件</w:t>
      </w:r>
      <w:r>
        <w:rPr>
          <w:rFonts w:hint="eastAsia" w:ascii="宋体"/>
          <w:color w:val="auto"/>
          <w:szCs w:val="21"/>
          <w:highlight w:val="none"/>
        </w:rPr>
        <w:t>，以供审查。</w:t>
      </w:r>
    </w:p>
    <w:p w14:paraId="7F46A057">
      <w:pPr>
        <w:spacing w:line="400" w:lineRule="exact"/>
        <w:ind w:firstLine="506" w:firstLineChars="241"/>
        <w:rPr>
          <w:rFonts w:hint="eastAsia" w:ascii="宋体"/>
          <w:color w:val="auto"/>
          <w:szCs w:val="21"/>
          <w:highlight w:val="none"/>
        </w:rPr>
      </w:pPr>
      <w:r>
        <w:rPr>
          <w:rFonts w:hint="eastAsia" w:ascii="宋体"/>
          <w:color w:val="auto"/>
          <w:szCs w:val="21"/>
          <w:highlight w:val="none"/>
        </w:rPr>
        <w:t>4.3．评标委员会判定投标文件的响应性只根据投标文件本身的内容，而不寻求外部的证据，但投标有不真实不正确的内容时除外。</w:t>
      </w:r>
    </w:p>
    <w:p w14:paraId="12E29A7C">
      <w:pPr>
        <w:spacing w:line="400" w:lineRule="exact"/>
        <w:ind w:firstLine="506" w:firstLineChars="241"/>
        <w:rPr>
          <w:rFonts w:hint="eastAsia" w:ascii="宋体" w:hAnsi="宋体" w:eastAsia="宋体" w:cs="宋体"/>
          <w:b/>
          <w:bCs/>
          <w:color w:val="auto"/>
          <w:sz w:val="24"/>
          <w:szCs w:val="24"/>
          <w:highlight w:val="none"/>
        </w:rPr>
      </w:pPr>
      <w:r>
        <w:rPr>
          <w:rFonts w:hint="eastAsia" w:ascii="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7D924252">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投标文件的澄清和补正</w:t>
      </w:r>
      <w:bookmarkEnd w:id="59"/>
    </w:p>
    <w:p w14:paraId="4E35044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color w:val="auto"/>
          <w:sz w:val="21"/>
          <w:szCs w:val="21"/>
          <w:highlight w:val="none"/>
        </w:rPr>
        <w:t>如因投标人未参加开标导致开评标过程中无法澄清、说明或补正的，视同投标人放弃该权利。</w:t>
      </w:r>
    </w:p>
    <w:p w14:paraId="33FDDA61">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投标人的澄清、说明或者补</w:t>
      </w:r>
    </w:p>
    <w:p w14:paraId="267F1FA5">
      <w:pPr>
        <w:keepNext w:val="0"/>
        <w:keepLines w:val="0"/>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r>
        <w:rPr>
          <w:rFonts w:hint="eastAsia" w:ascii="宋体" w:hAnsi="宋体" w:cs="宋体"/>
          <w:b/>
          <w:bCs/>
          <w:color w:val="auto"/>
          <w:szCs w:val="21"/>
          <w:highlight w:val="none"/>
        </w:rPr>
        <w:t>。</w:t>
      </w:r>
    </w:p>
    <w:p w14:paraId="23841C5D">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评委会修正错误的原则：</w:t>
      </w:r>
    </w:p>
    <w:p w14:paraId="1053594E">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如果数字表示的金额和用文字表示的金额不一致时，以文字表示的金额为准</w:t>
      </w:r>
      <w:r>
        <w:rPr>
          <w:rFonts w:hint="eastAsia" w:ascii="宋体" w:hAnsi="宋体" w:eastAsia="宋体" w:cs="宋体"/>
          <w:color w:val="auto"/>
          <w:sz w:val="21"/>
          <w:szCs w:val="21"/>
          <w:highlight w:val="none"/>
          <w:lang w:eastAsia="zh-CN"/>
        </w:rPr>
        <w:t>。</w:t>
      </w:r>
    </w:p>
    <w:p w14:paraId="2973CB46">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14:paraId="1138E099">
      <w:pPr>
        <w:keepNext w:val="0"/>
        <w:keepLines w:val="0"/>
        <w:pageBreakBefore w:val="0"/>
        <w:widowControl w:val="0"/>
        <w:kinsoku/>
        <w:wordWrap/>
        <w:overflowPunct/>
        <w:topLinePunct w:val="0"/>
        <w:autoSpaceDE/>
        <w:autoSpaceDN/>
        <w:bidi w:val="0"/>
        <w:adjustRightInd/>
        <w:snapToGrid/>
        <w:spacing w:line="440" w:lineRule="exact"/>
        <w:ind w:firstLine="403" w:firstLineChars="192"/>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予以确认。投标人拒绝对投标文件出现的错漏按上述原则进行修正、澄清、说明，评标委员会应当否决其投标。</w:t>
      </w:r>
    </w:p>
    <w:p w14:paraId="05EF3AE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p>
    <w:p w14:paraId="49A6CEA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0" w:name="_Toc30419"/>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、投标报价评分细则</w:t>
      </w:r>
      <w:bookmarkEnd w:id="60"/>
    </w:p>
    <w:tbl>
      <w:tblPr>
        <w:tblStyle w:val="45"/>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5A1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vAlign w:val="center"/>
          </w:tcPr>
          <w:p w14:paraId="14609569">
            <w:pPr>
              <w:spacing w:line="320" w:lineRule="atLeast"/>
              <w:jc w:val="center"/>
              <w:rPr>
                <w:rFonts w:hint="eastAsia" w:ascii="黑体" w:hAnsi="Times New Roman" w:eastAsia="黑体" w:cs="黑体"/>
                <w:b/>
                <w:bCs/>
                <w:color w:val="auto"/>
                <w:szCs w:val="21"/>
                <w:highlight w:val="none"/>
              </w:rPr>
            </w:pPr>
            <w:r>
              <w:rPr>
                <w:rFonts w:hint="eastAsia" w:ascii="黑体" w:hAnsi="Times New Roman" w:eastAsia="黑体" w:cs="黑体"/>
                <w:b/>
                <w:bCs/>
                <w:color w:val="auto"/>
                <w:szCs w:val="21"/>
                <w:highlight w:val="none"/>
              </w:rPr>
              <w:t>评审项</w:t>
            </w:r>
          </w:p>
        </w:tc>
        <w:tc>
          <w:tcPr>
            <w:tcW w:w="1842" w:type="dxa"/>
            <w:vAlign w:val="center"/>
          </w:tcPr>
          <w:p w14:paraId="2E66EDB0">
            <w:pPr>
              <w:spacing w:line="320" w:lineRule="atLeast"/>
              <w:jc w:val="center"/>
              <w:rPr>
                <w:rFonts w:hint="eastAsia" w:ascii="黑体" w:hAnsi="Times New Roman" w:eastAsia="黑体" w:cs="黑体"/>
                <w:b/>
                <w:bCs/>
                <w:color w:val="auto"/>
                <w:szCs w:val="21"/>
                <w:highlight w:val="none"/>
              </w:rPr>
            </w:pPr>
            <w:r>
              <w:rPr>
                <w:rFonts w:hint="eastAsia" w:ascii="黑体" w:hAnsi="Times New Roman" w:eastAsia="黑体" w:cs="黑体"/>
                <w:b/>
                <w:bCs/>
                <w:color w:val="auto"/>
                <w:szCs w:val="21"/>
                <w:highlight w:val="none"/>
              </w:rPr>
              <w:t>评审因素</w:t>
            </w:r>
          </w:p>
        </w:tc>
        <w:tc>
          <w:tcPr>
            <w:tcW w:w="6067" w:type="dxa"/>
            <w:vAlign w:val="center"/>
          </w:tcPr>
          <w:p w14:paraId="22D39B9C">
            <w:pPr>
              <w:spacing w:line="320" w:lineRule="atLeast"/>
              <w:jc w:val="center"/>
              <w:rPr>
                <w:rFonts w:hint="eastAsia" w:ascii="黑体" w:hAnsi="Times New Roman" w:eastAsia="黑体" w:cs="黑体"/>
                <w:b/>
                <w:bCs/>
                <w:color w:val="auto"/>
                <w:szCs w:val="21"/>
                <w:highlight w:val="none"/>
              </w:rPr>
            </w:pPr>
            <w:r>
              <w:rPr>
                <w:rFonts w:hint="eastAsia" w:ascii="黑体" w:hAnsi="Times New Roman" w:eastAsia="黑体" w:cs="黑体"/>
                <w:b/>
                <w:bCs/>
                <w:color w:val="auto"/>
                <w:szCs w:val="21"/>
                <w:highlight w:val="none"/>
              </w:rPr>
              <w:t>评审标准</w:t>
            </w:r>
          </w:p>
        </w:tc>
      </w:tr>
      <w:tr w14:paraId="5FC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14:paraId="46BB242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vAlign w:val="center"/>
          </w:tcPr>
          <w:p w14:paraId="4F98269D">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vAlign w:val="center"/>
          </w:tcPr>
          <w:p w14:paraId="2BBC26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vAlign w:val="center"/>
          </w:tcPr>
          <w:p w14:paraId="4DD036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2A6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vAlign w:val="center"/>
          </w:tcPr>
          <w:p w14:paraId="68D41E7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5EB6DDCA">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5F20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vAlign w:val="center"/>
          </w:tcPr>
          <w:p w14:paraId="2DA2E2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p>
        </w:tc>
      </w:tr>
      <w:tr w14:paraId="0D4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vAlign w:val="center"/>
          </w:tcPr>
          <w:p w14:paraId="0F6B7664">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2D64B55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69A3E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vAlign w:val="center"/>
          </w:tcPr>
          <w:p w14:paraId="0E620C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06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vAlign w:val="center"/>
          </w:tcPr>
          <w:p w14:paraId="37040A3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025AADEE">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7CFA8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vAlign w:val="center"/>
          </w:tcPr>
          <w:p w14:paraId="7E1DB2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不高于最高限价</w:t>
            </w:r>
          </w:p>
        </w:tc>
      </w:tr>
      <w:tr w14:paraId="78A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vAlign w:val="center"/>
          </w:tcPr>
          <w:p w14:paraId="69CF0CD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vAlign w:val="center"/>
          </w:tcPr>
          <w:p w14:paraId="038F436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F8F846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vAlign w:val="center"/>
          </w:tcPr>
          <w:p w14:paraId="4B9CB1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auto"/>
                <w:sz w:val="21"/>
                <w:szCs w:val="21"/>
                <w:highlight w:val="none"/>
                <w:lang w:eastAsia="zh-CN"/>
              </w:rPr>
            </w:pPr>
            <w:r>
              <w:rPr>
                <w:rFonts w:ascii="宋体" w:hAnsi="宋体" w:cs="宋体"/>
                <w:color w:val="auto"/>
                <w:sz w:val="21"/>
                <w:szCs w:val="21"/>
                <w:highlight w:val="none"/>
              </w:rPr>
              <w:t>1</w:t>
            </w:r>
            <w:r>
              <w:rPr>
                <w:rFonts w:hint="eastAsia" w:ascii="宋体" w:hAnsi="宋体" w:cs="宋体"/>
                <w:color w:val="auto"/>
                <w:sz w:val="21"/>
                <w:szCs w:val="21"/>
                <w:highlight w:val="none"/>
              </w:rPr>
              <w:t>、招标人设置投标报价最高限价，各投标人有效报价不得高于最高限价，否则，其投标文件按无效标处理。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投标报价不可以填报0或负数，否则按无效标处理</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以基本费率作为评审价格</w:t>
            </w:r>
            <w:r>
              <w:rPr>
                <w:rFonts w:hint="eastAsia" w:ascii="宋体" w:hAnsi="宋体" w:eastAsia="宋体" w:cs="宋体"/>
                <w:b/>
                <w:bCs/>
                <w:color w:val="auto"/>
                <w:sz w:val="21"/>
                <w:szCs w:val="21"/>
                <w:highlight w:val="none"/>
                <w:lang w:eastAsia="zh-CN"/>
              </w:rPr>
              <w:t>）</w:t>
            </w:r>
          </w:p>
          <w:p w14:paraId="4CF931AD">
            <w:pPr>
              <w:keepNext w:val="0"/>
              <w:keepLines w:val="0"/>
              <w:pageBreakBefore w:val="0"/>
              <w:widowControl w:val="0"/>
              <w:tabs>
                <w:tab w:val="left" w:pos="1080"/>
              </w:tabs>
              <w:kinsoku/>
              <w:wordWrap/>
              <w:overflowPunct/>
              <w:topLinePunct w:val="0"/>
              <w:autoSpaceDE/>
              <w:autoSpaceDN/>
              <w:bidi w:val="0"/>
              <w:adjustRightInd/>
              <w:snapToGrid/>
              <w:spacing w:line="360" w:lineRule="exact"/>
              <w:ind w:right="105"/>
              <w:textAlignment w:val="auto"/>
              <w:rPr>
                <w:rFonts w:hint="eastAsia" w:ascii="宋体" w:hAnsi="宋体" w:eastAsia="宋体" w:cs="宋体"/>
                <w:color w:val="auto"/>
                <w:sz w:val="21"/>
                <w:szCs w:val="21"/>
                <w:highlight w:val="none"/>
                <w:lang w:eastAsia="zh-CN"/>
              </w:rPr>
            </w:pPr>
            <w:r>
              <w:rPr>
                <w:rFonts w:ascii="宋体" w:hAnsi="宋体" w:cs="宋体"/>
                <w:color w:val="auto"/>
                <w:sz w:val="21"/>
                <w:szCs w:val="21"/>
                <w:highlight w:val="none"/>
              </w:rPr>
              <w:t>2</w:t>
            </w:r>
            <w:r>
              <w:rPr>
                <w:rFonts w:hint="eastAsia" w:ascii="宋体" w:hAnsi="宋体" w:cs="宋体"/>
                <w:color w:val="auto"/>
                <w:sz w:val="21"/>
                <w:szCs w:val="21"/>
                <w:highlight w:val="none"/>
              </w:rPr>
              <w:t>、评标基准值为所有投标人投标报价的算术平均值</w:t>
            </w:r>
            <w:r>
              <w:rPr>
                <w:rFonts w:hint="eastAsia" w:ascii="宋体" w:hAnsi="宋体" w:cs="宋体"/>
                <w:color w:val="auto"/>
                <w:sz w:val="21"/>
                <w:szCs w:val="21"/>
                <w:highlight w:val="none"/>
                <w:lang w:eastAsia="zh-CN"/>
              </w:rPr>
              <w:t>。</w:t>
            </w:r>
          </w:p>
          <w:p w14:paraId="72384CD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、各投标人的投标总报价与评标基准值相比，相同的得100分，每高1个点扣1.0分，每低1个点扣0.5分；不足1个点的按插入法计算。</w:t>
            </w:r>
          </w:p>
          <w:p w14:paraId="6741A1B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、本项分值由招标代理机构计算，评标委员会复核。</w:t>
            </w:r>
          </w:p>
          <w:p w14:paraId="4561AEB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、评分计算示例：假设评标基准值为</w:t>
            </w:r>
            <w:r>
              <w:rPr>
                <w:rFonts w:hint="eastAsia" w:ascii="宋体" w:hAnsi="宋体" w:cs="宋体"/>
                <w:color w:val="auto"/>
                <w:sz w:val="21"/>
                <w:szCs w:val="21"/>
                <w:highlight w:val="none"/>
                <w:lang w:val="en-US" w:eastAsia="zh-CN"/>
              </w:rPr>
              <w:t>1.12‰</w:t>
            </w:r>
            <w:r>
              <w:rPr>
                <w:rFonts w:hint="eastAsia" w:ascii="宋体" w:hAnsi="宋体" w:cs="宋体"/>
                <w:color w:val="auto"/>
                <w:sz w:val="21"/>
                <w:szCs w:val="21"/>
                <w:highlight w:val="none"/>
              </w:rPr>
              <w:t>，投标人甲的报价为</w:t>
            </w:r>
            <w:r>
              <w:rPr>
                <w:rFonts w:hint="eastAsia" w:ascii="宋体" w:hAnsi="宋体" w:cs="宋体"/>
                <w:color w:val="auto"/>
                <w:sz w:val="21"/>
                <w:szCs w:val="21"/>
                <w:highlight w:val="none"/>
                <w:lang w:val="en-US" w:eastAsia="zh-CN"/>
              </w:rPr>
              <w:t>1.28‰</w:t>
            </w:r>
            <w:r>
              <w:rPr>
                <w:rFonts w:hint="eastAsia" w:ascii="宋体" w:hAnsi="宋体" w:cs="宋体"/>
                <w:color w:val="auto"/>
                <w:sz w:val="21"/>
                <w:szCs w:val="21"/>
                <w:highlight w:val="none"/>
              </w:rPr>
              <w:t>、投标人乙的报价为</w:t>
            </w:r>
            <w:r>
              <w:rPr>
                <w:rFonts w:hint="eastAsia" w:ascii="宋体" w:hAnsi="宋体" w:cs="宋体"/>
                <w:color w:val="auto"/>
                <w:sz w:val="21"/>
                <w:szCs w:val="21"/>
                <w:highlight w:val="none"/>
                <w:lang w:val="en-US" w:eastAsia="zh-CN"/>
              </w:rPr>
              <w:t>0.98‰</w:t>
            </w:r>
            <w:r>
              <w:rPr>
                <w:rFonts w:hint="eastAsia" w:ascii="宋体" w:hAnsi="宋体" w:cs="宋体"/>
                <w:color w:val="auto"/>
                <w:sz w:val="21"/>
                <w:szCs w:val="21"/>
                <w:highlight w:val="none"/>
              </w:rPr>
              <w:t>、投标人丙的报价为</w:t>
            </w:r>
            <w:r>
              <w:rPr>
                <w:rFonts w:hint="eastAsia" w:ascii="宋体" w:hAnsi="宋体" w:cs="宋体"/>
                <w:color w:val="auto"/>
                <w:sz w:val="21"/>
                <w:szCs w:val="21"/>
                <w:highlight w:val="none"/>
                <w:lang w:val="en-US" w:eastAsia="zh-CN"/>
              </w:rPr>
              <w:t>1.12‰</w:t>
            </w:r>
            <w:r>
              <w:rPr>
                <w:rFonts w:hint="eastAsia" w:ascii="宋体" w:hAnsi="宋体" w:cs="宋体"/>
                <w:color w:val="auto"/>
                <w:sz w:val="21"/>
                <w:szCs w:val="21"/>
                <w:highlight w:val="none"/>
              </w:rPr>
              <w:t>，计算各投标人得分如下：</w:t>
            </w:r>
          </w:p>
          <w:p w14:paraId="010D053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auto"/>
                <w:sz w:val="21"/>
                <w:szCs w:val="21"/>
                <w:highlight w:val="none"/>
              </w:rPr>
            </w:pPr>
            <w:r>
              <w:rPr>
                <w:rFonts w:hint="eastAsia" w:ascii="宋体" w:hAnsi="宋体" w:cs="宋体"/>
                <w:color w:val="auto"/>
                <w:sz w:val="21"/>
                <w:szCs w:val="21"/>
                <w:highlight w:val="none"/>
              </w:rPr>
              <w:t>投标人甲：</w:t>
            </w:r>
            <w:r>
              <w:rPr>
                <w:rFonts w:hint="eastAsia" w:ascii="宋体" w:hAnsi="宋体" w:cs="宋体"/>
                <w:color w:val="auto"/>
                <w:sz w:val="21"/>
                <w:szCs w:val="21"/>
                <w:highlight w:val="none"/>
                <w:lang w:val="en-US" w:eastAsia="zh-CN"/>
              </w:rPr>
              <w:t>1.28</w:t>
            </w:r>
            <w:r>
              <w:rPr>
                <w:rFonts w:ascii="宋体" w:cs="宋体"/>
                <w:color w:val="auto"/>
                <w:sz w:val="21"/>
                <w:szCs w:val="21"/>
                <w:highlight w:val="none"/>
              </w:rPr>
              <w:t>-</w:t>
            </w:r>
            <w:r>
              <w:rPr>
                <w:rFonts w:hint="eastAsia" w:ascii="宋体" w:hAnsi="宋体" w:cs="宋体"/>
                <w:color w:val="auto"/>
                <w:sz w:val="21"/>
                <w:szCs w:val="21"/>
                <w:highlight w:val="none"/>
                <w:lang w:val="en-US" w:eastAsia="zh-CN"/>
              </w:rPr>
              <w:t>1.12</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0.16</w:t>
            </w:r>
            <w:r>
              <w:rPr>
                <w:rFonts w:hint="eastAsia" w:ascii="宋体" w:hAnsi="宋体" w:cs="宋体"/>
                <w:color w:val="auto"/>
                <w:sz w:val="21"/>
                <w:szCs w:val="21"/>
                <w:highlight w:val="none"/>
              </w:rPr>
              <w:t>，得分</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0.16*1.0</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99.84</w:t>
            </w:r>
            <w:r>
              <w:rPr>
                <w:rFonts w:hint="eastAsia" w:ascii="宋体" w:hAnsi="宋体" w:cs="宋体"/>
                <w:color w:val="auto"/>
                <w:sz w:val="21"/>
                <w:szCs w:val="21"/>
                <w:highlight w:val="none"/>
              </w:rPr>
              <w:t>；</w:t>
            </w:r>
          </w:p>
          <w:p w14:paraId="560EF8E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auto"/>
                <w:sz w:val="21"/>
                <w:szCs w:val="21"/>
                <w:highlight w:val="none"/>
              </w:rPr>
            </w:pPr>
            <w:r>
              <w:rPr>
                <w:rFonts w:hint="eastAsia" w:ascii="宋体" w:hAnsi="宋体" w:cs="宋体"/>
                <w:color w:val="auto"/>
                <w:sz w:val="21"/>
                <w:szCs w:val="21"/>
                <w:highlight w:val="none"/>
              </w:rPr>
              <w:t>投标人乙：</w:t>
            </w:r>
            <w:r>
              <w:rPr>
                <w:rFonts w:hint="eastAsia" w:ascii="宋体" w:hAnsi="宋体" w:cs="宋体"/>
                <w:color w:val="auto"/>
                <w:sz w:val="21"/>
                <w:szCs w:val="21"/>
                <w:highlight w:val="none"/>
                <w:lang w:val="en-US" w:eastAsia="zh-CN"/>
              </w:rPr>
              <w:t>0.98-1.12</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-0.14</w:t>
            </w:r>
            <w:r>
              <w:rPr>
                <w:rFonts w:hint="eastAsia" w:ascii="宋体" w:hAnsi="宋体" w:cs="宋体"/>
                <w:color w:val="auto"/>
                <w:sz w:val="21"/>
                <w:szCs w:val="21"/>
                <w:highlight w:val="none"/>
              </w:rPr>
              <w:t>，得分</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100-0.14*0.5=99.93</w:t>
            </w:r>
            <w:r>
              <w:rPr>
                <w:rFonts w:hint="eastAsia" w:ascii="宋体" w:hAnsi="宋体" w:cs="宋体"/>
                <w:color w:val="auto"/>
                <w:sz w:val="21"/>
                <w:szCs w:val="21"/>
                <w:highlight w:val="none"/>
              </w:rPr>
              <w:t>；</w:t>
            </w:r>
          </w:p>
          <w:p w14:paraId="25EEC4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投标人丙：</w:t>
            </w:r>
            <w:r>
              <w:rPr>
                <w:rFonts w:hint="eastAsia" w:ascii="宋体" w:hAnsi="宋体" w:cs="宋体"/>
                <w:color w:val="auto"/>
                <w:sz w:val="21"/>
                <w:szCs w:val="21"/>
                <w:highlight w:val="none"/>
                <w:lang w:val="en-US" w:eastAsia="zh-CN"/>
              </w:rPr>
              <w:t>1.12-1.12</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，得分</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w:t>
            </w:r>
          </w:p>
          <w:p w14:paraId="4482D6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hAnsi="宋体" w:eastAsia="宋体" w:cs="宋体"/>
                <w:b/>
                <w:bCs/>
                <w:color w:val="auto"/>
                <w:kern w:val="2"/>
                <w:sz w:val="21"/>
                <w:szCs w:val="21"/>
                <w:highlight w:val="none"/>
                <w:lang w:val="en-US" w:eastAsia="zh-CN" w:bidi="ar-SA"/>
              </w:rPr>
              <w:t>注：计算过程中，评标基准值、偏差率、报价得分均保留两位小数，小数点后第三位四舍五入。</w:t>
            </w:r>
          </w:p>
        </w:tc>
      </w:tr>
    </w:tbl>
    <w:p w14:paraId="1DD67D2D">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outlineLvl w:val="1"/>
        <w:rPr>
          <w:rFonts w:hint="eastAsia" w:ascii="宋体" w:hAnsi="宋体" w:eastAsia="宋体" w:cs="宋体"/>
          <w:b/>
          <w:bCs/>
          <w:color w:val="auto"/>
          <w:sz w:val="24"/>
          <w:szCs w:val="24"/>
          <w:highlight w:val="none"/>
        </w:rPr>
      </w:pPr>
      <w:bookmarkStart w:id="61" w:name="_Toc20318"/>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推荐中标候选人</w:t>
      </w:r>
      <w:bookmarkEnd w:id="61"/>
    </w:p>
    <w:p w14:paraId="1BD855F9">
      <w:pPr>
        <w:pStyle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小组先</w:t>
      </w:r>
      <w:r>
        <w:rPr>
          <w:rFonts w:hint="eastAsia" w:ascii="宋体" w:hAnsi="宋体" w:cs="宋体"/>
          <w:color w:val="auto"/>
          <w:sz w:val="21"/>
          <w:szCs w:val="21"/>
          <w:highlight w:val="none"/>
          <w:lang w:val="en-US" w:eastAsia="zh-CN"/>
        </w:rPr>
        <w:t>按标段</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投标报价不高于投标限价的</w:t>
      </w:r>
      <w:r>
        <w:rPr>
          <w:rFonts w:hint="eastAsia" w:ascii="宋体" w:hAnsi="宋体" w:eastAsia="宋体" w:cs="宋体"/>
          <w:color w:val="auto"/>
          <w:sz w:val="21"/>
          <w:szCs w:val="21"/>
          <w:highlight w:val="none"/>
        </w:rPr>
        <w:t>投标人报价按计算标准计算得分，得分按照从高到低进行排序</w:t>
      </w:r>
      <w:r>
        <w:rPr>
          <w:rFonts w:hint="eastAsia" w:ascii="宋体" w:hAnsi="宋体" w:cs="宋体"/>
          <w:color w:val="auto"/>
          <w:sz w:val="21"/>
          <w:szCs w:val="21"/>
          <w:highlight w:val="none"/>
          <w:lang w:eastAsia="zh-CN"/>
        </w:rPr>
        <w:t>，但投标报价低于其成本的除外</w:t>
      </w:r>
      <w:r>
        <w:rPr>
          <w:rFonts w:hint="eastAsia" w:ascii="宋体" w:hAnsi="宋体" w:eastAsia="宋体" w:cs="宋体"/>
          <w:color w:val="auto"/>
          <w:sz w:val="21"/>
          <w:szCs w:val="21"/>
          <w:highlight w:val="none"/>
        </w:rPr>
        <w:t>（如总得分相等，以投标报价低的优先，投标报价仍相等，由招标人</w:t>
      </w:r>
      <w:r>
        <w:rPr>
          <w:rFonts w:hint="eastAsia" w:ascii="宋体" w:hAnsi="宋体" w:eastAsia="宋体" w:cs="宋体"/>
          <w:color w:val="auto"/>
          <w:sz w:val="21"/>
          <w:szCs w:val="21"/>
          <w:highlight w:val="none"/>
          <w:lang w:val="en-US" w:eastAsia="zh-CN"/>
        </w:rPr>
        <w:t>或评标委员会</w:t>
      </w:r>
      <w:r>
        <w:rPr>
          <w:rFonts w:hint="eastAsia" w:ascii="宋体" w:hAnsi="宋体" w:eastAsia="宋体" w:cs="宋体"/>
          <w:color w:val="auto"/>
          <w:sz w:val="21"/>
          <w:szCs w:val="21"/>
          <w:highlight w:val="none"/>
        </w:rPr>
        <w:t>随机抽取确定排名，不得并列）。对排序前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文件进行评审并确定中标候选人。若排序前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文件评审不通过，则按得分排序递补至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家投标人进行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w:t>
      </w:r>
    </w:p>
    <w:p w14:paraId="2D219C1B">
      <w:pPr>
        <w:snapToGrid w:val="0"/>
        <w:spacing w:line="400" w:lineRule="exact"/>
        <w:ind w:firstLine="570"/>
        <w:rPr>
          <w:rFonts w:hint="eastAsia" w:ascii="宋体"/>
          <w:b/>
          <w:color w:val="auto"/>
          <w:szCs w:val="21"/>
          <w:highlight w:val="none"/>
        </w:rPr>
      </w:pPr>
      <w:r>
        <w:rPr>
          <w:rFonts w:hint="eastAsia" w:ascii="宋体"/>
          <w:b/>
          <w:color w:val="auto"/>
          <w:szCs w:val="21"/>
          <w:highlight w:val="none"/>
          <w:lang w:val="en-US" w:eastAsia="zh-CN"/>
        </w:rPr>
        <w:t>9.</w:t>
      </w:r>
      <w:r>
        <w:rPr>
          <w:rFonts w:hint="eastAsia" w:ascii="宋体" w:hAnsi="宋体"/>
          <w:b/>
          <w:color w:val="auto"/>
          <w:sz w:val="24"/>
          <w:highlight w:val="none"/>
        </w:rPr>
        <w:t xml:space="preserve"> </w:t>
      </w:r>
      <w:r>
        <w:rPr>
          <w:rFonts w:hint="eastAsia" w:ascii="宋体"/>
          <w:b/>
          <w:color w:val="auto"/>
          <w:szCs w:val="21"/>
          <w:highlight w:val="none"/>
        </w:rPr>
        <w:t>无效投标条款</w:t>
      </w:r>
    </w:p>
    <w:p w14:paraId="4C4B7412">
      <w:pPr>
        <w:snapToGrid w:val="0"/>
        <w:spacing w:line="400" w:lineRule="exact"/>
        <w:ind w:firstLine="525" w:firstLineChars="250"/>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.1投标文件有下列情形之一的,其投标文件拒收:</w:t>
      </w:r>
    </w:p>
    <w:p w14:paraId="27A02168">
      <w:pPr>
        <w:snapToGrid w:val="0"/>
        <w:spacing w:line="400" w:lineRule="exact"/>
        <w:ind w:firstLine="420"/>
        <w:rPr>
          <w:rFonts w:hint="eastAsia"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(1) 未在开标截止时间前通过网上招标投标系统递交有效电子投标文件的，开标系统不予接收，投标将被拒绝。</w:t>
      </w:r>
    </w:p>
    <w:p w14:paraId="257D62F8">
      <w:pPr>
        <w:snapToGrid w:val="0"/>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2）投标企业接到远程解密指令后，须在规定时间内解密。因投标人自身原因导致投标文件在规定时间内未能解密、解密失败或解密超时，投标文件无效；解密时间：从本项目投标截止时间开始计时，至完成投标文件解密时间，不得超过</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0分钟，否则投标文件将被拒绝。</w:t>
      </w:r>
    </w:p>
    <w:p w14:paraId="60948C9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.2投标人有下列情形之一的,资格审查后其投标作无效投标处理：</w:t>
      </w:r>
    </w:p>
    <w:p w14:paraId="5560F39C">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）投标人为本项目提供招标代理服务的；</w:t>
      </w:r>
    </w:p>
    <w:p w14:paraId="439C100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）投标人与在本项目代理机构存在相互任职或工作的；</w:t>
      </w:r>
    </w:p>
    <w:p w14:paraId="09E3046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）评标专家无法查看并检验电子投标文件中相关资料的；</w:t>
      </w:r>
    </w:p>
    <w:p w14:paraId="3C99BAF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）联合体投标未提交联合体协议的；</w:t>
      </w:r>
    </w:p>
    <w:p w14:paraId="16A15BB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）被暂停营业的；</w:t>
      </w:r>
    </w:p>
    <w:p w14:paraId="348F643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）被暂停或取消投标资格的；</w:t>
      </w:r>
    </w:p>
    <w:p w14:paraId="6F19C305">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）财产被接管或冻结的；</w:t>
      </w:r>
    </w:p>
    <w:p w14:paraId="6F3BA6B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）投标人单位负责人为同一人或者存在控股、管理关系的不同单位的；</w:t>
      </w:r>
    </w:p>
    <w:p w14:paraId="2B286FD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）保证金不按第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章“投标人须知”及其前附表要求提交投标保证金的；</w:t>
      </w:r>
    </w:p>
    <w:p w14:paraId="31DF76D0">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）投标人未办理省主体库登记入库手续的；</w:t>
      </w:r>
    </w:p>
    <w:p w14:paraId="27D6A744">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）投标人申请开具电子保函 MAC 地址一致的；</w:t>
      </w:r>
    </w:p>
    <w:p w14:paraId="430169F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）投标人基本资格条件和特定资格条件中有一项及以上不符合要求的；</w:t>
      </w:r>
    </w:p>
    <w:p w14:paraId="1C6FAF8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7FA9328">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）其它情形，经评标委员会委提出按无效投标处理；</w:t>
      </w:r>
    </w:p>
    <w:p w14:paraId="1D9C701F">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）投标人投标MAC地址或投标人联系人或联系电话相同的，由评标委员会否决其投标，并进一步调查；</w:t>
      </w:r>
    </w:p>
    <w:p w14:paraId="4416314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）投标人单方面出现其他投标人材料的；</w:t>
      </w:r>
    </w:p>
    <w:p w14:paraId="45E4C8BD">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）招标文件规定的其它无效投标情形。</w:t>
      </w:r>
    </w:p>
    <w:p w14:paraId="56DF612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投标人有下列情形之一的,符合性审查后其投标按无效投标处理：</w:t>
      </w:r>
    </w:p>
    <w:p w14:paraId="79D7196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）投标文件签字、盖章不全，经评标委员会一致认定对开评标内容有实质性影响的；</w:t>
      </w:r>
    </w:p>
    <w:p w14:paraId="71D14C6F">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p>
    <w:p w14:paraId="66318CA2">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）同一投标人提交两个以上不同的投标文件或者投标报价，但招标文件规定提交备选方案的除外；</w:t>
      </w:r>
    </w:p>
    <w:p w14:paraId="7CC4909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0C4016D3">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p>
    <w:p w14:paraId="651ECF07">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）不按评标委员会要求澄清、说明或补正的，或者评标委员会根据招标文件的规定对招标文件的计算错误进行修正后，投标人不接受修正的投标报价的。</w:t>
      </w:r>
    </w:p>
    <w:p w14:paraId="55085D8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14:paraId="46FF0A7C">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280CABC2">
      <w:pPr>
        <w:keepNext w:val="0"/>
        <w:keepLines w:val="0"/>
        <w:pageBreakBefore w:val="0"/>
        <w:widowControl w:val="0"/>
        <w:tabs>
          <w:tab w:val="left" w:pos="1123"/>
        </w:tabs>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5C181207">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投标人有下列情形之一的, 详细评审后其投标按无效投标处理：</w:t>
      </w:r>
    </w:p>
    <w:p w14:paraId="33F2018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）投标产品不符合必须强制执行的国家标准的；</w:t>
      </w:r>
    </w:p>
    <w:p w14:paraId="089679DE">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）投标人有串通投标、弄虚作假、行贿等违法行为；</w:t>
      </w:r>
    </w:p>
    <w:p w14:paraId="67F9813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）投标文件含有违反国家法律、法规的内容，或附有招标人不能接受的条件的；</w:t>
      </w:r>
    </w:p>
    <w:p w14:paraId="154B8023">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65F25D2A">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76381DE8">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14:paraId="095585C1">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p w14:paraId="1825D070">
      <w:pPr>
        <w:rPr>
          <w:rFonts w:hint="eastAsia"/>
          <w:color w:val="auto"/>
          <w:highlight w:val="none"/>
        </w:rPr>
      </w:pPr>
    </w:p>
    <w:p w14:paraId="79D4181F">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44"/>
          <w:szCs w:val="44"/>
          <w:highlight w:val="none"/>
          <w:lang w:val="en-US" w:eastAsia="zh-CN"/>
        </w:rPr>
      </w:pPr>
      <w:bookmarkStart w:id="62" w:name="_Toc3848"/>
      <w:r>
        <w:rPr>
          <w:rFonts w:hint="eastAsia" w:ascii="宋体" w:hAnsi="宋体" w:eastAsia="宋体" w:cs="宋体"/>
          <w:color w:val="auto"/>
          <w:sz w:val="44"/>
          <w:szCs w:val="44"/>
          <w:highlight w:val="none"/>
          <w:lang w:val="en-US" w:eastAsia="zh-CN"/>
        </w:rPr>
        <w:t>第三章 合同条款</w:t>
      </w:r>
      <w:bookmarkEnd w:id="52"/>
      <w:bookmarkEnd w:id="53"/>
      <w:bookmarkEnd w:id="62"/>
    </w:p>
    <w:p w14:paraId="209DF1AC">
      <w:pPr>
        <w:rPr>
          <w:rFonts w:hint="eastAsia" w:ascii="宋体" w:hAnsi="宋体" w:eastAsia="宋体" w:cs="宋体"/>
          <w:color w:val="auto"/>
          <w:highlight w:val="none"/>
        </w:rPr>
      </w:pPr>
    </w:p>
    <w:p w14:paraId="7ADF00C0">
      <w:pPr>
        <w:spacing w:line="360" w:lineRule="auto"/>
        <w:jc w:val="center"/>
        <w:rPr>
          <w:rFonts w:hint="eastAsia" w:ascii="宋体"/>
          <w:b/>
          <w:color w:val="auto"/>
          <w:sz w:val="52"/>
          <w:szCs w:val="24"/>
          <w:highlight w:val="none"/>
        </w:rPr>
      </w:pPr>
      <w:r>
        <w:rPr>
          <w:rFonts w:hint="eastAsia" w:ascii="宋体"/>
          <w:b/>
          <w:color w:val="auto"/>
          <w:sz w:val="52"/>
          <w:szCs w:val="24"/>
          <w:highlight w:val="none"/>
        </w:rPr>
        <w:t>委</w:t>
      </w:r>
    </w:p>
    <w:p w14:paraId="34EBF081">
      <w:pPr>
        <w:spacing w:line="360" w:lineRule="auto"/>
        <w:jc w:val="center"/>
        <w:rPr>
          <w:rFonts w:hint="eastAsia" w:ascii="宋体"/>
          <w:b/>
          <w:color w:val="auto"/>
          <w:sz w:val="52"/>
          <w:szCs w:val="24"/>
          <w:highlight w:val="none"/>
        </w:rPr>
      </w:pPr>
      <w:r>
        <w:rPr>
          <w:rFonts w:hint="eastAsia" w:ascii="宋体"/>
          <w:b/>
          <w:color w:val="auto"/>
          <w:sz w:val="52"/>
          <w:szCs w:val="24"/>
          <w:highlight w:val="none"/>
        </w:rPr>
        <w:t>托</w:t>
      </w:r>
    </w:p>
    <w:p w14:paraId="38D336A5">
      <w:pPr>
        <w:spacing w:line="360" w:lineRule="auto"/>
        <w:jc w:val="center"/>
        <w:rPr>
          <w:rFonts w:hint="eastAsia" w:ascii="宋体"/>
          <w:b/>
          <w:color w:val="auto"/>
          <w:sz w:val="52"/>
          <w:szCs w:val="24"/>
          <w:highlight w:val="none"/>
        </w:rPr>
      </w:pPr>
      <w:r>
        <w:rPr>
          <w:rFonts w:hint="eastAsia" w:ascii="宋体"/>
          <w:b/>
          <w:color w:val="auto"/>
          <w:sz w:val="52"/>
          <w:szCs w:val="24"/>
          <w:highlight w:val="none"/>
        </w:rPr>
        <w:t>协</w:t>
      </w:r>
    </w:p>
    <w:p w14:paraId="13559191">
      <w:pPr>
        <w:spacing w:line="360" w:lineRule="auto"/>
        <w:jc w:val="center"/>
        <w:rPr>
          <w:rFonts w:hint="eastAsia" w:ascii="宋体"/>
          <w:b/>
          <w:color w:val="auto"/>
          <w:sz w:val="52"/>
          <w:szCs w:val="24"/>
          <w:highlight w:val="none"/>
        </w:rPr>
      </w:pPr>
      <w:r>
        <w:rPr>
          <w:rFonts w:hint="eastAsia" w:ascii="宋体"/>
          <w:b/>
          <w:color w:val="auto"/>
          <w:sz w:val="52"/>
          <w:szCs w:val="24"/>
          <w:highlight w:val="none"/>
        </w:rPr>
        <w:t>议</w:t>
      </w:r>
    </w:p>
    <w:p w14:paraId="3355515F">
      <w:pPr>
        <w:jc w:val="center"/>
        <w:rPr>
          <w:rFonts w:hint="default" w:ascii="Times New Roman" w:hAnsi="Times New Roman" w:eastAsia="华文中宋"/>
          <w:b/>
          <w:color w:val="auto"/>
          <w:sz w:val="52"/>
          <w:szCs w:val="24"/>
          <w:highlight w:val="none"/>
        </w:rPr>
      </w:pPr>
    </w:p>
    <w:p w14:paraId="1E4A1E6C">
      <w:pPr>
        <w:spacing w:line="240" w:lineRule="exact"/>
        <w:rPr>
          <w:rFonts w:hint="default" w:ascii="Times New Roman" w:hAnsi="Times New Roman" w:eastAsia="楷体_GB2312"/>
          <w:b/>
          <w:color w:val="auto"/>
          <w:sz w:val="72"/>
          <w:szCs w:val="24"/>
          <w:highlight w:val="none"/>
        </w:rPr>
      </w:pPr>
    </w:p>
    <w:p w14:paraId="59121782">
      <w:pPr>
        <w:spacing w:line="240" w:lineRule="exact"/>
        <w:jc w:val="center"/>
        <w:rPr>
          <w:rFonts w:hint="default" w:ascii="Times New Roman" w:hAnsi="Times New Roman" w:eastAsia="楷体_GB2312"/>
          <w:b/>
          <w:color w:val="auto"/>
          <w:sz w:val="72"/>
          <w:szCs w:val="24"/>
          <w:highlight w:val="none"/>
        </w:rPr>
      </w:pPr>
    </w:p>
    <w:p w14:paraId="1F8B0DA3">
      <w:pPr>
        <w:spacing w:line="240" w:lineRule="exact"/>
        <w:jc w:val="center"/>
        <w:rPr>
          <w:rFonts w:hint="default" w:ascii="Times New Roman" w:hAnsi="Times New Roman" w:eastAsia="楷体_GB2312"/>
          <w:b/>
          <w:color w:val="auto"/>
          <w:sz w:val="72"/>
          <w:szCs w:val="24"/>
          <w:highlight w:val="none"/>
        </w:rPr>
      </w:pPr>
    </w:p>
    <w:p w14:paraId="497509AE">
      <w:pPr>
        <w:spacing w:line="800" w:lineRule="exact"/>
        <w:ind w:firstLine="944" w:firstLineChars="295"/>
        <w:rPr>
          <w:rFonts w:hint="eastAsia" w:ascii="宋体"/>
          <w:color w:val="auto"/>
          <w:sz w:val="32"/>
          <w:szCs w:val="24"/>
          <w:highlight w:val="none"/>
          <w:u w:val="single"/>
        </w:rPr>
      </w:pPr>
      <w:r>
        <w:rPr>
          <w:rFonts w:hint="eastAsia" w:ascii="宋体" w:hAnsi="宋体" w:eastAsia="仿宋_GB2312" w:cs="Times New Roman"/>
          <w:color w:val="auto"/>
          <w:kern w:val="2"/>
          <w:sz w:val="32"/>
          <w:szCs w:val="24"/>
          <w:highlight w:val="none"/>
          <w:lang w:val="en-US" w:eastAsia="zh-CN" w:bidi="ar-SA"/>
        </w:rPr>
        <w:t>合同编号：</w:t>
      </w:r>
      <w:r>
        <w:rPr>
          <w:rFonts w:hint="eastAsia" w:ascii="宋体" w:hAnsi="宋体"/>
          <w:color w:val="auto"/>
          <w:sz w:val="32"/>
          <w:szCs w:val="24"/>
          <w:highlight w:val="none"/>
          <w:u w:val="single"/>
        </w:rPr>
        <w:t xml:space="preserve">    </w:t>
      </w:r>
      <w:r>
        <w:rPr>
          <w:rFonts w:hint="eastAsia" w:ascii="宋体" w:hAnsi="宋体"/>
          <w:color w:val="auto"/>
          <w:sz w:val="32"/>
          <w:szCs w:val="24"/>
          <w:highlight w:val="none"/>
          <w:u w:val="single"/>
          <w:lang w:val="en-US" w:eastAsia="zh-CN"/>
        </w:rPr>
        <w:t xml:space="preserve">          </w:t>
      </w:r>
      <w:r>
        <w:rPr>
          <w:rFonts w:hint="eastAsia" w:ascii="宋体" w:hAnsi="宋体"/>
          <w:color w:val="auto"/>
          <w:sz w:val="32"/>
          <w:szCs w:val="24"/>
          <w:highlight w:val="none"/>
          <w:u w:val="single"/>
        </w:rPr>
        <w:t xml:space="preserve">                  </w:t>
      </w:r>
    </w:p>
    <w:p w14:paraId="01288131">
      <w:pPr>
        <w:pStyle w:val="27"/>
        <w:spacing w:line="800" w:lineRule="exact"/>
        <w:ind w:left="0" w:leftChars="0" w:firstLine="960" w:firstLineChars="300"/>
        <w:jc w:val="left"/>
        <w:rPr>
          <w:rFonts w:hint="eastAsia" w:ascii="宋体" w:hAnsi="宋体"/>
          <w:color w:val="auto"/>
          <w:spacing w:val="-20"/>
          <w:sz w:val="32"/>
          <w:szCs w:val="24"/>
          <w:highlight w:val="none"/>
          <w:u w:val="single"/>
        </w:rPr>
      </w:pPr>
      <w:r>
        <w:rPr>
          <w:rFonts w:hint="eastAsia" w:ascii="宋体" w:hAnsi="宋体" w:cs="Times New Roman"/>
          <w:color w:val="auto"/>
          <w:sz w:val="32"/>
          <w:szCs w:val="24"/>
          <w:highlight w:val="none"/>
        </w:rPr>
        <w:t>工程名称：</w:t>
      </w:r>
      <w:r>
        <w:rPr>
          <w:rFonts w:hint="eastAsia" w:ascii="宋体" w:hAnsi="宋体" w:cs="Times New Roman"/>
          <w:color w:val="auto"/>
          <w:sz w:val="32"/>
          <w:szCs w:val="24"/>
          <w:highlight w:val="none"/>
          <w:u w:val="single"/>
          <w:lang w:val="en-US" w:eastAsia="zh-CN"/>
        </w:rPr>
        <w:t xml:space="preserve"> </w:t>
      </w:r>
      <w:r>
        <w:rPr>
          <w:rFonts w:hint="eastAsia" w:ascii="宋体" w:hAnsi="宋体" w:cs="Times New Roman"/>
          <w:color w:val="auto"/>
          <w:sz w:val="32"/>
          <w:szCs w:val="24"/>
          <w:highlight w:val="none"/>
          <w:u w:val="single"/>
        </w:rPr>
        <w:t xml:space="preserve">   </w:t>
      </w:r>
      <w:r>
        <w:rPr>
          <w:rFonts w:hint="eastAsia" w:ascii="宋体" w:hAnsi="宋体" w:cs="Times New Roman"/>
          <w:color w:val="auto"/>
          <w:spacing w:val="-20"/>
          <w:sz w:val="32"/>
          <w:szCs w:val="24"/>
          <w:highlight w:val="none"/>
          <w:u w:val="single"/>
        </w:rPr>
        <w:t xml:space="preserve"> </w:t>
      </w:r>
      <w:r>
        <w:rPr>
          <w:rFonts w:hint="eastAsia" w:ascii="宋体" w:hAnsi="宋体"/>
          <w:color w:val="auto"/>
          <w:spacing w:val="-20"/>
          <w:sz w:val="32"/>
          <w:szCs w:val="24"/>
          <w:highlight w:val="none"/>
          <w:u w:val="single"/>
        </w:rPr>
        <w:t xml:space="preserve">        </w:t>
      </w:r>
    </w:p>
    <w:p w14:paraId="7BADD5C4">
      <w:pPr>
        <w:pStyle w:val="27"/>
        <w:spacing w:line="800" w:lineRule="exact"/>
        <w:ind w:left="0" w:leftChars="0" w:firstLine="944" w:firstLineChars="295"/>
        <w:rPr>
          <w:rFonts w:hint="eastAsia" w:ascii="宋体"/>
          <w:color w:val="auto"/>
          <w:sz w:val="32"/>
          <w:szCs w:val="24"/>
          <w:highlight w:val="none"/>
        </w:rPr>
      </w:pPr>
      <w:r>
        <w:rPr>
          <w:rFonts w:hint="eastAsia" w:ascii="宋体" w:hAnsi="宋体"/>
          <w:color w:val="auto"/>
          <w:sz w:val="32"/>
          <w:szCs w:val="24"/>
          <w:highlight w:val="none"/>
          <w:lang w:val="en-US" w:eastAsia="zh-CN"/>
        </w:rPr>
        <w:t>项目</w:t>
      </w:r>
      <w:r>
        <w:rPr>
          <w:rFonts w:hint="eastAsia" w:ascii="宋体" w:hAnsi="宋体"/>
          <w:color w:val="auto"/>
          <w:sz w:val="32"/>
          <w:szCs w:val="24"/>
          <w:highlight w:val="none"/>
        </w:rPr>
        <w:t>地点：</w:t>
      </w:r>
      <w:r>
        <w:rPr>
          <w:rFonts w:hint="eastAsia" w:ascii="宋体" w:hAnsi="宋体"/>
          <w:color w:val="auto"/>
          <w:sz w:val="32"/>
          <w:szCs w:val="24"/>
          <w:highlight w:val="none"/>
          <w:u w:val="single"/>
          <w:lang w:val="en-US" w:eastAsia="zh-CN"/>
        </w:rPr>
        <w:t xml:space="preserve"> </w:t>
      </w:r>
      <w:r>
        <w:rPr>
          <w:rFonts w:hint="eastAsia" w:ascii="宋体" w:hAnsi="宋体"/>
          <w:color w:val="auto"/>
          <w:sz w:val="32"/>
          <w:szCs w:val="24"/>
          <w:highlight w:val="none"/>
          <w:u w:val="none"/>
        </w:rPr>
        <w:t xml:space="preserve">               </w:t>
      </w:r>
      <w:r>
        <w:rPr>
          <w:rFonts w:hint="eastAsia" w:ascii="宋体" w:hAnsi="宋体"/>
          <w:color w:val="auto"/>
          <w:sz w:val="32"/>
          <w:szCs w:val="24"/>
          <w:highlight w:val="none"/>
          <w:u w:val="single"/>
        </w:rPr>
        <w:t xml:space="preserve">        </w:t>
      </w:r>
    </w:p>
    <w:p w14:paraId="2229D5A7">
      <w:pPr>
        <w:pStyle w:val="27"/>
        <w:spacing w:line="800" w:lineRule="exact"/>
        <w:ind w:left="0" w:leftChars="0" w:firstLine="944" w:firstLineChars="295"/>
        <w:rPr>
          <w:rFonts w:hint="eastAsia" w:ascii="宋体"/>
          <w:color w:val="auto"/>
          <w:sz w:val="32"/>
          <w:szCs w:val="24"/>
          <w:highlight w:val="none"/>
        </w:rPr>
      </w:pPr>
      <w:r>
        <w:rPr>
          <w:rFonts w:hint="eastAsia" w:ascii="宋体" w:hAnsi="宋体"/>
          <w:color w:val="auto"/>
          <w:sz w:val="32"/>
          <w:szCs w:val="24"/>
          <w:highlight w:val="none"/>
        </w:rPr>
        <w:t>签订时间：</w:t>
      </w:r>
      <w:r>
        <w:rPr>
          <w:rFonts w:hint="eastAsia" w:ascii="宋体" w:hAnsi="宋体"/>
          <w:color w:val="auto"/>
          <w:sz w:val="32"/>
          <w:szCs w:val="24"/>
          <w:highlight w:val="none"/>
          <w:u w:val="single"/>
        </w:rPr>
        <w:t xml:space="preserve"> 20</w:t>
      </w:r>
      <w:r>
        <w:rPr>
          <w:rFonts w:hint="eastAsia" w:ascii="宋体" w:hAnsi="宋体"/>
          <w:color w:val="auto"/>
          <w:sz w:val="32"/>
          <w:szCs w:val="24"/>
          <w:highlight w:val="none"/>
          <w:u w:val="single"/>
          <w:lang w:val="en-US" w:eastAsia="zh-CN"/>
        </w:rPr>
        <w:t>25</w:t>
      </w:r>
      <w:r>
        <w:rPr>
          <w:rFonts w:hint="eastAsia" w:ascii="宋体" w:hAnsi="宋体"/>
          <w:color w:val="auto"/>
          <w:sz w:val="32"/>
          <w:szCs w:val="24"/>
          <w:highlight w:val="none"/>
        </w:rPr>
        <w:t>年</w:t>
      </w:r>
      <w:r>
        <w:rPr>
          <w:rFonts w:hint="eastAsia" w:ascii="宋体" w:hAnsi="宋体"/>
          <w:color w:val="auto"/>
          <w:sz w:val="32"/>
          <w:szCs w:val="24"/>
          <w:highlight w:val="none"/>
          <w:u w:val="single"/>
        </w:rPr>
        <w:t xml:space="preserve">   </w:t>
      </w:r>
      <w:r>
        <w:rPr>
          <w:rFonts w:hint="eastAsia" w:ascii="宋体" w:hAnsi="宋体"/>
          <w:color w:val="auto"/>
          <w:sz w:val="32"/>
          <w:szCs w:val="24"/>
          <w:highlight w:val="none"/>
          <w:u w:val="single"/>
          <w:lang w:val="en-US" w:eastAsia="zh-CN"/>
        </w:rPr>
        <w:t xml:space="preserve">   </w:t>
      </w:r>
      <w:r>
        <w:rPr>
          <w:rFonts w:hint="eastAsia" w:ascii="宋体" w:hAnsi="宋体"/>
          <w:color w:val="auto"/>
          <w:sz w:val="32"/>
          <w:szCs w:val="24"/>
          <w:highlight w:val="none"/>
          <w:u w:val="single"/>
        </w:rPr>
        <w:t xml:space="preserve"> </w:t>
      </w:r>
      <w:r>
        <w:rPr>
          <w:rFonts w:hint="eastAsia" w:ascii="宋体" w:hAnsi="宋体"/>
          <w:color w:val="auto"/>
          <w:sz w:val="32"/>
          <w:szCs w:val="24"/>
          <w:highlight w:val="none"/>
        </w:rPr>
        <w:t>月</w:t>
      </w:r>
      <w:r>
        <w:rPr>
          <w:rFonts w:hint="eastAsia" w:ascii="宋体" w:hAnsi="宋体"/>
          <w:color w:val="auto"/>
          <w:sz w:val="32"/>
          <w:szCs w:val="24"/>
          <w:highlight w:val="none"/>
          <w:u w:val="single"/>
        </w:rPr>
        <w:t xml:space="preserve"> </w:t>
      </w:r>
      <w:r>
        <w:rPr>
          <w:rFonts w:hint="eastAsia" w:ascii="宋体" w:hAnsi="宋体"/>
          <w:color w:val="auto"/>
          <w:sz w:val="32"/>
          <w:szCs w:val="24"/>
          <w:highlight w:val="none"/>
          <w:u w:val="single"/>
          <w:lang w:val="en-US" w:eastAsia="zh-CN"/>
        </w:rPr>
        <w:t xml:space="preserve">   </w:t>
      </w:r>
      <w:r>
        <w:rPr>
          <w:rFonts w:hint="eastAsia" w:ascii="宋体" w:hAnsi="宋体"/>
          <w:color w:val="auto"/>
          <w:sz w:val="32"/>
          <w:szCs w:val="24"/>
          <w:highlight w:val="none"/>
          <w:u w:val="single"/>
        </w:rPr>
        <w:t xml:space="preserve">  </w:t>
      </w:r>
      <w:r>
        <w:rPr>
          <w:rFonts w:hint="eastAsia" w:ascii="宋体" w:hAnsi="宋体"/>
          <w:color w:val="auto"/>
          <w:sz w:val="32"/>
          <w:szCs w:val="24"/>
          <w:highlight w:val="none"/>
        </w:rPr>
        <w:t>日</w:t>
      </w:r>
    </w:p>
    <w:p w14:paraId="25971BA6">
      <w:pPr>
        <w:jc w:val="center"/>
        <w:rPr>
          <w:rFonts w:hint="default" w:ascii="Times New Roman" w:hAnsi="Times New Roman" w:eastAsia="黑体"/>
          <w:color w:val="auto"/>
          <w:sz w:val="52"/>
          <w:szCs w:val="24"/>
          <w:highlight w:val="none"/>
        </w:rPr>
      </w:pPr>
    </w:p>
    <w:p w14:paraId="0ABE6042">
      <w:pPr>
        <w:spacing w:line="240" w:lineRule="exact"/>
        <w:jc w:val="center"/>
        <w:rPr>
          <w:rFonts w:hint="default" w:ascii="Times New Roman" w:hAnsi="Times New Roman" w:eastAsia="黑体"/>
          <w:color w:val="auto"/>
          <w:sz w:val="52"/>
          <w:szCs w:val="24"/>
          <w:highlight w:val="none"/>
        </w:rPr>
      </w:pPr>
    </w:p>
    <w:p w14:paraId="068F415F">
      <w:pPr>
        <w:spacing w:line="360" w:lineRule="auto"/>
        <w:ind w:firstLine="2100" w:firstLineChars="1000"/>
        <w:rPr>
          <w:rFonts w:hint="eastAsia" w:ascii="华文中宋" w:hAnsi="华文中宋" w:eastAsia="华文中宋"/>
          <w:color w:val="auto"/>
          <w:spacing w:val="20"/>
          <w:sz w:val="32"/>
          <w:szCs w:val="24"/>
          <w:highlight w:val="none"/>
        </w:rPr>
        <w:sectPr>
          <w:footerReference r:id="rId6" w:type="default"/>
          <w:pgSz w:w="11906" w:h="16838"/>
          <w:pgMar w:top="1418" w:right="1028" w:bottom="1418" w:left="998" w:header="851" w:footer="907" w:gutter="0"/>
          <w:lnNumType w:countBy="0" w:distance="360"/>
          <w:pgNumType w:fmt="decimal" w:start="1"/>
          <w:cols w:space="720" w:num="1"/>
          <w:docGrid w:type="lines" w:linePitch="312" w:charSpace="0"/>
        </w:sectPr>
      </w:pPr>
      <w:r>
        <w:rPr>
          <w:rFonts w:hint="default"/>
          <w:color w:val="auto"/>
          <w:sz w:val="21"/>
          <w:szCs w:val="24"/>
          <w:highlight w:val="none"/>
        </w:rPr>
        <mc:AlternateContent>
          <mc:Choice Requires="wps">
            <w:drawing>
              <wp:anchor distT="0" distB="0" distL="114300" distR="114300" simplePos="0" relativeHeight="251661312" behindDoc="0" locked="0" layoutInCell="1" allowOverlap="1">
                <wp:simplePos x="0" y="0"/>
                <wp:positionH relativeFrom="column">
                  <wp:posOffset>3429635</wp:posOffset>
                </wp:positionH>
                <wp:positionV relativeFrom="paragraph">
                  <wp:posOffset>339725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a:noFill/>
                        </a:ln>
                      </wps:spPr>
                      <wps:txbx>
                        <w:txbxContent>
                          <w:p w14:paraId="443750C3">
                            <w:pPr>
                              <w:spacing w:line="360" w:lineRule="auto"/>
                              <w:jc w:val="center"/>
                              <w:rPr>
                                <w:rFonts w:hint="eastAsia" w:ascii="宋体"/>
                                <w:b/>
                                <w:sz w:val="34"/>
                                <w:szCs w:val="24"/>
                              </w:rPr>
                            </w:pPr>
                          </w:p>
                        </w:txbxContent>
                      </wps:txbx>
                      <wps:bodyPr upright="1"/>
                    </wps:wsp>
                  </a:graphicData>
                </a:graphic>
              </wp:anchor>
            </w:drawing>
          </mc:Choice>
          <mc:Fallback>
            <w:pict>
              <v:shape id="_x0000_s1026" o:spid="_x0000_s1026" o:spt="202" type="#_x0000_t202" style="position:absolute;left:0pt;margin-left:270.05pt;margin-top:26.75pt;height:36pt;width:57pt;z-index:251661312;mso-width-relative:page;mso-height-relative:page;" filled="f" stroked="f" coordsize="21600,21600" o:gfxdata="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ZBHB9YAAAAK&#10;AQAADwAAAAAAAAABACAAAAAiAAAAZHJzL2Rvd25yZXYueG1sUEsBAhQAFAAAAAgAh07iQGZLq8is&#10;AQAATQMAAA4AAAAAAAAAAQAgAAAAJQEAAGRycy9lMm9Eb2MueG1sUEsFBgAAAAAGAAYAWQEAAEMF&#10;AAAAAA==&#10;">
                <v:fill on="f" focussize="0,0"/>
                <v:stroke on="f"/>
                <v:imagedata o:title=""/>
                <o:lock v:ext="edit" aspectratio="f"/>
                <v:textbox>
                  <w:txbxContent>
                    <w:p w14:paraId="443750C3">
                      <w:pPr>
                        <w:spacing w:line="360" w:lineRule="auto"/>
                        <w:jc w:val="center"/>
                        <w:rPr>
                          <w:rFonts w:hint="eastAsia" w:ascii="宋体"/>
                          <w:b/>
                          <w:sz w:val="34"/>
                          <w:szCs w:val="24"/>
                        </w:rPr>
                      </w:pPr>
                    </w:p>
                  </w:txbxContent>
                </v:textbox>
              </v:shape>
            </w:pict>
          </mc:Fallback>
        </mc:AlternateContent>
      </w:r>
    </w:p>
    <w:p w14:paraId="12D65945">
      <w:pPr>
        <w:adjustRightInd w:val="0"/>
        <w:snapToGrid w:val="0"/>
        <w:spacing w:line="440" w:lineRule="exact"/>
        <w:jc w:val="center"/>
        <w:rPr>
          <w:rFonts w:hint="eastAsia" w:ascii="宋体" w:cs="宋体"/>
          <w:b/>
          <w:color w:val="auto"/>
          <w:kern w:val="0"/>
          <w:sz w:val="28"/>
          <w:szCs w:val="28"/>
          <w:highlight w:val="none"/>
        </w:rPr>
      </w:pPr>
      <w:r>
        <w:rPr>
          <w:rFonts w:hint="eastAsia" w:ascii="宋体" w:cs="宋体"/>
          <w:b/>
          <w:color w:val="auto"/>
          <w:kern w:val="0"/>
          <w:sz w:val="28"/>
          <w:szCs w:val="28"/>
          <w:highlight w:val="none"/>
          <w:lang w:val="en-US" w:eastAsia="zh-CN"/>
        </w:rPr>
        <w:t>滁城西片区排水综合整治工程四批次跟踪审计项目</w:t>
      </w:r>
      <w:r>
        <w:rPr>
          <w:rFonts w:hint="eastAsia" w:ascii="宋体" w:cs="宋体"/>
          <w:b/>
          <w:color w:val="auto"/>
          <w:kern w:val="0"/>
          <w:sz w:val="28"/>
          <w:szCs w:val="28"/>
          <w:highlight w:val="none"/>
        </w:rPr>
        <w:t>委托协议</w:t>
      </w:r>
    </w:p>
    <w:p w14:paraId="1F2F7CED">
      <w:pPr>
        <w:keepNext w:val="0"/>
        <w:keepLines w:val="0"/>
        <w:pageBreakBefore w:val="0"/>
        <w:kinsoku/>
        <w:overflowPunct/>
        <w:topLinePunct w:val="0"/>
        <w:autoSpaceDE/>
        <w:autoSpaceDN/>
        <w:bidi w:val="0"/>
        <w:adjustRightInd w:val="0"/>
        <w:snapToGrid w:val="0"/>
        <w:spacing w:line="312" w:lineRule="auto"/>
        <w:textAlignment w:val="auto"/>
        <w:rPr>
          <w:rFonts w:hint="eastAsia" w:ascii="宋体" w:cs="宋体"/>
          <w:color w:val="auto"/>
          <w:kern w:val="0"/>
          <w:sz w:val="24"/>
          <w:szCs w:val="24"/>
          <w:highlight w:val="none"/>
        </w:rPr>
      </w:pPr>
    </w:p>
    <w:p w14:paraId="0A914C52">
      <w:pPr>
        <w:keepNext w:val="0"/>
        <w:keepLines w:val="0"/>
        <w:pageBreakBefore w:val="0"/>
        <w:kinsoku/>
        <w:wordWrap/>
        <w:overflowPunct/>
        <w:topLinePunct w:val="0"/>
        <w:autoSpaceDE/>
        <w:autoSpaceDN/>
        <w:bidi w:val="0"/>
        <w:adjustRightInd w:val="0"/>
        <w:snapToGrid w:val="0"/>
        <w:spacing w:line="500" w:lineRule="exact"/>
        <w:textAlignment w:val="auto"/>
        <w:rPr>
          <w:rFonts w:hint="default" w:ascii="宋体" w:eastAsia="宋体" w:cs="宋体"/>
          <w:color w:val="auto"/>
          <w:kern w:val="0"/>
          <w:sz w:val="21"/>
          <w:szCs w:val="21"/>
          <w:highlight w:val="none"/>
          <w:lang w:val="en-US" w:eastAsia="zh-CN"/>
        </w:rPr>
      </w:pPr>
      <w:r>
        <w:rPr>
          <w:rFonts w:hint="eastAsia" w:ascii="宋体" w:cs="宋体"/>
          <w:color w:val="auto"/>
          <w:kern w:val="0"/>
          <w:sz w:val="21"/>
          <w:szCs w:val="21"/>
          <w:highlight w:val="none"/>
        </w:rPr>
        <w:t>委托方（甲方）：</w:t>
      </w:r>
      <w:r>
        <w:rPr>
          <w:rFonts w:hint="eastAsia" w:ascii="宋体" w:cs="宋体"/>
          <w:color w:val="auto"/>
          <w:kern w:val="0"/>
          <w:sz w:val="21"/>
          <w:szCs w:val="21"/>
          <w:highlight w:val="none"/>
          <w:u w:val="single"/>
          <w:lang w:val="en-US" w:eastAsia="zh-CN"/>
        </w:rPr>
        <w:t xml:space="preserve">                      </w:t>
      </w:r>
    </w:p>
    <w:p w14:paraId="6A23C706">
      <w:pPr>
        <w:keepNext w:val="0"/>
        <w:keepLines w:val="0"/>
        <w:pageBreakBefore w:val="0"/>
        <w:kinsoku/>
        <w:wordWrap/>
        <w:overflowPunct/>
        <w:topLinePunct w:val="0"/>
        <w:autoSpaceDE/>
        <w:autoSpaceDN/>
        <w:bidi w:val="0"/>
        <w:adjustRightInd w:val="0"/>
        <w:snapToGrid w:val="0"/>
        <w:spacing w:line="500" w:lineRule="exact"/>
        <w:textAlignment w:val="auto"/>
        <w:rPr>
          <w:rFonts w:hint="default" w:ascii="宋体" w:eastAsia="宋体" w:cs="宋体"/>
          <w:color w:val="auto"/>
          <w:kern w:val="0"/>
          <w:sz w:val="21"/>
          <w:szCs w:val="21"/>
          <w:highlight w:val="none"/>
          <w:lang w:val="en-US" w:eastAsia="zh-CN"/>
        </w:rPr>
      </w:pPr>
      <w:r>
        <w:rPr>
          <w:rFonts w:hint="eastAsia" w:ascii="宋体" w:cs="宋体"/>
          <w:color w:val="auto"/>
          <w:kern w:val="0"/>
          <w:sz w:val="21"/>
          <w:szCs w:val="21"/>
          <w:highlight w:val="none"/>
        </w:rPr>
        <w:t>受托方（乙方）：</w:t>
      </w:r>
      <w:r>
        <w:rPr>
          <w:rFonts w:hint="eastAsia" w:ascii="宋体" w:cs="宋体"/>
          <w:color w:val="auto"/>
          <w:kern w:val="0"/>
          <w:sz w:val="21"/>
          <w:szCs w:val="21"/>
          <w:highlight w:val="none"/>
          <w:u w:val="single"/>
        </w:rPr>
        <w:t xml:space="preserve">    </w:t>
      </w:r>
      <w:r>
        <w:rPr>
          <w:rFonts w:hint="eastAsia" w:ascii="宋体" w:cs="宋体"/>
          <w:color w:val="auto"/>
          <w:kern w:val="0"/>
          <w:sz w:val="21"/>
          <w:szCs w:val="21"/>
          <w:highlight w:val="none"/>
          <w:u w:val="single"/>
          <w:lang w:val="en-US" w:eastAsia="zh-CN"/>
        </w:rPr>
        <w:t xml:space="preserve">                  </w:t>
      </w:r>
    </w:p>
    <w:p w14:paraId="3CBECA3A">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为保证滁州市政府投资项目审计工作质量和效率，依据《中华人民共和国审计法》、《中华人民共和国</w:t>
      </w:r>
      <w:r>
        <w:rPr>
          <w:rFonts w:hint="eastAsia" w:ascii="宋体" w:cs="宋体"/>
          <w:color w:val="auto"/>
          <w:kern w:val="0"/>
          <w:sz w:val="21"/>
          <w:szCs w:val="21"/>
          <w:highlight w:val="none"/>
          <w:lang w:val="en-US" w:eastAsia="zh-CN"/>
        </w:rPr>
        <w:t>民法典</w:t>
      </w:r>
      <w:r>
        <w:rPr>
          <w:rFonts w:hint="eastAsia" w:ascii="宋体" w:cs="宋体"/>
          <w:color w:val="auto"/>
          <w:kern w:val="0"/>
          <w:sz w:val="21"/>
          <w:szCs w:val="21"/>
          <w:highlight w:val="none"/>
        </w:rPr>
        <w:t>》、《滁州市政府投资项目管理暂行办法》、《滁州市政府投资建设项目审计监督办法》等有关法律法规，甲、乙双方经协商一致，自愿签订本协议。</w:t>
      </w:r>
    </w:p>
    <w:p w14:paraId="09986841">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cs="宋体"/>
          <w:b/>
          <w:bCs/>
          <w:color w:val="auto"/>
          <w:kern w:val="0"/>
          <w:sz w:val="24"/>
          <w:szCs w:val="24"/>
          <w:highlight w:val="none"/>
        </w:rPr>
      </w:pPr>
      <w:r>
        <w:rPr>
          <w:rFonts w:hint="eastAsia" w:ascii="宋体" w:cs="宋体"/>
          <w:b/>
          <w:bCs/>
          <w:color w:val="auto"/>
          <w:kern w:val="0"/>
          <w:sz w:val="24"/>
          <w:szCs w:val="24"/>
          <w:highlight w:val="none"/>
        </w:rPr>
        <w:t>一、跟踪（结算）审计项目</w:t>
      </w:r>
    </w:p>
    <w:p w14:paraId="33EFA554">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eastAsia="宋体" w:cs="宋体"/>
          <w:color w:val="auto"/>
          <w:kern w:val="0"/>
          <w:sz w:val="21"/>
          <w:szCs w:val="21"/>
          <w:highlight w:val="none"/>
          <w:lang w:eastAsia="zh-CN"/>
        </w:rPr>
      </w:pPr>
      <w:r>
        <w:rPr>
          <w:rFonts w:hint="eastAsia" w:ascii="宋体" w:cs="宋体"/>
          <w:color w:val="auto"/>
          <w:kern w:val="0"/>
          <w:sz w:val="21"/>
          <w:szCs w:val="21"/>
          <w:highlight w:val="none"/>
        </w:rPr>
        <w:t>1.项目名称：</w:t>
      </w:r>
      <w:r>
        <w:rPr>
          <w:rFonts w:hint="eastAsia" w:ascii="宋体" w:cs="宋体"/>
          <w:color w:val="auto"/>
          <w:kern w:val="0"/>
          <w:sz w:val="21"/>
          <w:szCs w:val="21"/>
          <w:highlight w:val="none"/>
          <w:lang w:val="en-US" w:eastAsia="zh-CN"/>
        </w:rPr>
        <w:t>滁城西片区排水综合整治工程四批次跟踪审计项目</w:t>
      </w:r>
    </w:p>
    <w:p w14:paraId="3F7A1B18">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eastAsia="宋体" w:cs="宋体"/>
          <w:color w:val="auto"/>
          <w:kern w:val="0"/>
          <w:sz w:val="21"/>
          <w:szCs w:val="21"/>
          <w:highlight w:val="none"/>
          <w:lang w:eastAsia="zh-CN"/>
        </w:rPr>
      </w:pPr>
      <w:r>
        <w:rPr>
          <w:rFonts w:hint="eastAsia" w:ascii="宋体" w:cs="宋体"/>
          <w:color w:val="auto"/>
          <w:kern w:val="0"/>
          <w:sz w:val="21"/>
          <w:szCs w:val="21"/>
          <w:highlight w:val="none"/>
        </w:rPr>
        <w:t>2.项目投资额：</w:t>
      </w:r>
      <w:r>
        <w:rPr>
          <w:rFonts w:hint="eastAsia" w:ascii="宋体" w:cs="宋体"/>
          <w:color w:val="auto"/>
          <w:kern w:val="0"/>
          <w:sz w:val="21"/>
          <w:szCs w:val="21"/>
          <w:highlight w:val="none"/>
          <w:lang w:val="en-US" w:eastAsia="zh-CN"/>
        </w:rPr>
        <w:t>滁城西片区排水综合整治工程四批次，工程投资额8055万元（具体以施工实际发生为准），跟踪审计服务费约20万元</w:t>
      </w:r>
      <w:r>
        <w:rPr>
          <w:rFonts w:hint="eastAsia" w:ascii="宋体" w:cs="宋体"/>
          <w:color w:val="auto"/>
          <w:kern w:val="0"/>
          <w:sz w:val="21"/>
          <w:szCs w:val="21"/>
          <w:highlight w:val="none"/>
          <w:lang w:eastAsia="zh-CN"/>
        </w:rPr>
        <w:t>。</w:t>
      </w:r>
    </w:p>
    <w:p w14:paraId="3CD0A40E">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3.委托内容：跟踪审计</w:t>
      </w:r>
    </w:p>
    <w:p w14:paraId="7568D35D">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1</w:t>
      </w:r>
      <w:r>
        <w:rPr>
          <w:rFonts w:hint="eastAsia" w:ascii="宋体"/>
          <w:color w:val="auto"/>
          <w:sz w:val="21"/>
          <w:szCs w:val="21"/>
          <w:highlight w:val="none"/>
          <w:lang w:eastAsia="zh-CN"/>
        </w:rPr>
        <w:t>）</w:t>
      </w:r>
      <w:r>
        <w:rPr>
          <w:rFonts w:hint="eastAsia" w:ascii="宋体"/>
          <w:color w:val="auto"/>
          <w:sz w:val="21"/>
          <w:szCs w:val="21"/>
          <w:highlight w:val="none"/>
        </w:rPr>
        <w:t xml:space="preserve">成立项目跟踪（结算）审计组，编制跟踪（结算）审计实施方案，确定投资控制目标、重点环节及应对措施； </w:t>
      </w:r>
    </w:p>
    <w:p w14:paraId="5167918E">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2</w:t>
      </w:r>
      <w:r>
        <w:rPr>
          <w:rFonts w:hint="eastAsia" w:ascii="宋体"/>
          <w:color w:val="auto"/>
          <w:sz w:val="21"/>
          <w:szCs w:val="21"/>
          <w:highlight w:val="none"/>
          <w:lang w:eastAsia="zh-CN"/>
        </w:rPr>
        <w:t>）</w:t>
      </w:r>
      <w:r>
        <w:rPr>
          <w:rFonts w:hint="eastAsia" w:ascii="宋体"/>
          <w:color w:val="auto"/>
          <w:sz w:val="21"/>
          <w:szCs w:val="21"/>
          <w:highlight w:val="none"/>
        </w:rPr>
        <w:t>审核项目前期资料（图纸、工程量清单及控制价、招标投标文件、施工合同等），向甲方提交审核结果；</w:t>
      </w:r>
    </w:p>
    <w:p w14:paraId="225E0233">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3</w:t>
      </w:r>
      <w:r>
        <w:rPr>
          <w:rFonts w:hint="eastAsia" w:ascii="宋体"/>
          <w:color w:val="auto"/>
          <w:sz w:val="21"/>
          <w:szCs w:val="21"/>
          <w:highlight w:val="none"/>
          <w:lang w:eastAsia="zh-CN"/>
        </w:rPr>
        <w:t>）</w:t>
      </w:r>
      <w:r>
        <w:rPr>
          <w:rFonts w:hint="eastAsia" w:ascii="宋体"/>
          <w:color w:val="auto"/>
          <w:sz w:val="21"/>
          <w:szCs w:val="21"/>
          <w:highlight w:val="none"/>
        </w:rPr>
        <w:t>对承包方上报的请款期已完成合格工程量的计量、计价进行审核，并提供按工程形象进度付款的意见、建议；</w:t>
      </w:r>
    </w:p>
    <w:p w14:paraId="4A9E9636">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4</w:t>
      </w:r>
      <w:r>
        <w:rPr>
          <w:rFonts w:hint="eastAsia" w:ascii="宋体"/>
          <w:color w:val="auto"/>
          <w:sz w:val="21"/>
          <w:szCs w:val="21"/>
          <w:highlight w:val="none"/>
          <w:lang w:eastAsia="zh-CN"/>
        </w:rPr>
        <w:t>）</w:t>
      </w:r>
      <w:r>
        <w:rPr>
          <w:rFonts w:hint="eastAsia" w:ascii="宋体"/>
          <w:color w:val="auto"/>
          <w:sz w:val="21"/>
          <w:szCs w:val="21"/>
          <w:highlight w:val="none"/>
        </w:rPr>
        <w:t>及时核定分阶段完工的项目分部、分项工程价款结算，项目竣工后，及时提交完整的竣工结算审核报告；</w:t>
      </w:r>
    </w:p>
    <w:p w14:paraId="2B3DEBC1">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5</w:t>
      </w:r>
      <w:r>
        <w:rPr>
          <w:rFonts w:hint="eastAsia" w:ascii="宋体"/>
          <w:color w:val="auto"/>
          <w:sz w:val="21"/>
          <w:szCs w:val="21"/>
          <w:highlight w:val="none"/>
          <w:lang w:eastAsia="zh-CN"/>
        </w:rPr>
        <w:t>）</w:t>
      </w:r>
      <w:r>
        <w:rPr>
          <w:rFonts w:hint="eastAsia" w:ascii="宋体"/>
          <w:color w:val="auto"/>
          <w:sz w:val="21"/>
          <w:szCs w:val="21"/>
          <w:highlight w:val="none"/>
        </w:rPr>
        <w:t>协助甲方及时审核设计变更、经济签证等发生的费用，超过一定限额的，提请甲方履行报批程序；</w:t>
      </w:r>
    </w:p>
    <w:p w14:paraId="5680E1A0">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6</w:t>
      </w:r>
      <w:r>
        <w:rPr>
          <w:rFonts w:hint="eastAsia" w:ascii="宋体"/>
          <w:color w:val="auto"/>
          <w:sz w:val="21"/>
          <w:szCs w:val="21"/>
          <w:highlight w:val="none"/>
          <w:lang w:eastAsia="zh-CN"/>
        </w:rPr>
        <w:t>）</w:t>
      </w:r>
      <w:r>
        <w:rPr>
          <w:rFonts w:hint="eastAsia" w:ascii="宋体"/>
          <w:color w:val="auto"/>
          <w:sz w:val="21"/>
          <w:szCs w:val="21"/>
          <w:highlight w:val="none"/>
        </w:rPr>
        <w:t>项目承、发包方发生工程价款结算争议时，为甲方提供咨询意见；</w:t>
      </w:r>
    </w:p>
    <w:p w14:paraId="63F76154">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7</w:t>
      </w:r>
      <w:r>
        <w:rPr>
          <w:rFonts w:hint="eastAsia" w:ascii="宋体"/>
          <w:color w:val="auto"/>
          <w:sz w:val="21"/>
          <w:szCs w:val="21"/>
          <w:highlight w:val="none"/>
          <w:lang w:eastAsia="zh-CN"/>
        </w:rPr>
        <w:t>）</w:t>
      </w:r>
      <w:r>
        <w:rPr>
          <w:rFonts w:hint="eastAsia" w:ascii="宋体"/>
          <w:color w:val="auto"/>
          <w:sz w:val="21"/>
          <w:szCs w:val="21"/>
          <w:highlight w:val="none"/>
        </w:rPr>
        <w:t xml:space="preserve">参与项目建设管理的有关会议，对项目投资控制的有关事项发表独立审计意见； </w:t>
      </w:r>
    </w:p>
    <w:p w14:paraId="78096D16">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8</w:t>
      </w:r>
      <w:r>
        <w:rPr>
          <w:rFonts w:hint="eastAsia" w:ascii="宋体"/>
          <w:color w:val="auto"/>
          <w:sz w:val="21"/>
          <w:szCs w:val="21"/>
          <w:highlight w:val="none"/>
          <w:lang w:eastAsia="zh-CN"/>
        </w:rPr>
        <w:t>）</w:t>
      </w:r>
      <w:r>
        <w:rPr>
          <w:rFonts w:hint="eastAsia" w:ascii="宋体"/>
          <w:color w:val="auto"/>
          <w:sz w:val="21"/>
          <w:szCs w:val="21"/>
          <w:highlight w:val="none"/>
        </w:rPr>
        <w:t>其他与项目投资控制相关的工作。</w:t>
      </w:r>
    </w:p>
    <w:p w14:paraId="3B4A51D7">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color w:val="auto"/>
          <w:sz w:val="24"/>
          <w:szCs w:val="24"/>
          <w:highlight w:val="none"/>
        </w:rPr>
      </w:pPr>
      <w:r>
        <w:rPr>
          <w:rFonts w:hint="eastAsia" w:ascii="宋体" w:cs="宋体"/>
          <w:b/>
          <w:bCs/>
          <w:color w:val="auto"/>
          <w:kern w:val="0"/>
          <w:sz w:val="24"/>
          <w:szCs w:val="24"/>
          <w:highlight w:val="none"/>
          <w:lang w:val="en-US" w:eastAsia="zh-CN"/>
        </w:rPr>
        <w:t>二</w:t>
      </w:r>
      <w:r>
        <w:rPr>
          <w:rFonts w:hint="eastAsia" w:ascii="宋体" w:cs="宋体"/>
          <w:b/>
          <w:bCs/>
          <w:color w:val="auto"/>
          <w:kern w:val="0"/>
          <w:sz w:val="24"/>
          <w:szCs w:val="24"/>
          <w:highlight w:val="none"/>
        </w:rPr>
        <w:t>、项目跟踪（结算）审计制度及相关要求</w:t>
      </w:r>
    </w:p>
    <w:p w14:paraId="50104B61">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1.滁州市政府投资项目审计“八不准制度”和市重点处“工程建设十六条禁令”；</w:t>
      </w:r>
    </w:p>
    <w:p w14:paraId="44C87A33">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2.滁州市政府投资项目竣工结算审计结果备案制度；</w:t>
      </w:r>
    </w:p>
    <w:p w14:paraId="5E2CA5E9">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3.滁州市建设项目施工阶段全过程造价控制管理暂行办法；</w:t>
      </w:r>
    </w:p>
    <w:p w14:paraId="123FE01F">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4.实行定期、分段报告制度。乙方应及时提交项目前期资料审核结果、跟踪（结算）审计月报、竣工结算审核报告；</w:t>
      </w:r>
    </w:p>
    <w:p w14:paraId="7AC2383A">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5.加强对项目变更事项的合理性、经济性审核。对涉及工程造价的重大事项须及时书面报告甲方，否则项目竣工结算不予审核备案，由此造成的后果由乙方承担；</w:t>
      </w:r>
    </w:p>
    <w:p w14:paraId="350FFCA3">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6.协助甲方完成项目投资控制的各项工作，接受甲方的项目现场管理。</w:t>
      </w:r>
    </w:p>
    <w:p w14:paraId="6FF92F17">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color w:val="auto"/>
          <w:sz w:val="24"/>
          <w:szCs w:val="24"/>
          <w:highlight w:val="none"/>
        </w:rPr>
      </w:pPr>
      <w:r>
        <w:rPr>
          <w:rFonts w:hint="eastAsia" w:ascii="宋体" w:cs="宋体"/>
          <w:b/>
          <w:bCs/>
          <w:color w:val="auto"/>
          <w:kern w:val="0"/>
          <w:sz w:val="24"/>
          <w:szCs w:val="24"/>
          <w:highlight w:val="none"/>
          <w:lang w:val="en-US" w:eastAsia="zh-CN"/>
        </w:rPr>
        <w:t>三、项目跟踪（结算）审计组及人员配备要求</w:t>
      </w:r>
    </w:p>
    <w:p w14:paraId="6C0C6494">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1.乙方须成立项目跟踪（结算）审计组，配备相应数量具有相关专业执业资质的审计人员（须为备选库入库人员）。本项目审计组负责人为</w:t>
      </w:r>
      <w:r>
        <w:rPr>
          <w:rFonts w:hint="eastAsia" w:ascii="宋体"/>
          <w:color w:val="auto"/>
          <w:sz w:val="21"/>
          <w:szCs w:val="21"/>
          <w:highlight w:val="none"/>
          <w:u w:val="single"/>
        </w:rPr>
        <w:t>姓名、注册造价师证书号、联系电话</w:t>
      </w:r>
      <w:r>
        <w:rPr>
          <w:rFonts w:hint="eastAsia" w:ascii="宋体"/>
          <w:color w:val="auto"/>
          <w:sz w:val="21"/>
          <w:szCs w:val="21"/>
          <w:highlight w:val="none"/>
        </w:rPr>
        <w:t>，成员为</w:t>
      </w:r>
      <w:r>
        <w:rPr>
          <w:rFonts w:hint="eastAsia" w:ascii="宋体"/>
          <w:color w:val="auto"/>
          <w:sz w:val="21"/>
          <w:szCs w:val="21"/>
          <w:highlight w:val="none"/>
          <w:u w:val="single"/>
        </w:rPr>
        <w:t>姓名、</w:t>
      </w:r>
      <w:r>
        <w:rPr>
          <w:rFonts w:hint="eastAsia" w:ascii="宋体"/>
          <w:color w:val="auto"/>
          <w:sz w:val="21"/>
          <w:szCs w:val="21"/>
          <w:highlight w:val="none"/>
          <w:u w:val="single"/>
          <w:lang w:val="en-US" w:eastAsia="zh-CN"/>
        </w:rPr>
        <w:t>造价师</w:t>
      </w:r>
      <w:r>
        <w:rPr>
          <w:rFonts w:hint="eastAsia" w:ascii="宋体"/>
          <w:color w:val="auto"/>
          <w:sz w:val="21"/>
          <w:szCs w:val="21"/>
          <w:highlight w:val="none"/>
          <w:u w:val="single"/>
        </w:rPr>
        <w:t>证书号、联系电话（现场负责人）</w:t>
      </w:r>
      <w:r>
        <w:rPr>
          <w:rFonts w:hint="eastAsia" w:ascii="宋体"/>
          <w:color w:val="auto"/>
          <w:sz w:val="21"/>
          <w:szCs w:val="21"/>
          <w:highlight w:val="none"/>
        </w:rPr>
        <w:t>；</w:t>
      </w:r>
    </w:p>
    <w:p w14:paraId="78211BD2">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2.项目审计人员须服从甲方的工作安排，未经甲方许可，乙方不得随意更换、调整审计组人员。</w:t>
      </w:r>
    </w:p>
    <w:p w14:paraId="20235ED6">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eastAsia="宋体" w:cs="Times New Roman"/>
          <w:color w:val="auto"/>
          <w:kern w:val="2"/>
          <w:sz w:val="24"/>
          <w:szCs w:val="24"/>
          <w:highlight w:val="none"/>
        </w:rPr>
      </w:pPr>
      <w:r>
        <w:rPr>
          <w:rFonts w:hint="eastAsia" w:hAnsi="Times New Roman" w:eastAsia="宋体" w:cs="宋体"/>
          <w:b/>
          <w:bCs/>
          <w:color w:val="auto"/>
          <w:kern w:val="0"/>
          <w:sz w:val="24"/>
          <w:szCs w:val="24"/>
          <w:highlight w:val="none"/>
          <w:lang w:val="en-US" w:eastAsia="zh-CN" w:bidi="ar-SA"/>
        </w:rPr>
        <w:t>四</w:t>
      </w:r>
      <w:r>
        <w:rPr>
          <w:rFonts w:hint="eastAsia" w:ascii="宋体" w:hAnsi="Times New Roman" w:eastAsia="宋体" w:cs="宋体"/>
          <w:b/>
          <w:bCs/>
          <w:color w:val="auto"/>
          <w:kern w:val="0"/>
          <w:sz w:val="24"/>
          <w:szCs w:val="24"/>
          <w:highlight w:val="none"/>
          <w:lang w:val="en-US" w:eastAsia="zh-CN" w:bidi="ar-SA"/>
        </w:rPr>
        <w:t>、项目跟踪（结算）审计质量要求</w:t>
      </w:r>
    </w:p>
    <w:p w14:paraId="44F5B9E4">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项目跟踪审计、结算审核服务费的误差违约金处罚根据第三方复审、综合计划科复核或市财政工程造价审核中心的审核结果确定：</w:t>
      </w:r>
    </w:p>
    <w:p w14:paraId="29DA9FA9">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（一）审核结果误差在1%-2%（含）之间，以服务费的25%作为违约金；</w:t>
      </w:r>
    </w:p>
    <w:p w14:paraId="307F83FE">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（二）审核结果误差在2%-3%（含）之间，以服务费的50%作为违约金；</w:t>
      </w:r>
    </w:p>
    <w:p w14:paraId="268C8DAC">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（三）审核结果误差在3%-4%（含）之间，以服务费的75%作为违约金；</w:t>
      </w:r>
    </w:p>
    <w:p w14:paraId="6F776228">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（四）审核结果误差超过4%的, 以全额服务费作为违约金。同时，工程造价 1000-5000 万元项目，暂停业务6个月；工程造价 5000 万元以上项目，暂停业务12个月。</w:t>
      </w:r>
    </w:p>
    <w:p w14:paraId="4A3427E2">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hAnsi="Times New Roman" w:eastAsia="宋体" w:cs="宋体"/>
          <w:b/>
          <w:bCs/>
          <w:color w:val="auto"/>
          <w:kern w:val="0"/>
          <w:sz w:val="24"/>
          <w:szCs w:val="24"/>
          <w:highlight w:val="none"/>
          <w:lang w:val="en-US" w:eastAsia="zh-CN" w:bidi="ar-SA"/>
        </w:rPr>
      </w:pPr>
      <w:r>
        <w:rPr>
          <w:rFonts w:hint="eastAsia" w:hAnsi="Times New Roman" w:eastAsia="宋体" w:cs="宋体"/>
          <w:b/>
          <w:bCs/>
          <w:color w:val="auto"/>
          <w:kern w:val="0"/>
          <w:sz w:val="24"/>
          <w:szCs w:val="24"/>
          <w:highlight w:val="none"/>
          <w:lang w:val="en-US" w:eastAsia="zh-CN" w:bidi="ar-SA"/>
        </w:rPr>
        <w:t>五、项目跟踪（结算）审计服务费用标准及结算方式</w:t>
      </w:r>
    </w:p>
    <w:p w14:paraId="334EB0EB">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lang w:eastAsia="zh-CN"/>
        </w:rPr>
      </w:pPr>
      <w:r>
        <w:rPr>
          <w:rFonts w:hint="eastAsia" w:eastAsia="宋体" w:cs="Times New Roman"/>
          <w:color w:val="auto"/>
          <w:kern w:val="2"/>
          <w:sz w:val="21"/>
          <w:szCs w:val="21"/>
          <w:highlight w:val="none"/>
        </w:rPr>
        <w:t>（一）项目跟踪（结算）审计服务费用</w:t>
      </w:r>
      <w:r>
        <w:rPr>
          <w:rFonts w:hint="eastAsia" w:cs="Times New Roman"/>
          <w:color w:val="auto"/>
          <w:kern w:val="2"/>
          <w:sz w:val="21"/>
          <w:szCs w:val="21"/>
          <w:highlight w:val="none"/>
          <w:lang w:eastAsia="zh-CN"/>
        </w:rPr>
        <w:t>：为基本费率</w:t>
      </w:r>
      <w:r>
        <w:rPr>
          <w:rFonts w:hint="eastAsia" w:cs="Times New Roman"/>
          <w:color w:val="auto"/>
          <w:kern w:val="2"/>
          <w:sz w:val="21"/>
          <w:szCs w:val="21"/>
          <w:highlight w:val="none"/>
          <w:u w:val="single"/>
          <w:lang w:val="en-US" w:eastAsia="zh-CN"/>
        </w:rPr>
        <w:t xml:space="preserve">   </w:t>
      </w:r>
      <w:r>
        <w:rPr>
          <w:rFonts w:hint="eastAsia" w:cs="Times New Roman"/>
          <w:color w:val="auto"/>
          <w:kern w:val="2"/>
          <w:sz w:val="21"/>
          <w:szCs w:val="21"/>
          <w:highlight w:val="none"/>
          <w:lang w:eastAsia="zh-CN"/>
        </w:rPr>
        <w:t>‰、审核成果费率</w:t>
      </w:r>
      <w:r>
        <w:rPr>
          <w:rFonts w:hint="eastAsia" w:cs="Times New Roman"/>
          <w:color w:val="auto"/>
          <w:kern w:val="2"/>
          <w:sz w:val="21"/>
          <w:szCs w:val="21"/>
          <w:highlight w:val="none"/>
          <w:u w:val="single"/>
          <w:lang w:eastAsia="zh-CN"/>
        </w:rPr>
        <w:t>4</w:t>
      </w:r>
      <w:r>
        <w:rPr>
          <w:rFonts w:hint="eastAsia" w:cs="Times New Roman"/>
          <w:color w:val="auto"/>
          <w:kern w:val="2"/>
          <w:sz w:val="21"/>
          <w:szCs w:val="21"/>
          <w:highlight w:val="none"/>
          <w:lang w:eastAsia="zh-CN"/>
        </w:rPr>
        <w:t>%。</w:t>
      </w:r>
    </w:p>
    <w:p w14:paraId="1D3B6FE7">
      <w:pPr>
        <w:keepNext w:val="0"/>
        <w:keepLines w:val="0"/>
        <w:pageBreakBefore w:val="0"/>
        <w:kinsoku/>
        <w:wordWrap/>
        <w:overflowPunct/>
        <w:topLinePunct w:val="0"/>
        <w:autoSpaceDE/>
        <w:autoSpaceDN/>
        <w:bidi w:val="0"/>
        <w:adjustRightInd/>
        <w:spacing w:line="5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费计算方式为：基本费+审核成果费。其中，跟踪审计服务基本费计算基数为审定金额；审核成果费计算基数为</w:t>
      </w:r>
      <w:r>
        <w:rPr>
          <w:rFonts w:hint="eastAsia" w:ascii="宋体" w:hAnsi="宋体" w:eastAsia="宋体" w:cs="宋体"/>
          <w:color w:val="auto"/>
          <w:sz w:val="21"/>
          <w:szCs w:val="21"/>
          <w:highlight w:val="none"/>
          <w:lang w:eastAsia="zh-CN"/>
        </w:rPr>
        <w:t>独立</w:t>
      </w:r>
      <w:r>
        <w:rPr>
          <w:rFonts w:hint="eastAsia" w:ascii="宋体" w:hAnsi="宋体" w:eastAsia="宋体" w:cs="宋体"/>
          <w:color w:val="auto"/>
          <w:sz w:val="21"/>
          <w:szCs w:val="21"/>
          <w:highlight w:val="none"/>
        </w:rPr>
        <w:t>核减金额。</w:t>
      </w:r>
    </w:p>
    <w:p w14:paraId="6CFCEB48">
      <w:pPr>
        <w:keepNext w:val="0"/>
        <w:keepLines w:val="0"/>
        <w:pageBreakBefore w:val="0"/>
        <w:numPr>
          <w:ilvl w:val="0"/>
          <w:numId w:val="0"/>
        </w:numPr>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工程造价审减率超过</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将对施工单位进行处罚，处罚金额为</w:t>
      </w:r>
      <w:r>
        <w:rPr>
          <w:rFonts w:hint="eastAsia" w:ascii="宋体" w:hAnsi="宋体" w:eastAsia="宋体" w:cs="宋体"/>
          <w:color w:val="auto"/>
          <w:sz w:val="21"/>
          <w:szCs w:val="21"/>
          <w:highlight w:val="none"/>
        </w:rPr>
        <w:t>审减率</w:t>
      </w:r>
      <w:r>
        <w:rPr>
          <w:rFonts w:hint="eastAsia" w:ascii="宋体" w:hAnsi="宋体" w:eastAsia="宋体" w:cs="宋体"/>
          <w:color w:val="auto"/>
          <w:sz w:val="21"/>
          <w:szCs w:val="21"/>
          <w:highlight w:val="none"/>
          <w:lang w:eastAsia="zh-CN"/>
        </w:rPr>
        <w:t>超出</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以上的报送金额的</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由综合计划科在定案时明确处罚金额报工程监管科落实处罚</w:t>
      </w:r>
      <w:r>
        <w:rPr>
          <w:rFonts w:hint="eastAsia" w:ascii="宋体" w:hAnsi="宋体" w:eastAsia="宋体" w:cs="宋体"/>
          <w:b w:val="0"/>
          <w:bCs w:val="0"/>
          <w:color w:val="auto"/>
          <w:sz w:val="21"/>
          <w:szCs w:val="21"/>
          <w:highlight w:val="none"/>
        </w:rPr>
        <w:t>。</w:t>
      </w:r>
    </w:p>
    <w:p w14:paraId="2C08F6CB">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二</w:t>
      </w:r>
      <w:r>
        <w:rPr>
          <w:rFonts w:hint="eastAsia" w:eastAsia="宋体" w:cs="Times New Roman"/>
          <w:color w:val="auto"/>
          <w:kern w:val="2"/>
          <w:sz w:val="21"/>
          <w:szCs w:val="21"/>
          <w:highlight w:val="none"/>
        </w:rPr>
        <w:t>）项目跟踪（结算）审计费用结算方式</w:t>
      </w:r>
    </w:p>
    <w:p w14:paraId="0DB3ADB2">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2" w:firstLineChars="200"/>
        <w:textAlignment w:val="auto"/>
        <w:rPr>
          <w:rFonts w:hint="eastAsia" w:cs="Times New Roman"/>
          <w:b/>
          <w:bCs/>
          <w:color w:val="auto"/>
          <w:kern w:val="2"/>
          <w:sz w:val="21"/>
          <w:szCs w:val="21"/>
          <w:highlight w:val="none"/>
          <w:lang w:val="en-US" w:eastAsia="zh-CN"/>
        </w:rPr>
      </w:pPr>
      <w:r>
        <w:rPr>
          <w:rFonts w:hint="eastAsia" w:eastAsia="宋体" w:cs="Times New Roman"/>
          <w:b/>
          <w:bCs/>
          <w:color w:val="auto"/>
          <w:kern w:val="2"/>
          <w:sz w:val="21"/>
          <w:szCs w:val="21"/>
          <w:highlight w:val="none"/>
        </w:rPr>
        <w:t>（1）</w:t>
      </w:r>
      <w:r>
        <w:rPr>
          <w:rFonts w:hint="eastAsia" w:cs="Times New Roman"/>
          <w:b/>
          <w:bCs/>
          <w:color w:val="auto"/>
          <w:kern w:val="2"/>
          <w:sz w:val="21"/>
          <w:szCs w:val="21"/>
          <w:highlight w:val="none"/>
          <w:lang w:val="en-US" w:eastAsia="zh-CN"/>
        </w:rPr>
        <w:t>付款方式：出具审核报告，交付招标人初审确认，报经招标人备案审查通过后，按照招标人审查备案金额结算支付审计服务费用。（注：发包人请款额度须在政府资金调度会批准且发票送达后完成支付）。</w:t>
      </w:r>
    </w:p>
    <w:p w14:paraId="3855DD4C">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2" w:firstLineChars="200"/>
        <w:textAlignment w:val="auto"/>
        <w:rPr>
          <w:rFonts w:hint="eastAsia" w:eastAsia="宋体" w:cs="Times New Roman"/>
          <w:b/>
          <w:bCs/>
          <w:color w:val="auto"/>
          <w:kern w:val="2"/>
          <w:sz w:val="21"/>
          <w:szCs w:val="21"/>
          <w:highlight w:val="none"/>
          <w:lang w:eastAsia="zh-CN"/>
        </w:rPr>
      </w:pPr>
      <w:r>
        <w:rPr>
          <w:rFonts w:hint="eastAsia" w:eastAsia="宋体" w:cs="Times New Roman"/>
          <w:b/>
          <w:bCs/>
          <w:color w:val="auto"/>
          <w:kern w:val="2"/>
          <w:sz w:val="21"/>
          <w:szCs w:val="21"/>
          <w:highlight w:val="none"/>
        </w:rPr>
        <w:t>（2）项目</w:t>
      </w:r>
      <w:r>
        <w:rPr>
          <w:rFonts w:hint="eastAsia" w:eastAsia="宋体" w:cs="Times New Roman"/>
          <w:b/>
          <w:bCs/>
          <w:color w:val="auto"/>
          <w:kern w:val="2"/>
          <w:sz w:val="21"/>
          <w:szCs w:val="21"/>
          <w:highlight w:val="none"/>
          <w:lang w:eastAsia="zh-CN"/>
        </w:rPr>
        <w:t>跟踪审计机构</w:t>
      </w:r>
      <w:r>
        <w:rPr>
          <w:rFonts w:hint="eastAsia" w:eastAsia="宋体" w:cs="Times New Roman"/>
          <w:b/>
          <w:bCs/>
          <w:color w:val="auto"/>
          <w:kern w:val="2"/>
          <w:sz w:val="21"/>
          <w:szCs w:val="21"/>
          <w:highlight w:val="none"/>
        </w:rPr>
        <w:t>未按要求完成协审工作并移交相关资料，招标人有权拒付审计服务费用，并按照《工程造价咨询服务管理办法》的有关规定追究该项目</w:t>
      </w:r>
      <w:r>
        <w:rPr>
          <w:rFonts w:hint="eastAsia" w:eastAsia="宋体" w:cs="Times New Roman"/>
          <w:b/>
          <w:bCs/>
          <w:color w:val="auto"/>
          <w:kern w:val="2"/>
          <w:sz w:val="21"/>
          <w:szCs w:val="21"/>
          <w:highlight w:val="none"/>
          <w:lang w:eastAsia="zh-CN"/>
        </w:rPr>
        <w:t>跟踪审计机构相关责任。</w:t>
      </w:r>
    </w:p>
    <w:p w14:paraId="655744F8">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hAnsi="Times New Roman" w:eastAsia="宋体" w:cs="宋体"/>
          <w:b/>
          <w:bCs/>
          <w:color w:val="auto"/>
          <w:kern w:val="0"/>
          <w:sz w:val="24"/>
          <w:szCs w:val="24"/>
          <w:highlight w:val="none"/>
          <w:lang w:val="en-US" w:eastAsia="zh-CN" w:bidi="ar-SA"/>
        </w:rPr>
      </w:pPr>
      <w:r>
        <w:rPr>
          <w:rFonts w:hint="eastAsia" w:hAnsi="Times New Roman" w:eastAsia="宋体" w:cs="宋体"/>
          <w:b/>
          <w:bCs/>
          <w:color w:val="auto"/>
          <w:kern w:val="0"/>
          <w:sz w:val="24"/>
          <w:szCs w:val="24"/>
          <w:highlight w:val="none"/>
          <w:lang w:val="en-US" w:eastAsia="zh-CN" w:bidi="ar-SA"/>
        </w:rPr>
        <w:t>六、审计质量、时限及过程管理要求</w:t>
      </w:r>
    </w:p>
    <w:p w14:paraId="3582F073">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lang w:val="en-US" w:eastAsia="zh-CN"/>
        </w:rPr>
        <w:t>跟踪审计</w:t>
      </w:r>
      <w:r>
        <w:rPr>
          <w:rFonts w:hint="eastAsia" w:eastAsia="宋体" w:cs="Times New Roman"/>
          <w:color w:val="auto"/>
          <w:kern w:val="2"/>
          <w:sz w:val="21"/>
          <w:szCs w:val="21"/>
          <w:highlight w:val="none"/>
        </w:rPr>
        <w:t>机构应及时认真地分析阅读工程量清单及控制价、招投标文件、合同（协议）、施工图纸、设计变更、技术签证等相关文件资料，在施工现场勘察测量和了解实际情况并做好记录。</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应根据建设单位、监理单位、施工单位提供的有关资料在《工程造价咨询服务管理办法》文件规定的工作日内完成审核工作，不得无故拖延时间。</w:t>
      </w:r>
    </w:p>
    <w:p w14:paraId="0319EC1B">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lang w:val="en-US" w:eastAsia="zh-CN"/>
        </w:rPr>
        <w:t>跟踪审计</w:t>
      </w:r>
      <w:r>
        <w:rPr>
          <w:rFonts w:hint="eastAsia" w:eastAsia="宋体" w:cs="Times New Roman"/>
          <w:color w:val="auto"/>
          <w:kern w:val="2"/>
          <w:sz w:val="21"/>
          <w:szCs w:val="21"/>
          <w:highlight w:val="none"/>
        </w:rPr>
        <w:t>机构在</w:t>
      </w:r>
      <w:r>
        <w:rPr>
          <w:rFonts w:hint="eastAsia" w:eastAsia="宋体" w:cs="Times New Roman"/>
          <w:color w:val="auto"/>
          <w:kern w:val="2"/>
          <w:sz w:val="21"/>
          <w:szCs w:val="21"/>
          <w:highlight w:val="none"/>
          <w:lang w:val="en-US" w:eastAsia="zh-CN"/>
        </w:rPr>
        <w:t>跟踪审计</w:t>
      </w:r>
      <w:r>
        <w:rPr>
          <w:rFonts w:hint="eastAsia" w:eastAsia="宋体" w:cs="Times New Roman"/>
          <w:color w:val="auto"/>
          <w:kern w:val="2"/>
          <w:sz w:val="21"/>
          <w:szCs w:val="21"/>
          <w:highlight w:val="none"/>
        </w:rPr>
        <w:t>过程须遵守招标人制定的《工程造价咨询服务管理办法》</w:t>
      </w:r>
      <w:r>
        <w:rPr>
          <w:rFonts w:hint="eastAsia" w:eastAsia="宋体" w:cs="Times New Roman"/>
          <w:color w:val="auto"/>
          <w:kern w:val="2"/>
          <w:sz w:val="21"/>
          <w:szCs w:val="21"/>
          <w:highlight w:val="none"/>
          <w:lang w:eastAsia="zh-CN"/>
        </w:rPr>
        <w:t>、</w:t>
      </w:r>
      <w:r>
        <w:rPr>
          <w:rFonts w:hint="eastAsia" w:eastAsia="宋体" w:cs="Times New Roman"/>
          <w:color w:val="auto"/>
          <w:kern w:val="2"/>
          <w:sz w:val="21"/>
          <w:szCs w:val="21"/>
          <w:highlight w:val="none"/>
        </w:rPr>
        <w:t>以及为提升审计质量和效率、控制廉政风险等方面制定的各项规定。</w:t>
      </w:r>
    </w:p>
    <w:p w14:paraId="36487EBF">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eastAsia="宋体" w:cs="Times New Roman"/>
          <w:b/>
          <w:bCs/>
          <w:color w:val="auto"/>
          <w:kern w:val="2"/>
          <w:sz w:val="24"/>
          <w:szCs w:val="24"/>
          <w:highlight w:val="none"/>
        </w:rPr>
      </w:pPr>
      <w:r>
        <w:rPr>
          <w:rFonts w:hint="eastAsia" w:eastAsia="宋体" w:cs="Times New Roman"/>
          <w:b/>
          <w:bCs/>
          <w:color w:val="auto"/>
          <w:kern w:val="2"/>
          <w:sz w:val="24"/>
          <w:szCs w:val="24"/>
          <w:highlight w:val="none"/>
          <w:lang w:val="en-US" w:eastAsia="zh-CN"/>
        </w:rPr>
        <w:t>七</w:t>
      </w:r>
      <w:r>
        <w:rPr>
          <w:rFonts w:hint="eastAsia" w:eastAsia="宋体" w:cs="Times New Roman"/>
          <w:b/>
          <w:bCs/>
          <w:color w:val="auto"/>
          <w:kern w:val="2"/>
          <w:sz w:val="24"/>
          <w:szCs w:val="24"/>
          <w:highlight w:val="none"/>
        </w:rPr>
        <w:t>、项目跟踪（结算）审计工作考核奖惩</w:t>
      </w:r>
    </w:p>
    <w:p w14:paraId="6F6E8AE1">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跟踪审计服务质量日常考核原则上每季度安排一次。考核以各造价企业单个审计项目为单位，对单个审计项目审计实施过程和完成情况进行综合考核，满分为100分，考核标准见《滁州市重点工程建设管理处跟踪审计服务质量日常考核表》（附件2）。考核结果设“优”、“良”、“中”、“差”四个等级，考核得分95分及以上的项目评“优”，考核得分85分（含）-95分的项目评“良”，考核得分70分（含）-85分的项目评“中”，70分以下的项目评“差”。对评“优” 项目的审计组予以通报表扬；对评“中”项目的审计组进行约谈；评“差”项目的审计组予以通报批评，进行约谈，处罚4000元及暂停业务3个月，连续两个季度评“差”的，暂停业务12个月。</w:t>
      </w:r>
    </w:p>
    <w:p w14:paraId="6F611D51">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年度考核以当年所有项目日常考核结果（本年度至少参评两次及以上）平均分作为年度综合评定分值，考核结果分设“优”、“良”、“中”、“差”四个等级。考核得分95分及以上的造价企业评“优”，考核得分85分（含）-95分的造价企业评“良”，考核得分70分（含）-85分的造价企业评“中”，70分以下的造价企业评“差”。年度考核评“优”的造价企业予以通报表扬，颁发“优秀工程造价企业”证书，同时对项目组成员颁发“优秀工程造价成果奖”证书，按排名对造价企业予以项目奖励；年度考核评“差”的造价企业予以通报批评且暂停业务12个月。</w:t>
      </w:r>
    </w:p>
    <w:p w14:paraId="19858E5C">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lang w:val="en-US" w:eastAsia="zh-CN"/>
        </w:rPr>
        <w:t>3</w:t>
      </w:r>
      <w:r>
        <w:rPr>
          <w:rFonts w:hint="eastAsia" w:eastAsia="宋体" w:cs="Times New Roman"/>
          <w:color w:val="auto"/>
          <w:kern w:val="2"/>
          <w:sz w:val="21"/>
          <w:szCs w:val="21"/>
          <w:highlight w:val="none"/>
        </w:rPr>
        <w:t>.造价企业有下列情形之一的，可扣减审计服务费用，终止审计委托协议，提请行政主管部门给予警告、通报，有限期或无限期禁止从事我处项目等处罚，构成犯罪的，依法追究刑事责任：</w:t>
      </w:r>
    </w:p>
    <w:p w14:paraId="65ED82B6">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1</w:t>
      </w:r>
      <w:r>
        <w:rPr>
          <w:rFonts w:hint="eastAsia" w:eastAsia="宋体" w:cs="Times New Roman"/>
          <w:color w:val="auto"/>
          <w:kern w:val="2"/>
          <w:sz w:val="21"/>
          <w:szCs w:val="21"/>
          <w:highlight w:val="none"/>
        </w:rPr>
        <w:t>）工程结算审核报告存在重大失误或质量低劣；</w:t>
      </w:r>
    </w:p>
    <w:p w14:paraId="7DC53350">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2</w:t>
      </w:r>
      <w:r>
        <w:rPr>
          <w:rFonts w:hint="eastAsia" w:eastAsia="宋体" w:cs="Times New Roman"/>
          <w:color w:val="auto"/>
          <w:kern w:val="2"/>
          <w:sz w:val="21"/>
          <w:szCs w:val="21"/>
          <w:highlight w:val="none"/>
        </w:rPr>
        <w:t>）因自身工作错误或过失造成重大损失；</w:t>
      </w:r>
    </w:p>
    <w:p w14:paraId="671B960A">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3</w:t>
      </w:r>
      <w:r>
        <w:rPr>
          <w:rFonts w:hint="eastAsia" w:eastAsia="宋体" w:cs="Times New Roman"/>
          <w:color w:val="auto"/>
          <w:kern w:val="2"/>
          <w:sz w:val="21"/>
          <w:szCs w:val="21"/>
          <w:highlight w:val="none"/>
        </w:rPr>
        <w:t>）未经允许私自向施工单位透露审核情况或信息；</w:t>
      </w:r>
    </w:p>
    <w:p w14:paraId="751EB501">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4</w:t>
      </w:r>
      <w:r>
        <w:rPr>
          <w:rFonts w:hint="eastAsia" w:eastAsia="宋体" w:cs="Times New Roman"/>
          <w:color w:val="auto"/>
          <w:kern w:val="2"/>
          <w:sz w:val="21"/>
          <w:szCs w:val="21"/>
          <w:highlight w:val="none"/>
        </w:rPr>
        <w:t>）向相关单位或个人索要财物等谋取不正当利益；</w:t>
      </w:r>
    </w:p>
    <w:p w14:paraId="3F030942">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5</w:t>
      </w:r>
      <w:r>
        <w:rPr>
          <w:rFonts w:hint="eastAsia" w:eastAsia="宋体" w:cs="Times New Roman"/>
          <w:color w:val="auto"/>
          <w:kern w:val="2"/>
          <w:sz w:val="21"/>
          <w:szCs w:val="21"/>
          <w:highlight w:val="none"/>
        </w:rPr>
        <w:t>）单独或与其他各方串通舞弊、弄虚作假；</w:t>
      </w:r>
    </w:p>
    <w:p w14:paraId="16802531">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6</w:t>
      </w:r>
      <w:r>
        <w:rPr>
          <w:rFonts w:hint="eastAsia" w:eastAsia="宋体" w:cs="Times New Roman"/>
          <w:color w:val="auto"/>
          <w:kern w:val="2"/>
          <w:sz w:val="21"/>
          <w:szCs w:val="21"/>
          <w:highlight w:val="none"/>
        </w:rPr>
        <w:t>）其他违反法律法规和规定的行为。</w:t>
      </w:r>
    </w:p>
    <w:p w14:paraId="626627EC">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eastAsia="宋体" w:cs="Times New Roman"/>
          <w:color w:val="auto"/>
          <w:kern w:val="2"/>
          <w:sz w:val="24"/>
          <w:szCs w:val="24"/>
          <w:highlight w:val="none"/>
        </w:rPr>
      </w:pPr>
      <w:r>
        <w:rPr>
          <w:rFonts w:hint="eastAsia" w:eastAsia="宋体" w:cs="Times New Roman"/>
          <w:b/>
          <w:bCs/>
          <w:color w:val="auto"/>
          <w:kern w:val="2"/>
          <w:sz w:val="24"/>
          <w:szCs w:val="24"/>
          <w:highlight w:val="none"/>
          <w:lang w:val="en-US" w:eastAsia="zh-CN"/>
        </w:rPr>
        <w:t>八</w:t>
      </w:r>
      <w:r>
        <w:rPr>
          <w:rFonts w:hint="eastAsia" w:eastAsia="宋体" w:cs="Times New Roman"/>
          <w:b/>
          <w:bCs/>
          <w:color w:val="auto"/>
          <w:kern w:val="2"/>
          <w:sz w:val="24"/>
          <w:szCs w:val="24"/>
          <w:highlight w:val="none"/>
        </w:rPr>
        <w:t>、甲乙双方的权利和义务</w:t>
      </w:r>
      <w:r>
        <w:rPr>
          <w:rFonts w:hint="eastAsia" w:eastAsia="宋体" w:cs="Times New Roman"/>
          <w:color w:val="auto"/>
          <w:kern w:val="2"/>
          <w:sz w:val="24"/>
          <w:szCs w:val="24"/>
          <w:highlight w:val="none"/>
        </w:rPr>
        <w:t xml:space="preserve"> </w:t>
      </w:r>
    </w:p>
    <w:p w14:paraId="0F763974">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 xml:space="preserve">1.甲方权利和义务 </w:t>
      </w:r>
    </w:p>
    <w:p w14:paraId="654C321B">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（1）甲方有权对乙方的跟踪（结算）审计项目实施监督，配合市跟审办对乙方审计工作程序、质量和效率等进行检查考核，考核结果作为奖惩和参与政府投资项目跟踪（结算）审计的重要依据；</w:t>
      </w:r>
    </w:p>
    <w:p w14:paraId="39A4D2B7">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（2）项目跟踪（结算）审计过程中，甲方如发现乙方所派审计人员不符合要求或不能胜任岗位工作职责的，甲方有权要求乙方及时调换，或视情况给予相应的处理、处罚；</w:t>
      </w:r>
    </w:p>
    <w:p w14:paraId="6FCD3CCB">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（3）甲方保证乙方审计服务费用的按时到位。</w:t>
      </w:r>
    </w:p>
    <w:p w14:paraId="07322FFD">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2.乙方权利和义务</w:t>
      </w:r>
    </w:p>
    <w:p w14:paraId="33AA2842">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（1）乙方在完成审计任务后，有权及时取得审计服务费用；</w:t>
      </w:r>
    </w:p>
    <w:p w14:paraId="3CB820EA">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（2）乙方须依照甲方工作要求及行业准则、规范，按时、保质、保量完成所承担的审计任务；</w:t>
      </w:r>
    </w:p>
    <w:p w14:paraId="221FB8C8">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乙方必须对审计人员进行廉政教育，如发现有违反廉洁自律规定的行为，应立即更换人员，并对其严肃处理。同时，甲方可根据性质及情节，扣减相应审计服务费用，并可提请市跟审办没收相应的质量及廉政保证金。</w:t>
      </w:r>
    </w:p>
    <w:p w14:paraId="7EA0C46A">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3、双方权力和责任</w:t>
      </w:r>
    </w:p>
    <w:p w14:paraId="261D9675">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3.1 招标人有权进行现场调查和监督，随时调阅有关资料，参与审计的查证、对账和答疑等有关活动。若</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未按委托协议完成业务或审计工作中出现严重差错，招标人有权追究</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法律和经济责任，并视情节扣减部分或全部审计服务费用，直至终止委托关系。</w:t>
      </w:r>
    </w:p>
    <w:p w14:paraId="0243ECD8">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3.2 招标人监督协议的执行，协调和处理履约过程中的问题，对</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审计工作开展情况进行考核，主要内容包括审计程序、现场履职、审计质量和效率、廉政纪律等方面，考核结果作为经济奖惩和以后参与政府投资项目审计服务的重要依据。</w:t>
      </w:r>
    </w:p>
    <w:p w14:paraId="1FE6A7C1">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 xml:space="preserve">3.3 </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应本着客观、公正、公平的原则，正确履行审计职责，同时承担相应的法律责任。对</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滥用职权、与施工单位串通、徇私舞弊、玩忽职守的，视情节，按有关规定对</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及其当事人进行处理处罚；情节严重，涉嫌违法违纪的，依法移送纪检、司法机关查处。</w:t>
      </w:r>
    </w:p>
    <w:p w14:paraId="5545759E">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eastAsia="宋体" w:cs="Times New Roman"/>
          <w:b/>
          <w:bCs/>
          <w:color w:val="auto"/>
          <w:kern w:val="2"/>
          <w:sz w:val="24"/>
          <w:szCs w:val="24"/>
          <w:highlight w:val="none"/>
        </w:rPr>
      </w:pPr>
      <w:r>
        <w:rPr>
          <w:rFonts w:hint="eastAsia" w:eastAsia="宋体" w:cs="Times New Roman"/>
          <w:b/>
          <w:bCs/>
          <w:color w:val="auto"/>
          <w:kern w:val="2"/>
          <w:sz w:val="24"/>
          <w:szCs w:val="24"/>
          <w:highlight w:val="none"/>
          <w:lang w:val="en-US" w:eastAsia="zh-CN"/>
        </w:rPr>
        <w:t>九</w:t>
      </w:r>
      <w:r>
        <w:rPr>
          <w:rFonts w:hint="eastAsia" w:eastAsia="宋体" w:cs="Times New Roman"/>
          <w:b/>
          <w:bCs/>
          <w:color w:val="auto"/>
          <w:kern w:val="2"/>
          <w:sz w:val="24"/>
          <w:szCs w:val="24"/>
          <w:highlight w:val="none"/>
        </w:rPr>
        <w:t>、附则</w:t>
      </w:r>
    </w:p>
    <w:p w14:paraId="219F5A99">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1.本协议一式肆份，具有同等法律效力，甲方、乙方各执贰份。</w:t>
      </w:r>
    </w:p>
    <w:p w14:paraId="51E0F887">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2.本协议未尽事宜，由甲乙双方协商解决。协商不成，提请滁州仲裁委员会裁决。 　</w:t>
      </w:r>
    </w:p>
    <w:p w14:paraId="25F4F5D3">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3.本合同自双方签章后生效。</w:t>
      </w:r>
    </w:p>
    <w:p w14:paraId="5A387F13">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p>
    <w:p w14:paraId="7D2E1392">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p>
    <w:p w14:paraId="56CD9580">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 xml:space="preserve">甲方（签章）                              乙方（签章）           </w:t>
      </w:r>
    </w:p>
    <w:p w14:paraId="0DCB36CB">
      <w:pPr>
        <w:ind w:firstLine="1470" w:firstLineChars="700"/>
        <w:rPr>
          <w:rFonts w:hint="eastAsia" w:ascii="宋体" w:hAnsi="宋体" w:eastAsia="宋体" w:cs="宋体"/>
          <w:color w:val="auto"/>
          <w:sz w:val="21"/>
          <w:szCs w:val="21"/>
          <w:highlight w:val="none"/>
        </w:rPr>
      </w:pPr>
      <w:r>
        <w:rPr>
          <w:rFonts w:hint="eastAsia" w:eastAsia="宋体" w:cs="Times New Roman"/>
          <w:color w:val="auto"/>
          <w:kern w:val="2"/>
          <w:sz w:val="21"/>
          <w:szCs w:val="21"/>
          <w:highlight w:val="none"/>
        </w:rPr>
        <w:t>年   月   日                             年  月  日</w:t>
      </w:r>
    </w:p>
    <w:p w14:paraId="6BCD3E8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63" w:name="_Toc30675"/>
      <w:r>
        <w:rPr>
          <w:rFonts w:hint="eastAsia" w:ascii="宋体" w:hAnsi="宋体" w:eastAsia="宋体" w:cs="宋体"/>
          <w:color w:val="auto"/>
          <w:highlight w:val="none"/>
          <w:lang w:val="en-US" w:eastAsia="zh-CN"/>
        </w:rPr>
        <w:t>第四章 投标文件格式</w:t>
      </w:r>
      <w:bookmarkEnd w:id="63"/>
    </w:p>
    <w:p w14:paraId="2AC451A3">
      <w:pPr>
        <w:jc w:val="center"/>
        <w:rPr>
          <w:rFonts w:hint="eastAsia" w:ascii="宋体" w:hAnsi="宋体" w:eastAsia="宋体" w:cs="宋体"/>
          <w:color w:val="auto"/>
          <w:sz w:val="28"/>
          <w:szCs w:val="28"/>
          <w:highlight w:val="none"/>
          <w:u w:val="single"/>
        </w:rPr>
      </w:pPr>
    </w:p>
    <w:p w14:paraId="2BF899C5">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4FDABD1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0187A6D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197A11D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6B8FA70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4A58C64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不少于2名注册在投标单位的二级及以上造价工程师（</w:t>
      </w:r>
      <w:r>
        <w:rPr>
          <w:rFonts w:hint="eastAsia" w:ascii="宋体" w:hAnsi="宋体" w:cs="宋体"/>
          <w:color w:val="auto"/>
          <w:kern w:val="0"/>
          <w:sz w:val="21"/>
          <w:szCs w:val="21"/>
          <w:highlight w:val="none"/>
          <w:lang w:val="en-US" w:eastAsia="zh-CN"/>
        </w:rPr>
        <w:t>土木建筑工程专业</w:t>
      </w:r>
      <w:r>
        <w:rPr>
          <w:rFonts w:hint="eastAsia" w:ascii="宋体" w:hAnsi="宋体" w:eastAsia="宋体" w:cs="宋体"/>
          <w:color w:val="auto"/>
          <w:kern w:val="0"/>
          <w:sz w:val="21"/>
          <w:szCs w:val="21"/>
          <w:highlight w:val="none"/>
          <w:lang w:val="en-US" w:eastAsia="zh-CN"/>
        </w:rPr>
        <w:t>至少1名、安装工程专业至少1名）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432C691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承诺书1：投标人对所提供的上述材料作出承诺，若投标人存在弄虚作假，提供虚假资料的，若中标，则取消中标资格。（承诺书格式自拟并注明开标日期，加盖投标单位公章）</w:t>
      </w:r>
    </w:p>
    <w:p w14:paraId="000A8DF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1966D4D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须持有社保部门出具的本单位为其缴纳的投标前近三个月内任意一月的养老保险证明（含官网在线打印件，证明文件两个月内有效），或投标人提供承诺已为上述人员缴纳养老保险证明的承诺书（格式自拟）。</w:t>
      </w:r>
    </w:p>
    <w:p w14:paraId="25725BF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7AE780D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7525A41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spacing w:beforeLines="100" w:afterLines="100" w:line="480" w:lineRule="exact"/>
        <w:ind w:firstLine="180" w:firstLineChars="75"/>
        <w:rPr>
          <w:rFonts w:hint="eastAsia" w:ascii="宋体" w:hAnsi="宋体" w:eastAsia="宋体" w:cs="宋体"/>
          <w:b/>
          <w:color w:val="auto"/>
          <w:sz w:val="24"/>
          <w:szCs w:val="24"/>
          <w:highlight w:val="none"/>
        </w:rPr>
      </w:pPr>
      <w:bookmarkStart w:id="64"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64"/>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授权委托人有效身份证及法定代表人有效身份证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2B8D027D">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33159A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10F35531">
      <w:pPr>
        <w:spacing w:line="480" w:lineRule="auto"/>
        <w:ind w:right="980" w:firstLine="482" w:firstLineChars="200"/>
        <w:jc w:val="center"/>
        <w:rPr>
          <w:rFonts w:hint="eastAsia" w:ascii="宋体" w:hAnsi="宋体" w:eastAsia="宋体" w:cs="宋体"/>
          <w:b/>
          <w:bCs/>
          <w:color w:val="auto"/>
          <w:kern w:val="0"/>
          <w:sz w:val="24"/>
          <w:szCs w:val="24"/>
          <w:highlight w:val="none"/>
        </w:rPr>
      </w:pPr>
    </w:p>
    <w:p w14:paraId="4C192855">
      <w:pP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0"/>
          <w:szCs w:val="30"/>
          <w:highlight w:val="none"/>
        </w:rPr>
        <w:br w:type="page"/>
      </w:r>
    </w:p>
    <w:p w14:paraId="21FDDC94">
      <w:pPr>
        <w:pStyle w:val="42"/>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46"/>
        <w:tblW w:w="9352"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82"/>
        <w:gridCol w:w="792"/>
        <w:gridCol w:w="1454"/>
        <w:gridCol w:w="2355"/>
        <w:gridCol w:w="1183"/>
        <w:gridCol w:w="1292"/>
      </w:tblGrid>
      <w:tr w14:paraId="4F1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14:paraId="39F5E91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299851A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11BFADF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7B59E80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50D228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2402AD7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5C4A99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59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7DAD8E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04B14B9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35731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B389EA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4CE83D5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08E0B9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E359D2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5B2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499511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68959EE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41E0C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014F463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861A87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C1F938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239EAA9">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1FE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26281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7C9B9D8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113C41B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E8F5D6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23DE6F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614F96D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489B64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670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49CD33A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46BBC33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2E1640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3E1BBC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17498B7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0B5DA3D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5F0B41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6D79D3F9">
      <w:pPr>
        <w:jc w:val="center"/>
        <w:rPr>
          <w:rFonts w:hint="eastAsia" w:ascii="宋体" w:hAnsi="宋体" w:eastAsia="宋体" w:cs="宋体"/>
          <w:color w:val="auto"/>
          <w:sz w:val="28"/>
          <w:szCs w:val="28"/>
          <w:highlight w:val="none"/>
          <w:u w:val="single"/>
        </w:rPr>
      </w:pPr>
    </w:p>
    <w:p w14:paraId="01683548">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2538AB6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407EB7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30963256">
      <w:pPr>
        <w:jc w:val="center"/>
        <w:rPr>
          <w:rFonts w:hint="eastAsia" w:ascii="宋体" w:hAnsi="宋体" w:eastAsia="宋体" w:cs="宋体"/>
          <w:b/>
          <w:bCs/>
          <w:color w:val="auto"/>
          <w:sz w:val="28"/>
          <w:szCs w:val="28"/>
          <w:highlight w:val="none"/>
        </w:rPr>
      </w:pPr>
    </w:p>
    <w:p w14:paraId="7774A8B9">
      <w:pPr>
        <w:pStyle w:val="2"/>
        <w:rPr>
          <w:rFonts w:hint="eastAsia"/>
          <w:color w:val="auto"/>
          <w:highlight w:val="none"/>
        </w:rPr>
      </w:pPr>
    </w:p>
    <w:p w14:paraId="14A4BCCA">
      <w:pPr>
        <w:jc w:val="center"/>
        <w:rPr>
          <w:rFonts w:hint="eastAsia" w:ascii="宋体" w:hAnsi="宋体" w:eastAsia="宋体" w:cs="宋体"/>
          <w:b/>
          <w:bCs/>
          <w:color w:val="auto"/>
          <w:sz w:val="28"/>
          <w:szCs w:val="28"/>
          <w:highlight w:val="none"/>
        </w:rPr>
      </w:pPr>
    </w:p>
    <w:p w14:paraId="3CCC12D7">
      <w:pPr>
        <w:jc w:val="center"/>
        <w:rPr>
          <w:rFonts w:hint="eastAsia" w:ascii="宋体" w:hAnsi="宋体" w:eastAsia="宋体" w:cs="宋体"/>
          <w:b/>
          <w:bCs/>
          <w:color w:val="auto"/>
          <w:sz w:val="28"/>
          <w:szCs w:val="28"/>
          <w:highlight w:val="none"/>
        </w:rPr>
      </w:pPr>
    </w:p>
    <w:p w14:paraId="5E9002FF">
      <w:pPr>
        <w:jc w:val="center"/>
        <w:rPr>
          <w:rFonts w:hint="eastAsia" w:ascii="宋体" w:hAnsi="宋体" w:eastAsia="宋体" w:cs="宋体"/>
          <w:b/>
          <w:bCs/>
          <w:color w:val="auto"/>
          <w:sz w:val="28"/>
          <w:szCs w:val="28"/>
          <w:highlight w:val="none"/>
        </w:rPr>
      </w:pPr>
    </w:p>
    <w:p w14:paraId="5443CE27">
      <w:pPr>
        <w:jc w:val="center"/>
        <w:rPr>
          <w:rFonts w:hint="eastAsia" w:ascii="宋体" w:hAnsi="宋体" w:eastAsia="宋体" w:cs="宋体"/>
          <w:b/>
          <w:bCs/>
          <w:color w:val="auto"/>
          <w:sz w:val="28"/>
          <w:szCs w:val="28"/>
          <w:highlight w:val="none"/>
        </w:rPr>
      </w:pPr>
    </w:p>
    <w:p w14:paraId="57A6ABA6">
      <w:pPr>
        <w:jc w:val="center"/>
        <w:rPr>
          <w:rFonts w:hint="eastAsia" w:ascii="宋体" w:hAnsi="宋体" w:eastAsia="宋体" w:cs="宋体"/>
          <w:b/>
          <w:bCs/>
          <w:color w:val="auto"/>
          <w:sz w:val="28"/>
          <w:szCs w:val="28"/>
          <w:highlight w:val="none"/>
        </w:rPr>
      </w:pPr>
    </w:p>
    <w:p w14:paraId="41257297">
      <w:pPr>
        <w:jc w:val="center"/>
        <w:rPr>
          <w:rFonts w:hint="eastAsia" w:ascii="宋体" w:hAnsi="宋体" w:eastAsia="宋体" w:cs="宋体"/>
          <w:b/>
          <w:bCs/>
          <w:color w:val="auto"/>
          <w:sz w:val="28"/>
          <w:szCs w:val="28"/>
          <w:highlight w:val="none"/>
        </w:rPr>
      </w:pPr>
    </w:p>
    <w:p w14:paraId="22AD1574">
      <w:pPr>
        <w:jc w:val="center"/>
        <w:rPr>
          <w:rFonts w:hint="eastAsia" w:ascii="宋体" w:hAnsi="宋体" w:eastAsia="宋体" w:cs="宋体"/>
          <w:b/>
          <w:bCs/>
          <w:color w:val="auto"/>
          <w:sz w:val="28"/>
          <w:szCs w:val="28"/>
          <w:highlight w:val="none"/>
        </w:rPr>
      </w:pPr>
    </w:p>
    <w:p w14:paraId="54964737">
      <w:pPr>
        <w:jc w:val="center"/>
        <w:rPr>
          <w:rFonts w:hint="eastAsia" w:ascii="宋体" w:hAnsi="宋体" w:eastAsia="宋体" w:cs="宋体"/>
          <w:b/>
          <w:bCs/>
          <w:color w:val="auto"/>
          <w:sz w:val="28"/>
          <w:szCs w:val="28"/>
          <w:highlight w:val="none"/>
        </w:rPr>
      </w:pPr>
    </w:p>
    <w:p w14:paraId="6B9E4E6B">
      <w:pPr>
        <w:jc w:val="center"/>
        <w:rPr>
          <w:rFonts w:hint="eastAsia" w:ascii="宋体" w:hAnsi="宋体" w:eastAsia="宋体" w:cs="宋体"/>
          <w:b/>
          <w:bCs/>
          <w:color w:val="auto"/>
          <w:sz w:val="28"/>
          <w:szCs w:val="28"/>
          <w:highlight w:val="none"/>
        </w:rPr>
      </w:pPr>
    </w:p>
    <w:p w14:paraId="2FB0BF2A">
      <w:pPr>
        <w:jc w:val="center"/>
        <w:rPr>
          <w:rFonts w:hint="eastAsia" w:ascii="宋体" w:hAnsi="宋体" w:eastAsia="宋体" w:cs="宋体"/>
          <w:b/>
          <w:bCs/>
          <w:color w:val="auto"/>
          <w:sz w:val="28"/>
          <w:szCs w:val="28"/>
          <w:highlight w:val="none"/>
        </w:rPr>
      </w:pPr>
    </w:p>
    <w:p w14:paraId="2908FF31">
      <w:pPr>
        <w:jc w:val="center"/>
        <w:rPr>
          <w:rFonts w:hint="eastAsia" w:ascii="宋体" w:hAnsi="宋体" w:eastAsia="宋体" w:cs="宋体"/>
          <w:b/>
          <w:bCs/>
          <w:color w:val="auto"/>
          <w:sz w:val="28"/>
          <w:szCs w:val="28"/>
          <w:highlight w:val="none"/>
        </w:rPr>
      </w:pPr>
    </w:p>
    <w:p w14:paraId="19883A2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561AA3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0BB880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招标</w:t>
      </w:r>
      <w:r>
        <w:rPr>
          <w:rFonts w:hint="eastAsia" w:ascii="宋体" w:hAnsi="宋体" w:eastAsia="宋体" w:cs="宋体"/>
          <w:color w:val="auto"/>
          <w:szCs w:val="21"/>
          <w:highlight w:val="none"/>
          <w:u w:val="single"/>
        </w:rPr>
        <w:t xml:space="preserve">人)       </w:t>
      </w:r>
      <w:r>
        <w:rPr>
          <w:rFonts w:hint="eastAsia" w:ascii="宋体" w:hAnsi="宋体" w:eastAsia="宋体" w:cs="宋体"/>
          <w:color w:val="auto"/>
          <w:szCs w:val="21"/>
          <w:highlight w:val="none"/>
        </w:rPr>
        <w:t xml:space="preserve"> </w:t>
      </w:r>
    </w:p>
    <w:p w14:paraId="0D5B4C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1.我们决定参加贵单位组织的“</w:t>
      </w:r>
      <w:r>
        <w:rPr>
          <w:rFonts w:hint="eastAsia" w:ascii="宋体" w:hAnsi="宋体" w:eastAsia="宋体" w:cs="宋体"/>
          <w:color w:val="auto"/>
          <w:szCs w:val="21"/>
          <w:highlight w:val="none"/>
          <w:u w:val="single"/>
        </w:rPr>
        <w:t xml:space="preserve"> （项目名称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。我方授权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(姓名和职务)代表我方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（投标人的名称）全权处理本项目投标的有关事宜。</w:t>
      </w:r>
    </w:p>
    <w:p w14:paraId="73B4654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2.我方愿意按照招标文件规定的各项要求，</w:t>
      </w:r>
      <w:r>
        <w:rPr>
          <w:rFonts w:hint="eastAsia" w:ascii="宋体"/>
          <w:color w:val="auto"/>
          <w:szCs w:val="21"/>
          <w:highlight w:val="none"/>
        </w:rPr>
        <w:t>向</w:t>
      </w:r>
      <w:r>
        <w:rPr>
          <w:rFonts w:hint="eastAsia" w:ascii="宋体"/>
          <w:color w:val="auto"/>
          <w:szCs w:val="21"/>
          <w:highlight w:val="none"/>
          <w:lang w:val="en-US" w:eastAsia="zh-CN"/>
        </w:rPr>
        <w:t>招标</w:t>
      </w:r>
      <w:r>
        <w:rPr>
          <w:rFonts w:hint="eastAsia" w:ascii="宋体"/>
          <w:color w:val="auto"/>
          <w:szCs w:val="21"/>
          <w:highlight w:val="none"/>
        </w:rPr>
        <w:t>人提供</w:t>
      </w:r>
      <w:r>
        <w:rPr>
          <w:rFonts w:hint="eastAsia" w:ascii="宋体"/>
          <w:color w:val="auto"/>
          <w:szCs w:val="21"/>
          <w:highlight w:val="none"/>
          <w:lang w:val="en-US" w:eastAsia="zh-CN"/>
        </w:rPr>
        <w:t>本</w:t>
      </w:r>
      <w:r>
        <w:rPr>
          <w:rFonts w:hint="eastAsia" w:ascii="宋体"/>
          <w:color w:val="auto"/>
          <w:szCs w:val="21"/>
          <w:highlight w:val="none"/>
        </w:rPr>
        <w:t>项目的服务，我方报价为</w:t>
      </w:r>
      <w:r>
        <w:rPr>
          <w:rFonts w:hint="eastAsia" w:ascii="宋体"/>
          <w:b/>
          <w:bCs/>
          <w:color w:val="auto"/>
          <w:szCs w:val="21"/>
          <w:highlight w:val="none"/>
        </w:rPr>
        <w:t>基本费率</w:t>
      </w:r>
      <w:r>
        <w:rPr>
          <w:rFonts w:hint="eastAsia" w:ascii="宋体"/>
          <w:b/>
          <w:bCs/>
          <w:color w:val="auto"/>
          <w:szCs w:val="21"/>
          <w:highlight w:val="none"/>
          <w:u w:val="single"/>
        </w:rPr>
        <w:t xml:space="preserve">      </w:t>
      </w:r>
      <w:r>
        <w:rPr>
          <w:rFonts w:hint="eastAsia" w:ascii="宋体"/>
          <w:b/>
          <w:bCs/>
          <w:color w:val="auto"/>
          <w:szCs w:val="21"/>
          <w:highlight w:val="none"/>
        </w:rPr>
        <w:t>‰</w:t>
      </w:r>
      <w:r>
        <w:rPr>
          <w:rFonts w:hint="eastAsia" w:ascii="宋体"/>
          <w:b/>
          <w:bCs/>
          <w:color w:val="auto"/>
          <w:szCs w:val="21"/>
          <w:highlight w:val="none"/>
          <w:lang w:eastAsia="zh-CN"/>
        </w:rPr>
        <w:t>、</w:t>
      </w:r>
      <w:r>
        <w:rPr>
          <w:rFonts w:hint="eastAsia" w:ascii="宋体" w:hAnsi="Times New Roman" w:eastAsia="宋体" w:cs="Times New Roman"/>
          <w:b/>
          <w:bCs/>
          <w:color w:val="auto"/>
          <w:szCs w:val="21"/>
          <w:highlight w:val="none"/>
        </w:rPr>
        <w:t>审核成果费率</w:t>
      </w:r>
      <w:r>
        <w:rPr>
          <w:rFonts w:hint="eastAsia" w:ascii="宋体" w:hAnsi="Times New Roman" w:eastAsia="宋体" w:cs="Times New Roman"/>
          <w:b/>
          <w:bCs/>
          <w:color w:val="auto"/>
          <w:szCs w:val="21"/>
          <w:highlight w:val="none"/>
          <w:lang w:val="en-US" w:eastAsia="zh-CN"/>
        </w:rPr>
        <w:t>4</w:t>
      </w:r>
      <w:r>
        <w:rPr>
          <w:rFonts w:hint="eastAsia" w:ascii="宋体" w:hAnsi="Times New Roman" w:eastAsia="宋体" w:cs="Times New Roman"/>
          <w:b/>
          <w:bCs/>
          <w:color w:val="auto"/>
          <w:szCs w:val="21"/>
          <w:highlight w:val="none"/>
        </w:rPr>
        <w:t>%</w:t>
      </w:r>
      <w:r>
        <w:rPr>
          <w:rFonts w:hint="eastAsia" w:ascii="宋体"/>
          <w:b/>
          <w:bCs/>
          <w:color w:val="auto"/>
          <w:szCs w:val="21"/>
          <w:highlight w:val="none"/>
        </w:rPr>
        <w:t>。</w:t>
      </w:r>
      <w:r>
        <w:rPr>
          <w:rFonts w:hint="eastAsia" w:ascii="宋体"/>
          <w:color w:val="auto"/>
          <w:szCs w:val="21"/>
          <w:highlight w:val="none"/>
        </w:rPr>
        <w:t>项目负责人为</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color w:val="auto"/>
          <w:szCs w:val="21"/>
          <w:highlight w:val="none"/>
        </w:rPr>
        <w:t>，服务期：</w:t>
      </w:r>
      <w:r>
        <w:rPr>
          <w:rFonts w:hint="eastAsia" w:ascii="宋体"/>
          <w:color w:val="auto"/>
          <w:szCs w:val="21"/>
          <w:highlight w:val="none"/>
          <w:lang w:val="en-US" w:eastAsia="zh-CN"/>
        </w:rPr>
        <w:t>满足关于印发《工程造价咨询服务管理办法》的通知（滁重【2022】55号）规定要求</w:t>
      </w:r>
      <w:r>
        <w:rPr>
          <w:rFonts w:hint="eastAsia" w:ascii="宋体" w:hAnsi="宋体" w:eastAsia="宋体" w:cs="宋体"/>
          <w:color w:val="auto"/>
          <w:szCs w:val="21"/>
          <w:highlight w:val="none"/>
        </w:rPr>
        <w:t>。</w:t>
      </w:r>
    </w:p>
    <w:p w14:paraId="03D443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日历天（从投标截止之日算起）。</w:t>
      </w:r>
    </w:p>
    <w:p w14:paraId="73D569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4.一旦我方成为合同签字人，我方将严格履行合同规定的责任和义务。</w:t>
      </w:r>
    </w:p>
    <w:p w14:paraId="36FF6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.若我方中标，愿意为本项目提交的纸质投标文件一式</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份，其中正本一份、副本</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份。</w:t>
      </w:r>
    </w:p>
    <w:p w14:paraId="4C35F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.我方愿意提供可能另外要求的、与采购投标有关的文件资料，并保证我方已提供和将要提供的文件是真实的、准确的。</w:t>
      </w:r>
    </w:p>
    <w:p w14:paraId="43EBE82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.我单位提供如下通讯地址：</w:t>
      </w:r>
      <w:r>
        <w:rPr>
          <w:rFonts w:hint="eastAsia" w:ascii="宋体" w:hAnsi="宋体" w:eastAsia="宋体" w:cs="宋体"/>
          <w:color w:val="auto"/>
          <w:szCs w:val="21"/>
          <w:highlight w:val="none"/>
          <w:u w:val="single"/>
        </w:rPr>
        <w:t xml:space="preserve">                电子邮箱（地址）</w:t>
      </w:r>
      <w:r>
        <w:rPr>
          <w:rFonts w:hint="eastAsia" w:ascii="宋体" w:hAnsi="宋体" w:eastAsia="宋体" w:cs="宋体"/>
          <w:color w:val="auto"/>
          <w:szCs w:val="21"/>
          <w:highlight w:val="none"/>
        </w:rPr>
        <w:t>，确认本项目相关法律文书均通过提供的以上地址送达，相关文书只要发送至以上电子邮箱（地址）即视为送达，投标人愿意承担一切法律后果。</w:t>
      </w:r>
    </w:p>
    <w:p w14:paraId="02E68186">
      <w:pPr>
        <w:pStyle w:val="2"/>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签字或盖章</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04B0F2ED">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4CE9E6A">
      <w:pPr>
        <w:spacing w:line="360" w:lineRule="auto"/>
        <w:rPr>
          <w:rFonts w:hint="eastAsia" w:ascii="宋体" w:hAnsi="宋体" w:cs="宋体"/>
          <w:b/>
          <w:color w:val="auto"/>
          <w:sz w:val="28"/>
          <w:szCs w:val="28"/>
          <w:highlight w:val="none"/>
          <w:lang w:val="en-US" w:eastAsia="zh-CN"/>
        </w:rPr>
      </w:pPr>
    </w:p>
    <w:p w14:paraId="35B540EB">
      <w:pPr>
        <w:spacing w:line="360" w:lineRule="auto"/>
        <w:rPr>
          <w:rFonts w:hint="eastAsia" w:ascii="宋体" w:hAnsi="宋体" w:cs="宋体"/>
          <w:b/>
          <w:color w:val="auto"/>
          <w:sz w:val="28"/>
          <w:szCs w:val="28"/>
          <w:highlight w:val="none"/>
          <w:lang w:val="en-US" w:eastAsia="zh-CN"/>
        </w:rPr>
      </w:pPr>
    </w:p>
    <w:p w14:paraId="265D13AF">
      <w:pPr>
        <w:spacing w:line="360" w:lineRule="auto"/>
        <w:jc w:val="center"/>
        <w:rPr>
          <w:rFonts w:hint="eastAsia" w:ascii="宋体" w:hAnsi="宋体" w:eastAsia="宋体" w:cs="宋体"/>
          <w:b/>
          <w:bCs/>
          <w:color w:val="auto"/>
          <w:kern w:val="0"/>
          <w:sz w:val="30"/>
          <w:szCs w:val="30"/>
          <w:highlight w:val="none"/>
        </w:rPr>
      </w:pPr>
      <w:r>
        <w:rPr>
          <w:rFonts w:hint="eastAsia" w:ascii="宋体" w:hAnsi="宋体" w:cs="宋体"/>
          <w:b/>
          <w:color w:val="auto"/>
          <w:sz w:val="28"/>
          <w:szCs w:val="28"/>
          <w:highlight w:val="none"/>
          <w:lang w:val="en-US" w:eastAsia="zh-CN"/>
        </w:rPr>
        <w:t>系统填报的投标费率与本投标函不一致时，以本投标函为准</w:t>
      </w:r>
    </w:p>
    <w:p w14:paraId="3718D3FE">
      <w:pPr>
        <w:pStyle w:val="6"/>
        <w:spacing w:before="0" w:after="0"/>
        <w:rPr>
          <w:rFonts w:hint="eastAsia" w:ascii="宋体" w:hAnsi="宋体" w:eastAsia="宋体" w:cs="宋体"/>
          <w:color w:val="auto"/>
          <w:highlight w:val="none"/>
          <w:lang w:val="en-US" w:eastAsia="zh-CN"/>
        </w:rPr>
      </w:pPr>
      <w:bookmarkStart w:id="65" w:name="_Toc31498"/>
      <w:r>
        <w:rPr>
          <w:rFonts w:hint="eastAsia" w:ascii="宋体" w:hAnsi="宋体" w:eastAsia="宋体" w:cs="宋体"/>
          <w:color w:val="auto"/>
          <w:highlight w:val="none"/>
          <w:lang w:val="en-US" w:eastAsia="zh-CN"/>
        </w:rPr>
        <w:t>第五章 招标单位、招标代理机构对本招标文件的确认</w:t>
      </w:r>
      <w:bookmarkEnd w:id="65"/>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388A6941">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滁城西片区排水综合整治工程四批次跟踪审计项目</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70D47DF8">
            <w:pPr>
              <w:spacing w:line="320" w:lineRule="atLeast"/>
              <w:ind w:firstLine="560" w:firstLineChars="200"/>
              <w:rPr>
                <w:rFonts w:hint="eastAsia" w:ascii="宋体" w:hAnsi="宋体" w:eastAsia="宋体" w:cs="宋体"/>
                <w:color w:val="auto"/>
                <w:sz w:val="28"/>
                <w:szCs w:val="28"/>
                <w:highlight w:val="none"/>
              </w:rPr>
            </w:pPr>
          </w:p>
          <w:p w14:paraId="16EDA7DA">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滁州市重点工程建设管理处</w:t>
            </w:r>
          </w:p>
          <w:p w14:paraId="3463F686">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马雪婷</w:t>
            </w:r>
          </w:p>
          <w:p w14:paraId="0C9165C7">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0550-3046029</w:t>
            </w:r>
          </w:p>
          <w:p w14:paraId="6E5C8EF3">
            <w:pPr>
              <w:spacing w:line="500" w:lineRule="exact"/>
              <w:ind w:firstLine="281" w:firstLineChars="100"/>
              <w:rPr>
                <w:rFonts w:hint="eastAsia" w:ascii="宋体" w:hAnsi="宋体" w:eastAsia="宋体" w:cs="宋体"/>
                <w:b/>
                <w:bCs/>
                <w:color w:val="auto"/>
                <w:sz w:val="28"/>
                <w:szCs w:val="28"/>
                <w:highlight w:val="none"/>
              </w:rPr>
            </w:pPr>
          </w:p>
          <w:p w14:paraId="1E3913DA">
            <w:pPr>
              <w:spacing w:line="5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33C2043A">
            <w:pPr>
              <w:ind w:firstLine="5320" w:firstLineChars="19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胡国庆</w:t>
            </w:r>
          </w:p>
          <w:p w14:paraId="3E3D785F">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eastAsia="zh-CN"/>
              </w:rPr>
              <w:t>0550-3519517、</w:t>
            </w:r>
            <w:r>
              <w:rPr>
                <w:rFonts w:hint="eastAsia" w:ascii="宋体" w:hAnsi="宋体" w:cs="宋体"/>
                <w:color w:val="auto"/>
                <w:sz w:val="28"/>
                <w:szCs w:val="28"/>
                <w:highlight w:val="none"/>
                <w:lang w:val="en-US" w:eastAsia="zh-CN"/>
              </w:rPr>
              <w:t>18005500950</w:t>
            </w:r>
          </w:p>
          <w:p w14:paraId="497AA04E">
            <w:pPr>
              <w:rPr>
                <w:rFonts w:hint="eastAsia" w:ascii="宋体" w:hAnsi="宋体" w:eastAsia="宋体" w:cs="宋体"/>
                <w:color w:val="auto"/>
                <w:sz w:val="28"/>
                <w:szCs w:val="28"/>
                <w:highlight w:val="none"/>
              </w:rPr>
            </w:pPr>
          </w:p>
          <w:p w14:paraId="00473FA3">
            <w:pPr>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0AF574C">
            <w:pPr>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（单位盖章）</w:t>
            </w:r>
          </w:p>
          <w:p w14:paraId="5AE54977">
            <w:pPr>
              <w:ind w:firstLine="5180" w:firstLineChars="18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p>
        </w:tc>
      </w:tr>
    </w:tbl>
    <w:p w14:paraId="22D2196B">
      <w:pPr>
        <w:pStyle w:val="20"/>
        <w:jc w:val="left"/>
        <w:rPr>
          <w:rFonts w:hint="eastAsia" w:ascii="宋体" w:hAnsi="宋体" w:eastAsia="宋体" w:cs="宋体"/>
          <w:color w:val="auto"/>
          <w:kern w:val="0"/>
          <w:sz w:val="24"/>
          <w:szCs w:val="24"/>
          <w:highlight w:val="none"/>
        </w:rPr>
      </w:pPr>
    </w:p>
    <w:p w14:paraId="63AE5489">
      <w:pPr>
        <w:pStyle w:val="20"/>
        <w:jc w:val="left"/>
        <w:rPr>
          <w:rFonts w:hint="eastAsia" w:ascii="宋体" w:hAnsi="宋体" w:eastAsia="宋体" w:cs="宋体"/>
          <w:color w:val="auto"/>
          <w:kern w:val="0"/>
          <w:sz w:val="24"/>
          <w:szCs w:val="24"/>
          <w:highlight w:val="none"/>
        </w:rPr>
      </w:pPr>
    </w:p>
    <w:p w14:paraId="542E3EE9">
      <w:pPr>
        <w:pStyle w:val="20"/>
        <w:jc w:val="left"/>
        <w:rPr>
          <w:rFonts w:hint="eastAsia" w:ascii="宋体" w:hAnsi="宋体" w:eastAsia="宋体" w:cs="宋体"/>
          <w:color w:val="auto"/>
          <w:kern w:val="0"/>
          <w:sz w:val="24"/>
          <w:szCs w:val="24"/>
          <w:highlight w:val="none"/>
        </w:rPr>
      </w:pPr>
    </w:p>
    <w:p w14:paraId="2D9AB935">
      <w:pPr>
        <w:pStyle w:val="20"/>
        <w:jc w:val="left"/>
        <w:rPr>
          <w:rFonts w:hint="eastAsia" w:ascii="宋体" w:hAnsi="宋体" w:eastAsia="宋体" w:cs="宋体"/>
          <w:color w:val="auto"/>
          <w:kern w:val="0"/>
          <w:sz w:val="24"/>
          <w:szCs w:val="24"/>
          <w:highlight w:val="none"/>
        </w:rPr>
      </w:pPr>
    </w:p>
    <w:p w14:paraId="21A15060">
      <w:pPr>
        <w:pStyle w:val="20"/>
        <w:jc w:val="left"/>
        <w:rPr>
          <w:rFonts w:hint="eastAsia" w:ascii="宋体" w:hAnsi="宋体" w:eastAsia="宋体" w:cs="宋体"/>
          <w:color w:val="auto"/>
          <w:kern w:val="0"/>
          <w:sz w:val="24"/>
          <w:szCs w:val="24"/>
          <w:highlight w:val="none"/>
        </w:rPr>
      </w:pPr>
    </w:p>
    <w:p w14:paraId="155ACA93">
      <w:pPr>
        <w:pStyle w:val="2"/>
        <w:ind w:left="199" w:leftChars="95" w:firstLine="198" w:firstLineChars="66"/>
        <w:rPr>
          <w:rFonts w:hint="eastAsia" w:hAnsi="宋体"/>
          <w:color w:val="auto"/>
          <w:sz w:val="30"/>
          <w:szCs w:val="30"/>
          <w:highlight w:val="none"/>
        </w:rPr>
      </w:pPr>
      <w:r>
        <w:rPr>
          <w:rFonts w:hint="eastAsia" w:hAnsi="宋体"/>
          <w:color w:val="auto"/>
          <w:sz w:val="30"/>
          <w:szCs w:val="30"/>
          <w:highlight w:val="none"/>
        </w:rPr>
        <w:t>附件：</w:t>
      </w:r>
    </w:p>
    <w:p w14:paraId="3C4FBDD1">
      <w:pPr>
        <w:pStyle w:val="2"/>
        <w:ind w:left="199" w:leftChars="95" w:firstLine="198" w:firstLineChars="66"/>
        <w:rPr>
          <w:rFonts w:hint="eastAsia" w:hAnsi="宋体"/>
          <w:color w:val="auto"/>
          <w:sz w:val="30"/>
          <w:szCs w:val="30"/>
          <w:highlight w:val="none"/>
        </w:rPr>
      </w:pPr>
    </w:p>
    <w:p w14:paraId="65694767">
      <w:pPr>
        <w:rPr>
          <w:rFonts w:hint="eastAsia"/>
          <w:color w:val="auto"/>
          <w:highlight w:val="none"/>
        </w:rPr>
      </w:pPr>
    </w:p>
    <w:p w14:paraId="50AFC473">
      <w:pPr>
        <w:pStyle w:val="2"/>
        <w:ind w:left="199" w:leftChars="95" w:firstLine="211" w:firstLineChars="66"/>
        <w:rPr>
          <w:rFonts w:hint="default" w:ascii="Times New Roman" w:hAnsi="Times New Roman" w:eastAsia="楷体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滁重〔</w:t>
      </w:r>
      <w:r>
        <w:rPr>
          <w:rFonts w:hint="default" w:ascii="Times New Roman" w:hAnsi="Times New Roman" w:eastAsia="仿宋_GB2312" w:cs="Times New Roman"/>
          <w:color w:val="auto"/>
          <w:sz w:val="32"/>
          <w:szCs w:val="32"/>
          <w:highlight w:val="none"/>
          <w:shd w:val="clear" w:color="auto" w:fill="auto"/>
          <w:lang w:eastAsia="zh-CN"/>
        </w:rPr>
        <w:t>20</w:t>
      </w:r>
      <w:r>
        <w:rPr>
          <w:rFonts w:hint="default" w:ascii="Times New Roman" w:hAnsi="Times New Roman" w:eastAsia="仿宋_GB2312" w:cs="Times New Roman"/>
          <w:color w:val="auto"/>
          <w:sz w:val="32"/>
          <w:szCs w:val="32"/>
          <w:highlight w:val="none"/>
          <w:shd w:val="clear" w:color="auto" w:fill="auto"/>
          <w:lang w:val="en-US" w:eastAsia="zh-CN"/>
        </w:rPr>
        <w:t>22</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55号</w:t>
      </w:r>
    </w:p>
    <w:p w14:paraId="1231DE3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pacing w:val="-11"/>
          <w:sz w:val="44"/>
          <w:szCs w:val="44"/>
          <w:highlight w:val="none"/>
        </w:rPr>
      </w:pPr>
      <w:r>
        <w:rPr>
          <w:rFonts w:hint="default" w:ascii="Times New Roman" w:hAnsi="Times New Roman" w:eastAsia="方正小标宋简体" w:cs="Times New Roman"/>
          <w:b w:val="0"/>
          <w:bCs/>
          <w:color w:val="auto"/>
          <w:spacing w:val="-11"/>
          <w:sz w:val="44"/>
          <w:szCs w:val="44"/>
          <w:highlight w:val="none"/>
        </w:rPr>
        <w:t>关于印发《工程造价咨询服务管理办法》的通知</w:t>
      </w:r>
    </w:p>
    <w:p w14:paraId="638ADF2B">
      <w:pPr>
        <w:spacing w:line="600" w:lineRule="exact"/>
        <w:rPr>
          <w:rFonts w:hint="default" w:ascii="Times New Roman" w:hAnsi="Times New Roman" w:eastAsia="宋体" w:cs="Times New Roman"/>
          <w:color w:val="auto"/>
          <w:szCs w:val="32"/>
          <w:highlight w:val="none"/>
        </w:rPr>
      </w:pPr>
    </w:p>
    <w:p w14:paraId="37411C05">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仿宋_GB2312" w:eastAsia="仿宋_GB2312" w:cs="Times New Roman"/>
          <w:color w:val="auto"/>
          <w:sz w:val="32"/>
          <w:szCs w:val="32"/>
          <w:highlight w:val="none"/>
        </w:rPr>
        <w:t>机关各</w:t>
      </w:r>
      <w:r>
        <w:rPr>
          <w:rFonts w:hint="eastAsia" w:ascii="Times New Roman" w:hAnsi="仿宋_GB2312" w:eastAsia="仿宋_GB2312" w:cs="Times New Roman"/>
          <w:color w:val="auto"/>
          <w:sz w:val="32"/>
          <w:szCs w:val="32"/>
          <w:highlight w:val="none"/>
          <w:lang w:eastAsia="zh-CN"/>
        </w:rPr>
        <w:t>科室</w:t>
      </w:r>
      <w:r>
        <w:rPr>
          <w:rFonts w:hint="eastAsia" w:ascii="Times New Roman" w:hAnsi="仿宋_GB2312" w:eastAsia="仿宋_GB2312" w:cs="Times New Roman"/>
          <w:color w:val="auto"/>
          <w:sz w:val="32"/>
          <w:szCs w:val="32"/>
          <w:highlight w:val="none"/>
        </w:rPr>
        <w:t>、处属各</w:t>
      </w:r>
      <w:r>
        <w:rPr>
          <w:rFonts w:hint="eastAsia" w:ascii="Times New Roman" w:hAnsi="仿宋_GB2312" w:eastAsia="仿宋_GB2312" w:cs="Times New Roman"/>
          <w:color w:val="auto"/>
          <w:sz w:val="32"/>
          <w:szCs w:val="32"/>
          <w:highlight w:val="none"/>
          <w:lang w:val="en-US" w:eastAsia="zh-CN"/>
        </w:rPr>
        <w:t>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各工程造价咨询企业</w:t>
      </w:r>
      <w:r>
        <w:rPr>
          <w:rFonts w:hint="default" w:ascii="Times New Roman" w:hAnsi="Times New Roman" w:eastAsia="仿宋_GB2312" w:cs="Times New Roman"/>
          <w:color w:val="auto"/>
          <w:sz w:val="32"/>
          <w:szCs w:val="32"/>
          <w:highlight w:val="none"/>
        </w:rPr>
        <w:t>：</w:t>
      </w:r>
    </w:p>
    <w:p w14:paraId="57D3091F">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规范工程</w:t>
      </w:r>
      <w:r>
        <w:rPr>
          <w:rFonts w:hint="default" w:ascii="Times New Roman" w:hAnsi="Times New Roman" w:eastAsia="仿宋_GB2312" w:cs="Times New Roman"/>
          <w:color w:val="auto"/>
          <w:spacing w:val="-4"/>
          <w:kern w:val="0"/>
          <w:sz w:val="32"/>
          <w:szCs w:val="32"/>
          <w:highlight w:val="none"/>
        </w:rPr>
        <w:t>造价咨询企业</w:t>
      </w:r>
      <w:r>
        <w:rPr>
          <w:rFonts w:hint="default" w:ascii="Times New Roman" w:hAnsi="Times New Roman" w:eastAsia="仿宋_GB2312" w:cs="Times New Roman"/>
          <w:color w:val="auto"/>
          <w:kern w:val="0"/>
          <w:sz w:val="32"/>
          <w:szCs w:val="32"/>
          <w:highlight w:val="none"/>
        </w:rPr>
        <w:t>考核工作，</w:t>
      </w:r>
      <w:r>
        <w:rPr>
          <w:rFonts w:hint="default" w:ascii="Times New Roman" w:hAnsi="Times New Roman" w:eastAsia="仿宋_GB2312" w:cs="Times New Roman"/>
          <w:color w:val="auto"/>
          <w:kern w:val="0"/>
          <w:sz w:val="32"/>
          <w:szCs w:val="32"/>
          <w:highlight w:val="none"/>
          <w:lang w:val="en-US" w:eastAsia="zh-CN"/>
        </w:rPr>
        <w:t>2020年10月印发了</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)，试行已满一年，结合工作实际，现予以修订。经2022</w:t>
      </w:r>
      <w:r>
        <w:rPr>
          <w:rFonts w:hint="default" w:ascii="Times New Roman" w:hAnsi="Times New Roman" w:eastAsia="仿宋_GB2312" w:cs="Times New Roman"/>
          <w:color w:val="auto"/>
          <w:sz w:val="32"/>
          <w:szCs w:val="32"/>
          <w:highlight w:val="none"/>
          <w:shd w:val="clear" w:color="auto" w:fill="auto"/>
          <w:lang w:val="en-US" w:eastAsia="zh-CN"/>
        </w:rPr>
        <w:t>年6月</w:t>
      </w:r>
      <w:r>
        <w:rPr>
          <w:rFonts w:hint="eastAsia" w:ascii="Times New Roman" w:hAnsi="Times New Roman" w:eastAsia="仿宋_GB2312" w:cs="Times New Roman"/>
          <w:color w:val="auto"/>
          <w:sz w:val="32"/>
          <w:szCs w:val="32"/>
          <w:highlight w:val="none"/>
          <w:shd w:val="clear" w:color="auto" w:fill="auto"/>
          <w:lang w:val="en-US" w:eastAsia="zh-CN"/>
        </w:rPr>
        <w:t>23日</w:t>
      </w:r>
      <w:r>
        <w:rPr>
          <w:rFonts w:hint="default" w:ascii="Times New Roman" w:hAnsi="Times New Roman" w:eastAsia="仿宋_GB2312" w:cs="Times New Roman"/>
          <w:color w:val="auto"/>
          <w:sz w:val="32"/>
          <w:szCs w:val="32"/>
          <w:highlight w:val="none"/>
          <w:shd w:val="clear" w:color="auto" w:fill="auto"/>
          <w:lang w:val="en-US" w:eastAsia="zh-CN"/>
        </w:rPr>
        <w:t>党组会</w:t>
      </w:r>
      <w:r>
        <w:rPr>
          <w:rFonts w:hint="default" w:ascii="Times New Roman" w:hAnsi="Times New Roman" w:eastAsia="仿宋_GB2312" w:cs="Times New Roman"/>
          <w:color w:val="auto"/>
          <w:sz w:val="32"/>
          <w:szCs w:val="32"/>
          <w:highlight w:val="none"/>
          <w:lang w:val="en-US" w:eastAsia="zh-CN"/>
        </w:rPr>
        <w:t>研究同意，</w:t>
      </w:r>
      <w:r>
        <w:rPr>
          <w:rFonts w:hint="default" w:ascii="Times New Roman" w:hAnsi="Times New Roman" w:eastAsia="仿宋_GB2312" w:cs="Times New Roman"/>
          <w:color w:val="auto"/>
          <w:kern w:val="0"/>
          <w:sz w:val="32"/>
          <w:szCs w:val="32"/>
          <w:highlight w:val="none"/>
          <w:lang w:eastAsia="zh-CN"/>
        </w:rPr>
        <w:t>现印发</w:t>
      </w:r>
      <w:r>
        <w:rPr>
          <w:rFonts w:hint="default" w:ascii="Times New Roman" w:hAnsi="Times New Roman" w:eastAsia="仿宋_GB2312" w:cs="Times New Roman"/>
          <w:color w:val="auto"/>
          <w:sz w:val="32"/>
          <w:szCs w:val="32"/>
          <w:highlight w:val="none"/>
        </w:rPr>
        <w:t>《工程造价咨询服务管理办法》，请认真贯彻执行</w:t>
      </w:r>
      <w:r>
        <w:rPr>
          <w:rFonts w:hint="default" w:ascii="Times New Roman" w:hAnsi="Times New Roman" w:eastAsia="仿宋_GB2312" w:cs="Times New Roman"/>
          <w:color w:val="auto"/>
          <w:kern w:val="0"/>
          <w:sz w:val="32"/>
          <w:szCs w:val="32"/>
          <w:highlight w:val="none"/>
        </w:rPr>
        <w:t>，并及时反馈执行中的意见和</w:t>
      </w:r>
      <w:r>
        <w:rPr>
          <w:rFonts w:hint="default" w:ascii="Times New Roman" w:hAnsi="Times New Roman" w:eastAsia="仿宋_GB2312" w:cs="Times New Roman"/>
          <w:color w:val="auto"/>
          <w:sz w:val="32"/>
          <w:szCs w:val="32"/>
          <w:highlight w:val="none"/>
        </w:rPr>
        <w:t>建议。《工程造价咨询服务管理办法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200143EC">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rPr>
      </w:pPr>
    </w:p>
    <w:p w14:paraId="1C04CB0B">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val="en-US" w:eastAsia="zh-CN"/>
        </w:rPr>
        <w:t xml:space="preserve">    </w:t>
      </w:r>
    </w:p>
    <w:p w14:paraId="52F0F73F">
      <w:pPr>
        <w:keepNext w:val="0"/>
        <w:keepLines w:val="0"/>
        <w:pageBreakBefore w:val="0"/>
        <w:widowControl w:val="0"/>
        <w:kinsoku/>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p>
    <w:p w14:paraId="22CB56EB">
      <w:pPr>
        <w:pStyle w:val="2"/>
        <w:rPr>
          <w:rFonts w:hint="default" w:ascii="Times New Roman" w:hAnsi="Times New Roman" w:eastAsia="仿宋_GB2312" w:cs="Times New Roman"/>
          <w:color w:val="auto"/>
          <w:sz w:val="32"/>
          <w:szCs w:val="32"/>
          <w:highlight w:val="none"/>
        </w:rPr>
      </w:pPr>
    </w:p>
    <w:p w14:paraId="0C9F6B45">
      <w:pPr>
        <w:rPr>
          <w:rFonts w:hint="default"/>
          <w:color w:val="auto"/>
          <w:highlight w:val="none"/>
        </w:rPr>
      </w:pPr>
    </w:p>
    <w:p w14:paraId="4957FAEB">
      <w:pPr>
        <w:pStyle w:val="2"/>
        <w:rPr>
          <w:rFonts w:hint="default"/>
          <w:color w:val="auto"/>
          <w:highlight w:val="none"/>
        </w:rPr>
      </w:pPr>
    </w:p>
    <w:p w14:paraId="7C253514">
      <w:pPr>
        <w:rPr>
          <w:rFonts w:hint="default"/>
          <w:color w:val="auto"/>
          <w:highlight w:val="none"/>
        </w:rPr>
      </w:pPr>
    </w:p>
    <w:p w14:paraId="4F847B55">
      <w:pPr>
        <w:pStyle w:val="2"/>
        <w:rPr>
          <w:rFonts w:hint="default"/>
          <w:color w:val="auto"/>
          <w:highlight w:val="none"/>
        </w:rPr>
      </w:pPr>
    </w:p>
    <w:p w14:paraId="76D122F1">
      <w:pPr>
        <w:rPr>
          <w:rFonts w:hint="default"/>
          <w:color w:val="auto"/>
          <w:highlight w:val="none"/>
        </w:rPr>
      </w:pPr>
    </w:p>
    <w:p w14:paraId="705AA9CA">
      <w:pPr>
        <w:rPr>
          <w:rFonts w:hint="default"/>
          <w:color w:val="auto"/>
          <w:highlight w:val="none"/>
        </w:rPr>
      </w:pPr>
    </w:p>
    <w:p w14:paraId="60EEB4F4">
      <w:pPr>
        <w:pStyle w:val="2"/>
        <w:rPr>
          <w:rFonts w:hint="default"/>
          <w:color w:val="auto"/>
          <w:highlight w:val="none"/>
        </w:rPr>
      </w:pPr>
    </w:p>
    <w:p w14:paraId="0CF9E964">
      <w:pPr>
        <w:rPr>
          <w:rFonts w:hint="default"/>
          <w:color w:val="auto"/>
          <w:highlight w:val="none"/>
        </w:rPr>
      </w:pPr>
    </w:p>
    <w:p w14:paraId="690872C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rPr>
        <w:t>工程造价咨询服务管理办法</w:t>
      </w:r>
    </w:p>
    <w:p w14:paraId="6C5D8947">
      <w:pPr>
        <w:keepNext w:val="0"/>
        <w:keepLines w:val="0"/>
        <w:pageBreakBefore w:val="0"/>
        <w:kinsoku/>
        <w:wordWrap/>
        <w:overflowPunct/>
        <w:topLinePunct w:val="0"/>
        <w:autoSpaceDE/>
        <w:autoSpaceDN/>
        <w:bidi w:val="0"/>
        <w:adjustRightInd/>
        <w:spacing w:line="400" w:lineRule="exact"/>
        <w:ind w:firstLine="3520" w:firstLineChars="1100"/>
        <w:textAlignment w:val="auto"/>
        <w:rPr>
          <w:rFonts w:hint="default" w:ascii="Times New Roman" w:hAnsi="Times New Roman" w:eastAsia="仿宋_GB2312" w:cs="Times New Roman"/>
          <w:color w:val="auto"/>
          <w:sz w:val="32"/>
          <w:szCs w:val="32"/>
          <w:highlight w:val="none"/>
        </w:rPr>
      </w:pPr>
    </w:p>
    <w:p w14:paraId="4AC72A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14:paraId="38D78040">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第一条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，提高造价成果质量和工作效率，严格控制政府投资，防范风险，强化廉政建设，根据相关规定，结合我处实际，</w:t>
      </w:r>
      <w:r>
        <w:rPr>
          <w:rFonts w:hint="default" w:ascii="Times New Roman" w:hAnsi="Times New Roman" w:eastAsia="仿宋_GB2312" w:cs="Times New Roman"/>
          <w:color w:val="auto"/>
          <w:kern w:val="0"/>
          <w:sz w:val="32"/>
          <w:szCs w:val="32"/>
          <w:highlight w:val="none"/>
        </w:rPr>
        <w:t>制定</w:t>
      </w:r>
      <w:r>
        <w:rPr>
          <w:rFonts w:hint="default" w:ascii="Times New Roman" w:hAnsi="Times New Roman" w:eastAsia="仿宋_GB2312" w:cs="Times New Roman"/>
          <w:color w:val="auto"/>
          <w:sz w:val="32"/>
          <w:szCs w:val="32"/>
          <w:highlight w:val="none"/>
        </w:rPr>
        <w:t>本办法。</w:t>
      </w:r>
    </w:p>
    <w:p w14:paraId="795BD60B">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第二条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我处委托工程造价咨询企业（以下简称“造价企业”）</w:t>
      </w:r>
      <w:r>
        <w:rPr>
          <w:rFonts w:hint="default" w:ascii="Times New Roman" w:hAnsi="Times New Roman" w:eastAsia="仿宋_GB2312" w:cs="Times New Roman"/>
          <w:color w:val="auto"/>
          <w:spacing w:val="-4"/>
          <w:kern w:val="0"/>
          <w:sz w:val="32"/>
          <w:szCs w:val="32"/>
          <w:highlight w:val="none"/>
          <w:lang w:eastAsia="zh-CN"/>
        </w:rPr>
        <w:t>的</w:t>
      </w:r>
      <w:r>
        <w:rPr>
          <w:rFonts w:hint="default" w:ascii="Times New Roman" w:hAnsi="Times New Roman" w:eastAsia="仿宋_GB2312" w:cs="Times New Roman"/>
          <w:color w:val="auto"/>
          <w:spacing w:val="-4"/>
          <w:kern w:val="0"/>
          <w:sz w:val="32"/>
          <w:szCs w:val="32"/>
          <w:highlight w:val="none"/>
        </w:rPr>
        <w:t>投资估算、设计概算、工程量清单</w:t>
      </w:r>
      <w:r>
        <w:rPr>
          <w:rFonts w:hint="default" w:ascii="Times New Roman" w:hAnsi="Times New Roman" w:eastAsia="仿宋_GB2312" w:cs="Times New Roman"/>
          <w:color w:val="auto"/>
          <w:spacing w:val="-4"/>
          <w:kern w:val="0"/>
          <w:sz w:val="32"/>
          <w:szCs w:val="32"/>
          <w:highlight w:val="none"/>
          <w:lang w:eastAsia="zh-CN"/>
        </w:rPr>
        <w:t>及</w:t>
      </w:r>
      <w:r>
        <w:rPr>
          <w:rFonts w:hint="default" w:ascii="Times New Roman" w:hAnsi="Times New Roman" w:eastAsia="仿宋_GB2312" w:cs="Times New Roman"/>
          <w:color w:val="auto"/>
          <w:spacing w:val="-4"/>
          <w:kern w:val="0"/>
          <w:sz w:val="32"/>
          <w:szCs w:val="32"/>
          <w:highlight w:val="none"/>
        </w:rPr>
        <w:t>最高投标限价编制</w:t>
      </w:r>
      <w:r>
        <w:rPr>
          <w:rFonts w:hint="default" w:ascii="Times New Roman" w:hAnsi="Times New Roman" w:eastAsia="仿宋_GB2312" w:cs="Times New Roman"/>
          <w:color w:val="auto"/>
          <w:spacing w:val="-4"/>
          <w:kern w:val="0"/>
          <w:sz w:val="32"/>
          <w:szCs w:val="32"/>
          <w:highlight w:val="none"/>
          <w:lang w:eastAsia="zh-CN"/>
        </w:rPr>
        <w:t>（以下简称“清单编制”）和审核</w:t>
      </w:r>
      <w:r>
        <w:rPr>
          <w:rFonts w:hint="default" w:ascii="Times New Roman" w:hAnsi="Times New Roman" w:eastAsia="仿宋_GB2312" w:cs="Times New Roman"/>
          <w:color w:val="auto"/>
          <w:spacing w:val="-4"/>
          <w:kern w:val="0"/>
          <w:sz w:val="32"/>
          <w:szCs w:val="32"/>
          <w:highlight w:val="none"/>
        </w:rPr>
        <w:t>、施工阶段全过程造价控制（以下简称“跟踪审计”）、结算审核、第三方复审等咨询业务均适用于本办法。</w:t>
      </w:r>
    </w:p>
    <w:p w14:paraId="5E247A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第二章 工作流程</w:t>
      </w:r>
    </w:p>
    <w:p w14:paraId="43A68EF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清单编制审核</w:t>
      </w:r>
      <w:r>
        <w:rPr>
          <w:rFonts w:hint="default" w:ascii="Times New Roman" w:hAnsi="Times New Roman" w:eastAsia="仿宋_GB2312" w:cs="Times New Roman"/>
          <w:color w:val="auto"/>
          <w:sz w:val="32"/>
          <w:szCs w:val="32"/>
          <w:highlight w:val="none"/>
        </w:rPr>
        <w:t>流程</w:t>
      </w:r>
    </w:p>
    <w:p w14:paraId="310B8CA0">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工程技术科提供图审合格的完整纸质图、电子图和勘察报告等相关设计文件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综合计划科委托造价企业</w:t>
      </w:r>
      <w:r>
        <w:rPr>
          <w:rFonts w:hint="default" w:ascii="Times New Roman" w:hAnsi="Times New Roman" w:eastAsia="仿宋_GB2312" w:cs="Times New Roman"/>
          <w:color w:val="auto"/>
          <w:sz w:val="32"/>
          <w:szCs w:val="32"/>
          <w:highlight w:val="none"/>
        </w:rPr>
        <w:t>编制清单→</w:t>
      </w:r>
      <w:r>
        <w:rPr>
          <w:rFonts w:hint="default" w:ascii="Times New Roman" w:hAnsi="Times New Roman" w:eastAsia="仿宋_GB2312" w:cs="Times New Roman"/>
          <w:color w:val="auto"/>
          <w:sz w:val="32"/>
          <w:szCs w:val="32"/>
          <w:highlight w:val="none"/>
          <w:lang w:eastAsia="zh-CN"/>
        </w:rPr>
        <w:t>项目分管领导牵头，组织综合计划科、工程技术科、工程建设科和设计（勘察）单位、清单编制单位等参加清单会审（投资较大、技术复杂、专业性较强的项目，可以委托第三方复审或组织专家论证）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工程技术科督促设计单位按照会审意见限期完成修改，并对最终图纸进行确认</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编制单位出具会审备忘录（编制说明），按会审意见和终版图纸调整</w:t>
      </w:r>
      <w:r>
        <w:rPr>
          <w:rFonts w:hint="default" w:ascii="Times New Roman" w:hAnsi="Times New Roman" w:eastAsia="仿宋_GB2312" w:cs="Times New Roman"/>
          <w:color w:val="auto"/>
          <w:sz w:val="32"/>
          <w:szCs w:val="32"/>
          <w:highlight w:val="none"/>
        </w:rPr>
        <w:t>清单</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最高</w:t>
      </w:r>
      <w:r>
        <w:rPr>
          <w:rFonts w:hint="default" w:ascii="Times New Roman" w:hAnsi="Times New Roman" w:eastAsia="仿宋_GB2312" w:cs="Times New Roman"/>
          <w:color w:val="auto"/>
          <w:sz w:val="32"/>
          <w:szCs w:val="32"/>
          <w:highlight w:val="none"/>
          <w:lang w:eastAsia="zh-CN"/>
        </w:rPr>
        <w:t>投标</w:t>
      </w:r>
      <w:r>
        <w:rPr>
          <w:rFonts w:hint="default" w:ascii="Times New Roman" w:hAnsi="Times New Roman" w:eastAsia="仿宋_GB2312" w:cs="Times New Roman"/>
          <w:color w:val="auto"/>
          <w:sz w:val="32"/>
          <w:szCs w:val="32"/>
          <w:highlight w:val="none"/>
        </w:rPr>
        <w:t>限价</w:t>
      </w:r>
      <w:r>
        <w:rPr>
          <w:rFonts w:hint="default" w:ascii="Times New Roman" w:hAnsi="Times New Roman" w:eastAsia="仿宋_GB2312" w:cs="Times New Roman"/>
          <w:color w:val="auto"/>
          <w:sz w:val="32"/>
          <w:szCs w:val="32"/>
          <w:highlight w:val="none"/>
          <w:lang w:eastAsia="zh-CN"/>
        </w:rPr>
        <w:t>一亿元以上项目报送市财政工程造价审核中心审核。（上述限额标准根据市财政局规定同步调整）</w:t>
      </w:r>
    </w:p>
    <w:p w14:paraId="36B399CF">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流程</w:t>
      </w:r>
    </w:p>
    <w:p w14:paraId="01552592">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万元及以上（绿化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万元及以上）项目</w:t>
      </w:r>
    </w:p>
    <w:p w14:paraId="0B55380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报告→综合计划科复核→跟踪审计单位</w:t>
      </w:r>
      <w:r>
        <w:rPr>
          <w:rFonts w:hint="default" w:ascii="Times New Roman" w:hAnsi="Times New Roman" w:eastAsia="仿宋_GB2312" w:cs="Times New Roman"/>
          <w:color w:val="auto"/>
          <w:sz w:val="32"/>
          <w:szCs w:val="32"/>
          <w:highlight w:val="none"/>
          <w:lang w:eastAsia="zh-CN"/>
        </w:rPr>
        <w:t>定稿结算审核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工程建设科报</w:t>
      </w:r>
      <w:r>
        <w:rPr>
          <w:rFonts w:hint="default" w:ascii="Times New Roman" w:hAnsi="Times New Roman" w:eastAsia="仿宋_GB2312" w:cs="Times New Roman"/>
          <w:color w:val="auto"/>
          <w:sz w:val="32"/>
          <w:szCs w:val="32"/>
          <w:highlight w:val="none"/>
        </w:rPr>
        <w:t>市财政工程造价审核中心出具审核意见书并备案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7EC6225">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万元）及以上，</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万元）以下项目</w:t>
      </w:r>
    </w:p>
    <w:p w14:paraId="107B2FC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报告→综合计划科委托第三方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审核并出具结算审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报告→综合计划科复核→第三方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调整结算审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FB59B6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万元）以下项目</w:t>
      </w:r>
    </w:p>
    <w:p w14:paraId="5BB9B67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审查→综合计划科复核→跟踪审计单位调整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4FCD7067">
      <w:pPr>
        <w:pStyle w:val="2"/>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上述限额标准根据市财政局规定同步调整。</w:t>
      </w:r>
    </w:p>
    <w:p w14:paraId="70D76E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第三章 业务委托</w:t>
      </w:r>
    </w:p>
    <w:p w14:paraId="31C99BA8">
      <w:pPr>
        <w:keepNext w:val="0"/>
        <w:keepLines w:val="0"/>
        <w:pageBreakBefore w:val="0"/>
        <w:kinsoku/>
        <w:wordWrap/>
        <w:overflowPunct/>
        <w:topLinePunct w:val="0"/>
        <w:autoSpaceDE/>
        <w:autoSpaceDN/>
        <w:bidi w:val="0"/>
        <w:adjustRightInd/>
        <w:spacing w:line="400" w:lineRule="exact"/>
        <w:ind w:left="0" w:leftChars="0" w:firstLine="604"/>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lang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综合计划科负责</w:t>
      </w:r>
      <w:r>
        <w:rPr>
          <w:rFonts w:hint="default" w:ascii="Times New Roman" w:hAnsi="Times New Roman" w:eastAsia="仿宋_GB2312" w:cs="Times New Roman"/>
          <w:color w:val="auto"/>
          <w:kern w:val="36"/>
          <w:sz w:val="32"/>
          <w:szCs w:val="32"/>
          <w:highlight w:val="none"/>
        </w:rPr>
        <w:t>征集具备</w:t>
      </w:r>
      <w:r>
        <w:rPr>
          <w:rFonts w:hint="default" w:ascii="Times New Roman" w:hAnsi="Times New Roman" w:eastAsia="仿宋_GB2312" w:cs="Times New Roman"/>
          <w:color w:val="auto"/>
          <w:kern w:val="36"/>
          <w:sz w:val="32"/>
          <w:szCs w:val="32"/>
          <w:highlight w:val="none"/>
          <w:lang w:eastAsia="zh-CN"/>
        </w:rPr>
        <w:t>独立法人资格并有相应业务能力的</w:t>
      </w:r>
      <w:r>
        <w:rPr>
          <w:rFonts w:hint="default" w:ascii="Times New Roman" w:hAnsi="Times New Roman" w:eastAsia="仿宋_GB2312" w:cs="Times New Roman"/>
          <w:color w:val="auto"/>
          <w:spacing w:val="-4"/>
          <w:kern w:val="0"/>
          <w:sz w:val="32"/>
          <w:szCs w:val="32"/>
          <w:highlight w:val="none"/>
        </w:rPr>
        <w:t>造价企业，建立</w:t>
      </w:r>
      <w:r>
        <w:rPr>
          <w:rFonts w:hint="default" w:ascii="Times New Roman" w:hAnsi="Times New Roman" w:eastAsia="仿宋_GB2312" w:cs="Times New Roman"/>
          <w:color w:val="auto"/>
          <w:kern w:val="36"/>
          <w:sz w:val="32"/>
          <w:szCs w:val="32"/>
          <w:highlight w:val="none"/>
        </w:rPr>
        <w:t>“</w:t>
      </w:r>
      <w:r>
        <w:rPr>
          <w:rFonts w:hint="default" w:ascii="Times New Roman" w:hAnsi="Times New Roman" w:eastAsia="仿宋_GB2312" w:cs="Times New Roman"/>
          <w:color w:val="auto"/>
          <w:spacing w:val="-4"/>
          <w:kern w:val="0"/>
          <w:sz w:val="32"/>
          <w:szCs w:val="32"/>
          <w:highlight w:val="none"/>
        </w:rPr>
        <w:t>滁州市重点工程建设管理处工程造价咨询</w:t>
      </w:r>
      <w:r>
        <w:rPr>
          <w:rFonts w:hint="default" w:ascii="Times New Roman" w:hAnsi="Times New Roman" w:eastAsia="仿宋_GB2312" w:cs="Times New Roman"/>
          <w:color w:val="auto"/>
          <w:sz w:val="32"/>
          <w:szCs w:val="32"/>
          <w:highlight w:val="none"/>
        </w:rPr>
        <w:t>库”（以下简称“库”），</w:t>
      </w:r>
      <w:r>
        <w:rPr>
          <w:rFonts w:hint="default" w:ascii="Times New Roman" w:hAnsi="Times New Roman" w:eastAsia="仿宋_GB2312" w:cs="Times New Roman"/>
          <w:b w:val="0"/>
          <w:bCs w:val="0"/>
          <w:color w:val="auto"/>
          <w:sz w:val="32"/>
          <w:szCs w:val="32"/>
          <w:highlight w:val="none"/>
        </w:rPr>
        <w:t>该库</w:t>
      </w:r>
      <w:r>
        <w:rPr>
          <w:rFonts w:hint="default" w:ascii="Times New Roman" w:hAnsi="Times New Roman" w:eastAsia="仿宋_GB2312" w:cs="Times New Roman"/>
          <w:color w:val="auto"/>
          <w:kern w:val="0"/>
          <w:sz w:val="32"/>
          <w:szCs w:val="32"/>
          <w:highlight w:val="none"/>
        </w:rPr>
        <w:t>动态管理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kern w:val="0"/>
          <w:sz w:val="32"/>
          <w:szCs w:val="32"/>
          <w:highlight w:val="none"/>
          <w:lang w:val="en-US" w:eastAsia="zh-CN"/>
        </w:rPr>
        <w:t>随时</w:t>
      </w:r>
      <w:r>
        <w:rPr>
          <w:rFonts w:hint="default" w:ascii="Times New Roman" w:hAnsi="Times New Roman" w:eastAsia="仿宋_GB2312" w:cs="Times New Roman"/>
          <w:b/>
          <w:bCs/>
          <w:color w:val="auto"/>
          <w:sz w:val="32"/>
          <w:szCs w:val="32"/>
          <w:highlight w:val="none"/>
        </w:rPr>
        <w:t>登记</w:t>
      </w:r>
      <w:r>
        <w:rPr>
          <w:rFonts w:hint="default" w:ascii="Times New Roman" w:hAnsi="Times New Roman" w:eastAsia="仿宋_GB2312" w:cs="Times New Roman"/>
          <w:color w:val="auto"/>
          <w:sz w:val="32"/>
          <w:szCs w:val="32"/>
          <w:highlight w:val="none"/>
        </w:rPr>
        <w:t>，造价企业自</w:t>
      </w:r>
      <w:r>
        <w:rPr>
          <w:rFonts w:hint="default" w:ascii="Times New Roman" w:hAnsi="Times New Roman" w:eastAsia="仿宋_GB2312" w:cs="Times New Roman"/>
          <w:color w:val="auto"/>
          <w:sz w:val="32"/>
          <w:szCs w:val="32"/>
          <w:highlight w:val="none"/>
          <w:lang w:eastAsia="zh-CN"/>
        </w:rPr>
        <w:t>主</w:t>
      </w:r>
      <w:r>
        <w:rPr>
          <w:rFonts w:hint="default" w:ascii="Times New Roman" w:hAnsi="Times New Roman" w:eastAsia="仿宋_GB2312" w:cs="Times New Roman"/>
          <w:color w:val="auto"/>
          <w:sz w:val="32"/>
          <w:szCs w:val="32"/>
          <w:highlight w:val="none"/>
        </w:rPr>
        <w:t>报名</w:t>
      </w:r>
      <w:r>
        <w:rPr>
          <w:rFonts w:hint="default" w:ascii="Times New Roman" w:hAnsi="Times New Roman" w:eastAsia="仿宋_GB2312" w:cs="Times New Roman"/>
          <w:color w:val="auto"/>
          <w:sz w:val="32"/>
          <w:szCs w:val="32"/>
          <w:highlight w:val="none"/>
          <w:lang w:eastAsia="zh-CN"/>
        </w:rPr>
        <w:t>申请入库</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w:t>
      </w:r>
      <w:r>
        <w:rPr>
          <w:rFonts w:hint="default" w:ascii="Times New Roman" w:hAnsi="Times New Roman" w:eastAsia="仿宋_GB2312" w:cs="Times New Roman"/>
          <w:color w:val="auto"/>
          <w:sz w:val="32"/>
          <w:szCs w:val="32"/>
          <w:highlight w:val="none"/>
        </w:rPr>
        <w:t>计划科</w:t>
      </w:r>
      <w:r>
        <w:rPr>
          <w:rFonts w:hint="default" w:ascii="Times New Roman" w:hAnsi="Times New Roman" w:eastAsia="仿宋_GB2312" w:cs="Times New Roman"/>
          <w:color w:val="auto"/>
          <w:sz w:val="32"/>
          <w:szCs w:val="32"/>
          <w:highlight w:val="none"/>
          <w:lang w:eastAsia="zh-CN"/>
        </w:rPr>
        <w:t>组织工程建设科、工程监管科等科室</w:t>
      </w:r>
      <w:r>
        <w:rPr>
          <w:rFonts w:hint="default" w:ascii="Times New Roman" w:hAnsi="Times New Roman" w:eastAsia="仿宋_GB2312" w:cs="Times New Roman"/>
          <w:color w:val="auto"/>
          <w:sz w:val="32"/>
          <w:szCs w:val="32"/>
          <w:highlight w:val="none"/>
        </w:rPr>
        <w:t>审查，入库的</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lang w:eastAsia="zh-CN"/>
        </w:rPr>
        <w:t>违反本办法第二十八条、第二十九条、第三十条及</w:t>
      </w:r>
      <w:r>
        <w:rPr>
          <w:rFonts w:hint="default" w:ascii="Times New Roman" w:hAnsi="Times New Roman" w:eastAsia="仿宋_GB2312" w:cs="Times New Roman"/>
          <w:color w:val="auto"/>
          <w:sz w:val="32"/>
          <w:szCs w:val="32"/>
          <w:highlight w:val="none"/>
        </w:rPr>
        <w:t>存在违法违规行为等影响其履约能力的予以退库</w:t>
      </w:r>
      <w:r>
        <w:rPr>
          <w:rFonts w:hint="default" w:ascii="Times New Roman" w:hAnsi="Times New Roman" w:eastAsia="仿宋_GB2312" w:cs="Times New Roman"/>
          <w:color w:val="auto"/>
          <w:kern w:val="0"/>
          <w:sz w:val="32"/>
          <w:szCs w:val="32"/>
          <w:highlight w:val="none"/>
        </w:rPr>
        <w:t>。</w:t>
      </w:r>
    </w:p>
    <w:p w14:paraId="432B43E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万元以下项目在库中委托（上述限额标准根据市公共资源进场交易目录同步调整），委托方式</w:t>
      </w:r>
      <w:r>
        <w:rPr>
          <w:rFonts w:hint="default"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公开、邀请、奖励和指定方式</w:t>
      </w:r>
      <w:r>
        <w:rPr>
          <w:rFonts w:hint="default" w:ascii="Times New Roman" w:hAnsi="Times New Roman" w:eastAsia="仿宋_GB2312" w:cs="Times New Roman"/>
          <w:color w:val="auto"/>
          <w:sz w:val="32"/>
          <w:szCs w:val="32"/>
          <w:highlight w:val="none"/>
          <w:lang w:eastAsia="zh-CN"/>
        </w:rPr>
        <w:t>。</w:t>
      </w:r>
    </w:p>
    <w:p w14:paraId="7179038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公开方式</w:t>
      </w:r>
    </w:p>
    <w:p w14:paraId="393ABEA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综合计划科根据项目性质和特点，编制招标文件，经综合计划科</w:t>
      </w:r>
      <w:r>
        <w:rPr>
          <w:rFonts w:hint="default" w:ascii="Times New Roman" w:hAnsi="Times New Roman" w:eastAsia="仿宋_GB2312" w:cs="Times New Roman"/>
          <w:b w:val="0"/>
          <w:bCs w:val="0"/>
          <w:color w:val="auto"/>
          <w:sz w:val="32"/>
          <w:szCs w:val="32"/>
          <w:highlight w:val="none"/>
          <w:lang w:eastAsia="zh-CN"/>
        </w:rPr>
        <w:t>分管</w:t>
      </w:r>
      <w:r>
        <w:rPr>
          <w:rFonts w:hint="default" w:ascii="Times New Roman" w:hAnsi="Times New Roman" w:eastAsia="仿宋_GB2312" w:cs="Times New Roman"/>
          <w:b w:val="0"/>
          <w:bCs w:val="0"/>
          <w:color w:val="auto"/>
          <w:sz w:val="32"/>
          <w:szCs w:val="32"/>
          <w:highlight w:val="none"/>
        </w:rPr>
        <w:t>领导</w:t>
      </w:r>
      <w:r>
        <w:rPr>
          <w:rFonts w:hint="default" w:ascii="Times New Roman" w:hAnsi="Times New Roman" w:eastAsia="仿宋_GB2312" w:cs="Times New Roman"/>
          <w:color w:val="auto"/>
          <w:sz w:val="32"/>
          <w:szCs w:val="32"/>
          <w:highlight w:val="none"/>
        </w:rPr>
        <w:t>批准，在处门户网站公开招标。</w:t>
      </w:r>
    </w:p>
    <w:p w14:paraId="7FDB283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w:t>
      </w:r>
      <w:r>
        <w:rPr>
          <w:rFonts w:hint="default" w:ascii="Times New Roman" w:hAnsi="Times New Roman" w:eastAsia="仿宋_GB2312" w:cs="Times New Roman"/>
          <w:color w:val="auto"/>
          <w:kern w:val="0"/>
          <w:sz w:val="32"/>
          <w:szCs w:val="32"/>
          <w:highlight w:val="none"/>
        </w:rPr>
        <w:t>造价企业</w:t>
      </w:r>
      <w:r>
        <w:rPr>
          <w:rFonts w:hint="default" w:ascii="Times New Roman" w:hAnsi="Times New Roman" w:eastAsia="仿宋_GB2312" w:cs="Times New Roman"/>
          <w:color w:val="auto"/>
          <w:kern w:val="0"/>
          <w:sz w:val="32"/>
          <w:szCs w:val="32"/>
          <w:highlight w:val="none"/>
          <w:lang w:eastAsia="zh-CN"/>
        </w:rPr>
        <w:t>自主报名，递交投标文件</w:t>
      </w:r>
      <w:r>
        <w:rPr>
          <w:rFonts w:hint="default" w:ascii="Times New Roman" w:hAnsi="Times New Roman" w:eastAsia="仿宋_GB2312" w:cs="Times New Roman"/>
          <w:color w:val="auto"/>
          <w:sz w:val="32"/>
          <w:szCs w:val="32"/>
          <w:highlight w:val="none"/>
        </w:rPr>
        <w:t>。</w:t>
      </w:r>
    </w:p>
    <w:p w14:paraId="64CA99F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开标时</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组织资格</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通过审查</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不</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rPr>
        <w:t>少于三家，否则，再次</w:t>
      </w:r>
      <w:r>
        <w:rPr>
          <w:rFonts w:hint="default" w:ascii="Times New Roman" w:hAnsi="Times New Roman" w:eastAsia="仿宋_GB2312" w:cs="Times New Roman"/>
          <w:color w:val="auto"/>
          <w:sz w:val="32"/>
          <w:szCs w:val="32"/>
          <w:highlight w:val="none"/>
        </w:rPr>
        <w:t>发布项目招标公告，如第二次仍少于三家，可转为竞争性谈判或单一来源采购。</w:t>
      </w:r>
    </w:p>
    <w:p w14:paraId="67145C38">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现场公开</w:t>
      </w:r>
      <w:r>
        <w:rPr>
          <w:rFonts w:hint="default" w:ascii="Times New Roman" w:hAnsi="Times New Roman" w:eastAsia="仿宋_GB2312" w:cs="Times New Roman"/>
          <w:color w:val="auto"/>
          <w:sz w:val="32"/>
          <w:szCs w:val="32"/>
          <w:highlight w:val="none"/>
          <w:lang w:eastAsia="zh-CN"/>
        </w:rPr>
        <w:t>确</w:t>
      </w:r>
      <w:r>
        <w:rPr>
          <w:rFonts w:hint="default" w:ascii="Times New Roman" w:hAnsi="Times New Roman" w:eastAsia="仿宋_GB2312" w:cs="Times New Roman"/>
          <w:color w:val="auto"/>
          <w:sz w:val="32"/>
          <w:szCs w:val="32"/>
          <w:highlight w:val="none"/>
        </w:rPr>
        <w:t>定造价企业，</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结果在处门户网站公示。</w:t>
      </w:r>
    </w:p>
    <w:p w14:paraId="4F6CD7C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公示期满无异议，综合计划科发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54982722">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邀请方式</w:t>
      </w:r>
    </w:p>
    <w:p w14:paraId="5DD7E6E7">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综合计划科根据项目性质和特点，在库中筛选、</w:t>
      </w:r>
      <w:r>
        <w:rPr>
          <w:rFonts w:hint="default" w:ascii="Times New Roman" w:hAnsi="Times New Roman" w:eastAsia="仿宋_GB2312" w:cs="Times New Roman"/>
          <w:color w:val="auto"/>
          <w:sz w:val="32"/>
          <w:szCs w:val="32"/>
          <w:highlight w:val="none"/>
          <w:lang w:eastAsia="zh-CN"/>
        </w:rPr>
        <w:t>初审</w:t>
      </w:r>
      <w:r>
        <w:rPr>
          <w:rFonts w:hint="default" w:ascii="Times New Roman" w:hAnsi="Times New Roman" w:eastAsia="仿宋_GB2312" w:cs="Times New Roman"/>
          <w:color w:val="auto"/>
          <w:sz w:val="32"/>
          <w:szCs w:val="32"/>
          <w:highlight w:val="none"/>
        </w:rPr>
        <w:t>并推荐不少于</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家造价企业，综合计划科分管领导</w:t>
      </w:r>
      <w:r>
        <w:rPr>
          <w:rFonts w:hint="default" w:ascii="Times New Roman" w:hAnsi="Times New Roman" w:eastAsia="仿宋_GB2312" w:cs="Times New Roman"/>
          <w:color w:val="auto"/>
          <w:sz w:val="32"/>
          <w:szCs w:val="32"/>
          <w:highlight w:val="none"/>
          <w:lang w:eastAsia="zh-CN"/>
        </w:rPr>
        <w:t>组织审查，报</w:t>
      </w:r>
      <w:r>
        <w:rPr>
          <w:rFonts w:hint="default" w:ascii="Times New Roman" w:hAnsi="Times New Roman" w:eastAsia="仿宋_GB2312" w:cs="Times New Roman"/>
          <w:color w:val="auto"/>
          <w:sz w:val="32"/>
          <w:szCs w:val="32"/>
          <w:highlight w:val="none"/>
        </w:rPr>
        <w:t>主要领导</w:t>
      </w:r>
      <w:r>
        <w:rPr>
          <w:rFonts w:hint="default" w:ascii="Times New Roman" w:hAnsi="Times New Roman" w:eastAsia="仿宋_GB2312" w:cs="Times New Roman"/>
          <w:color w:val="auto"/>
          <w:sz w:val="32"/>
          <w:szCs w:val="32"/>
          <w:highlight w:val="none"/>
          <w:lang w:eastAsia="zh-CN"/>
        </w:rPr>
        <w:t>批准后</w:t>
      </w:r>
      <w:r>
        <w:rPr>
          <w:rFonts w:hint="default" w:ascii="Times New Roman" w:hAnsi="Times New Roman" w:eastAsia="仿宋_GB2312" w:cs="Times New Roman"/>
          <w:color w:val="auto"/>
          <w:sz w:val="32"/>
          <w:szCs w:val="32"/>
          <w:highlight w:val="none"/>
        </w:rPr>
        <w:t>向被推荐企业发出邀请。</w:t>
      </w:r>
    </w:p>
    <w:p w14:paraId="37F6A86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被推荐的造价企业按照要求，参加项目竞价</w:t>
      </w:r>
      <w:r>
        <w:rPr>
          <w:rFonts w:hint="default" w:ascii="Times New Roman" w:hAnsi="Times New Roman" w:eastAsia="仿宋_GB2312" w:cs="Times New Roman"/>
          <w:color w:val="auto"/>
          <w:sz w:val="32"/>
          <w:szCs w:val="32"/>
          <w:highlight w:val="none"/>
          <w:lang w:eastAsia="zh-CN"/>
        </w:rPr>
        <w:t>。</w:t>
      </w:r>
    </w:p>
    <w:p w14:paraId="56F4E9D0">
      <w:pPr>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6208E6A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奖励方式</w:t>
      </w:r>
    </w:p>
    <w:p w14:paraId="1633AE20">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为体现质量、信用优先原则，依据年度考核结果，对部分项目采取奖励方式委托</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rPr>
        <w:t>。</w:t>
      </w:r>
    </w:p>
    <w:p w14:paraId="599E84F1">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年度考核</w:t>
      </w:r>
      <w:r>
        <w:rPr>
          <w:rFonts w:hint="default" w:ascii="Times New Roman" w:hAnsi="Times New Roman" w:eastAsia="仿宋_GB2312" w:cs="Times New Roman"/>
          <w:color w:val="auto"/>
          <w:sz w:val="32"/>
          <w:szCs w:val="32"/>
          <w:highlight w:val="none"/>
          <w:lang w:eastAsia="zh-CN"/>
        </w:rPr>
        <w:t>优秀等级</w:t>
      </w:r>
      <w:r>
        <w:rPr>
          <w:rFonts w:hint="default" w:ascii="Times New Roman" w:hAnsi="Times New Roman" w:eastAsia="仿宋_GB2312" w:cs="Times New Roman"/>
          <w:color w:val="auto"/>
          <w:sz w:val="32"/>
          <w:szCs w:val="32"/>
          <w:highlight w:val="none"/>
        </w:rPr>
        <w:t>排名前</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位</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奖励</w:t>
      </w:r>
      <w:r>
        <w:rPr>
          <w:rFonts w:hint="default" w:ascii="Times New Roman" w:hAnsi="Times New Roman" w:eastAsia="仿宋_GB2312" w:cs="Times New Roman"/>
          <w:color w:val="auto"/>
          <w:sz w:val="32"/>
          <w:szCs w:val="32"/>
          <w:highlight w:val="none"/>
          <w:lang w:eastAsia="zh-CN"/>
        </w:rPr>
        <w:t>一个投资额</w:t>
      </w:r>
      <w:r>
        <w:rPr>
          <w:rFonts w:hint="default" w:ascii="Times New Roman" w:hAnsi="Times New Roman" w:eastAsia="仿宋_GB2312" w:cs="Times New Roman"/>
          <w:color w:val="auto"/>
          <w:sz w:val="32"/>
          <w:szCs w:val="32"/>
          <w:highlight w:val="none"/>
          <w:lang w:val="en-US" w:eastAsia="zh-CN"/>
        </w:rPr>
        <w:t>5000-10000万元的项目。</w:t>
      </w:r>
    </w:p>
    <w:p w14:paraId="4A3AA4DA">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奖励项目的具体安排，由综合计划科根据项目特</w:t>
      </w:r>
      <w:r>
        <w:rPr>
          <w:rFonts w:hint="default" w:ascii="Times New Roman" w:hAnsi="Times New Roman" w:eastAsia="仿宋_GB2312" w:cs="Times New Roman"/>
          <w:color w:val="auto"/>
          <w:sz w:val="32"/>
          <w:szCs w:val="32"/>
          <w:highlight w:val="none"/>
          <w:lang w:eastAsia="zh-CN"/>
        </w:rPr>
        <w:t>点</w:t>
      </w:r>
      <w:r>
        <w:rPr>
          <w:rFonts w:hint="default" w:ascii="Times New Roman" w:hAnsi="Times New Roman" w:eastAsia="仿宋_GB2312" w:cs="Times New Roman"/>
          <w:color w:val="auto"/>
          <w:sz w:val="32"/>
          <w:szCs w:val="32"/>
          <w:highlight w:val="none"/>
        </w:rPr>
        <w:t>，对符合奖励条件的造价企业，提出分配</w:t>
      </w:r>
      <w:r>
        <w:rPr>
          <w:rFonts w:hint="default" w:ascii="Times New Roman" w:hAnsi="Times New Roman" w:eastAsia="仿宋_GB2312" w:cs="Times New Roman"/>
          <w:color w:val="auto"/>
          <w:kern w:val="0"/>
          <w:sz w:val="32"/>
          <w:szCs w:val="32"/>
          <w:highlight w:val="none"/>
        </w:rPr>
        <w:t>意见，</w:t>
      </w:r>
      <w:r>
        <w:rPr>
          <w:rFonts w:hint="default" w:ascii="Times New Roman" w:hAnsi="Times New Roman" w:eastAsia="仿宋_GB2312" w:cs="Times New Roman"/>
          <w:color w:val="auto"/>
          <w:sz w:val="32"/>
          <w:szCs w:val="32"/>
          <w:highlight w:val="none"/>
        </w:rPr>
        <w:t>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64F25C7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指定方式</w:t>
      </w:r>
    </w:p>
    <w:p w14:paraId="712343E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涉铁、涉军、涉密、电力、供水、燃气、古建筑、智能化等特殊项目，</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rPr>
        <w:t>只有</w:t>
      </w:r>
      <w:r>
        <w:rPr>
          <w:rFonts w:hint="default" w:ascii="Times New Roman" w:hAnsi="Times New Roman" w:eastAsia="仿宋_GB2312" w:cs="Times New Roman"/>
          <w:color w:val="auto"/>
          <w:sz w:val="32"/>
          <w:szCs w:val="32"/>
          <w:highlight w:val="none"/>
          <w:lang w:eastAsia="zh-CN"/>
        </w:rPr>
        <w:t>极</w:t>
      </w:r>
      <w:r>
        <w:rPr>
          <w:rFonts w:hint="default" w:ascii="Times New Roman" w:hAnsi="Times New Roman" w:eastAsia="仿宋_GB2312" w:cs="Times New Roman"/>
          <w:color w:val="auto"/>
          <w:sz w:val="32"/>
          <w:szCs w:val="32"/>
          <w:highlight w:val="none"/>
        </w:rPr>
        <w:t>少量潜在造价企业可供选择的，由综合计划科在</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中选择具备相应</w:t>
      </w:r>
      <w:r>
        <w:rPr>
          <w:rFonts w:hint="default" w:ascii="Times New Roman" w:hAnsi="Times New Roman" w:eastAsia="仿宋_GB2312" w:cs="Times New Roman"/>
          <w:color w:val="auto"/>
          <w:sz w:val="32"/>
          <w:szCs w:val="32"/>
          <w:highlight w:val="none"/>
          <w:lang w:eastAsia="zh-CN"/>
        </w:rPr>
        <w:t>业务能力</w:t>
      </w:r>
      <w:r>
        <w:rPr>
          <w:rFonts w:hint="default" w:ascii="Times New Roman" w:hAnsi="Times New Roman" w:eastAsia="仿宋_GB2312" w:cs="Times New Roman"/>
          <w:color w:val="auto"/>
          <w:sz w:val="32"/>
          <w:szCs w:val="32"/>
          <w:highlight w:val="none"/>
        </w:rPr>
        <w:t>的造价企业，经综合计划科分管领导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0872B47B">
      <w:pPr>
        <w:pStyle w:val="2"/>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万元及以上项目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综合计划科根据项目性质和特点，编制招标文件，经综合计划科分管领导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报主要领导批准后在市公共资源交易中心</w:t>
      </w:r>
      <w:r>
        <w:rPr>
          <w:rFonts w:hint="default" w:ascii="Times New Roman" w:hAnsi="Times New Roman" w:eastAsia="仿宋_GB2312" w:cs="Times New Roman"/>
          <w:color w:val="auto"/>
          <w:sz w:val="32"/>
          <w:szCs w:val="32"/>
          <w:highlight w:val="none"/>
        </w:rPr>
        <w:t>公开招标。</w:t>
      </w:r>
    </w:p>
    <w:p w14:paraId="7749E4B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第四章 服务费用</w:t>
      </w:r>
    </w:p>
    <w:p w14:paraId="0FBC5D4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清单编制服务费用、投资估算、设计概算等</w:t>
      </w:r>
      <w:r>
        <w:rPr>
          <w:rFonts w:hint="default" w:ascii="Times New Roman" w:hAnsi="Times New Roman" w:eastAsia="仿宋_GB2312" w:cs="Times New Roman"/>
          <w:color w:val="auto"/>
          <w:sz w:val="32"/>
          <w:szCs w:val="32"/>
          <w:highlight w:val="none"/>
        </w:rPr>
        <w:t>其他工程造价咨询服务</w:t>
      </w:r>
      <w:r>
        <w:rPr>
          <w:rFonts w:hint="default" w:ascii="Times New Roman" w:hAnsi="Times New Roman" w:eastAsia="仿宋_GB2312" w:cs="Times New Roman"/>
          <w:color w:val="auto"/>
          <w:kern w:val="0"/>
          <w:sz w:val="32"/>
          <w:szCs w:val="32"/>
          <w:highlight w:val="none"/>
        </w:rPr>
        <w:t>费</w:t>
      </w:r>
      <w:r>
        <w:rPr>
          <w:rFonts w:hint="default" w:ascii="Times New Roman" w:hAnsi="Times New Roman" w:eastAsia="仿宋_GB2312" w:cs="Times New Roman"/>
          <w:color w:val="auto"/>
          <w:sz w:val="32"/>
          <w:szCs w:val="32"/>
          <w:highlight w:val="none"/>
          <w:lang w:eastAsia="zh-CN"/>
        </w:rPr>
        <w:t>参照执行《安徽省建设工程造价咨询服务项目及收费标准》（皖价服</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 w:cs="Times New Roman"/>
          <w:color w:val="auto"/>
          <w:sz w:val="32"/>
          <w:szCs w:val="32"/>
          <w:highlight w:val="none"/>
          <w:shd w:val="clear" w:color="auto" w:fill="auto"/>
          <w:lang w:eastAsia="zh-CN"/>
        </w:rPr>
        <w:t>20</w:t>
      </w:r>
      <w:r>
        <w:rPr>
          <w:rFonts w:hint="default" w:ascii="Times New Roman" w:hAnsi="Times New Roman" w:eastAsia="仿宋" w:cs="Times New Roman"/>
          <w:color w:val="auto"/>
          <w:sz w:val="32"/>
          <w:szCs w:val="32"/>
          <w:highlight w:val="none"/>
          <w:shd w:val="clear" w:color="auto" w:fill="auto"/>
          <w:lang w:val="en-US" w:eastAsia="zh-CN"/>
        </w:rPr>
        <w:t>07</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lang w:val="en-US" w:eastAsia="zh-CN"/>
        </w:rPr>
        <w:t>86号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清单编制服务费由综合计划科按照工程难易程度提出下浮率（一般为</w:t>
      </w:r>
      <w:r>
        <w:rPr>
          <w:rFonts w:hint="default" w:ascii="Times New Roman" w:hAnsi="Times New Roman" w:eastAsia="仿宋_GB2312" w:cs="Times New Roman"/>
          <w:b/>
          <w:bCs/>
          <w:color w:val="auto"/>
          <w:sz w:val="32"/>
          <w:szCs w:val="32"/>
          <w:highlight w:val="none"/>
          <w:lang w:val="en-US" w:eastAsia="zh-CN"/>
        </w:rPr>
        <w:t>40%-60%）</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经综合计划科分管领导</w:t>
      </w:r>
      <w:r>
        <w:rPr>
          <w:rFonts w:hint="default" w:ascii="Times New Roman" w:hAnsi="Times New Roman" w:eastAsia="仿宋_GB2312" w:cs="Times New Roman"/>
          <w:b/>
          <w:bCs/>
          <w:color w:val="auto"/>
          <w:sz w:val="32"/>
          <w:szCs w:val="32"/>
          <w:highlight w:val="none"/>
          <w:lang w:eastAsia="zh-CN"/>
        </w:rPr>
        <w:t>批准后实施。特别复杂或特殊的项目报主任办公会研究通过后可不下浮。</w:t>
      </w:r>
    </w:p>
    <w:p w14:paraId="72C06B6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项目跟踪审计、结算审核固定费率执行下列标准：</w:t>
      </w:r>
    </w:p>
    <w:p w14:paraId="1ED0092D">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项目跟踪审计服务费标准</w:t>
      </w:r>
    </w:p>
    <w:tbl>
      <w:tblPr>
        <w:tblStyle w:val="45"/>
        <w:tblW w:w="8247" w:type="dxa"/>
        <w:jc w:val="center"/>
        <w:tblLayout w:type="fixed"/>
        <w:tblCellMar>
          <w:top w:w="0" w:type="dxa"/>
          <w:left w:w="108" w:type="dxa"/>
          <w:bottom w:w="0" w:type="dxa"/>
          <w:right w:w="108" w:type="dxa"/>
        </w:tblCellMar>
      </w:tblPr>
      <w:tblGrid>
        <w:gridCol w:w="3685"/>
        <w:gridCol w:w="2262"/>
        <w:gridCol w:w="2300"/>
      </w:tblGrid>
      <w:tr w14:paraId="56CFC27E">
        <w:tblPrEx>
          <w:tblCellMar>
            <w:top w:w="0" w:type="dxa"/>
            <w:left w:w="108" w:type="dxa"/>
            <w:bottom w:w="0" w:type="dxa"/>
            <w:right w:w="108" w:type="dxa"/>
          </w:tblCellMar>
        </w:tblPrEx>
        <w:trPr>
          <w:trHeight w:val="70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00EA875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6768ACB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基本费</w:t>
            </w:r>
          </w:p>
        </w:tc>
        <w:tc>
          <w:tcPr>
            <w:tcW w:w="2300" w:type="dxa"/>
            <w:tcBorders>
              <w:top w:val="single" w:color="auto" w:sz="4" w:space="0"/>
              <w:left w:val="nil"/>
              <w:bottom w:val="single" w:color="auto" w:sz="4" w:space="0"/>
              <w:right w:val="single" w:color="auto" w:sz="4" w:space="0"/>
            </w:tcBorders>
            <w:noWrap w:val="0"/>
            <w:vAlign w:val="center"/>
          </w:tcPr>
          <w:p w14:paraId="3DF9F5D0">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4E895913">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E066D37">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27B8094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6BBDE8A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682E7A7A">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2D5863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nil"/>
              <w:bottom w:val="single" w:color="auto" w:sz="4" w:space="0"/>
              <w:right w:val="single" w:color="auto" w:sz="4" w:space="0"/>
            </w:tcBorders>
            <w:noWrap w:val="0"/>
            <w:vAlign w:val="center"/>
          </w:tcPr>
          <w:p w14:paraId="728B4A4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C514F9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217E22A">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5A85F1D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6F06924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5B9424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74593421">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3CB449D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006E780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006502A6">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4911F06">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3022121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50000</w:t>
            </w:r>
            <w:r>
              <w:rPr>
                <w:rFonts w:hint="default" w:ascii="Times New Roman" w:hAnsi="Times New Roman" w:eastAsia="仿宋_GB2312" w:cs="Times New Roman"/>
                <w:color w:val="auto"/>
                <w:kern w:val="0"/>
                <w:sz w:val="32"/>
                <w:szCs w:val="32"/>
                <w:highlight w:val="none"/>
              </w:rPr>
              <w:t>以上</w:t>
            </w:r>
          </w:p>
        </w:tc>
        <w:tc>
          <w:tcPr>
            <w:tcW w:w="2262" w:type="dxa"/>
            <w:tcBorders>
              <w:top w:val="single" w:color="auto" w:sz="4" w:space="0"/>
              <w:left w:val="nil"/>
              <w:bottom w:val="single" w:color="auto" w:sz="4" w:space="0"/>
              <w:right w:val="single" w:color="auto" w:sz="4" w:space="0"/>
            </w:tcBorders>
            <w:noWrap w:val="0"/>
            <w:vAlign w:val="center"/>
          </w:tcPr>
          <w:p w14:paraId="15163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8</w:t>
            </w:r>
            <w:r>
              <w:rPr>
                <w:rFonts w:hint="default" w:ascii="Times New Roman" w:hAnsi="Times New Roman" w:eastAsia="仿宋_GB2312" w:cs="Times New Roman"/>
                <w:color w:val="auto"/>
                <w:kern w:val="0"/>
                <w:sz w:val="32"/>
                <w:szCs w:val="32"/>
                <w:highlight w:val="none"/>
              </w:rPr>
              <w:t>‰</w:t>
            </w:r>
          </w:p>
        </w:tc>
        <w:tc>
          <w:tcPr>
            <w:tcW w:w="2300" w:type="dxa"/>
            <w:tcBorders>
              <w:top w:val="single" w:color="auto" w:sz="4" w:space="0"/>
              <w:left w:val="nil"/>
              <w:bottom w:val="single" w:color="auto" w:sz="4" w:space="0"/>
              <w:right w:val="single" w:color="auto" w:sz="4" w:space="0"/>
            </w:tcBorders>
            <w:noWrap w:val="0"/>
            <w:vAlign w:val="center"/>
          </w:tcPr>
          <w:p w14:paraId="2BBF294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33C28906">
      <w:pPr>
        <w:keepNext w:val="0"/>
        <w:keepLines w:val="0"/>
        <w:pageBreakBefore w:val="0"/>
        <w:numPr>
          <w:ilvl w:val="0"/>
          <w:numId w:val="3"/>
        </w:numPr>
        <w:kinsoku/>
        <w:wordWrap/>
        <w:overflowPunct/>
        <w:topLinePunct w:val="0"/>
        <w:autoSpaceDE/>
        <w:autoSpaceDN/>
        <w:bidi w:val="0"/>
        <w:adjustRightInd/>
        <w:snapToGrid w:val="0"/>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服务费标准</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09A42833">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1EBC6618">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AEEDA2A">
            <w:pPr>
              <w:keepNext w:val="0"/>
              <w:keepLines w:val="0"/>
              <w:pageBreakBefore w:val="0"/>
              <w:widowControl/>
              <w:kinsoku/>
              <w:wordWrap/>
              <w:overflowPunct/>
              <w:topLinePunct w:val="0"/>
              <w:autoSpaceDE/>
              <w:autoSpaceDN/>
              <w:bidi w:val="0"/>
              <w:adjustRightInd/>
              <w:spacing w:line="400" w:lineRule="exact"/>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元</w:t>
            </w:r>
            <w:r>
              <w:rPr>
                <w:rFonts w:hint="default" w:ascii="Times New Roman" w:hAnsi="Times New Roman" w:eastAsia="仿宋_GB2312" w:cs="Times New Roman"/>
                <w:color w:val="auto"/>
                <w:kern w:val="0"/>
                <w:sz w:val="32"/>
                <w:szCs w:val="32"/>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49B2E207">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62DA5D2B">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16A5BFC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以内</w:t>
            </w:r>
          </w:p>
        </w:tc>
        <w:tc>
          <w:tcPr>
            <w:tcW w:w="2280" w:type="dxa"/>
            <w:tcBorders>
              <w:top w:val="nil"/>
              <w:left w:val="nil"/>
              <w:bottom w:val="single" w:color="auto" w:sz="4" w:space="0"/>
              <w:right w:val="single" w:color="auto" w:sz="4" w:space="0"/>
            </w:tcBorders>
            <w:noWrap w:val="0"/>
            <w:vAlign w:val="center"/>
          </w:tcPr>
          <w:p w14:paraId="14B14D3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p>
        </w:tc>
        <w:tc>
          <w:tcPr>
            <w:tcW w:w="2340" w:type="dxa"/>
            <w:tcBorders>
              <w:top w:val="nil"/>
              <w:left w:val="nil"/>
              <w:bottom w:val="single" w:color="auto" w:sz="4" w:space="0"/>
              <w:right w:val="single" w:color="auto" w:sz="4" w:space="0"/>
            </w:tcBorders>
            <w:noWrap w:val="0"/>
            <w:vAlign w:val="center"/>
          </w:tcPr>
          <w:p w14:paraId="6750646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1ED48D00">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7159E1E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80" w:type="dxa"/>
            <w:tcBorders>
              <w:top w:val="nil"/>
              <w:left w:val="nil"/>
              <w:bottom w:val="single" w:color="auto" w:sz="4" w:space="0"/>
              <w:right w:val="single" w:color="auto" w:sz="4" w:space="0"/>
            </w:tcBorders>
            <w:noWrap w:val="0"/>
            <w:vAlign w:val="center"/>
          </w:tcPr>
          <w:p w14:paraId="44367D52">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8000</w:t>
            </w:r>
          </w:p>
        </w:tc>
        <w:tc>
          <w:tcPr>
            <w:tcW w:w="2340" w:type="dxa"/>
            <w:tcBorders>
              <w:top w:val="nil"/>
              <w:left w:val="nil"/>
              <w:bottom w:val="single" w:color="auto" w:sz="4" w:space="0"/>
              <w:right w:val="single" w:color="auto" w:sz="4" w:space="0"/>
            </w:tcBorders>
            <w:noWrap w:val="0"/>
            <w:vAlign w:val="center"/>
          </w:tcPr>
          <w:p w14:paraId="24D3FE8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B78C135">
        <w:tblPrEx>
          <w:tblCellMar>
            <w:top w:w="0" w:type="dxa"/>
            <w:left w:w="108" w:type="dxa"/>
            <w:bottom w:w="0" w:type="dxa"/>
            <w:right w:w="108" w:type="dxa"/>
          </w:tblCellMar>
        </w:tblPrEx>
        <w:trPr>
          <w:trHeight w:val="176"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526861D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52601EA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C37C61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8E8D1DC">
        <w:tblPrEx>
          <w:tblCellMar>
            <w:top w:w="0" w:type="dxa"/>
            <w:left w:w="108" w:type="dxa"/>
            <w:bottom w:w="0" w:type="dxa"/>
            <w:right w:w="108" w:type="dxa"/>
          </w:tblCellMar>
        </w:tblPrEx>
        <w:trPr>
          <w:trHeight w:val="430"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49F0F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以上</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7F5E9DB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9BB8B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2E816A0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w:t>
      </w: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费计算方式为：基本费+审核成果费。其中，跟踪审计服务基本费计算基数为审定金额；审核成果费计算基数为</w:t>
      </w:r>
      <w:r>
        <w:rPr>
          <w:rFonts w:hint="default" w:ascii="Times New Roman" w:hAnsi="Times New Roman" w:eastAsia="仿宋_GB2312" w:cs="Times New Roman"/>
          <w:color w:val="auto"/>
          <w:sz w:val="32"/>
          <w:szCs w:val="32"/>
          <w:highlight w:val="none"/>
          <w:lang w:eastAsia="zh-CN"/>
        </w:rPr>
        <w:t>独立</w:t>
      </w:r>
      <w:r>
        <w:rPr>
          <w:rFonts w:hint="default" w:ascii="Times New Roman" w:hAnsi="Times New Roman" w:eastAsia="仿宋_GB2312" w:cs="Times New Roman"/>
          <w:color w:val="auto"/>
          <w:sz w:val="32"/>
          <w:szCs w:val="32"/>
          <w:highlight w:val="none"/>
        </w:rPr>
        <w:t>核减金额。</w:t>
      </w:r>
    </w:p>
    <w:p w14:paraId="26A80FCA">
      <w:pPr>
        <w:keepNext w:val="0"/>
        <w:keepLines w:val="0"/>
        <w:pageBreakBefore w:val="0"/>
        <w:numPr>
          <w:ilvl w:val="0"/>
          <w:numId w:val="4"/>
        </w:numPr>
        <w:kinsoku/>
        <w:wordWrap/>
        <w:overflowPunct/>
        <w:topLinePunct w:val="0"/>
        <w:autoSpaceDE/>
        <w:autoSpaceDN/>
        <w:bidi w:val="0"/>
        <w:adjustRightInd/>
        <w:spacing w:line="400" w:lineRule="exact"/>
        <w:ind w:left="0" w:leftChars="0"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工程造价审减率超过</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将对施工单位进行处罚，处罚金额为</w:t>
      </w:r>
      <w:r>
        <w:rPr>
          <w:rFonts w:hint="default" w:ascii="Times New Roman" w:hAnsi="Times New Roman" w:eastAsia="仿宋_GB2312" w:cs="Times New Roman"/>
          <w:color w:val="auto"/>
          <w:sz w:val="32"/>
          <w:szCs w:val="32"/>
          <w:highlight w:val="none"/>
        </w:rPr>
        <w:t>审减率</w:t>
      </w:r>
      <w:r>
        <w:rPr>
          <w:rFonts w:hint="default" w:ascii="Times New Roman" w:hAnsi="Times New Roman" w:eastAsia="仿宋_GB2312" w:cs="Times New Roman"/>
          <w:color w:val="auto"/>
          <w:sz w:val="32"/>
          <w:szCs w:val="32"/>
          <w:highlight w:val="none"/>
          <w:lang w:eastAsia="zh-CN"/>
        </w:rPr>
        <w:t>超出</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以上的报送金额的</w:t>
      </w: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由综合计划科在定案时明确处罚金额报工程监管科落实处罚</w:t>
      </w:r>
      <w:r>
        <w:rPr>
          <w:rFonts w:hint="default" w:ascii="Times New Roman" w:hAnsi="Times New Roman" w:eastAsia="仿宋_GB2312" w:cs="Times New Roman"/>
          <w:b w:val="0"/>
          <w:bCs w:val="0"/>
          <w:color w:val="auto"/>
          <w:sz w:val="32"/>
          <w:szCs w:val="32"/>
          <w:highlight w:val="none"/>
        </w:rPr>
        <w:t>。</w:t>
      </w:r>
    </w:p>
    <w:p w14:paraId="469F803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对复杂项目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造价成果有争议或存疑项目可委托第三方复审</w:t>
      </w:r>
      <w:r>
        <w:rPr>
          <w:rFonts w:hint="default" w:ascii="Times New Roman" w:hAnsi="Times New Roman" w:eastAsia="仿宋_GB2312" w:cs="Times New Roman"/>
          <w:color w:val="auto"/>
          <w:sz w:val="32"/>
          <w:szCs w:val="32"/>
          <w:highlight w:val="none"/>
          <w:lang w:eastAsia="zh-CN"/>
        </w:rPr>
        <w:t>（清单编制复审、结算复审），服务</w:t>
      </w:r>
      <w:r>
        <w:rPr>
          <w:rFonts w:hint="default" w:ascii="Times New Roman" w:hAnsi="Times New Roman" w:eastAsia="仿宋_GB2312" w:cs="Times New Roman"/>
          <w:color w:val="auto"/>
          <w:sz w:val="32"/>
          <w:szCs w:val="32"/>
          <w:highlight w:val="none"/>
        </w:rPr>
        <w:t>费用</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w:t>
      </w:r>
      <w:r>
        <w:rPr>
          <w:rFonts w:hint="default" w:ascii="Times New Roman" w:hAnsi="Times New Roman" w:eastAsia="黑体" w:cs="Times New Roman"/>
          <w:color w:val="auto"/>
          <w:sz w:val="32"/>
          <w:szCs w:val="32"/>
          <w:highlight w:val="none"/>
          <w:lang w:val="en-US" w:eastAsia="zh-CN"/>
        </w:rPr>
        <w:t xml:space="preserve">  </w:t>
      </w:r>
    </w:p>
    <w:p w14:paraId="586553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服务要求</w:t>
      </w:r>
    </w:p>
    <w:p w14:paraId="1022A47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需安排具备相应资格条件和类似业绩且经验丰富的造价人员编制清单及最高投标限价，严格执行三级复核制度，对工程造价咨询成果负经济、法律责任，编制人员必须进行现场踏勘，发现与设计不符的需经设计部门核实确认，变化较大的需重新设计。</w:t>
      </w:r>
    </w:p>
    <w:p w14:paraId="0A99473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跟踪审计</w:t>
      </w:r>
      <w:r>
        <w:rPr>
          <w:rFonts w:hint="default" w:ascii="Times New Roman" w:hAnsi="Times New Roman" w:eastAsia="仿宋_GB2312" w:cs="Times New Roman"/>
          <w:color w:val="auto"/>
          <w:sz w:val="32"/>
          <w:szCs w:val="32"/>
          <w:highlight w:val="none"/>
        </w:rPr>
        <w:t>项目开工前，造价企业需将项目任命文报综合计划科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工程建设科，同一个造价人员在我处同时承揽</w:t>
      </w:r>
      <w:r>
        <w:rPr>
          <w:rFonts w:hint="default" w:ascii="Times New Roman" w:hAnsi="Times New Roman" w:eastAsia="仿宋_GB2312" w:cs="Times New Roman"/>
          <w:color w:val="auto"/>
          <w:sz w:val="32"/>
          <w:szCs w:val="32"/>
          <w:highlight w:val="none"/>
          <w:lang w:eastAsia="zh-CN"/>
        </w:rPr>
        <w:t>跟踪审计业</w:t>
      </w:r>
      <w:r>
        <w:rPr>
          <w:rFonts w:hint="default" w:ascii="Times New Roman" w:hAnsi="Times New Roman" w:eastAsia="仿宋_GB2312" w:cs="Times New Roman"/>
          <w:color w:val="auto"/>
          <w:sz w:val="32"/>
          <w:szCs w:val="32"/>
          <w:highlight w:val="none"/>
        </w:rPr>
        <w:t>务不得超过</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个项目</w:t>
      </w:r>
      <w:r>
        <w:rPr>
          <w:rFonts w:hint="default" w:ascii="Times New Roman" w:hAnsi="Times New Roman" w:eastAsia="仿宋_GB2312" w:cs="Times New Roman"/>
          <w:color w:val="auto"/>
          <w:sz w:val="32"/>
          <w:szCs w:val="32"/>
          <w:highlight w:val="none"/>
          <w:lang w:eastAsia="zh-CN"/>
        </w:rPr>
        <w:t>，且不得在两个以上市本级以外的地区同时承揽业务</w:t>
      </w:r>
      <w:r>
        <w:rPr>
          <w:rFonts w:hint="default" w:ascii="Times New Roman" w:hAnsi="Times New Roman" w:eastAsia="仿宋_GB2312" w:cs="Times New Roman"/>
          <w:color w:val="auto"/>
          <w:sz w:val="32"/>
          <w:szCs w:val="32"/>
          <w:highlight w:val="none"/>
        </w:rPr>
        <w:t>。</w:t>
      </w:r>
    </w:p>
    <w:p w14:paraId="67C0A50F">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项目组</w:t>
      </w:r>
      <w:r>
        <w:rPr>
          <w:rFonts w:hint="default" w:ascii="Times New Roman" w:hAnsi="Times New Roman" w:eastAsia="仿宋_GB2312" w:cs="Times New Roman"/>
          <w:color w:val="auto"/>
          <w:sz w:val="32"/>
          <w:szCs w:val="32"/>
          <w:highlight w:val="none"/>
          <w:lang w:eastAsia="zh-CN"/>
        </w:rPr>
        <w:t>人员变更，</w:t>
      </w:r>
      <w:r>
        <w:rPr>
          <w:rFonts w:hint="default" w:ascii="Times New Roman" w:hAnsi="Times New Roman" w:eastAsia="仿宋_GB2312" w:cs="Times New Roman"/>
          <w:color w:val="auto"/>
          <w:sz w:val="32"/>
          <w:szCs w:val="32"/>
          <w:highlight w:val="none"/>
        </w:rPr>
        <w:t>变更后人员</w:t>
      </w:r>
      <w:r>
        <w:rPr>
          <w:rFonts w:hint="default" w:ascii="Times New Roman" w:hAnsi="Times New Roman" w:eastAsia="仿宋_GB2312" w:cs="Times New Roman"/>
          <w:color w:val="auto"/>
          <w:sz w:val="32"/>
          <w:szCs w:val="32"/>
          <w:highlight w:val="none"/>
          <w:lang w:eastAsia="zh-CN"/>
        </w:rPr>
        <w:t>必</w:t>
      </w:r>
      <w:r>
        <w:rPr>
          <w:rFonts w:hint="default" w:ascii="Times New Roman" w:hAnsi="Times New Roman" w:eastAsia="仿宋_GB2312" w:cs="Times New Roman"/>
          <w:color w:val="auto"/>
          <w:sz w:val="32"/>
          <w:szCs w:val="32"/>
          <w:highlight w:val="none"/>
        </w:rPr>
        <w:t>须</w:t>
      </w:r>
      <w:r>
        <w:rPr>
          <w:rFonts w:hint="default" w:ascii="Times New Roman" w:hAnsi="Times New Roman" w:eastAsia="仿宋_GB2312" w:cs="Times New Roman"/>
          <w:color w:val="auto"/>
          <w:sz w:val="32"/>
          <w:szCs w:val="32"/>
          <w:highlight w:val="none"/>
          <w:lang w:eastAsia="zh-CN"/>
        </w:rPr>
        <w:t>满足</w:t>
      </w:r>
      <w:r>
        <w:rPr>
          <w:rFonts w:hint="default" w:ascii="Times New Roman" w:hAnsi="Times New Roman" w:eastAsia="仿宋_GB2312" w:cs="Times New Roman"/>
          <w:color w:val="auto"/>
          <w:sz w:val="32"/>
          <w:szCs w:val="32"/>
          <w:highlight w:val="none"/>
        </w:rPr>
        <w:t>本项目</w:t>
      </w:r>
      <w:r>
        <w:rPr>
          <w:rFonts w:hint="default" w:ascii="Times New Roman" w:hAnsi="Times New Roman" w:eastAsia="仿宋_GB2312" w:cs="Times New Roman"/>
          <w:color w:val="auto"/>
          <w:sz w:val="32"/>
          <w:szCs w:val="32"/>
          <w:highlight w:val="none"/>
          <w:lang w:eastAsia="zh-CN"/>
        </w:rPr>
        <w:t>招标</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eastAsia="zh-CN"/>
        </w:rPr>
        <w:t>。由造价企业向综合计划科提出申请并提供相应证明，工程建设</w:t>
      </w:r>
      <w:r>
        <w:rPr>
          <w:rFonts w:hint="default" w:ascii="Times New Roman" w:hAnsi="Times New Roman" w:eastAsia="仿宋_GB2312" w:cs="Times New Roman"/>
          <w:color w:val="auto"/>
          <w:sz w:val="32"/>
          <w:szCs w:val="32"/>
          <w:highlight w:val="none"/>
        </w:rPr>
        <w:t>科</w:t>
      </w:r>
      <w:r>
        <w:rPr>
          <w:rFonts w:hint="default" w:ascii="Times New Roman" w:hAnsi="Times New Roman" w:eastAsia="仿宋_GB2312" w:cs="Times New Roman"/>
          <w:color w:val="auto"/>
          <w:sz w:val="32"/>
          <w:szCs w:val="32"/>
          <w:highlight w:val="none"/>
          <w:lang w:eastAsia="zh-CN"/>
        </w:rPr>
        <w:t>和综合计划科会商提出意见，报综合计划科分管领导批准</w:t>
      </w:r>
      <w:r>
        <w:rPr>
          <w:rFonts w:hint="default" w:ascii="Times New Roman" w:hAnsi="Times New Roman" w:eastAsia="仿宋_GB2312" w:cs="Times New Roman"/>
          <w:color w:val="auto"/>
          <w:sz w:val="32"/>
          <w:szCs w:val="32"/>
          <w:highlight w:val="none"/>
        </w:rPr>
        <w:t>后予以备案</w:t>
      </w:r>
      <w:r>
        <w:rPr>
          <w:rFonts w:hint="default" w:ascii="Times New Roman" w:hAnsi="Times New Roman" w:eastAsia="仿宋_GB2312" w:cs="Times New Roman"/>
          <w:color w:val="auto"/>
          <w:sz w:val="32"/>
          <w:szCs w:val="32"/>
          <w:highlight w:val="none"/>
          <w:lang w:eastAsia="zh-CN"/>
        </w:rPr>
        <w:t>。</w:t>
      </w:r>
    </w:p>
    <w:p w14:paraId="5AB6E5B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项目组负责人因以下原因变更不予处罚：①</w:t>
      </w:r>
      <w:r>
        <w:rPr>
          <w:rFonts w:hint="default" w:ascii="Times New Roman" w:hAnsi="Times New Roman" w:eastAsia="仿宋_GB2312" w:cs="Times New Roman"/>
          <w:color w:val="auto"/>
          <w:sz w:val="32"/>
          <w:szCs w:val="32"/>
          <w:highlight w:val="none"/>
        </w:rPr>
        <w:t>亡故</w:t>
      </w:r>
      <w:r>
        <w:rPr>
          <w:rFonts w:hint="default" w:ascii="Times New Roman" w:hAnsi="Times New Roman" w:eastAsia="仿宋_GB2312" w:cs="Times New Roman"/>
          <w:color w:val="auto"/>
          <w:sz w:val="32"/>
          <w:szCs w:val="32"/>
          <w:highlight w:val="none"/>
          <w:lang w:eastAsia="zh-CN"/>
        </w:rPr>
        <w:t>；②</w:t>
      </w:r>
      <w:r>
        <w:rPr>
          <w:rFonts w:hint="default" w:ascii="Times New Roman" w:hAnsi="Times New Roman" w:eastAsia="仿宋_GB2312" w:cs="Times New Roman"/>
          <w:color w:val="auto"/>
          <w:sz w:val="32"/>
          <w:szCs w:val="32"/>
          <w:highlight w:val="none"/>
        </w:rPr>
        <w:t>重病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或重伤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三个月以上，不能履行职责</w:t>
      </w:r>
      <w:r>
        <w:rPr>
          <w:rFonts w:hint="default" w:ascii="Times New Roman" w:hAnsi="Times New Roman" w:eastAsia="仿宋_GB2312" w:cs="Times New Roman"/>
          <w:color w:val="auto"/>
          <w:sz w:val="32"/>
          <w:szCs w:val="32"/>
          <w:highlight w:val="none"/>
          <w:lang w:eastAsia="zh-CN"/>
        </w:rPr>
        <w:t>；③</w:t>
      </w:r>
      <w:r>
        <w:rPr>
          <w:rFonts w:hint="default" w:ascii="Times New Roman" w:hAnsi="Times New Roman" w:eastAsia="仿宋_GB2312" w:cs="Times New Roman"/>
          <w:color w:val="auto"/>
          <w:sz w:val="32"/>
          <w:szCs w:val="32"/>
          <w:highlight w:val="none"/>
        </w:rPr>
        <w:t>受到刑事或行政处罚，不能胜任；</w:t>
      </w:r>
      <w:r>
        <w:rPr>
          <w:rFonts w:hint="default" w:ascii="Times New Roman" w:hAnsi="Times New Roman" w:eastAsia="仿宋_GB2312" w:cs="Times New Roman"/>
          <w:color w:val="auto"/>
          <w:sz w:val="32"/>
          <w:szCs w:val="32"/>
          <w:highlight w:val="none"/>
          <w:lang w:eastAsia="zh-CN"/>
        </w:rPr>
        <w:t>④</w:t>
      </w:r>
      <w:r>
        <w:rPr>
          <w:rFonts w:hint="default" w:ascii="Times New Roman" w:hAnsi="Times New Roman" w:eastAsia="仿宋_GB2312" w:cs="Times New Roman"/>
          <w:color w:val="auto"/>
          <w:sz w:val="32"/>
          <w:szCs w:val="32"/>
          <w:highlight w:val="none"/>
        </w:rPr>
        <w:t>犯罪被羁押或判刑；</w:t>
      </w:r>
      <w:r>
        <w:rPr>
          <w:rFonts w:hint="default" w:ascii="Times New Roman" w:hAnsi="Times New Roman" w:eastAsia="仿宋_GB2312" w:cs="Times New Roman"/>
          <w:color w:val="auto"/>
          <w:sz w:val="32"/>
          <w:szCs w:val="32"/>
          <w:highlight w:val="none"/>
          <w:lang w:eastAsia="zh-CN"/>
        </w:rPr>
        <w:t>⑤</w:t>
      </w:r>
      <w:r>
        <w:rPr>
          <w:rFonts w:hint="default" w:ascii="Times New Roman" w:hAnsi="Times New Roman" w:eastAsia="仿宋_GB2312" w:cs="Times New Roman"/>
          <w:color w:val="auto"/>
          <w:sz w:val="32"/>
          <w:szCs w:val="32"/>
          <w:highlight w:val="none"/>
        </w:rPr>
        <w:t>被责令停止职业资格</w:t>
      </w:r>
      <w:r>
        <w:rPr>
          <w:rFonts w:hint="default" w:ascii="Times New Roman" w:hAnsi="Times New Roman" w:eastAsia="仿宋_GB2312" w:cs="Times New Roman"/>
          <w:color w:val="auto"/>
          <w:sz w:val="32"/>
          <w:szCs w:val="32"/>
          <w:highlight w:val="none"/>
          <w:lang w:eastAsia="zh-CN"/>
        </w:rPr>
        <w:t>。其他原因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须缴纳</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rPr>
        <w:t>万元违约金</w:t>
      </w:r>
      <w:r>
        <w:rPr>
          <w:rFonts w:hint="default" w:ascii="Times New Roman" w:hAnsi="Times New Roman" w:eastAsia="仿宋_GB2312" w:cs="Times New Roman"/>
          <w:color w:val="auto"/>
          <w:sz w:val="32"/>
          <w:szCs w:val="32"/>
          <w:highlight w:val="none"/>
          <w:lang w:eastAsia="zh-CN"/>
        </w:rPr>
        <w:t>。</w:t>
      </w:r>
    </w:p>
    <w:p w14:paraId="4BE39F4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跟踪审计单位</w:t>
      </w:r>
      <w:r>
        <w:rPr>
          <w:rFonts w:hint="default" w:ascii="Times New Roman" w:hAnsi="Times New Roman" w:eastAsia="仿宋_GB2312" w:cs="Times New Roman"/>
          <w:color w:val="auto"/>
          <w:sz w:val="32"/>
          <w:szCs w:val="32"/>
          <w:highlight w:val="none"/>
          <w:lang w:eastAsia="zh-CN"/>
        </w:rPr>
        <w:t>审计</w:t>
      </w:r>
      <w:r>
        <w:rPr>
          <w:rFonts w:hint="default" w:ascii="Times New Roman" w:hAnsi="Times New Roman" w:eastAsia="仿宋_GB2312" w:cs="Times New Roman"/>
          <w:color w:val="auto"/>
          <w:sz w:val="32"/>
          <w:szCs w:val="32"/>
          <w:highlight w:val="none"/>
        </w:rPr>
        <w:t>组每月</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日前</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综合计划科报送审计月报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工程建设科，月报主要</w:t>
      </w:r>
      <w:r>
        <w:rPr>
          <w:rFonts w:hint="default" w:ascii="Times New Roman" w:hAnsi="Times New Roman" w:eastAsia="仿宋_GB2312" w:cs="Times New Roman"/>
          <w:color w:val="auto"/>
          <w:sz w:val="32"/>
          <w:szCs w:val="32"/>
          <w:highlight w:val="none"/>
          <w:lang w:eastAsia="zh-CN"/>
        </w:rPr>
        <w:t>反映</w:t>
      </w:r>
      <w:r>
        <w:rPr>
          <w:rFonts w:hint="default" w:ascii="Times New Roman" w:hAnsi="Times New Roman" w:eastAsia="仿宋_GB2312" w:cs="Times New Roman"/>
          <w:color w:val="auto"/>
          <w:sz w:val="32"/>
          <w:szCs w:val="32"/>
          <w:highlight w:val="none"/>
        </w:rPr>
        <w:t>项目的进度、工程计量、工程变更等涉及工程造价方面的内容。</w:t>
      </w:r>
    </w:p>
    <w:p w14:paraId="23D42C9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结算审核单位</w:t>
      </w:r>
      <w:r>
        <w:rPr>
          <w:rFonts w:hint="default" w:ascii="Times New Roman" w:hAnsi="Times New Roman" w:eastAsia="仿宋_GB2312" w:cs="Times New Roman"/>
          <w:color w:val="auto"/>
          <w:sz w:val="32"/>
          <w:szCs w:val="32"/>
          <w:highlight w:val="none"/>
        </w:rPr>
        <w:t>应在</w:t>
      </w: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以下）或</w:t>
      </w:r>
      <w:r>
        <w:rPr>
          <w:rFonts w:hint="default" w:ascii="Times New Roman" w:hAnsi="Times New Roman" w:eastAsia="仿宋_GB2312" w:cs="Times New Roman"/>
          <w:color w:val="auto"/>
          <w:sz w:val="32"/>
          <w:szCs w:val="32"/>
          <w:highlight w:val="none"/>
          <w:lang w:eastAsia="zh-CN"/>
        </w:rPr>
        <w:t>10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以上）内，对施工单位报送的项目结算资料进行完整性检查，一次性书面告知，限期补充齐全。在实施结算审计</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程中，原则上不再接收施工单位提供的变更签证资料。如遇特殊情况，补充资料</w:t>
      </w:r>
      <w:r>
        <w:rPr>
          <w:rFonts w:hint="default"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w:t>
      </w:r>
    </w:p>
    <w:p w14:paraId="40948EE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造价企业结算审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的项目，造价在</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万元以下、</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万元以上的单项工程，应</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在施工单位报送的项目结算资料完整</w:t>
      </w:r>
      <w:r>
        <w:rPr>
          <w:rFonts w:hint="default" w:ascii="Times New Roman" w:hAnsi="Times New Roman" w:eastAsia="仿宋_GB2312" w:cs="Times New Roman"/>
          <w:color w:val="auto"/>
          <w:sz w:val="32"/>
          <w:szCs w:val="32"/>
          <w:highlight w:val="none"/>
          <w:lang w:eastAsia="zh-CN"/>
        </w:rPr>
        <w:t>后的20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45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60</w:t>
      </w:r>
      <w:r>
        <w:rPr>
          <w:rFonts w:hint="default" w:ascii="Times New Roman" w:hAnsi="Times New Roman" w:eastAsia="仿宋_GB2312" w:cs="Times New Roman"/>
          <w:color w:val="auto"/>
          <w:sz w:val="32"/>
          <w:szCs w:val="32"/>
          <w:highlight w:val="none"/>
        </w:rPr>
        <w:t>日内完成，并出具审核报告。如遇特殊情况，经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项目分管领导同意，可适当延长，延长时间最长不得超过</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p>
    <w:p w14:paraId="2DA95C62">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第二十条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清单编制</w:t>
      </w:r>
      <w:r>
        <w:rPr>
          <w:rFonts w:hint="default" w:ascii="Times New Roman" w:hAnsi="Times New Roman" w:eastAsia="仿宋_GB2312" w:cs="Times New Roman"/>
          <w:color w:val="auto"/>
          <w:sz w:val="32"/>
          <w:szCs w:val="32"/>
          <w:highlight w:val="none"/>
        </w:rPr>
        <w:t>的项目</w:t>
      </w:r>
      <w:r>
        <w:rPr>
          <w:rFonts w:hint="default" w:ascii="Times New Roman" w:hAnsi="Times New Roman" w:eastAsia="仿宋_GB2312" w:cs="Times New Roman"/>
          <w:color w:val="auto"/>
          <w:sz w:val="32"/>
          <w:szCs w:val="32"/>
          <w:highlight w:val="none"/>
          <w:lang w:eastAsia="zh-CN"/>
        </w:rPr>
        <w:t>，估算最高投标限价在</w:t>
      </w:r>
      <w:r>
        <w:rPr>
          <w:rFonts w:hint="default" w:ascii="Times New Roman" w:hAnsi="Times New Roman" w:eastAsia="仿宋_GB2312" w:cs="Times New Roman"/>
          <w:color w:val="auto"/>
          <w:sz w:val="32"/>
          <w:szCs w:val="32"/>
          <w:highlight w:val="none"/>
          <w:lang w:val="en-US" w:eastAsia="zh-CN"/>
        </w:rPr>
        <w:t xml:space="preserve">500万元以下、500万元-1000万元、1000万元-5000万元、5000万元-10000万元、10000万元以上的项目，应分别在7日、15日、20日、25日、30日内完成。特殊项目经综合计划科分管领导同意可以适当缩短或延长编制时间。  </w:t>
      </w:r>
      <w:r>
        <w:rPr>
          <w:rFonts w:hint="default" w:ascii="Times New Roman" w:hAnsi="Times New Roman" w:eastAsia="仿宋_GB2312" w:cs="Times New Roman"/>
          <w:color w:val="auto"/>
          <w:sz w:val="32"/>
          <w:szCs w:val="32"/>
          <w:highlight w:val="none"/>
        </w:rPr>
        <w:t xml:space="preserve">   </w:t>
      </w:r>
    </w:p>
    <w:p w14:paraId="61F984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服务考核</w:t>
      </w:r>
    </w:p>
    <w:p w14:paraId="1260610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考核分类</w:t>
      </w:r>
    </w:p>
    <w:p w14:paraId="557BCC9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考核分为</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跟踪审计服务质量考核</w:t>
      </w:r>
      <w:r>
        <w:rPr>
          <w:rFonts w:hint="default" w:ascii="Times New Roman" w:hAnsi="Times New Roman" w:eastAsia="仿宋_GB2312" w:cs="Times New Roman"/>
          <w:color w:val="auto"/>
          <w:sz w:val="32"/>
          <w:szCs w:val="32"/>
          <w:highlight w:val="none"/>
          <w:lang w:eastAsia="zh-CN"/>
        </w:rPr>
        <w:t>和</w:t>
      </w:r>
      <w:r>
        <w:rPr>
          <w:rStyle w:val="155"/>
          <w:rFonts w:hint="default" w:ascii="Times New Roman" w:hAnsi="Times New Roman" w:eastAsia="仿宋_GB2312" w:cs="Times New Roman"/>
          <w:b w:val="0"/>
          <w:bCs w:val="0"/>
          <w:color w:val="auto"/>
          <w:sz w:val="32"/>
          <w:szCs w:val="32"/>
          <w:highlight w:val="none"/>
        </w:rPr>
        <w:t>结算审</w:t>
      </w:r>
      <w:r>
        <w:rPr>
          <w:rStyle w:val="155"/>
          <w:rFonts w:hint="default" w:ascii="Times New Roman" w:hAnsi="Times New Roman" w:cs="Times New Roman"/>
          <w:b w:val="0"/>
          <w:bCs w:val="0"/>
          <w:color w:val="auto"/>
          <w:sz w:val="32"/>
          <w:szCs w:val="32"/>
          <w:highlight w:val="none"/>
          <w:lang w:eastAsia="zh-CN"/>
        </w:rPr>
        <w:t>（复）</w:t>
      </w:r>
      <w:r>
        <w:rPr>
          <w:rStyle w:val="155"/>
          <w:rFonts w:hint="default" w:ascii="Times New Roman" w:hAnsi="Times New Roman" w:eastAsia="仿宋_GB2312" w:cs="Times New Roman"/>
          <w:b w:val="0"/>
          <w:bCs w:val="0"/>
          <w:color w:val="auto"/>
          <w:sz w:val="32"/>
          <w:szCs w:val="32"/>
          <w:highlight w:val="none"/>
        </w:rPr>
        <w:t>核</w:t>
      </w:r>
      <w:r>
        <w:rPr>
          <w:rStyle w:val="155"/>
          <w:rFonts w:hint="default" w:ascii="Times New Roman" w:hAnsi="Times New Roman" w:cs="Times New Roman"/>
          <w:b w:val="0"/>
          <w:bCs w:val="0"/>
          <w:color w:val="auto"/>
          <w:sz w:val="32"/>
          <w:szCs w:val="32"/>
          <w:highlight w:val="none"/>
          <w:lang w:eastAsia="zh-CN"/>
        </w:rPr>
        <w:t>成果质量</w:t>
      </w:r>
      <w:r>
        <w:rPr>
          <w:rStyle w:val="155"/>
          <w:rFonts w:hint="default" w:ascii="Times New Roman" w:hAnsi="Times New Roman" w:eastAsia="仿宋_GB2312" w:cs="Times New Roman"/>
          <w:b w:val="0"/>
          <w:bCs w:val="0"/>
          <w:color w:val="auto"/>
          <w:sz w:val="32"/>
          <w:szCs w:val="32"/>
          <w:highlight w:val="none"/>
        </w:rPr>
        <w:t>考核</w:t>
      </w:r>
      <w:r>
        <w:rPr>
          <w:rFonts w:hint="default" w:ascii="Times New Roman" w:hAnsi="Times New Roman" w:eastAsia="仿宋_GB2312" w:cs="Times New Roman"/>
          <w:color w:val="auto"/>
          <w:sz w:val="32"/>
          <w:szCs w:val="32"/>
          <w:highlight w:val="none"/>
        </w:rPr>
        <w:t>。</w:t>
      </w:r>
    </w:p>
    <w:p w14:paraId="6A929E8A">
      <w:pPr>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标准见《滁州市重点工程建设管理处工程量清单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最高投标限价编制质量考核表》（附件</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p>
    <w:p w14:paraId="29976A61">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跟踪审计服务质量日常考核原则上每季度安排一次。考核以各造价企业单个审计项目为单位，对单个审计项目审计实施过程和完成情况进行综合考核，满分为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分，考核标准见《滁州市重点工程建设管理处跟踪审计服务质量日常考核表》（附件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）。考核结果设“优”、“良”、“中”、“差”四个等级，考核得分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分及以上的项目评“优”，考核得分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分的项目评“良”，考核得分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分的项目评“中”，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分以下的项目评“差”。对评“优” 项目的审计组予以通报表扬</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对评“中”项目的审计组进行约谈；评“差”项目的审计组予以通报批评，进行约谈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处罚</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000</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auto"/>
          <w:sz w:val="32"/>
          <w:szCs w:val="32"/>
          <w:highlight w:val="none"/>
          <w:lang w:eastAsia="zh-CN"/>
        </w:rPr>
        <w:t>及</w:t>
      </w:r>
      <w:r>
        <w:rPr>
          <w:rFonts w:hint="default" w:ascii="Times New Roman" w:hAnsi="Times New Roman" w:eastAsia="仿宋_GB2312" w:cs="Times New Roman"/>
          <w:b w:val="0"/>
          <w:bCs w:val="0"/>
          <w:color w:val="auto"/>
          <w:sz w:val="32"/>
          <w:szCs w:val="32"/>
          <w:highlight w:val="none"/>
          <w:lang w:val="en-US" w:eastAsia="zh-CN"/>
        </w:rPr>
        <w:t>暂停业务3</w:t>
      </w:r>
      <w:r>
        <w:rPr>
          <w:rFonts w:hint="default" w:ascii="Times New Roman" w:hAnsi="Times New Roman" w:eastAsia="仿宋_GB2312" w:cs="Times New Roman"/>
          <w:b w:val="0"/>
          <w:bCs w:val="0"/>
          <w:color w:val="auto"/>
          <w:sz w:val="32"/>
          <w:szCs w:val="32"/>
          <w:highlight w:val="none"/>
        </w:rPr>
        <w:t>个月，</w:t>
      </w:r>
      <w:r>
        <w:rPr>
          <w:rFonts w:hint="default" w:ascii="Times New Roman" w:hAnsi="Times New Roman" w:eastAsia="仿宋_GB2312" w:cs="Times New Roman"/>
          <w:b w:val="0"/>
          <w:bCs w:val="0"/>
          <w:color w:val="auto"/>
          <w:sz w:val="32"/>
          <w:szCs w:val="32"/>
          <w:highlight w:val="none"/>
          <w:lang w:val="en-US" w:eastAsia="zh-CN"/>
        </w:rPr>
        <w:t>连续两个</w:t>
      </w:r>
      <w:r>
        <w:rPr>
          <w:rFonts w:hint="default" w:ascii="Times New Roman" w:hAnsi="Times New Roman" w:eastAsia="仿宋_GB2312" w:cs="Times New Roman"/>
          <w:b w:val="0"/>
          <w:bCs w:val="0"/>
          <w:color w:val="auto"/>
          <w:sz w:val="32"/>
          <w:szCs w:val="32"/>
          <w:highlight w:val="none"/>
          <w:lang w:eastAsia="zh-CN"/>
        </w:rPr>
        <w:t>季度评</w:t>
      </w:r>
      <w:r>
        <w:rPr>
          <w:rFonts w:hint="default" w:ascii="Times New Roman" w:hAnsi="Times New Roman" w:eastAsia="仿宋_GB2312" w:cs="Times New Roman"/>
          <w:b w:val="0"/>
          <w:bCs w:val="0"/>
          <w:color w:val="auto"/>
          <w:sz w:val="32"/>
          <w:szCs w:val="32"/>
          <w:highlight w:val="none"/>
        </w:rPr>
        <w:t>“差”</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val="en-US" w:eastAsia="zh-CN"/>
        </w:rPr>
        <w:t>暂停业务12</w:t>
      </w:r>
      <w:r>
        <w:rPr>
          <w:rFonts w:hint="default" w:ascii="Times New Roman" w:hAnsi="Times New Roman" w:eastAsia="仿宋_GB2312" w:cs="Times New Roman"/>
          <w:b w:val="0"/>
          <w:bCs w:val="0"/>
          <w:color w:val="auto"/>
          <w:sz w:val="32"/>
          <w:szCs w:val="32"/>
          <w:highlight w:val="none"/>
        </w:rPr>
        <w:t>个月。</w:t>
      </w:r>
    </w:p>
    <w:p w14:paraId="7C02DFC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年度考核以当年所有项目日常考核结果</w:t>
      </w:r>
      <w:r>
        <w:rPr>
          <w:rFonts w:hint="default" w:ascii="Times New Roman" w:hAnsi="Times New Roman" w:eastAsia="仿宋_GB2312" w:cs="Times New Roman"/>
          <w:b w:val="0"/>
          <w:bCs w:val="0"/>
          <w:color w:val="auto"/>
          <w:sz w:val="32"/>
          <w:szCs w:val="32"/>
          <w:highlight w:val="none"/>
          <w:lang w:eastAsia="zh-CN"/>
        </w:rPr>
        <w:t>（本年度至少参评两次及以上）</w:t>
      </w:r>
      <w:r>
        <w:rPr>
          <w:rFonts w:hint="default" w:ascii="Times New Roman" w:hAnsi="Times New Roman" w:eastAsia="仿宋_GB2312" w:cs="Times New Roman"/>
          <w:b w:val="0"/>
          <w:bCs w:val="0"/>
          <w:color w:val="auto"/>
          <w:sz w:val="32"/>
          <w:szCs w:val="32"/>
          <w:highlight w:val="none"/>
        </w:rPr>
        <w:t>平均分作为年度综合评定分值，考核结果分设“优”、“良”、“中”、“差”四个等级。考核得</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分及以上的造价企业评“优”，考核得分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分以下的造价企业评“差”。年度考核评“优”的造价企业予以通报表扬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；年度考核评“差”的造价企业予以通报批评且</w:t>
      </w:r>
      <w:r>
        <w:rPr>
          <w:rFonts w:hint="default" w:ascii="Times New Roman" w:hAnsi="Times New Roman" w:eastAsia="仿宋_GB2312" w:cs="Times New Roman"/>
          <w:color w:val="auto"/>
          <w:sz w:val="32"/>
          <w:szCs w:val="32"/>
          <w:highlight w:val="none"/>
          <w:lang w:val="en-US" w:eastAsia="zh-CN"/>
        </w:rPr>
        <w:t>暂停业务</w:t>
      </w:r>
      <w:r>
        <w:rPr>
          <w:rFonts w:hint="default" w:ascii="Times New Roman" w:hAnsi="Times New Roman" w:eastAsia="仿宋_GB2312" w:cs="Times New Roman"/>
          <w:color w:val="auto"/>
          <w:sz w:val="32"/>
          <w:szCs w:val="32"/>
          <w:highlight w:val="none"/>
          <w:lang w:eastAsia="zh-CN"/>
        </w:rPr>
        <w:t>12</w:t>
      </w:r>
      <w:r>
        <w:rPr>
          <w:rFonts w:hint="default" w:ascii="Times New Roman" w:hAnsi="Times New Roman" w:eastAsia="仿宋_GB2312" w:cs="Times New Roman"/>
          <w:color w:val="auto"/>
          <w:sz w:val="32"/>
          <w:szCs w:val="32"/>
          <w:highlight w:val="none"/>
        </w:rPr>
        <w:t>个月。</w:t>
      </w:r>
    </w:p>
    <w:p w14:paraId="60F93DB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第二十四条</w:t>
      </w:r>
      <w:r>
        <w:rPr>
          <w:rFonts w:hint="default" w:ascii="Times New Roman" w:hAnsi="Times New Roman" w:eastAsia="仿宋_GB2312" w:cs="Times New Roman"/>
          <w:color w:val="auto"/>
          <w:sz w:val="32"/>
          <w:szCs w:val="32"/>
          <w:highlight w:val="none"/>
          <w:lang w:val="en-US" w:eastAsia="zh-CN"/>
        </w:rPr>
        <w:t xml:space="preserve"> </w:t>
      </w:r>
      <w:r>
        <w:rPr>
          <w:rStyle w:val="155"/>
          <w:rFonts w:hint="default" w:ascii="Times New Roman" w:hAnsi="Times New Roman" w:eastAsia="仿宋_GB2312" w:cs="Times New Roman"/>
          <w:b w:val="0"/>
          <w:color w:val="auto"/>
          <w:sz w:val="32"/>
          <w:szCs w:val="32"/>
          <w:highlight w:val="none"/>
        </w:rPr>
        <w:t>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w:t>
      </w:r>
      <w:r>
        <w:rPr>
          <w:rFonts w:hint="default" w:ascii="Times New Roman" w:hAnsi="Times New Roman" w:eastAsia="仿宋_GB2312" w:cs="Times New Roman"/>
          <w:color w:val="auto"/>
          <w:sz w:val="32"/>
          <w:szCs w:val="32"/>
          <w:highlight w:val="none"/>
        </w:rPr>
        <w:t>标准见《滁州市重点工程建设管理处</w:t>
      </w:r>
      <w:r>
        <w:rPr>
          <w:rStyle w:val="155"/>
          <w:rFonts w:hint="default" w:ascii="Times New Roman" w:hAnsi="Times New Roman" w:eastAsia="仿宋_GB2312" w:cs="Times New Roman"/>
          <w:b w:val="0"/>
          <w:color w:val="auto"/>
          <w:sz w:val="32"/>
          <w:szCs w:val="32"/>
          <w:highlight w:val="none"/>
        </w:rPr>
        <w:t>项目结算审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考核表</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进行约谈。</w:t>
      </w:r>
    </w:p>
    <w:p w14:paraId="2B87FD5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第七章 罚则</w:t>
      </w:r>
    </w:p>
    <w:p w14:paraId="54F3FB77">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项目施工过程中发现清单错漏项，累计5万元（含）-30万元（不含）的，给予企业4000元的违约金处罚；累计30万元（含）-50万元（不含）的，给予企业8000元的违约金处罚；累计50万元（含）-100万元（不含）的，给予企业12000元的违约金处罚；累计100万元（含）以上且误差率3%（含）以内的，给予企业20000元的违约金处罚，暂停业务6个月；累计100万元（含）以上的且误差率在3%（不含）-5%（含）的，暂停业务12个月，给予企业10%咨询服务费的违约金处罚且不低于20000元；累计100万元（含）以上的且误差率超过5%（含）的，暂停业务12个月，给予企业50%咨询服务费的违约金处罚且不低于20000元并对企业及相关责任人进行通报，上述违约金处罚以服务费用总额为上限。</w:t>
      </w:r>
    </w:p>
    <w:p w14:paraId="427758E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第二十六条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w:t>
      </w:r>
      <w:r>
        <w:rPr>
          <w:rFonts w:hint="default" w:ascii="Times New Roman" w:hAnsi="Times New Roman" w:eastAsia="仿宋_GB2312" w:cs="Times New Roman"/>
          <w:b w:val="0"/>
          <w:bCs w:val="0"/>
          <w:color w:val="auto"/>
          <w:sz w:val="32"/>
          <w:szCs w:val="32"/>
          <w:highlight w:val="none"/>
        </w:rPr>
        <w:t>结算审核服务费</w:t>
      </w:r>
      <w:r>
        <w:rPr>
          <w:rFonts w:hint="default" w:ascii="Times New Roman" w:hAnsi="Times New Roman" w:eastAsia="仿宋_GB2312" w:cs="Times New Roman"/>
          <w:b w:val="0"/>
          <w:bCs w:val="0"/>
          <w:color w:val="auto"/>
          <w:sz w:val="32"/>
          <w:szCs w:val="32"/>
          <w:highlight w:val="none"/>
          <w:lang w:eastAsia="zh-CN"/>
        </w:rPr>
        <w:t>的误差违约金处罚</w:t>
      </w:r>
      <w:r>
        <w:rPr>
          <w:rFonts w:hint="default" w:ascii="Times New Roman" w:hAnsi="Times New Roman" w:eastAsia="仿宋_GB2312" w:cs="Times New Roman"/>
          <w:color w:val="auto"/>
          <w:sz w:val="32"/>
          <w:szCs w:val="32"/>
          <w:highlight w:val="none"/>
        </w:rPr>
        <w:t>根据第三方复审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综合计划科复核</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市财政工程造价审核中心</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审核结果</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rPr>
        <w:t>：</w:t>
      </w:r>
    </w:p>
    <w:p w14:paraId="2D009790">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25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53C4FBE2">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50</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49182F4F">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75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1DCE3536">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审核结果误差超过</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以全额服务费</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同时，工程造价 </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rPr>
        <w:t xml:space="preserve">；工程造价 </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万元以上项目，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12个月。</w:t>
      </w:r>
    </w:p>
    <w:p w14:paraId="2B54126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造价企业应在规定时间内提交</w:t>
      </w:r>
      <w:r>
        <w:rPr>
          <w:rFonts w:hint="default" w:ascii="Times New Roman" w:hAnsi="Times New Roman" w:eastAsia="仿宋_GB2312" w:cs="Times New Roman"/>
          <w:color w:val="auto"/>
          <w:sz w:val="32"/>
          <w:szCs w:val="32"/>
          <w:highlight w:val="none"/>
          <w:lang w:eastAsia="zh-CN"/>
        </w:rPr>
        <w:t>咨询成果文件</w:t>
      </w:r>
      <w:r>
        <w:rPr>
          <w:rFonts w:hint="default" w:ascii="Times New Roman" w:hAnsi="Times New Roman" w:eastAsia="仿宋_GB2312" w:cs="Times New Roman"/>
          <w:color w:val="auto"/>
          <w:sz w:val="32"/>
          <w:szCs w:val="32"/>
          <w:highlight w:val="none"/>
        </w:rPr>
        <w:t>，因造价企业原因未能按</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提交，超过</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过15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规定时间一半以上的，终止委托</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w:t>
      </w:r>
    </w:p>
    <w:p w14:paraId="3AA6F107">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人员）不得接受项目施工单位的结算编制等影响审计独立性的业务，一经发现，</w:t>
      </w:r>
      <w:r>
        <w:rPr>
          <w:rFonts w:hint="default" w:ascii="Times New Roman" w:hAnsi="Times New Roman" w:eastAsia="仿宋_GB2312" w:cs="Times New Roman"/>
          <w:color w:val="auto"/>
          <w:sz w:val="32"/>
          <w:szCs w:val="32"/>
          <w:highlight w:val="none"/>
          <w:lang w:eastAsia="zh-CN"/>
        </w:rPr>
        <w:t>终止</w:t>
      </w:r>
      <w:r>
        <w:rPr>
          <w:rFonts w:hint="default" w:ascii="Times New Roman" w:hAnsi="Times New Roman" w:eastAsia="仿宋_GB2312" w:cs="Times New Roman"/>
          <w:color w:val="auto"/>
          <w:sz w:val="32"/>
          <w:szCs w:val="32"/>
          <w:highlight w:val="none"/>
        </w:rPr>
        <w:t>项目造价咨询委托协议，清除出库，并在处官网通报，同时抄送市审计局，市住建局，市财政局</w:t>
      </w:r>
      <w:r>
        <w:rPr>
          <w:rFonts w:hint="default" w:ascii="Times New Roman" w:hAnsi="Times New Roman" w:eastAsia="仿宋_GB2312" w:cs="Times New Roman"/>
          <w:color w:val="auto"/>
          <w:sz w:val="32"/>
          <w:szCs w:val="32"/>
          <w:highlight w:val="none"/>
          <w:lang w:eastAsia="zh-CN"/>
        </w:rPr>
        <w:t>，市公管局</w:t>
      </w:r>
      <w:r>
        <w:rPr>
          <w:rFonts w:hint="default" w:ascii="Times New Roman" w:hAnsi="Times New Roman" w:eastAsia="仿宋_GB2312" w:cs="Times New Roman"/>
          <w:color w:val="auto"/>
          <w:sz w:val="32"/>
          <w:szCs w:val="32"/>
          <w:highlight w:val="none"/>
        </w:rPr>
        <w:t>。</w:t>
      </w:r>
    </w:p>
    <w:p w14:paraId="388D75A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造价企业有下列情形之一的，可扣减审计服务费用，终止审计委托协议，提请行政主管部门给予警告、通报，清除出库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有限期或无限期禁止从事我处项目等处罚</w:t>
      </w:r>
      <w:r>
        <w:rPr>
          <w:rFonts w:hint="default" w:ascii="Times New Roman" w:hAnsi="Times New Roman" w:eastAsia="仿宋_GB2312" w:cs="Times New Roman"/>
          <w:color w:val="auto"/>
          <w:sz w:val="32"/>
          <w:szCs w:val="32"/>
          <w:highlight w:val="none"/>
          <w:lang w:eastAsia="zh-CN"/>
        </w:rPr>
        <w:t>，构成犯罪的，依法追究刑事责任</w:t>
      </w:r>
      <w:r>
        <w:rPr>
          <w:rFonts w:hint="default" w:ascii="Times New Roman" w:hAnsi="Times New Roman" w:eastAsia="仿宋_GB2312" w:cs="Times New Roman"/>
          <w:color w:val="auto"/>
          <w:sz w:val="32"/>
          <w:szCs w:val="32"/>
          <w:highlight w:val="none"/>
        </w:rPr>
        <w:t>：</w:t>
      </w:r>
    </w:p>
    <w:p w14:paraId="2F82BC99">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工程结算审核报告存在重大失误或质量低劣；</w:t>
      </w:r>
    </w:p>
    <w:p w14:paraId="7C33F91C">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因自身工作错误或过失造成重大损失；</w:t>
      </w:r>
    </w:p>
    <w:p w14:paraId="2C18A93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未经允许私自向施工单位透露审核情况或信息；</w:t>
      </w:r>
    </w:p>
    <w:p w14:paraId="702EA5F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向相关单位或个人索要财物等谋取不正当利益；</w:t>
      </w:r>
    </w:p>
    <w:p w14:paraId="249FAD4E">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单独或与其他各方串通舞弊、弄虚作假；</w:t>
      </w:r>
    </w:p>
    <w:p w14:paraId="52E49EC7">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其他违反法律法规和</w:t>
      </w:r>
      <w:r>
        <w:rPr>
          <w:rFonts w:hint="default"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的行为。</w:t>
      </w:r>
    </w:p>
    <w:p w14:paraId="0668D6B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造价企业存在转包、违法分包等行为的，</w:t>
      </w:r>
      <w:r>
        <w:rPr>
          <w:rFonts w:hint="default" w:ascii="Times New Roman" w:hAnsi="Times New Roman" w:eastAsia="仿宋_GB2312" w:cs="Times New Roman"/>
          <w:color w:val="auto"/>
          <w:sz w:val="32"/>
          <w:szCs w:val="32"/>
          <w:highlight w:val="none"/>
        </w:rPr>
        <w:t>无证人员执业、挂靠执业、执业人员不到岗等违反相关</w:t>
      </w:r>
      <w:r>
        <w:rPr>
          <w:rFonts w:hint="default" w:ascii="Times New Roman" w:hAnsi="Times New Roman" w:eastAsia="仿宋_GB2312" w:cs="Times New Roman"/>
          <w:color w:val="auto"/>
          <w:sz w:val="32"/>
          <w:szCs w:val="32"/>
          <w:highlight w:val="none"/>
          <w:lang w:eastAsia="zh-CN"/>
        </w:rPr>
        <w:t>法规的，将按相关法规进行处罚，终止</w:t>
      </w:r>
      <w:r>
        <w:rPr>
          <w:rFonts w:hint="default" w:ascii="Times New Roman" w:hAnsi="Times New Roman" w:eastAsia="仿宋_GB2312" w:cs="Times New Roman"/>
          <w:color w:val="auto"/>
          <w:sz w:val="32"/>
          <w:szCs w:val="32"/>
          <w:highlight w:val="none"/>
        </w:rPr>
        <w:t>委托业务</w:t>
      </w:r>
      <w:r>
        <w:rPr>
          <w:rFonts w:hint="default" w:ascii="Times New Roman" w:hAnsi="Times New Roman" w:eastAsia="仿宋_GB2312" w:cs="Times New Roman"/>
          <w:color w:val="auto"/>
          <w:sz w:val="32"/>
          <w:szCs w:val="32"/>
          <w:highlight w:val="none"/>
          <w:lang w:eastAsia="zh-CN"/>
        </w:rPr>
        <w:t>，清除出库，三年内不得申请入库</w:t>
      </w:r>
      <w:r>
        <w:rPr>
          <w:rFonts w:hint="default" w:ascii="Times New Roman" w:hAnsi="Times New Roman" w:eastAsia="仿宋_GB2312" w:cs="Times New Roman"/>
          <w:color w:val="auto"/>
          <w:sz w:val="32"/>
          <w:szCs w:val="32"/>
          <w:highlight w:val="none"/>
        </w:rPr>
        <w:t>。</w:t>
      </w:r>
    </w:p>
    <w:p w14:paraId="4BF85E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第八章 附则</w:t>
      </w:r>
    </w:p>
    <w:p w14:paraId="20649371">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第三十一条</w:t>
      </w:r>
      <w:r>
        <w:rPr>
          <w:rFonts w:hint="default" w:ascii="Times New Roman" w:hAnsi="Times New Roman" w:eastAsia="仿宋_GB2312" w:cs="Times New Roman"/>
          <w:color w:val="auto"/>
          <w:sz w:val="32"/>
          <w:szCs w:val="32"/>
          <w:highlight w:val="none"/>
          <w:lang w:val="en-US" w:eastAsia="zh-CN"/>
        </w:rPr>
        <w:t xml:space="preserve">  对</w:t>
      </w:r>
      <w:r>
        <w:rPr>
          <w:rFonts w:hint="default" w:ascii="Times New Roman" w:hAnsi="Times New Roman" w:eastAsia="仿宋_GB2312" w:cs="Times New Roman"/>
          <w:color w:val="auto"/>
          <w:sz w:val="32"/>
          <w:szCs w:val="32"/>
          <w:highlight w:val="none"/>
          <w:lang w:eastAsia="zh-CN"/>
        </w:rPr>
        <w:t>清单编制企业的处罚，由工程建设科牵头，召集设计、清单编制、施工、监理、跟踪审计、工程监管科、综合计划科，并提出处理意见，经项目分管领导批准后，工程建设科报主任办公会研究，工程监管科落实处罚。</w:t>
      </w:r>
    </w:p>
    <w:p w14:paraId="0704E26E">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第三十二条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考核由综合计划科负责</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，工程建设相关科室配合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考核结果</w:t>
      </w:r>
      <w:r>
        <w:rPr>
          <w:rFonts w:hint="default" w:ascii="Times New Roman" w:hAnsi="Times New Roman" w:eastAsia="仿宋_GB2312" w:cs="Times New Roman"/>
          <w:b w:val="0"/>
          <w:bCs w:val="0"/>
          <w:color w:val="auto"/>
          <w:sz w:val="32"/>
          <w:szCs w:val="32"/>
          <w:highlight w:val="none"/>
          <w:lang w:eastAsia="zh-CN"/>
        </w:rPr>
        <w:t>经</w:t>
      </w:r>
      <w:r>
        <w:rPr>
          <w:rFonts w:hint="default" w:ascii="Times New Roman" w:hAnsi="Times New Roman" w:eastAsia="仿宋_GB2312" w:cs="Times New Roman"/>
          <w:b w:val="0"/>
          <w:bCs w:val="0"/>
          <w:color w:val="auto"/>
          <w:sz w:val="32"/>
          <w:szCs w:val="32"/>
          <w:highlight w:val="none"/>
        </w:rPr>
        <w:t>综合计划科分管领导</w:t>
      </w:r>
      <w:r>
        <w:rPr>
          <w:rFonts w:hint="default" w:ascii="Times New Roman" w:hAnsi="Times New Roman" w:eastAsia="仿宋_GB2312" w:cs="Times New Roman"/>
          <w:b w:val="0"/>
          <w:bCs w:val="0"/>
          <w:color w:val="auto"/>
          <w:sz w:val="32"/>
          <w:szCs w:val="32"/>
          <w:highlight w:val="none"/>
          <w:lang w:eastAsia="zh-CN"/>
        </w:rPr>
        <w:t>审核</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b w:val="0"/>
          <w:bCs w:val="0"/>
          <w:color w:val="auto"/>
          <w:sz w:val="32"/>
          <w:szCs w:val="32"/>
          <w:highlight w:val="none"/>
          <w:lang w:eastAsia="zh-CN"/>
        </w:rPr>
        <w:t>报</w:t>
      </w:r>
      <w:r>
        <w:rPr>
          <w:rFonts w:hint="default" w:ascii="Times New Roman" w:hAnsi="Times New Roman" w:eastAsia="仿宋_GB2312" w:cs="Times New Roman"/>
          <w:b w:val="0"/>
          <w:bCs w:val="0"/>
          <w:color w:val="auto"/>
          <w:sz w:val="32"/>
          <w:szCs w:val="32"/>
          <w:highlight w:val="none"/>
        </w:rPr>
        <w:t>主任办公会</w:t>
      </w:r>
      <w:r>
        <w:rPr>
          <w:rFonts w:hint="default" w:ascii="Times New Roman" w:hAnsi="Times New Roman" w:eastAsia="仿宋_GB2312" w:cs="Times New Roman"/>
          <w:b w:val="0"/>
          <w:bCs w:val="0"/>
          <w:color w:val="auto"/>
          <w:sz w:val="32"/>
          <w:szCs w:val="32"/>
          <w:highlight w:val="none"/>
          <w:lang w:eastAsia="zh-CN"/>
        </w:rPr>
        <w:t>研究，</w:t>
      </w:r>
      <w:r>
        <w:rPr>
          <w:rFonts w:hint="default" w:ascii="Times New Roman" w:hAnsi="Times New Roman" w:eastAsia="仿宋_GB2312" w:cs="Times New Roman"/>
          <w:color w:val="auto"/>
          <w:sz w:val="32"/>
          <w:szCs w:val="32"/>
          <w:highlight w:val="none"/>
          <w:lang w:eastAsia="zh-CN"/>
        </w:rPr>
        <w:t>工程监管科</w:t>
      </w:r>
      <w:r>
        <w:rPr>
          <w:rFonts w:hint="default" w:ascii="Times New Roman" w:hAnsi="Times New Roman" w:eastAsia="仿宋_GB2312" w:cs="Times New Roman"/>
          <w:b w:val="0"/>
          <w:bCs w:val="0"/>
          <w:color w:val="auto"/>
          <w:sz w:val="32"/>
          <w:szCs w:val="32"/>
          <w:highlight w:val="none"/>
          <w:lang w:eastAsia="zh-CN"/>
        </w:rPr>
        <w:t>落实</w:t>
      </w:r>
      <w:r>
        <w:rPr>
          <w:rFonts w:hint="default" w:ascii="Times New Roman" w:hAnsi="Times New Roman" w:eastAsia="仿宋_GB2312" w:cs="Times New Roman"/>
          <w:color w:val="auto"/>
          <w:sz w:val="32"/>
          <w:szCs w:val="32"/>
          <w:highlight w:val="none"/>
          <w:lang w:eastAsia="zh-CN"/>
        </w:rPr>
        <w:t>处罚</w:t>
      </w:r>
      <w:r>
        <w:rPr>
          <w:rFonts w:hint="default" w:ascii="Times New Roman" w:hAnsi="Times New Roman" w:eastAsia="仿宋_GB2312" w:cs="Times New Roman"/>
          <w:b w:val="0"/>
          <w:bCs w:val="0"/>
          <w:color w:val="auto"/>
          <w:sz w:val="32"/>
          <w:szCs w:val="32"/>
          <w:highlight w:val="none"/>
          <w:lang w:eastAsia="zh-CN"/>
        </w:rPr>
        <w:t>。</w:t>
      </w:r>
    </w:p>
    <w:p w14:paraId="69EEFBA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暂停业务范围包括清单编制、跟踪审计和结算审核等，暂停时间自</w:t>
      </w:r>
      <w:r>
        <w:rPr>
          <w:rFonts w:hint="default" w:ascii="Times New Roman" w:hAnsi="Times New Roman" w:eastAsia="仿宋_GB2312" w:cs="Times New Roman"/>
          <w:b w:val="0"/>
          <w:bCs w:val="0"/>
          <w:color w:val="auto"/>
          <w:sz w:val="32"/>
          <w:szCs w:val="32"/>
          <w:highlight w:val="none"/>
          <w:lang w:val="en-US" w:eastAsia="zh-CN"/>
        </w:rPr>
        <w:t>主任办公会研究通过之日起计算。</w:t>
      </w:r>
    </w:p>
    <w:p w14:paraId="27779C9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w:t>
      </w:r>
      <w:r>
        <w:rPr>
          <w:rFonts w:hint="default"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起施行，处属各中心可参照执行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46314354">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cs="Times New Roman"/>
          <w:color w:val="auto"/>
          <w:sz w:val="32"/>
          <w:szCs w:val="32"/>
          <w:highlight w:val="none"/>
        </w:rPr>
      </w:pPr>
    </w:p>
    <w:p w14:paraId="49F73DC8">
      <w:pPr>
        <w:keepNext w:val="0"/>
        <w:keepLines w:val="0"/>
        <w:pageBreakBefore w:val="0"/>
        <w:widowControl w:val="0"/>
        <w:kinsoku/>
        <w:wordWrap/>
        <w:overflowPunct/>
        <w:topLinePunct w:val="0"/>
        <w:autoSpaceDE/>
        <w:autoSpaceDN/>
        <w:bidi w:val="0"/>
        <w:adjustRightInd/>
        <w:snapToGrid/>
        <w:spacing w:line="400" w:lineRule="exact"/>
        <w:ind w:left="1700" w:leftChars="200" w:hanging="1280" w:hangingChars="4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w:t>
      </w:r>
    </w:p>
    <w:p w14:paraId="5211ECED">
      <w:pPr>
        <w:keepNext w:val="0"/>
        <w:keepLines w:val="0"/>
        <w:pageBreakBefore w:val="0"/>
        <w:widowControl w:val="0"/>
        <w:kinsoku/>
        <w:wordWrap/>
        <w:overflowPunct/>
        <w:topLinePunct w:val="0"/>
        <w:autoSpaceDE/>
        <w:autoSpaceDN/>
        <w:bidi w:val="0"/>
        <w:adjustRightInd/>
        <w:snapToGrid/>
        <w:spacing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eastAsia="zh-CN"/>
        </w:rPr>
        <w:t>跟踪</w:t>
      </w:r>
      <w:r>
        <w:rPr>
          <w:rStyle w:val="155"/>
          <w:rFonts w:hint="default" w:ascii="Times New Roman" w:hAnsi="Times New Roman" w:eastAsia="仿宋_GB2312" w:cs="Times New Roman"/>
          <w:b w:val="0"/>
          <w:color w:val="auto"/>
          <w:sz w:val="32"/>
          <w:szCs w:val="32"/>
          <w:highlight w:val="none"/>
          <w:lang w:bidi="ar"/>
        </w:rPr>
        <w:t>审计服务质量日常考核表</w:t>
      </w:r>
      <w:r>
        <w:rPr>
          <w:rFonts w:hint="default" w:ascii="Times New Roman" w:hAnsi="Times New Roman" w:eastAsia="仿宋_GB2312" w:cs="Times New Roman"/>
          <w:color w:val="auto"/>
          <w:sz w:val="32"/>
          <w:szCs w:val="32"/>
          <w:highlight w:val="none"/>
        </w:rPr>
        <w:t>》</w:t>
      </w:r>
    </w:p>
    <w:tbl>
      <w:tblPr>
        <w:tblStyle w:val="46"/>
        <w:tblpPr w:leftFromText="180" w:rightFromText="180" w:vertAnchor="text" w:horzAnchor="page" w:tblpXSpec="center" w:tblpY="1462"/>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14:paraId="555630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54" w:type="dxa"/>
            <w:tcBorders>
              <w:top w:val="single" w:color="auto" w:sz="12" w:space="0"/>
              <w:bottom w:val="single" w:color="auto" w:sz="4" w:space="0"/>
              <w:tl2br w:val="nil"/>
              <w:tr2bl w:val="nil"/>
            </w:tcBorders>
            <w:noWrap w:val="0"/>
            <w:vAlign w:val="top"/>
          </w:tcPr>
          <w:p w14:paraId="771C9E0B">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color w:val="auto"/>
                <w:kern w:val="0"/>
                <w:sz w:val="32"/>
                <w:szCs w:val="32"/>
                <w:highlight w:val="none"/>
              </w:rPr>
              <w:t>抄送：市审计局，市住建局，市财政局，市公管局</w:t>
            </w:r>
          </w:p>
        </w:tc>
      </w:tr>
      <w:tr w14:paraId="38558A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tcBorders>
              <w:top w:val="single" w:color="auto" w:sz="4" w:space="0"/>
              <w:bottom w:val="single" w:color="auto" w:sz="12" w:space="0"/>
              <w:tl2br w:val="nil"/>
              <w:tr2bl w:val="nil"/>
            </w:tcBorders>
            <w:noWrap w:val="0"/>
            <w:vAlign w:val="top"/>
          </w:tcPr>
          <w:p w14:paraId="13076E55">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lang w:val="en-US" w:eastAsia="zh-CN"/>
              </w:rPr>
              <w:t>滁州市重点工程建设管理处办公室        2022年9月5日印发</w:t>
            </w:r>
          </w:p>
        </w:tc>
      </w:tr>
    </w:tbl>
    <w:p w14:paraId="4A67A413">
      <w:pPr>
        <w:pStyle w:val="2"/>
        <w:keepNext w:val="0"/>
        <w:keepLines w:val="0"/>
        <w:pageBreakBefore w:val="0"/>
        <w:widowControl w:val="0"/>
        <w:kinsoku/>
        <w:wordWrap/>
        <w:overflowPunct/>
        <w:topLinePunct w:val="0"/>
        <w:autoSpaceDE/>
        <w:autoSpaceDN/>
        <w:bidi w:val="0"/>
        <w:adjustRightInd/>
        <w:snapToGrid/>
        <w:spacing w:after="0"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《滁州市重点工程建设管理处结算审</w:t>
      </w:r>
      <w:r>
        <w:rPr>
          <w:rFonts w:hint="default" w:ascii="Times New Roman" w:hAnsi="Times New Roman" w:eastAsia="仿宋_GB2312" w:cs="Times New Roman"/>
          <w:color w:val="auto"/>
          <w:sz w:val="32"/>
          <w:szCs w:val="32"/>
          <w:highlight w:val="none"/>
          <w:lang w:eastAsia="zh-CN"/>
        </w:rPr>
        <w:t>（复）</w:t>
      </w:r>
      <w:r>
        <w:rPr>
          <w:rFonts w:hint="default" w:ascii="Times New Roman" w:hAnsi="Times New Roman" w:eastAsia="仿宋_GB2312" w:cs="Times New Roman"/>
          <w:color w:val="auto"/>
          <w:sz w:val="32"/>
          <w:szCs w:val="32"/>
          <w:highlight w:val="none"/>
        </w:rPr>
        <w:t>核</w:t>
      </w:r>
      <w:r>
        <w:rPr>
          <w:rFonts w:hint="default" w:ascii="Times New Roman" w:hAnsi="Times New Roman" w:eastAsia="仿宋_GB2312" w:cs="Times New Roman"/>
          <w:color w:val="auto"/>
          <w:sz w:val="32"/>
          <w:szCs w:val="32"/>
          <w:highlight w:val="none"/>
          <w:lang w:eastAsia="zh-CN"/>
        </w:rPr>
        <w:t>成果质量</w:t>
      </w:r>
      <w:r>
        <w:rPr>
          <w:rFonts w:hint="default" w:ascii="Times New Roman" w:hAnsi="Times New Roman" w:eastAsia="仿宋_GB2312" w:cs="Times New Roman"/>
          <w:color w:val="auto"/>
          <w:sz w:val="32"/>
          <w:szCs w:val="32"/>
          <w:highlight w:val="none"/>
        </w:rPr>
        <w:t>考核表》</w:t>
      </w:r>
    </w:p>
    <w:p w14:paraId="7747B6AC">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7"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51C7697F">
      <w:pPr>
        <w:pStyle w:val="2"/>
        <w:spacing w:line="24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tbl>
      <w:tblPr>
        <w:tblStyle w:val="45"/>
        <w:tblpPr w:leftFromText="180" w:rightFromText="180" w:vertAnchor="text" w:horzAnchor="page" w:tblpX="795" w:tblpY="744"/>
        <w:tblOverlap w:val="never"/>
        <w:tblW w:w="10412" w:type="dxa"/>
        <w:jc w:val="center"/>
        <w:tblLayout w:type="fixed"/>
        <w:tblCellMar>
          <w:top w:w="0" w:type="dxa"/>
          <w:left w:w="0" w:type="dxa"/>
          <w:bottom w:w="0" w:type="dxa"/>
          <w:right w:w="0" w:type="dxa"/>
        </w:tblCellMar>
      </w:tblPr>
      <w:tblGrid>
        <w:gridCol w:w="640"/>
        <w:gridCol w:w="689"/>
        <w:gridCol w:w="2928"/>
        <w:gridCol w:w="566"/>
        <w:gridCol w:w="702"/>
        <w:gridCol w:w="1030"/>
        <w:gridCol w:w="3857"/>
      </w:tblGrid>
      <w:tr w14:paraId="5745EAB2">
        <w:tblPrEx>
          <w:tblCellMar>
            <w:top w:w="0" w:type="dxa"/>
            <w:left w:w="0" w:type="dxa"/>
            <w:bottom w:w="0" w:type="dxa"/>
            <w:right w:w="0" w:type="dxa"/>
          </w:tblCellMar>
        </w:tblPrEx>
        <w:trPr>
          <w:trHeight w:val="435" w:hRule="atLeast"/>
          <w:jc w:val="center"/>
        </w:trPr>
        <w:tc>
          <w:tcPr>
            <w:tcW w:w="10412" w:type="dxa"/>
            <w:gridSpan w:val="7"/>
            <w:tcBorders>
              <w:top w:val="nil"/>
              <w:left w:val="nil"/>
              <w:bottom w:val="single" w:color="000000" w:sz="4" w:space="0"/>
              <w:right w:val="nil"/>
            </w:tcBorders>
            <w:noWrap w:val="0"/>
            <w:tcMar>
              <w:top w:w="15" w:type="dxa"/>
              <w:left w:w="15" w:type="dxa"/>
              <w:right w:w="15" w:type="dxa"/>
            </w:tcMar>
            <w:vAlign w:val="center"/>
          </w:tcPr>
          <w:p w14:paraId="53EB4CDA">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Style w:val="149"/>
                <w:rFonts w:hint="eastAsia" w:ascii="宋体" w:hAnsi="宋体" w:eastAsia="宋体" w:cs="宋体"/>
                <w:b w:val="0"/>
                <w:color w:val="auto"/>
                <w:highlight w:val="none"/>
                <w:lang w:bidi="ar"/>
              </w:rPr>
              <w:t>项目工程量清单</w:t>
            </w:r>
            <w:r>
              <w:rPr>
                <w:rStyle w:val="149"/>
                <w:rFonts w:hint="eastAsia" w:ascii="宋体" w:hAnsi="宋体" w:eastAsia="宋体" w:cs="宋体"/>
                <w:b w:val="0"/>
                <w:color w:val="auto"/>
                <w:highlight w:val="none"/>
                <w:lang w:eastAsia="zh-CN" w:bidi="ar"/>
              </w:rPr>
              <w:t>及</w:t>
            </w:r>
            <w:r>
              <w:rPr>
                <w:rStyle w:val="149"/>
                <w:rFonts w:hint="eastAsia" w:ascii="宋体" w:hAnsi="宋体" w:eastAsia="宋体" w:cs="宋体"/>
                <w:b w:val="0"/>
                <w:color w:val="auto"/>
                <w:highlight w:val="none"/>
                <w:lang w:bidi="ar"/>
              </w:rPr>
              <w:t xml:space="preserve">最高投标限价编制质量考核表 </w:t>
            </w:r>
          </w:p>
        </w:tc>
      </w:tr>
      <w:tr w14:paraId="284BAF87">
        <w:tblPrEx>
          <w:tblCellMar>
            <w:top w:w="0" w:type="dxa"/>
            <w:left w:w="0" w:type="dxa"/>
            <w:bottom w:w="0" w:type="dxa"/>
            <w:right w:w="0" w:type="dxa"/>
          </w:tblCellMar>
        </w:tblPrEx>
        <w:trPr>
          <w:trHeight w:val="503"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770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kern w:val="0"/>
                <w:sz w:val="22"/>
                <w:szCs w:val="22"/>
                <w:highlight w:val="none"/>
                <w:lang w:eastAsia="zh-CN" w:bidi="ar"/>
              </w:rPr>
              <w:t>序号</w:t>
            </w: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125D8">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066EB">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A31C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1D8F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39650">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D328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27C981FF">
        <w:tblPrEx>
          <w:tblCellMar>
            <w:top w:w="0" w:type="dxa"/>
            <w:left w:w="0" w:type="dxa"/>
            <w:bottom w:w="0" w:type="dxa"/>
            <w:right w:w="0" w:type="dxa"/>
          </w:tblCellMar>
        </w:tblPrEx>
        <w:trPr>
          <w:trHeight w:val="90" w:hRule="atLeast"/>
          <w:jc w:val="center"/>
        </w:trPr>
        <w:tc>
          <w:tcPr>
            <w:tcW w:w="6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A0F3D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一</w:t>
            </w:r>
          </w:p>
        </w:tc>
        <w:tc>
          <w:tcPr>
            <w:tcW w:w="68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81AE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基本考核分</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BD6C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人员能力是否具备胜任本项目需要</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52DA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D76D1">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B3EAE">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8880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需在项目开始编制前向综合计划科报送编制审核组成员任命文件：</w:t>
            </w:r>
            <w:r>
              <w:rPr>
                <w:rFonts w:hint="eastAsia" w:ascii="宋体" w:hAnsi="宋体" w:eastAsia="宋体" w:cs="宋体"/>
                <w:color w:val="auto"/>
                <w:kern w:val="0"/>
                <w:sz w:val="24"/>
                <w:szCs w:val="24"/>
                <w:highlight w:val="none"/>
                <w:lang w:val="en-US" w:eastAsia="zh-CN" w:bidi="ar"/>
              </w:rPr>
              <w:t>5分</w:t>
            </w:r>
          </w:p>
          <w:p w14:paraId="2FA08CB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编制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复核人员资格：5分                                      </w:t>
            </w:r>
          </w:p>
          <w:p w14:paraId="4BB90FC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会审汇报人员资格 ：</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 xml:space="preserve">分                  </w:t>
            </w:r>
          </w:p>
        </w:tc>
      </w:tr>
      <w:tr w14:paraId="2AE1F268">
        <w:tblPrEx>
          <w:tblCellMar>
            <w:top w:w="0" w:type="dxa"/>
            <w:left w:w="0" w:type="dxa"/>
            <w:bottom w:w="0" w:type="dxa"/>
            <w:right w:w="0" w:type="dxa"/>
          </w:tblCellMar>
        </w:tblPrEx>
        <w:trPr>
          <w:trHeight w:val="541"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235A8EEC">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1A50FB5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760F7">
            <w:pPr>
              <w:widowControl/>
              <w:numPr>
                <w:ilvl w:val="0"/>
                <w:numId w:val="0"/>
              </w:numP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现场踏勘</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95AFB">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7B7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7BB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FA906">
            <w:pPr>
              <w:widowControl/>
              <w:jc w:val="left"/>
              <w:textAlignment w:val="center"/>
              <w:rPr>
                <w:rFonts w:hint="eastAsia" w:ascii="宋体" w:hAnsi="宋体" w:eastAsia="宋体" w:cs="宋体"/>
                <w:color w:val="auto"/>
                <w:sz w:val="24"/>
                <w:szCs w:val="24"/>
                <w:highlight w:val="none"/>
                <w:lang w:val="en-US" w:eastAsia="zh-CN"/>
              </w:rPr>
            </w:pPr>
          </w:p>
        </w:tc>
      </w:tr>
      <w:tr w14:paraId="3B2B88FF">
        <w:tblPrEx>
          <w:tblCellMar>
            <w:top w:w="0" w:type="dxa"/>
            <w:left w:w="0" w:type="dxa"/>
            <w:bottom w:w="0" w:type="dxa"/>
            <w:right w:w="0" w:type="dxa"/>
          </w:tblCellMar>
        </w:tblPrEx>
        <w:trPr>
          <w:trHeight w:val="171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E2E258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A3425F7">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B165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3.是否按时完成清单编制</w:t>
            </w:r>
            <w:r>
              <w:rPr>
                <w:rFonts w:hint="eastAsia" w:ascii="宋体" w:hAnsi="宋体" w:eastAsia="宋体" w:cs="宋体"/>
                <w:color w:val="auto"/>
                <w:kern w:val="0"/>
                <w:sz w:val="24"/>
                <w:szCs w:val="24"/>
                <w:highlight w:val="none"/>
                <w:lang w:bidi="ar"/>
              </w:rPr>
              <w:t>清单</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043D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6AD2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9C5A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5462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原则上</w:t>
            </w:r>
            <w:r>
              <w:rPr>
                <w:rStyle w:val="151"/>
                <w:rFonts w:hint="eastAsia" w:ascii="宋体" w:hAnsi="宋体" w:eastAsia="宋体" w:cs="宋体"/>
                <w:color w:val="auto"/>
                <w:sz w:val="24"/>
                <w:szCs w:val="24"/>
                <w:highlight w:val="none"/>
                <w:lang w:bidi="ar"/>
              </w:rPr>
              <w:t>500</w:t>
            </w:r>
            <w:r>
              <w:rPr>
                <w:rStyle w:val="152"/>
                <w:rFonts w:hint="eastAsia" w:ascii="宋体" w:hAnsi="宋体" w:eastAsia="宋体" w:cs="宋体"/>
                <w:color w:val="auto"/>
                <w:sz w:val="24"/>
                <w:szCs w:val="24"/>
                <w:highlight w:val="none"/>
                <w:lang w:bidi="ar"/>
              </w:rPr>
              <w:t>万元以下项目编制时间为</w:t>
            </w:r>
            <w:r>
              <w:rPr>
                <w:rStyle w:val="151"/>
                <w:rFonts w:hint="eastAsia" w:ascii="宋体" w:hAnsi="宋体" w:eastAsia="宋体" w:cs="宋体"/>
                <w:color w:val="auto"/>
                <w:sz w:val="24"/>
                <w:szCs w:val="24"/>
                <w:highlight w:val="none"/>
                <w:lang w:bidi="ar"/>
              </w:rPr>
              <w:t>7</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500-1000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15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20</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亿元项目</w:t>
            </w:r>
            <w:r>
              <w:rPr>
                <w:rStyle w:val="151"/>
                <w:rFonts w:hint="eastAsia" w:ascii="宋体" w:hAnsi="宋体" w:eastAsia="宋体" w:cs="宋体"/>
                <w:color w:val="auto"/>
                <w:sz w:val="24"/>
                <w:szCs w:val="24"/>
                <w:highlight w:val="none"/>
                <w:lang w:bidi="ar"/>
              </w:rPr>
              <w:t>25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亿元以上项目不低于</w:t>
            </w:r>
            <w:r>
              <w:rPr>
                <w:rStyle w:val="151"/>
                <w:rFonts w:hint="eastAsia" w:ascii="宋体" w:hAnsi="宋体" w:eastAsia="宋体" w:cs="宋体"/>
                <w:color w:val="auto"/>
                <w:sz w:val="24"/>
                <w:szCs w:val="24"/>
                <w:highlight w:val="none"/>
                <w:lang w:bidi="ar"/>
              </w:rPr>
              <w:t>30</w:t>
            </w:r>
            <w:r>
              <w:rPr>
                <w:rStyle w:val="152"/>
                <w:rFonts w:hint="eastAsia" w:ascii="宋体" w:hAnsi="宋体" w:eastAsia="宋体" w:cs="宋体"/>
                <w:color w:val="auto"/>
                <w:sz w:val="24"/>
                <w:szCs w:val="24"/>
                <w:highlight w:val="none"/>
                <w:lang w:bidi="ar"/>
              </w:rPr>
              <w:t>天，特殊项目经处领导同意可以适当缩短或延长编制时间</w:t>
            </w:r>
            <w:r>
              <w:rPr>
                <w:rStyle w:val="152"/>
                <w:rFonts w:hint="eastAsia" w:ascii="宋体" w:hAnsi="宋体" w:eastAsia="宋体" w:cs="宋体"/>
                <w:color w:val="auto"/>
                <w:sz w:val="24"/>
                <w:szCs w:val="24"/>
                <w:highlight w:val="none"/>
                <w:lang w:eastAsia="zh-CN" w:bidi="ar"/>
              </w:rPr>
              <w:t>。每延误</w:t>
            </w:r>
            <w:r>
              <w:rPr>
                <w:rStyle w:val="152"/>
                <w:rFonts w:hint="eastAsia" w:ascii="宋体" w:hAnsi="宋体" w:eastAsia="宋体" w:cs="宋体"/>
                <w:color w:val="auto"/>
                <w:sz w:val="24"/>
                <w:szCs w:val="24"/>
                <w:highlight w:val="none"/>
                <w:lang w:val="en-US" w:eastAsia="zh-CN" w:bidi="ar"/>
              </w:rPr>
              <w:t>1</w:t>
            </w:r>
            <w:r>
              <w:rPr>
                <w:rStyle w:val="152"/>
                <w:rFonts w:hint="eastAsia" w:ascii="宋体" w:hAnsi="宋体" w:eastAsia="宋体" w:cs="宋体"/>
                <w:color w:val="auto"/>
                <w:sz w:val="24"/>
                <w:szCs w:val="24"/>
                <w:highlight w:val="none"/>
                <w:lang w:eastAsia="zh-CN" w:bidi="ar"/>
              </w:rPr>
              <w:t>天扣</w:t>
            </w:r>
            <w:r>
              <w:rPr>
                <w:rStyle w:val="152"/>
                <w:rFonts w:hint="eastAsia" w:ascii="宋体" w:hAnsi="宋体" w:eastAsia="宋体" w:cs="宋体"/>
                <w:color w:val="auto"/>
                <w:sz w:val="24"/>
                <w:szCs w:val="24"/>
                <w:highlight w:val="none"/>
                <w:lang w:val="en-US" w:eastAsia="zh-CN" w:bidi="ar"/>
              </w:rPr>
              <w:t>1分，扣完为止。</w:t>
            </w:r>
          </w:p>
        </w:tc>
      </w:tr>
      <w:tr w14:paraId="06EE182A">
        <w:tblPrEx>
          <w:tblCellMar>
            <w:top w:w="0" w:type="dxa"/>
            <w:left w:w="0" w:type="dxa"/>
            <w:bottom w:w="0" w:type="dxa"/>
            <w:right w:w="0" w:type="dxa"/>
          </w:tblCellMar>
        </w:tblPrEx>
        <w:trPr>
          <w:trHeight w:val="48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6F2E2BB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41C636D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6B471">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会审发现错漏情况</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D7C6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1684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EDC34">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C4C0B">
            <w:p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本项基本分</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分，出现</w:t>
            </w:r>
            <w:r>
              <w:rPr>
                <w:rFonts w:hint="eastAsia" w:ascii="宋体" w:hAnsi="宋体" w:eastAsia="宋体" w:cs="宋体"/>
                <w:color w:val="auto"/>
                <w:kern w:val="0"/>
                <w:sz w:val="24"/>
                <w:szCs w:val="24"/>
                <w:highlight w:val="none"/>
                <w:lang w:eastAsia="zh-CN" w:bidi="ar"/>
              </w:rPr>
              <w:t>单项</w:t>
            </w:r>
            <w:r>
              <w:rPr>
                <w:rFonts w:hint="eastAsia" w:ascii="宋体" w:hAnsi="宋体" w:eastAsia="宋体" w:cs="宋体"/>
                <w:color w:val="auto"/>
                <w:kern w:val="0"/>
                <w:sz w:val="24"/>
                <w:szCs w:val="24"/>
                <w:highlight w:val="none"/>
                <w:lang w:bidi="ar"/>
              </w:rPr>
              <w:t>工程量计算误差超过15%每项扣1分，清单描述错误或未描述或描述不清楚或组价错误每项扣2分，取费错误每项扣5分，扣完为止</w:t>
            </w:r>
          </w:p>
        </w:tc>
      </w:tr>
      <w:tr w14:paraId="1EA0C599">
        <w:tblPrEx>
          <w:tblCellMar>
            <w:top w:w="0" w:type="dxa"/>
            <w:left w:w="0" w:type="dxa"/>
            <w:bottom w:w="0" w:type="dxa"/>
            <w:right w:w="0" w:type="dxa"/>
          </w:tblCellMar>
        </w:tblPrEx>
        <w:trPr>
          <w:trHeight w:val="93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0EF0C9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3D7BBFB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8855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成果文件修改定稿时间满足会议要求</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42BB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608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B631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48488">
            <w:pPr>
              <w:jc w:val="left"/>
              <w:rPr>
                <w:rFonts w:hint="eastAsia" w:ascii="宋体" w:hAnsi="宋体" w:eastAsia="宋体" w:cs="宋体"/>
                <w:color w:val="auto"/>
                <w:sz w:val="24"/>
                <w:szCs w:val="24"/>
                <w:highlight w:val="none"/>
              </w:rPr>
            </w:pPr>
          </w:p>
        </w:tc>
      </w:tr>
      <w:tr w14:paraId="2656486A">
        <w:tblPrEx>
          <w:tblCellMar>
            <w:top w:w="0" w:type="dxa"/>
            <w:left w:w="0" w:type="dxa"/>
            <w:bottom w:w="0" w:type="dxa"/>
            <w:right w:w="0" w:type="dxa"/>
          </w:tblCellMar>
        </w:tblPrEx>
        <w:trPr>
          <w:trHeight w:val="87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5F6BE33E">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559511D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3F95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eastAsia="zh-CN" w:bidi="ar"/>
              </w:rPr>
              <w:t>备忘录（</w:t>
            </w:r>
            <w:r>
              <w:rPr>
                <w:rFonts w:hint="eastAsia" w:ascii="宋体" w:hAnsi="宋体" w:eastAsia="宋体" w:cs="宋体"/>
                <w:color w:val="auto"/>
                <w:kern w:val="0"/>
                <w:sz w:val="24"/>
                <w:szCs w:val="24"/>
                <w:highlight w:val="none"/>
                <w:lang w:bidi="ar"/>
              </w:rPr>
              <w:t>编制说明</w:t>
            </w:r>
            <w:r>
              <w:rPr>
                <w:rFonts w:hint="eastAsia" w:ascii="宋体" w:hAnsi="宋体" w:eastAsia="宋体" w:cs="宋体"/>
                <w:color w:val="auto"/>
                <w:kern w:val="0"/>
                <w:sz w:val="24"/>
                <w:szCs w:val="24"/>
                <w:highlight w:val="none"/>
                <w:lang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37D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F79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6CC21">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CAE35">
            <w:pPr>
              <w:jc w:val="left"/>
              <w:rPr>
                <w:rFonts w:hint="eastAsia" w:ascii="宋体" w:hAnsi="宋体" w:eastAsia="宋体" w:cs="宋体"/>
                <w:color w:val="auto"/>
                <w:sz w:val="24"/>
                <w:szCs w:val="24"/>
                <w:highlight w:val="none"/>
              </w:rPr>
            </w:pPr>
          </w:p>
        </w:tc>
      </w:tr>
      <w:tr w14:paraId="116614D6">
        <w:tblPrEx>
          <w:tblCellMar>
            <w:top w:w="0" w:type="dxa"/>
            <w:left w:w="0" w:type="dxa"/>
            <w:bottom w:w="0" w:type="dxa"/>
            <w:right w:w="0" w:type="dxa"/>
          </w:tblCellMar>
        </w:tblPrEx>
        <w:trPr>
          <w:trHeight w:val="90" w:hRule="atLeast"/>
          <w:jc w:val="center"/>
        </w:trPr>
        <w:tc>
          <w:tcPr>
            <w:tcW w:w="64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6EEB794">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C7842D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73EBB42">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7.业主综合评价</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12CD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EDC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1CE54">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630E9">
            <w:pPr>
              <w:jc w:val="left"/>
              <w:rPr>
                <w:rFonts w:hint="eastAsia" w:ascii="宋体" w:hAnsi="宋体" w:eastAsia="宋体" w:cs="宋体"/>
                <w:color w:val="auto"/>
                <w:sz w:val="24"/>
                <w:szCs w:val="24"/>
                <w:highlight w:val="none"/>
              </w:rPr>
            </w:pPr>
          </w:p>
        </w:tc>
      </w:tr>
      <w:tr w14:paraId="469D4441">
        <w:tblPrEx>
          <w:tblCellMar>
            <w:top w:w="0" w:type="dxa"/>
            <w:left w:w="0" w:type="dxa"/>
            <w:bottom w:w="0" w:type="dxa"/>
            <w:right w:w="0" w:type="dxa"/>
          </w:tblCellMar>
        </w:tblPrEx>
        <w:trPr>
          <w:trHeight w:val="1400"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3E7A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68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9A8A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扣分项</w:t>
            </w:r>
          </w:p>
        </w:tc>
        <w:tc>
          <w:tcPr>
            <w:tcW w:w="29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68BCD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存在转包、违法分包嫌疑</w:t>
            </w:r>
          </w:p>
        </w:tc>
        <w:tc>
          <w:tcPr>
            <w:tcW w:w="5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8F9ED5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519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3897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4EAAB">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编制人员与投标</w:t>
            </w:r>
            <w:r>
              <w:rPr>
                <w:rFonts w:hint="eastAsia" w:ascii="宋体" w:hAnsi="宋体" w:eastAsia="宋体" w:cs="宋体"/>
                <w:color w:val="auto"/>
                <w:kern w:val="0"/>
                <w:sz w:val="24"/>
                <w:szCs w:val="24"/>
                <w:highlight w:val="none"/>
                <w:lang w:eastAsia="zh-CN" w:bidi="ar"/>
              </w:rPr>
              <w:t>时</w:t>
            </w:r>
            <w:r>
              <w:rPr>
                <w:rFonts w:hint="eastAsia" w:ascii="宋体" w:hAnsi="宋体" w:eastAsia="宋体" w:cs="宋体"/>
                <w:color w:val="auto"/>
                <w:kern w:val="0"/>
                <w:sz w:val="24"/>
                <w:szCs w:val="24"/>
                <w:highlight w:val="none"/>
                <w:lang w:bidi="ar"/>
              </w:rPr>
              <w:t>人员一致；成果文件签章人员与实际编制人员一致；人员变更报送批准，且变更人员符合项目招标时人员配备要求，不符合要求</w:t>
            </w:r>
            <w:r>
              <w:rPr>
                <w:rFonts w:hint="eastAsia" w:ascii="宋体" w:hAnsi="宋体" w:eastAsia="宋体" w:cs="宋体"/>
                <w:color w:val="auto"/>
                <w:kern w:val="0"/>
                <w:sz w:val="24"/>
                <w:szCs w:val="24"/>
                <w:highlight w:val="none"/>
                <w:lang w:eastAsia="zh-CN" w:bidi="ar"/>
              </w:rPr>
              <w:t>的每项</w:t>
            </w:r>
            <w:r>
              <w:rPr>
                <w:rFonts w:hint="eastAsia" w:ascii="宋体" w:hAnsi="宋体" w:eastAsia="宋体" w:cs="宋体"/>
                <w:color w:val="auto"/>
                <w:kern w:val="0"/>
                <w:sz w:val="24"/>
                <w:szCs w:val="24"/>
                <w:highlight w:val="none"/>
                <w:lang w:bidi="ar"/>
              </w:rPr>
              <w:t>扣10分</w:t>
            </w:r>
          </w:p>
        </w:tc>
      </w:tr>
      <w:tr w14:paraId="407CB5B4">
        <w:tblPrEx>
          <w:tblCellMar>
            <w:top w:w="0" w:type="dxa"/>
            <w:left w:w="0" w:type="dxa"/>
            <w:bottom w:w="0" w:type="dxa"/>
            <w:right w:w="0" w:type="dxa"/>
          </w:tblCellMar>
        </w:tblPrEx>
        <w:trPr>
          <w:trHeight w:val="1061" w:hRule="atLeast"/>
          <w:jc w:val="center"/>
        </w:trPr>
        <w:tc>
          <w:tcPr>
            <w:tcW w:w="640"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14:paraId="4141160B">
            <w:pPr>
              <w:jc w:val="center"/>
              <w:rPr>
                <w:rFonts w:hint="eastAsia" w:ascii="宋体" w:hAnsi="宋体" w:eastAsia="宋体" w:cs="宋体"/>
                <w:color w:val="auto"/>
                <w:sz w:val="24"/>
                <w:szCs w:val="24"/>
                <w:highlight w:val="none"/>
              </w:rPr>
            </w:pPr>
          </w:p>
        </w:tc>
        <w:tc>
          <w:tcPr>
            <w:tcW w:w="689"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14:paraId="455D43FE">
            <w:pPr>
              <w:jc w:val="center"/>
              <w:rPr>
                <w:rFonts w:hint="eastAsia" w:ascii="宋体" w:hAnsi="宋体" w:eastAsia="宋体" w:cs="宋体"/>
                <w:color w:val="auto"/>
                <w:sz w:val="24"/>
                <w:szCs w:val="24"/>
                <w:highlight w:val="none"/>
              </w:rPr>
            </w:pPr>
          </w:p>
        </w:tc>
        <w:tc>
          <w:tcPr>
            <w:tcW w:w="29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786C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施工过程中发现清单错漏单项</w:t>
            </w:r>
            <w:r>
              <w:rPr>
                <w:rFonts w:hint="eastAsia" w:ascii="宋体" w:hAnsi="宋体" w:eastAsia="宋体" w:cs="宋体"/>
                <w:color w:val="auto"/>
                <w:kern w:val="0"/>
                <w:sz w:val="24"/>
                <w:szCs w:val="24"/>
                <w:highlight w:val="none"/>
                <w:lang w:val="en-US" w:eastAsia="zh-CN" w:bidi="ar"/>
              </w:rPr>
              <w:t>5万元（含）-30万元（不含）的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7A2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1783B">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9B6F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448B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每次扣5分</w:t>
            </w:r>
          </w:p>
        </w:tc>
      </w:tr>
      <w:tr w14:paraId="7A0F8B84">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B7267D">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C9D74F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7416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30万元（含）-50万元（不含）的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83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4022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4E67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F291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w:t>
            </w:r>
          </w:p>
        </w:tc>
      </w:tr>
      <w:tr w14:paraId="7F261B70">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ECB03B">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AA9212D">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D857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50万元（含）-100万元（不含）的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DC382">
            <w:pPr>
              <w:widowControl/>
              <w:jc w:val="center"/>
              <w:textAlignment w:val="center"/>
              <w:rPr>
                <w:rFonts w:hint="eastAsia" w:ascii="宋体" w:hAnsi="宋体" w:eastAsia="宋体" w:cs="宋体"/>
                <w:color w:val="auto"/>
                <w:kern w:val="0"/>
                <w:sz w:val="24"/>
                <w:szCs w:val="24"/>
                <w:highlight w:val="none"/>
                <w:lang w:bidi="ar"/>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DB37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C20A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A67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w:t>
            </w:r>
          </w:p>
        </w:tc>
      </w:tr>
      <w:tr w14:paraId="6A74C286">
        <w:tblPrEx>
          <w:tblCellMar>
            <w:top w:w="0" w:type="dxa"/>
            <w:left w:w="0" w:type="dxa"/>
            <w:bottom w:w="0" w:type="dxa"/>
            <w:right w:w="0" w:type="dxa"/>
          </w:tblCellMar>
        </w:tblPrEx>
        <w:trPr>
          <w:trHeight w:val="1169"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0847C6B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58B326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EF4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万元</w:t>
            </w:r>
            <w:r>
              <w:rPr>
                <w:rFonts w:hint="eastAsia" w:ascii="宋体" w:hAnsi="宋体" w:eastAsia="宋体" w:cs="宋体"/>
                <w:color w:val="auto"/>
                <w:kern w:val="0"/>
                <w:sz w:val="24"/>
                <w:szCs w:val="24"/>
                <w:highlight w:val="none"/>
                <w:lang w:val="en-US" w:eastAsia="zh-CN" w:bidi="ar"/>
              </w:rPr>
              <w:t>且误差率3%（含）以内的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13B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1AD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8F06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EE78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分</w:t>
            </w:r>
          </w:p>
        </w:tc>
      </w:tr>
      <w:tr w14:paraId="29B7F7EC">
        <w:tblPrEx>
          <w:tblCellMar>
            <w:top w:w="0" w:type="dxa"/>
            <w:left w:w="0" w:type="dxa"/>
            <w:bottom w:w="0" w:type="dxa"/>
            <w:right w:w="0" w:type="dxa"/>
          </w:tblCellMar>
        </w:tblPrEx>
        <w:trPr>
          <w:trHeight w:val="1363"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6011C21">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0DA2A3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A2C0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100万元（含）以上的且误差率在3%（不含）-5%（含）的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5A593">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ADEF">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FF308">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AC9E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分</w:t>
            </w:r>
          </w:p>
        </w:tc>
      </w:tr>
      <w:tr w14:paraId="6D948B65">
        <w:tblPrEx>
          <w:tblCellMar>
            <w:top w:w="0" w:type="dxa"/>
            <w:left w:w="0" w:type="dxa"/>
            <w:bottom w:w="0" w:type="dxa"/>
            <w:right w:w="0" w:type="dxa"/>
          </w:tblCellMar>
        </w:tblPrEx>
        <w:trPr>
          <w:trHeight w:val="1396" w:hRule="atLeast"/>
          <w:jc w:val="center"/>
        </w:trPr>
        <w:tc>
          <w:tcPr>
            <w:tcW w:w="640"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64B455B3">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CED53F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A4AF1">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100万元（含）以上的且误差率超过5%（含）的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CC979">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BDCE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B203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7DF2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分</w:t>
            </w:r>
          </w:p>
        </w:tc>
      </w:tr>
      <w:tr w14:paraId="5B7ED349">
        <w:tblPrEx>
          <w:tblCellMar>
            <w:top w:w="0" w:type="dxa"/>
            <w:left w:w="0" w:type="dxa"/>
            <w:bottom w:w="0" w:type="dxa"/>
            <w:right w:w="0" w:type="dxa"/>
          </w:tblCellMar>
        </w:tblPrEx>
        <w:trPr>
          <w:trHeight w:val="645"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7C75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411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加分项</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4747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发现设计重大错漏</w:t>
            </w:r>
          </w:p>
        </w:tc>
        <w:tc>
          <w:tcPr>
            <w:tcW w:w="5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DCFD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256BA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598870">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A46CF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2DCA6B3B">
        <w:tblPrEx>
          <w:tblCellMar>
            <w:top w:w="0" w:type="dxa"/>
            <w:left w:w="0" w:type="dxa"/>
            <w:bottom w:w="0" w:type="dxa"/>
            <w:right w:w="0" w:type="dxa"/>
          </w:tblCellMar>
        </w:tblPrEx>
        <w:trPr>
          <w:trHeight w:val="718"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66755">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D5C3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ECBD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提出合理化意见被采纳的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B6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CEA1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B6E43">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850A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6C2C5956">
        <w:tblPrEx>
          <w:tblCellMar>
            <w:top w:w="0" w:type="dxa"/>
            <w:left w:w="0" w:type="dxa"/>
            <w:bottom w:w="0" w:type="dxa"/>
            <w:right w:w="0" w:type="dxa"/>
          </w:tblCellMar>
        </w:tblPrEx>
        <w:trPr>
          <w:trHeight w:val="784"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3E9D7">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2D259">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C3B9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w:t>
            </w:r>
            <w:r>
              <w:rPr>
                <w:rFonts w:hint="eastAsia" w:ascii="宋体" w:hAnsi="宋体" w:eastAsia="宋体" w:cs="宋体"/>
                <w:color w:val="auto"/>
                <w:kern w:val="0"/>
                <w:sz w:val="24"/>
                <w:szCs w:val="24"/>
                <w:highlight w:val="none"/>
                <w:lang w:bidi="ar"/>
              </w:rPr>
              <w:t>发现并移交经济案件线索且被立案查处</w:t>
            </w:r>
          </w:p>
        </w:tc>
        <w:tc>
          <w:tcPr>
            <w:tcW w:w="5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50C7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262A128">
            <w:pPr>
              <w:jc w:val="left"/>
              <w:rPr>
                <w:rFonts w:hint="eastAsia" w:ascii="宋体" w:hAnsi="宋体" w:eastAsia="宋体" w:cs="宋体"/>
                <w:color w:val="auto"/>
                <w:sz w:val="24"/>
                <w:szCs w:val="24"/>
                <w:highlight w:val="none"/>
              </w:rPr>
            </w:pPr>
          </w:p>
        </w:tc>
        <w:tc>
          <w:tcPr>
            <w:tcW w:w="10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0089FB1">
            <w:pPr>
              <w:jc w:val="left"/>
              <w:rPr>
                <w:rFonts w:hint="eastAsia" w:ascii="宋体" w:hAnsi="宋体" w:eastAsia="宋体" w:cs="宋体"/>
                <w:color w:val="auto"/>
                <w:sz w:val="24"/>
                <w:szCs w:val="24"/>
                <w:highlight w:val="none"/>
              </w:rPr>
            </w:pPr>
          </w:p>
        </w:tc>
        <w:tc>
          <w:tcPr>
            <w:tcW w:w="38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75181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每件加20分</w:t>
            </w:r>
          </w:p>
        </w:tc>
      </w:tr>
      <w:tr w14:paraId="0CA81264">
        <w:tblPrEx>
          <w:tblCellMar>
            <w:top w:w="0" w:type="dxa"/>
            <w:left w:w="0" w:type="dxa"/>
            <w:bottom w:w="0" w:type="dxa"/>
            <w:right w:w="0" w:type="dxa"/>
          </w:tblCellMar>
        </w:tblPrEx>
        <w:trPr>
          <w:trHeight w:val="470" w:hRule="atLeast"/>
          <w:jc w:val="center"/>
        </w:trPr>
        <w:tc>
          <w:tcPr>
            <w:tcW w:w="482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A33C8">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B9086">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D9B23">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436CF">
            <w:pPr>
              <w:jc w:val="left"/>
              <w:rPr>
                <w:rFonts w:hint="eastAsia" w:ascii="宋体" w:hAnsi="宋体" w:eastAsia="宋体" w:cs="宋体"/>
                <w:color w:val="auto"/>
                <w:sz w:val="24"/>
                <w:szCs w:val="24"/>
                <w:highlight w:val="none"/>
              </w:rPr>
            </w:pPr>
          </w:p>
        </w:tc>
      </w:tr>
      <w:tr w14:paraId="52340764">
        <w:tblPrEx>
          <w:tblCellMar>
            <w:top w:w="0" w:type="dxa"/>
            <w:left w:w="0" w:type="dxa"/>
            <w:bottom w:w="0" w:type="dxa"/>
            <w:right w:w="0" w:type="dxa"/>
          </w:tblCellMar>
        </w:tblPrEx>
        <w:trPr>
          <w:trHeight w:val="944" w:hRule="atLeast"/>
          <w:jc w:val="center"/>
        </w:trPr>
        <w:tc>
          <w:tcPr>
            <w:tcW w:w="1041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2CC01A">
            <w:pPr>
              <w:widowControl/>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造价咨询人员签字：               考核人员签字 ：              </w:t>
            </w:r>
          </w:p>
          <w:p w14:paraId="633CB4C3">
            <w:pPr>
              <w:widowControl/>
              <w:textAlignment w:val="center"/>
              <w:rPr>
                <w:rFonts w:hint="eastAsia" w:ascii="宋体" w:hAnsi="宋体" w:eastAsia="宋体" w:cs="宋体"/>
                <w:color w:val="auto"/>
                <w:kern w:val="0"/>
                <w:sz w:val="24"/>
                <w:szCs w:val="24"/>
                <w:highlight w:val="none"/>
                <w:lang w:bidi="ar"/>
              </w:rPr>
            </w:pPr>
          </w:p>
          <w:p w14:paraId="52BF021C">
            <w:pPr>
              <w:widowControl/>
              <w:ind w:firstLine="7560" w:firstLineChars="3150"/>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 xml:space="preserve">日     </w:t>
            </w:r>
          </w:p>
        </w:tc>
      </w:tr>
    </w:tbl>
    <w:p w14:paraId="7E9CCC01">
      <w:pPr>
        <w:pStyle w:val="2"/>
        <w:spacing w:line="240" w:lineRule="auto"/>
        <w:ind w:left="0" w:leftChars="0" w:firstLine="0" w:firstLineChars="0"/>
        <w:rPr>
          <w:rFonts w:hint="eastAsia" w:ascii="宋体" w:hAnsi="宋体" w:eastAsia="宋体" w:cs="宋体"/>
          <w:color w:val="auto"/>
          <w:sz w:val="32"/>
          <w:szCs w:val="32"/>
          <w:highlight w:val="none"/>
        </w:rPr>
      </w:pPr>
    </w:p>
    <w:p w14:paraId="15FDB7B2">
      <w:pPr>
        <w:pStyle w:val="2"/>
        <w:spacing w:line="240" w:lineRule="auto"/>
        <w:ind w:left="0" w:leftChars="0" w:firstLine="0" w:firstLineChars="0"/>
        <w:rPr>
          <w:rFonts w:hint="eastAsia" w:ascii="宋体" w:hAnsi="宋体" w:eastAsia="宋体" w:cs="宋体"/>
          <w:color w:val="auto"/>
          <w:sz w:val="32"/>
          <w:szCs w:val="32"/>
          <w:highlight w:val="none"/>
        </w:rPr>
      </w:pPr>
    </w:p>
    <w:p w14:paraId="344C7DD0">
      <w:pPr>
        <w:rPr>
          <w:rFonts w:hint="eastAsia" w:ascii="宋体" w:hAnsi="宋体" w:eastAsia="宋体" w:cs="宋体"/>
          <w:color w:val="auto"/>
          <w:sz w:val="32"/>
          <w:szCs w:val="32"/>
          <w:highlight w:val="none"/>
        </w:rPr>
      </w:pPr>
    </w:p>
    <w:p w14:paraId="4A2B78AE">
      <w:pPr>
        <w:pStyle w:val="2"/>
        <w:rPr>
          <w:rFonts w:hint="eastAsia" w:ascii="宋体" w:hAnsi="宋体" w:eastAsia="宋体" w:cs="宋体"/>
          <w:color w:val="auto"/>
          <w:sz w:val="32"/>
          <w:szCs w:val="32"/>
          <w:highlight w:val="none"/>
        </w:rPr>
      </w:pPr>
    </w:p>
    <w:p w14:paraId="7409AD80">
      <w:pPr>
        <w:rPr>
          <w:rFonts w:hint="eastAsia" w:ascii="宋体" w:hAnsi="宋体" w:eastAsia="宋体" w:cs="宋体"/>
          <w:color w:val="auto"/>
          <w:sz w:val="32"/>
          <w:szCs w:val="32"/>
          <w:highlight w:val="none"/>
        </w:rPr>
      </w:pPr>
    </w:p>
    <w:p w14:paraId="3EA97D51">
      <w:pPr>
        <w:pStyle w:val="2"/>
        <w:rPr>
          <w:rFonts w:hint="eastAsia" w:ascii="宋体" w:hAnsi="宋体" w:eastAsia="宋体" w:cs="宋体"/>
          <w:color w:val="auto"/>
          <w:sz w:val="32"/>
          <w:szCs w:val="32"/>
          <w:highlight w:val="none"/>
        </w:rPr>
      </w:pPr>
    </w:p>
    <w:p w14:paraId="3DFCAA94">
      <w:pPr>
        <w:rPr>
          <w:rFonts w:hint="eastAsia" w:ascii="宋体" w:hAnsi="宋体" w:eastAsia="宋体" w:cs="宋体"/>
          <w:color w:val="auto"/>
          <w:sz w:val="32"/>
          <w:szCs w:val="32"/>
          <w:highlight w:val="none"/>
        </w:rPr>
      </w:pPr>
    </w:p>
    <w:p w14:paraId="3E001B22">
      <w:pPr>
        <w:pStyle w:val="2"/>
        <w:rPr>
          <w:rFonts w:hint="eastAsia"/>
          <w:color w:val="auto"/>
          <w:highlight w:val="none"/>
        </w:rPr>
      </w:pPr>
    </w:p>
    <w:p w14:paraId="525AF85E">
      <w:pPr>
        <w:rPr>
          <w:rFonts w:hint="eastAsia" w:ascii="宋体" w:hAnsi="宋体" w:eastAsia="宋体" w:cs="宋体"/>
          <w:color w:val="auto"/>
          <w:sz w:val="32"/>
          <w:szCs w:val="32"/>
          <w:highlight w:val="none"/>
        </w:rPr>
      </w:pPr>
    </w:p>
    <w:p w14:paraId="52B20293">
      <w:pPr>
        <w:pStyle w:val="2"/>
        <w:spacing w:line="24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892"/>
        <w:gridCol w:w="2720"/>
        <w:gridCol w:w="712"/>
        <w:gridCol w:w="596"/>
        <w:gridCol w:w="1002"/>
        <w:gridCol w:w="3520"/>
      </w:tblGrid>
      <w:tr w14:paraId="1014D78D">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2C504765">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Fonts w:hint="eastAsia" w:ascii="宋体" w:hAnsi="宋体" w:eastAsia="宋体" w:cs="宋体"/>
                <w:b/>
                <w:color w:val="auto"/>
                <w:kern w:val="0"/>
                <w:szCs w:val="32"/>
                <w:highlight w:val="none"/>
                <w:u w:val="single"/>
                <w:lang w:val="en-US" w:eastAsia="zh-CN" w:bidi="ar"/>
              </w:rPr>
              <w:t xml:space="preserve">   </w:t>
            </w:r>
            <w:r>
              <w:rPr>
                <w:rFonts w:hint="eastAsia" w:ascii="宋体" w:hAnsi="宋体" w:eastAsia="宋体" w:cs="宋体"/>
                <w:b/>
                <w:color w:val="auto"/>
                <w:kern w:val="0"/>
                <w:szCs w:val="32"/>
                <w:highlight w:val="none"/>
                <w:u w:val="single"/>
                <w:lang w:bidi="ar"/>
              </w:rPr>
              <w:t xml:space="preserve">    </w:t>
            </w:r>
            <w:r>
              <w:rPr>
                <w:rStyle w:val="155"/>
                <w:rFonts w:hint="eastAsia" w:ascii="宋体" w:hAnsi="宋体" w:eastAsia="宋体" w:cs="宋体"/>
                <w:b w:val="0"/>
                <w:color w:val="auto"/>
                <w:highlight w:val="none"/>
                <w:lang w:bidi="ar"/>
              </w:rPr>
              <w:t>项目</w:t>
            </w:r>
            <w:r>
              <w:rPr>
                <w:rStyle w:val="155"/>
                <w:rFonts w:hint="eastAsia" w:ascii="宋体" w:hAnsi="宋体" w:eastAsia="宋体" w:cs="宋体"/>
                <w:b w:val="0"/>
                <w:color w:val="auto"/>
                <w:highlight w:val="none"/>
                <w:lang w:eastAsia="zh-CN" w:bidi="ar"/>
              </w:rPr>
              <w:t>跟踪</w:t>
            </w:r>
            <w:r>
              <w:rPr>
                <w:rStyle w:val="155"/>
                <w:rFonts w:hint="eastAsia" w:ascii="宋体" w:hAnsi="宋体" w:eastAsia="宋体" w:cs="宋体"/>
                <w:b w:val="0"/>
                <w:color w:val="auto"/>
                <w:highlight w:val="none"/>
                <w:lang w:bidi="ar"/>
              </w:rPr>
              <w:t xml:space="preserve">审计服务质量日常考核表           </w:t>
            </w:r>
          </w:p>
        </w:tc>
      </w:tr>
      <w:tr w14:paraId="73404592">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6A9A8">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bidi="ar"/>
              </w:rPr>
              <w:t>序号</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0866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91CE4">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DAEE">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B095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BD02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6A37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454D6840">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7FCBF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bidi="ar"/>
              </w:rPr>
              <w:t>一</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D0619A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人员组成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变更</w:t>
            </w:r>
            <w:r>
              <w:rPr>
                <w:rFonts w:hint="eastAsia" w:ascii="宋体" w:hAnsi="宋体" w:eastAsia="宋体" w:cs="宋体"/>
                <w:color w:val="auto"/>
                <w:kern w:val="0"/>
                <w:sz w:val="24"/>
                <w:szCs w:val="24"/>
                <w:highlight w:val="none"/>
                <w:lang w:eastAsia="zh-CN" w:bidi="ar"/>
              </w:rPr>
              <w:t>及前期准备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78F6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是否具备胜任本项目跟踪审计工作能力</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A03A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7CA0B">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588F7">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E8E4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需有与跟审投标文件、委托协议一致的</w:t>
            </w:r>
            <w:r>
              <w:rPr>
                <w:rFonts w:hint="eastAsia" w:ascii="宋体" w:hAnsi="宋体" w:eastAsia="宋体" w:cs="宋体"/>
                <w:color w:val="auto"/>
                <w:kern w:val="0"/>
                <w:sz w:val="21"/>
                <w:szCs w:val="21"/>
                <w:highlight w:val="none"/>
                <w:lang w:bidi="ar"/>
              </w:rPr>
              <w:t>任命文</w:t>
            </w:r>
            <w:r>
              <w:rPr>
                <w:rFonts w:hint="eastAsia" w:ascii="宋体" w:hAnsi="宋体" w:eastAsia="宋体" w:cs="宋体"/>
                <w:color w:val="auto"/>
                <w:kern w:val="0"/>
                <w:sz w:val="21"/>
                <w:szCs w:val="21"/>
                <w:highlight w:val="none"/>
                <w:lang w:eastAsia="zh-CN" w:bidi="ar"/>
              </w:rPr>
              <w:t>并</w:t>
            </w:r>
            <w:r>
              <w:rPr>
                <w:rFonts w:hint="eastAsia" w:ascii="宋体" w:hAnsi="宋体" w:eastAsia="宋体" w:cs="宋体"/>
                <w:color w:val="auto"/>
                <w:kern w:val="0"/>
                <w:sz w:val="21"/>
                <w:szCs w:val="21"/>
                <w:highlight w:val="none"/>
                <w:lang w:bidi="ar"/>
              </w:rPr>
              <w:t>及时报送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人员变更</w:t>
            </w:r>
            <w:r>
              <w:rPr>
                <w:rFonts w:hint="eastAsia" w:ascii="宋体" w:hAnsi="宋体" w:eastAsia="宋体" w:cs="宋体"/>
                <w:color w:val="auto"/>
                <w:kern w:val="0"/>
                <w:sz w:val="21"/>
                <w:szCs w:val="21"/>
                <w:highlight w:val="none"/>
                <w:lang w:eastAsia="zh-CN" w:bidi="ar"/>
              </w:rPr>
              <w:t>的，程序</w:t>
            </w:r>
            <w:r>
              <w:rPr>
                <w:rFonts w:hint="eastAsia" w:ascii="宋体" w:hAnsi="宋体" w:eastAsia="宋体" w:cs="宋体"/>
                <w:color w:val="auto"/>
                <w:kern w:val="0"/>
                <w:sz w:val="21"/>
                <w:szCs w:val="21"/>
                <w:highlight w:val="none"/>
                <w:lang w:bidi="ar"/>
              </w:rPr>
              <w:t>是否</w:t>
            </w:r>
            <w:r>
              <w:rPr>
                <w:rFonts w:hint="eastAsia" w:ascii="宋体" w:hAnsi="宋体" w:eastAsia="宋体" w:cs="宋体"/>
                <w:color w:val="auto"/>
                <w:kern w:val="0"/>
                <w:sz w:val="21"/>
                <w:szCs w:val="21"/>
                <w:highlight w:val="none"/>
                <w:lang w:eastAsia="zh-CN" w:bidi="ar"/>
              </w:rPr>
              <w:t>按管理办法完成</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若不一致或未办理变更手续</w:t>
            </w:r>
            <w:r>
              <w:rPr>
                <w:rFonts w:hint="eastAsia" w:ascii="宋体" w:hAnsi="宋体" w:eastAsia="宋体" w:cs="宋体"/>
                <w:color w:val="auto"/>
                <w:kern w:val="0"/>
                <w:sz w:val="21"/>
                <w:szCs w:val="21"/>
                <w:highlight w:val="none"/>
                <w:lang w:eastAsia="zh-CN" w:bidi="ar"/>
              </w:rPr>
              <w:t>的，本项</w:t>
            </w:r>
            <w:r>
              <w:rPr>
                <w:rFonts w:hint="eastAsia" w:ascii="宋体" w:hAnsi="宋体" w:eastAsia="宋体" w:cs="宋体"/>
                <w:color w:val="auto"/>
                <w:kern w:val="0"/>
                <w:sz w:val="21"/>
                <w:szCs w:val="21"/>
                <w:highlight w:val="none"/>
                <w:lang w:bidi="ar"/>
              </w:rPr>
              <w:t>得0分</w:t>
            </w:r>
          </w:p>
        </w:tc>
      </w:tr>
      <w:tr w14:paraId="570B743F">
        <w:tblPrEx>
          <w:tblCellMar>
            <w:top w:w="0" w:type="dxa"/>
            <w:left w:w="0" w:type="dxa"/>
            <w:bottom w:w="0" w:type="dxa"/>
            <w:right w:w="0" w:type="dxa"/>
          </w:tblCellMar>
        </w:tblPrEx>
        <w:trPr>
          <w:trHeight w:val="1462"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013F0D3B">
            <w:pPr>
              <w:widowControl/>
              <w:jc w:val="center"/>
              <w:textAlignment w:val="center"/>
              <w:rPr>
                <w:rFonts w:hint="eastAsia" w:ascii="宋体" w:hAnsi="宋体" w:eastAsia="宋体" w:cs="宋体"/>
                <w:color w:val="auto"/>
                <w:kern w:val="0"/>
                <w:sz w:val="24"/>
                <w:szCs w:val="24"/>
                <w:highlight w:val="none"/>
                <w:lang w:bidi="ar"/>
              </w:rPr>
            </w:pPr>
          </w:p>
        </w:tc>
        <w:tc>
          <w:tcPr>
            <w:tcW w:w="892" w:type="dxa"/>
            <w:vMerge w:val="continue"/>
            <w:tcBorders>
              <w:left w:val="single" w:color="000000" w:sz="4" w:space="0"/>
              <w:right w:val="single" w:color="000000" w:sz="4" w:space="0"/>
            </w:tcBorders>
            <w:noWrap w:val="0"/>
            <w:tcMar>
              <w:top w:w="15" w:type="dxa"/>
              <w:left w:w="15" w:type="dxa"/>
              <w:right w:w="15" w:type="dxa"/>
            </w:tcMar>
            <w:vAlign w:val="center"/>
          </w:tcPr>
          <w:p w14:paraId="64F384A0">
            <w:pPr>
              <w:widowControl/>
              <w:jc w:val="center"/>
              <w:textAlignment w:val="center"/>
              <w:rPr>
                <w:rFonts w:hint="eastAsia" w:ascii="宋体" w:hAnsi="宋体" w:eastAsia="宋体" w:cs="宋体"/>
                <w:color w:val="auto"/>
                <w:kern w:val="0"/>
                <w:sz w:val="24"/>
                <w:szCs w:val="24"/>
                <w:highlight w:val="none"/>
                <w:lang w:bidi="ar"/>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0A2F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到岗履职</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A8C1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0D0E9">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BBF13">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F3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业主、监理反映履职情况，经检查组询问，项目负责人或现场审计人员是否了解工程现场情况，</w:t>
            </w:r>
            <w:r>
              <w:rPr>
                <w:rFonts w:hint="eastAsia" w:ascii="宋体" w:hAnsi="宋体" w:eastAsia="宋体" w:cs="宋体"/>
                <w:color w:val="auto"/>
                <w:kern w:val="0"/>
                <w:sz w:val="21"/>
                <w:szCs w:val="21"/>
                <w:highlight w:val="none"/>
                <w:lang w:eastAsia="zh-CN" w:bidi="ar"/>
              </w:rPr>
              <w:t>有驻场要求的需考核打卡</w:t>
            </w:r>
            <w:r>
              <w:rPr>
                <w:rFonts w:hint="eastAsia" w:ascii="宋体" w:hAnsi="宋体" w:eastAsia="宋体" w:cs="宋体"/>
                <w:color w:val="auto"/>
                <w:kern w:val="0"/>
                <w:sz w:val="21"/>
                <w:szCs w:val="21"/>
                <w:highlight w:val="none"/>
                <w:lang w:bidi="ar"/>
              </w:rPr>
              <w:t>情况。</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）主要会议未参加或单项隐蔽工程未参与计量的，本项得</w:t>
            </w:r>
            <w:r>
              <w:rPr>
                <w:rFonts w:hint="eastAsia" w:ascii="宋体" w:hAnsi="宋体" w:eastAsia="宋体" w:cs="宋体"/>
                <w:color w:val="auto"/>
                <w:kern w:val="0"/>
                <w:sz w:val="21"/>
                <w:szCs w:val="21"/>
                <w:highlight w:val="none"/>
                <w:lang w:val="en-US" w:eastAsia="zh-CN" w:bidi="ar"/>
              </w:rPr>
              <w:t>0分（本项由业主代表参与打分）</w:t>
            </w:r>
          </w:p>
        </w:tc>
      </w:tr>
      <w:tr w14:paraId="592F05F5">
        <w:tblPrEx>
          <w:tblCellMar>
            <w:top w:w="0" w:type="dxa"/>
            <w:left w:w="0" w:type="dxa"/>
            <w:bottom w:w="0" w:type="dxa"/>
            <w:right w:w="0" w:type="dxa"/>
          </w:tblCellMar>
        </w:tblPrEx>
        <w:trPr>
          <w:trHeight w:val="813"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79EE721">
            <w:pPr>
              <w:widowControl/>
              <w:jc w:val="center"/>
              <w:textAlignment w:val="center"/>
              <w:rPr>
                <w:rFonts w:hint="eastAsia" w:ascii="宋体" w:hAnsi="宋体" w:eastAsia="宋体" w:cs="宋体"/>
                <w:color w:val="auto"/>
                <w:sz w:val="24"/>
                <w:szCs w:val="24"/>
                <w:highlight w:val="none"/>
                <w:lang w:eastAsia="zh-CN"/>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70C62D8">
            <w:pPr>
              <w:widowControl/>
              <w:jc w:val="center"/>
              <w:textAlignment w:val="center"/>
              <w:rPr>
                <w:rFonts w:hint="eastAsia" w:ascii="宋体" w:hAnsi="宋体" w:eastAsia="宋体" w:cs="宋体"/>
                <w:color w:val="auto"/>
                <w:sz w:val="24"/>
                <w:szCs w:val="24"/>
                <w:highlight w:val="none"/>
                <w:lang w:val="en-US" w:eastAsia="zh-CN"/>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D6CE5">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资料是否收集齐全</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86C7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E3D61">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09D88">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0A5C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需有招标文件、工程量清单及最高投标限价、中标单位投标文件、建设工程施工合同、图纸等前期资料。未收集齐全的，本项得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r>
      <w:tr w14:paraId="21C7E927">
        <w:tblPrEx>
          <w:tblCellMar>
            <w:top w:w="0" w:type="dxa"/>
            <w:left w:w="0" w:type="dxa"/>
            <w:bottom w:w="0" w:type="dxa"/>
            <w:right w:w="0" w:type="dxa"/>
          </w:tblCellMar>
        </w:tblPrEx>
        <w:trPr>
          <w:trHeight w:val="1427" w:hRule="atLeast"/>
          <w:jc w:val="center"/>
        </w:trPr>
        <w:tc>
          <w:tcPr>
            <w:tcW w:w="55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43439D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8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E029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审计实施方案</w:t>
            </w:r>
          </w:p>
        </w:tc>
        <w:tc>
          <w:tcPr>
            <w:tcW w:w="272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928906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内容规范、全面、针对性强，按照《关于进一步规范政府投资项目跟踪审计实施方案及清单复核报告制度的通知》要求编写</w:t>
            </w:r>
          </w:p>
        </w:tc>
        <w:tc>
          <w:tcPr>
            <w:tcW w:w="71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A170A7">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C8359A7">
            <w:pPr>
              <w:jc w:val="left"/>
              <w:rPr>
                <w:rFonts w:hint="eastAsia" w:ascii="宋体" w:hAnsi="宋体" w:eastAsia="宋体" w:cs="宋体"/>
                <w:color w:val="auto"/>
                <w:sz w:val="24"/>
                <w:szCs w:val="24"/>
                <w:highlight w:val="none"/>
              </w:rPr>
            </w:pPr>
          </w:p>
        </w:tc>
        <w:tc>
          <w:tcPr>
            <w:tcW w:w="100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46EEEE">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FB23D1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要素：1.总述2.人员配置3.工作内容4.跟踪审计重点5.审计程序6.审计质量保证措施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开工前报送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603A1A02">
        <w:tblPrEx>
          <w:tblCellMar>
            <w:top w:w="0" w:type="dxa"/>
            <w:left w:w="0" w:type="dxa"/>
            <w:bottom w:w="0" w:type="dxa"/>
            <w:right w:w="0" w:type="dxa"/>
          </w:tblCellMar>
        </w:tblPrEx>
        <w:trPr>
          <w:trHeight w:val="1307"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50CF1C6">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EAACE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清单复核记录</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E44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是否完整反映招投标清单价格中错漏，并提出应对措施，是否按照《关于进一步规范政府投资项目跟踪审计实施方案及清单复核报告制度的通知》要求编写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687B">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7267">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19044">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89C4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要素：1.</w:t>
            </w:r>
            <w:r>
              <w:rPr>
                <w:rFonts w:hint="eastAsia" w:ascii="宋体" w:hAnsi="宋体" w:eastAsia="宋体" w:cs="宋体"/>
                <w:color w:val="auto"/>
                <w:kern w:val="0"/>
                <w:sz w:val="21"/>
                <w:szCs w:val="21"/>
                <w:highlight w:val="none"/>
                <w:lang w:eastAsia="zh-CN" w:bidi="ar"/>
              </w:rPr>
              <w:t>重新计算异常</w:t>
            </w:r>
            <w:r>
              <w:rPr>
                <w:rFonts w:hint="eastAsia" w:ascii="宋体" w:hAnsi="宋体" w:eastAsia="宋体" w:cs="宋体"/>
                <w:color w:val="auto"/>
                <w:kern w:val="0"/>
                <w:sz w:val="21"/>
                <w:szCs w:val="21"/>
                <w:highlight w:val="none"/>
                <w:lang w:bidi="ar"/>
              </w:rPr>
              <w:t>工程量2.</w:t>
            </w:r>
            <w:r>
              <w:rPr>
                <w:rFonts w:hint="eastAsia" w:ascii="宋体" w:hAnsi="宋体" w:eastAsia="宋体" w:cs="宋体"/>
                <w:color w:val="auto"/>
                <w:kern w:val="0"/>
                <w:sz w:val="21"/>
                <w:szCs w:val="21"/>
                <w:highlight w:val="none"/>
                <w:lang w:eastAsia="zh-CN" w:bidi="ar"/>
              </w:rPr>
              <w:t>清单描述问题</w:t>
            </w:r>
            <w:r>
              <w:rPr>
                <w:rFonts w:hint="eastAsia" w:ascii="宋体" w:hAnsi="宋体" w:eastAsia="宋体" w:cs="宋体"/>
                <w:color w:val="auto"/>
                <w:kern w:val="0"/>
                <w:sz w:val="21"/>
                <w:szCs w:val="21"/>
                <w:highlight w:val="none"/>
                <w:lang w:bidi="ar"/>
              </w:rPr>
              <w:t>3.清单错漏项4.异常投标单价5.应对措施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）。于开工一个月内</w:t>
            </w:r>
            <w:r>
              <w:rPr>
                <w:rFonts w:hint="eastAsia" w:ascii="宋体" w:hAnsi="宋体" w:eastAsia="宋体" w:cs="宋体"/>
                <w:color w:val="auto"/>
                <w:kern w:val="0"/>
                <w:sz w:val="21"/>
                <w:szCs w:val="21"/>
                <w:highlight w:val="none"/>
                <w:lang w:bidi="ar"/>
              </w:rPr>
              <w:t>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75DA3736">
        <w:tblPrEx>
          <w:tblCellMar>
            <w:top w:w="0" w:type="dxa"/>
            <w:left w:w="0" w:type="dxa"/>
            <w:bottom w:w="0" w:type="dxa"/>
            <w:right w:w="0" w:type="dxa"/>
          </w:tblCellMar>
        </w:tblPrEx>
        <w:trPr>
          <w:trHeight w:val="219"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F044DE">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3EA59A1">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8CB4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2.施工过程及时更新清单复核情况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A71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ADF71">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E50A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F96EC">
            <w:pPr>
              <w:jc w:val="center"/>
              <w:rPr>
                <w:rFonts w:hint="eastAsia" w:ascii="宋体" w:hAnsi="宋体" w:eastAsia="宋体" w:cs="宋体"/>
                <w:color w:val="auto"/>
                <w:sz w:val="21"/>
                <w:szCs w:val="21"/>
                <w:highlight w:val="none"/>
              </w:rPr>
            </w:pPr>
          </w:p>
        </w:tc>
      </w:tr>
      <w:tr w14:paraId="50677A88">
        <w:tblPrEx>
          <w:tblCellMar>
            <w:top w:w="0" w:type="dxa"/>
            <w:left w:w="0" w:type="dxa"/>
            <w:bottom w:w="0" w:type="dxa"/>
            <w:right w:w="0" w:type="dxa"/>
          </w:tblCellMar>
        </w:tblPrEx>
        <w:trPr>
          <w:trHeight w:val="1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794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四</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ED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造价例会</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AC35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明确项目参建各方签字权责任人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C9A6D">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464AB">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2737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4B45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需有参建各方公章、项目负责人签字及执业章</w:t>
            </w:r>
          </w:p>
        </w:tc>
      </w:tr>
      <w:tr w14:paraId="56176D20">
        <w:tblPrEx>
          <w:tblCellMar>
            <w:top w:w="0" w:type="dxa"/>
            <w:left w:w="0" w:type="dxa"/>
            <w:bottom w:w="0" w:type="dxa"/>
            <w:right w:w="0" w:type="dxa"/>
          </w:tblCellMar>
        </w:tblPrEx>
        <w:trPr>
          <w:trHeight w:val="14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C29DA">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C76D3">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7BCA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有无与会各方代表签字的会议纪要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5C68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4532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F8B61">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32DE9">
            <w:pPr>
              <w:jc w:val="left"/>
              <w:rPr>
                <w:rFonts w:hint="eastAsia" w:ascii="宋体" w:hAnsi="宋体" w:eastAsia="宋体" w:cs="宋体"/>
                <w:color w:val="auto"/>
                <w:sz w:val="21"/>
                <w:szCs w:val="21"/>
                <w:highlight w:val="none"/>
              </w:rPr>
            </w:pPr>
          </w:p>
        </w:tc>
      </w:tr>
      <w:tr w14:paraId="10BD2321">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0F5E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913E2">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3C2A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是否报送备案</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711F0">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23866">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314DD">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3633">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会议后3日内报送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p>
        </w:tc>
      </w:tr>
      <w:tr w14:paraId="43E91F31">
        <w:tblPrEx>
          <w:tblCellMar>
            <w:top w:w="0" w:type="dxa"/>
            <w:left w:w="0" w:type="dxa"/>
            <w:bottom w:w="0" w:type="dxa"/>
            <w:right w:w="0" w:type="dxa"/>
          </w:tblCellMar>
        </w:tblPrEx>
        <w:trPr>
          <w:trHeight w:val="75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3C621">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五</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1A9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审计日志</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97F7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是否真实全面反映日常跟踪审计工作情况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3D53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02950">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CBA33">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28780">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要素：1.当日工程进展情况2.当日</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.当日参加会议的记录</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.工程变更事项</w:t>
            </w:r>
            <w:r>
              <w:rPr>
                <w:rFonts w:hint="eastAsia" w:ascii="宋体" w:hAnsi="宋体" w:eastAsia="宋体" w:cs="宋体"/>
                <w:color w:val="auto"/>
                <w:kern w:val="0"/>
                <w:sz w:val="21"/>
                <w:szCs w:val="21"/>
                <w:highlight w:val="none"/>
                <w:lang w:val="en-US" w:eastAsia="zh-CN" w:bidi="ar"/>
              </w:rPr>
              <w:t>6.当日影像资料。不真实或间隔超过一周的，本项得0分</w:t>
            </w:r>
          </w:p>
        </w:tc>
      </w:tr>
      <w:tr w14:paraId="6D619552">
        <w:tblPrEx>
          <w:tblCellMar>
            <w:top w:w="0" w:type="dxa"/>
            <w:left w:w="0" w:type="dxa"/>
            <w:bottom w:w="0" w:type="dxa"/>
            <w:right w:w="0" w:type="dxa"/>
          </w:tblCellMar>
        </w:tblPrEx>
        <w:trPr>
          <w:trHeight w:val="959"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A06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BCA8D">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审计月报</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1EC5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按月编报并报送</w:t>
            </w:r>
            <w:r>
              <w:rPr>
                <w:rFonts w:hint="eastAsia" w:ascii="宋体" w:hAnsi="宋体" w:eastAsia="宋体" w:cs="宋体"/>
                <w:color w:val="auto"/>
                <w:kern w:val="0"/>
                <w:sz w:val="24"/>
                <w:szCs w:val="24"/>
                <w:highlight w:val="none"/>
                <w:lang w:eastAsia="zh-CN" w:bidi="ar"/>
              </w:rPr>
              <w:t>综合计划科和业主代表</w:t>
            </w:r>
            <w:r>
              <w:rPr>
                <w:rFonts w:hint="eastAsia" w:ascii="宋体" w:hAnsi="宋体" w:eastAsia="宋体" w:cs="宋体"/>
                <w:color w:val="auto"/>
                <w:kern w:val="0"/>
                <w:sz w:val="24"/>
                <w:szCs w:val="24"/>
                <w:highlight w:val="none"/>
                <w:lang w:bidi="ar"/>
              </w:rPr>
              <w:t>备案（每月5日前报送）</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是否真实全面反映月度主要跟踪审计工作情况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358D1">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8</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6213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84F8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4659">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1.漏报、迟报一次扣1分，2分扣完为止；</w:t>
            </w:r>
          </w:p>
          <w:p w14:paraId="2EA5278A">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要素：1.主要工程进展情况2.主要</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.参加会议的记录</w:t>
            </w:r>
            <w:r>
              <w:rPr>
                <w:rFonts w:hint="eastAsia" w:ascii="宋体" w:hAnsi="宋体" w:eastAsia="宋体" w:cs="宋体"/>
                <w:color w:val="auto"/>
                <w:kern w:val="0"/>
                <w:sz w:val="21"/>
                <w:szCs w:val="21"/>
                <w:highlight w:val="none"/>
                <w:lang w:val="en-US" w:eastAsia="zh-CN" w:bidi="ar"/>
              </w:rPr>
              <w:t>4.当月</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.当月工程变更事项</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主要</w:t>
            </w:r>
            <w:r>
              <w:rPr>
                <w:rFonts w:hint="eastAsia" w:ascii="宋体" w:hAnsi="宋体" w:eastAsia="宋体" w:cs="宋体"/>
                <w:color w:val="auto"/>
                <w:kern w:val="0"/>
                <w:sz w:val="21"/>
                <w:szCs w:val="21"/>
                <w:highlight w:val="none"/>
                <w:lang w:val="en-US" w:eastAsia="zh-CN" w:bidi="ar"/>
              </w:rPr>
              <w:t>影像资料。不真实的，本项得0分</w:t>
            </w:r>
          </w:p>
        </w:tc>
      </w:tr>
      <w:tr w14:paraId="48199DEC">
        <w:tblPrEx>
          <w:tblCellMar>
            <w:top w:w="0" w:type="dxa"/>
            <w:left w:w="0" w:type="dxa"/>
            <w:bottom w:w="0" w:type="dxa"/>
            <w:right w:w="0" w:type="dxa"/>
          </w:tblCellMar>
        </w:tblPrEx>
        <w:trPr>
          <w:trHeight w:val="114"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9BE6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七</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90C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工程进度款审核支付</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71CF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是否根据合同约定审核工程进度款支付申请资料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E16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1ED0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1569B">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67090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一处不真实的，本项得</w:t>
            </w:r>
            <w:r>
              <w:rPr>
                <w:rFonts w:hint="eastAsia" w:ascii="宋体" w:hAnsi="宋体" w:eastAsia="宋体" w:cs="宋体"/>
                <w:color w:val="auto"/>
                <w:sz w:val="21"/>
                <w:szCs w:val="21"/>
                <w:highlight w:val="none"/>
                <w:lang w:val="en-US" w:eastAsia="zh-CN"/>
              </w:rPr>
              <w:t>0分</w:t>
            </w:r>
          </w:p>
        </w:tc>
      </w:tr>
      <w:tr w14:paraId="2DD048A0">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36CA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BC62A">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FD70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工程进度款支付审批意见是否由项目负责人签字盖章</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92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27D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986EE">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right w:val="single" w:color="000000" w:sz="4" w:space="0"/>
            </w:tcBorders>
            <w:noWrap w:val="0"/>
            <w:tcMar>
              <w:top w:w="15" w:type="dxa"/>
              <w:left w:w="15" w:type="dxa"/>
              <w:right w:w="15" w:type="dxa"/>
            </w:tcMar>
            <w:vAlign w:val="center"/>
          </w:tcPr>
          <w:p w14:paraId="444A6865">
            <w:pPr>
              <w:jc w:val="left"/>
              <w:rPr>
                <w:rFonts w:hint="eastAsia" w:ascii="宋体" w:hAnsi="宋体" w:eastAsia="宋体" w:cs="宋体"/>
                <w:color w:val="auto"/>
                <w:sz w:val="21"/>
                <w:szCs w:val="21"/>
                <w:highlight w:val="none"/>
              </w:rPr>
            </w:pPr>
          </w:p>
        </w:tc>
      </w:tr>
      <w:tr w14:paraId="3D538311">
        <w:tblPrEx>
          <w:tblCellMar>
            <w:top w:w="0" w:type="dxa"/>
            <w:left w:w="0" w:type="dxa"/>
            <w:bottom w:w="0" w:type="dxa"/>
            <w:right w:w="0" w:type="dxa"/>
          </w:tblCellMar>
        </w:tblPrEx>
        <w:trPr>
          <w:trHeight w:val="9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D10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58ECB">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6763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是否建立相应工程计量支付管理台账</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1CA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D2DCE">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541A2">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973E0F6">
            <w:pPr>
              <w:jc w:val="left"/>
              <w:rPr>
                <w:rFonts w:hint="eastAsia" w:ascii="宋体" w:hAnsi="宋体" w:eastAsia="宋体" w:cs="宋体"/>
                <w:color w:val="auto"/>
                <w:sz w:val="21"/>
                <w:szCs w:val="21"/>
                <w:highlight w:val="none"/>
              </w:rPr>
            </w:pPr>
          </w:p>
        </w:tc>
      </w:tr>
      <w:tr w14:paraId="2600B659">
        <w:tblPrEx>
          <w:tblCellMar>
            <w:top w:w="0" w:type="dxa"/>
            <w:left w:w="0" w:type="dxa"/>
            <w:bottom w:w="0" w:type="dxa"/>
            <w:right w:w="0" w:type="dxa"/>
          </w:tblCellMar>
        </w:tblPrEx>
        <w:trPr>
          <w:trHeight w:val="446"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AF68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八</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496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工程计量及合法性</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A716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是否及时、真实、准确计量</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6E89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156A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4F6DC">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DDA0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抽查复核，一处不真实、不准确</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r>
              <w:rPr>
                <w:rFonts w:hint="eastAsia" w:ascii="宋体" w:hAnsi="宋体" w:eastAsia="宋体" w:cs="宋体"/>
                <w:color w:val="auto"/>
                <w:kern w:val="0"/>
                <w:sz w:val="21"/>
                <w:szCs w:val="21"/>
                <w:highlight w:val="none"/>
                <w:lang w:bidi="ar"/>
              </w:rPr>
              <w:t>不及时计量扣</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分，若影响计量结果</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p>
        </w:tc>
      </w:tr>
      <w:tr w14:paraId="3FB2B53D">
        <w:tblPrEx>
          <w:tblCellMar>
            <w:top w:w="0" w:type="dxa"/>
            <w:left w:w="0" w:type="dxa"/>
            <w:bottom w:w="0" w:type="dxa"/>
            <w:right w:w="0" w:type="dxa"/>
          </w:tblCellMar>
        </w:tblPrEx>
        <w:trPr>
          <w:trHeight w:val="523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EB5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8377C">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A1B6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计量记录、简图及影像资料是否齐全，计量方法是否规范</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36A9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1684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50DBB">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1981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计量资料中中期计量单、计量底稿、影像资料应一一对应；</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隐蔽工程计量时应留下带有位置、桩号、计量标记等可识别的影像资料，必要的简图和计算底稿</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.工程场地平整、绿化土方、建筑垃圾等涉及土石方工程量的计量，应附详细测量记录</w:t>
            </w:r>
            <w:r>
              <w:rPr>
                <w:rFonts w:hint="eastAsia" w:ascii="宋体" w:hAnsi="宋体" w:eastAsia="宋体" w:cs="宋体"/>
                <w:color w:val="auto"/>
                <w:kern w:val="0"/>
                <w:sz w:val="21"/>
                <w:szCs w:val="21"/>
                <w:highlight w:val="none"/>
                <w:lang w:eastAsia="zh-CN" w:bidi="ar"/>
              </w:rPr>
              <w:t>。道路桥梁类与原始地形地貌发生重大变化的土方及建筑垃圾；道路桥梁类不规则不易计量或总量超过</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000方</w:t>
            </w:r>
            <w:r>
              <w:rPr>
                <w:rFonts w:hint="eastAsia" w:ascii="宋体" w:hAnsi="宋体" w:eastAsia="宋体" w:cs="宋体"/>
                <w:color w:val="auto"/>
                <w:kern w:val="0"/>
                <w:sz w:val="21"/>
                <w:szCs w:val="21"/>
                <w:highlight w:val="none"/>
                <w:lang w:eastAsia="zh-CN" w:bidi="ar"/>
              </w:rPr>
              <w:t>的沟塘清淤；景观、水环境类地形复杂或地形地貌发生重大变化数量超过</w:t>
            </w:r>
            <w:r>
              <w:rPr>
                <w:rFonts w:hint="eastAsia" w:ascii="宋体" w:hAnsi="宋体" w:eastAsia="宋体" w:cs="宋体"/>
                <w:color w:val="auto"/>
                <w:kern w:val="0"/>
                <w:sz w:val="21"/>
                <w:szCs w:val="21"/>
                <w:highlight w:val="none"/>
                <w:lang w:val="en-US" w:eastAsia="zh-CN" w:bidi="ar"/>
              </w:rPr>
              <w:t>1000方的挖填土方；房建类基槽开挖前的原地貌测绘，</w:t>
            </w:r>
            <w:r>
              <w:rPr>
                <w:rFonts w:hint="eastAsia" w:ascii="宋体" w:hAnsi="宋体" w:eastAsia="宋体" w:cs="宋体"/>
                <w:color w:val="auto"/>
                <w:kern w:val="0"/>
                <w:sz w:val="21"/>
                <w:szCs w:val="21"/>
                <w:highlight w:val="none"/>
                <w:lang w:bidi="ar"/>
              </w:rPr>
              <w:t>应</w:t>
            </w:r>
            <w:r>
              <w:rPr>
                <w:rFonts w:hint="eastAsia" w:ascii="宋体" w:hAnsi="宋体" w:eastAsia="宋体" w:cs="宋体"/>
                <w:color w:val="auto"/>
                <w:kern w:val="0"/>
                <w:sz w:val="21"/>
                <w:szCs w:val="21"/>
                <w:highlight w:val="none"/>
                <w:lang w:eastAsia="zh-CN" w:bidi="ar"/>
              </w:rPr>
              <w:t>书面</w:t>
            </w:r>
            <w:r>
              <w:rPr>
                <w:rFonts w:hint="eastAsia" w:ascii="宋体" w:hAnsi="宋体" w:eastAsia="宋体" w:cs="宋体"/>
                <w:color w:val="auto"/>
                <w:kern w:val="0"/>
                <w:sz w:val="21"/>
                <w:szCs w:val="21"/>
                <w:highlight w:val="none"/>
                <w:lang w:bidi="ar"/>
              </w:rPr>
              <w:t>提请业主请测绘部门测绘</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.土方地形变化较大的，应保留施工前后对应的影像资料。不好0分、一般</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分、较好8分、很好10分</w:t>
            </w:r>
          </w:p>
        </w:tc>
      </w:tr>
      <w:tr w14:paraId="7EA587E0">
        <w:tblPrEx>
          <w:tblCellMar>
            <w:top w:w="0" w:type="dxa"/>
            <w:left w:w="0" w:type="dxa"/>
            <w:bottom w:w="0" w:type="dxa"/>
            <w:right w:w="0" w:type="dxa"/>
          </w:tblCellMar>
        </w:tblPrEx>
        <w:trPr>
          <w:trHeight w:val="5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0DE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九</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FBB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工程变更程序（包括暂定量项目）</w:t>
            </w: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69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工程变更手续是否及时、规范办理，证明资料是否齐全，否则有无书面催告</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9BC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61D4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9A603">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1792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不好0分、一般</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分、较好5分、很好7分</w:t>
            </w:r>
            <w:r>
              <w:rPr>
                <w:rFonts w:hint="eastAsia" w:ascii="宋体" w:hAnsi="宋体" w:eastAsia="宋体" w:cs="宋体"/>
                <w:color w:val="auto"/>
                <w:kern w:val="0"/>
                <w:sz w:val="21"/>
                <w:szCs w:val="21"/>
                <w:highlight w:val="none"/>
                <w:lang w:val="en-US" w:eastAsia="zh-CN" w:bidi="ar"/>
              </w:rPr>
              <w:t>（本项业主代表参与打分）</w:t>
            </w:r>
          </w:p>
        </w:tc>
      </w:tr>
      <w:tr w14:paraId="46746103">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0F45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504D">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7A18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54BF0">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F3F03">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CBDB7">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C761E">
            <w:pPr>
              <w:jc w:val="left"/>
              <w:rPr>
                <w:rFonts w:hint="eastAsia" w:ascii="宋体" w:hAnsi="宋体" w:eastAsia="宋体" w:cs="宋体"/>
                <w:color w:val="auto"/>
                <w:sz w:val="21"/>
                <w:szCs w:val="21"/>
                <w:highlight w:val="none"/>
              </w:rPr>
            </w:pPr>
          </w:p>
        </w:tc>
      </w:tr>
      <w:tr w14:paraId="3383F845">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8A9D0">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F9B4B">
            <w:pPr>
              <w:jc w:val="center"/>
              <w:rPr>
                <w:rFonts w:hint="eastAsia" w:ascii="宋体" w:hAnsi="宋体" w:eastAsia="宋体" w:cs="宋体"/>
                <w:color w:val="auto"/>
                <w:sz w:val="24"/>
                <w:szCs w:val="24"/>
                <w:highlight w:val="none"/>
              </w:rPr>
            </w:pP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6120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估算造价超过</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万元的重大事项是否上报</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9A9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3992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E9811">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3FEC0">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单个变更事项一项不符合要求</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0分（本项业主代表参与打分）</w:t>
            </w:r>
          </w:p>
        </w:tc>
      </w:tr>
      <w:tr w14:paraId="64ECF00A">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6EEA2">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5FAD7">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191B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531BB">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92ED8">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4AD1B">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1C163">
            <w:pPr>
              <w:jc w:val="left"/>
              <w:rPr>
                <w:rFonts w:hint="eastAsia" w:ascii="宋体" w:hAnsi="宋体" w:eastAsia="宋体" w:cs="宋体"/>
                <w:color w:val="auto"/>
                <w:sz w:val="21"/>
                <w:szCs w:val="21"/>
                <w:highlight w:val="none"/>
              </w:rPr>
            </w:pPr>
          </w:p>
        </w:tc>
      </w:tr>
      <w:tr w14:paraId="3A9B7083">
        <w:tblPrEx>
          <w:tblCellMar>
            <w:top w:w="0" w:type="dxa"/>
            <w:left w:w="0" w:type="dxa"/>
            <w:bottom w:w="0" w:type="dxa"/>
            <w:right w:w="0" w:type="dxa"/>
          </w:tblCellMar>
        </w:tblPrEx>
        <w:trPr>
          <w:trHeight w:val="1068"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011997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十</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BC33B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内部控制程序</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93F116">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对工程项目暂定价设备和材料价格参与市场考察、独立调查或审查并提出意见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C66B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48BE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F4F7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2B6876">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跟</w:t>
            </w:r>
            <w:r>
              <w:rPr>
                <w:rFonts w:hint="eastAsia" w:ascii="宋体" w:hAnsi="宋体" w:eastAsia="宋体" w:cs="宋体"/>
                <w:color w:val="auto"/>
                <w:kern w:val="0"/>
                <w:sz w:val="21"/>
                <w:szCs w:val="21"/>
                <w:highlight w:val="none"/>
                <w:lang w:eastAsia="zh-CN" w:bidi="ar"/>
              </w:rPr>
              <w:t>审</w:t>
            </w:r>
            <w:r>
              <w:rPr>
                <w:rFonts w:hint="eastAsia" w:ascii="宋体" w:hAnsi="宋体" w:eastAsia="宋体" w:cs="宋体"/>
                <w:color w:val="auto"/>
                <w:kern w:val="0"/>
                <w:sz w:val="21"/>
                <w:szCs w:val="21"/>
                <w:highlight w:val="none"/>
                <w:lang w:bidi="ar"/>
              </w:rPr>
              <w:t>人员对工地所需暂定价材料、设备价格要定期询价，随时</w:t>
            </w:r>
            <w:r>
              <w:rPr>
                <w:rFonts w:hint="eastAsia" w:ascii="宋体" w:hAnsi="宋体" w:eastAsia="宋体" w:cs="宋体"/>
                <w:color w:val="auto"/>
                <w:kern w:val="0"/>
                <w:sz w:val="21"/>
                <w:szCs w:val="21"/>
                <w:highlight w:val="none"/>
                <w:lang w:eastAsia="zh-CN" w:bidi="ar"/>
              </w:rPr>
              <w:t>掌握</w:t>
            </w:r>
            <w:r>
              <w:rPr>
                <w:rFonts w:hint="eastAsia" w:ascii="宋体" w:hAnsi="宋体" w:eastAsia="宋体" w:cs="宋体"/>
                <w:color w:val="auto"/>
                <w:kern w:val="0"/>
                <w:sz w:val="21"/>
                <w:szCs w:val="21"/>
                <w:highlight w:val="none"/>
                <w:lang w:bidi="ar"/>
              </w:rPr>
              <w:t>价格的变化情况，为业主提供准确的价格信息，做好询价记录备查</w:t>
            </w:r>
          </w:p>
        </w:tc>
      </w:tr>
      <w:tr w14:paraId="3FFB3BAD">
        <w:tblPrEx>
          <w:tblCellMar>
            <w:top w:w="0" w:type="dxa"/>
            <w:left w:w="0" w:type="dxa"/>
            <w:bottom w:w="0" w:type="dxa"/>
            <w:right w:w="0" w:type="dxa"/>
          </w:tblCellMar>
        </w:tblPrEx>
        <w:trPr>
          <w:trHeight w:val="1275"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F1BE2F9">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EFD071D">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151C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协助业主审核因设计变更、现场签证等发生的费用，相应调整造价控制目标，并及时向业主提供造价控制动态分析报告</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36B9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FBD97">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1F535">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B7B56">
            <w:pPr>
              <w:widowControl/>
              <w:jc w:val="left"/>
              <w:textAlignment w:val="center"/>
              <w:rPr>
                <w:rFonts w:hint="eastAsia" w:ascii="宋体" w:hAnsi="宋体" w:eastAsia="宋体" w:cs="宋体"/>
                <w:color w:val="auto"/>
                <w:sz w:val="21"/>
                <w:szCs w:val="21"/>
                <w:highlight w:val="none"/>
              </w:rPr>
            </w:pPr>
          </w:p>
        </w:tc>
      </w:tr>
      <w:tr w14:paraId="0F53F7F4">
        <w:tblPrEx>
          <w:tblCellMar>
            <w:top w:w="0" w:type="dxa"/>
            <w:left w:w="0" w:type="dxa"/>
            <w:bottom w:w="0" w:type="dxa"/>
            <w:right w:w="0" w:type="dxa"/>
          </w:tblCellMar>
        </w:tblPrEx>
        <w:trPr>
          <w:trHeight w:val="3000" w:hRule="atLeast"/>
          <w:jc w:val="center"/>
        </w:trPr>
        <w:tc>
          <w:tcPr>
            <w:tcW w:w="556" w:type="dxa"/>
            <w:tcBorders>
              <w:top w:val="nil"/>
              <w:left w:val="single" w:color="000000" w:sz="4" w:space="0"/>
              <w:bottom w:val="nil"/>
              <w:right w:val="single" w:color="000000" w:sz="4" w:space="0"/>
            </w:tcBorders>
            <w:noWrap w:val="0"/>
            <w:tcMar>
              <w:top w:w="15" w:type="dxa"/>
              <w:left w:w="15" w:type="dxa"/>
              <w:right w:w="15" w:type="dxa"/>
            </w:tcMar>
            <w:vAlign w:val="center"/>
          </w:tcPr>
          <w:p w14:paraId="3E75D66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十一</w:t>
            </w:r>
          </w:p>
        </w:tc>
        <w:tc>
          <w:tcPr>
            <w:tcW w:w="892" w:type="dxa"/>
            <w:tcBorders>
              <w:top w:val="nil"/>
              <w:left w:val="single" w:color="000000" w:sz="4" w:space="0"/>
              <w:right w:val="single" w:color="000000" w:sz="4" w:space="0"/>
            </w:tcBorders>
            <w:noWrap w:val="0"/>
            <w:tcMar>
              <w:top w:w="15" w:type="dxa"/>
              <w:left w:w="15" w:type="dxa"/>
              <w:right w:w="15" w:type="dxa"/>
            </w:tcMar>
            <w:vAlign w:val="center"/>
          </w:tcPr>
          <w:p w14:paraId="7F117E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廉洁自律</w:t>
            </w:r>
          </w:p>
        </w:tc>
        <w:tc>
          <w:tcPr>
            <w:tcW w:w="2720" w:type="dxa"/>
            <w:tcBorders>
              <w:top w:val="nil"/>
              <w:left w:val="single" w:color="000000" w:sz="4" w:space="0"/>
              <w:right w:val="single" w:color="000000" w:sz="4" w:space="0"/>
            </w:tcBorders>
            <w:noWrap w:val="0"/>
            <w:tcMar>
              <w:top w:w="15" w:type="dxa"/>
              <w:left w:w="15" w:type="dxa"/>
              <w:right w:w="15" w:type="dxa"/>
            </w:tcMar>
            <w:vAlign w:val="center"/>
          </w:tcPr>
          <w:p w14:paraId="55A7316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审计单位是否保持廉洁自律要求</w:t>
            </w:r>
          </w:p>
        </w:tc>
        <w:tc>
          <w:tcPr>
            <w:tcW w:w="712" w:type="dxa"/>
            <w:tcBorders>
              <w:top w:val="nil"/>
              <w:left w:val="single" w:color="000000" w:sz="4" w:space="0"/>
              <w:right w:val="single" w:color="000000" w:sz="4" w:space="0"/>
            </w:tcBorders>
            <w:noWrap w:val="0"/>
            <w:tcMar>
              <w:top w:w="15" w:type="dxa"/>
              <w:left w:w="15" w:type="dxa"/>
              <w:right w:w="15" w:type="dxa"/>
            </w:tcMar>
            <w:vAlign w:val="center"/>
          </w:tcPr>
          <w:p w14:paraId="45957C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nil"/>
              <w:left w:val="single" w:color="000000" w:sz="4" w:space="0"/>
              <w:right w:val="single" w:color="000000" w:sz="4" w:space="0"/>
            </w:tcBorders>
            <w:noWrap w:val="0"/>
            <w:tcMar>
              <w:top w:w="15" w:type="dxa"/>
              <w:left w:w="15" w:type="dxa"/>
              <w:right w:w="15" w:type="dxa"/>
            </w:tcMar>
            <w:vAlign w:val="center"/>
          </w:tcPr>
          <w:p w14:paraId="3C7F8DCD">
            <w:pPr>
              <w:jc w:val="left"/>
              <w:rPr>
                <w:rFonts w:hint="eastAsia" w:ascii="宋体" w:hAnsi="宋体" w:eastAsia="宋体" w:cs="宋体"/>
                <w:color w:val="auto"/>
                <w:sz w:val="24"/>
                <w:szCs w:val="24"/>
                <w:highlight w:val="none"/>
              </w:rPr>
            </w:pPr>
          </w:p>
        </w:tc>
        <w:tc>
          <w:tcPr>
            <w:tcW w:w="1002" w:type="dxa"/>
            <w:tcBorders>
              <w:top w:val="nil"/>
              <w:left w:val="single" w:color="000000" w:sz="4" w:space="0"/>
              <w:right w:val="single" w:color="000000" w:sz="4" w:space="0"/>
            </w:tcBorders>
            <w:noWrap w:val="0"/>
            <w:tcMar>
              <w:top w:w="15" w:type="dxa"/>
              <w:left w:w="15" w:type="dxa"/>
              <w:right w:w="15" w:type="dxa"/>
            </w:tcMar>
            <w:vAlign w:val="center"/>
          </w:tcPr>
          <w:p w14:paraId="1AEC871F">
            <w:pPr>
              <w:jc w:val="center"/>
              <w:rPr>
                <w:rFonts w:hint="eastAsia" w:ascii="宋体" w:hAnsi="宋体" w:eastAsia="宋体" w:cs="宋体"/>
                <w:color w:val="auto"/>
                <w:sz w:val="24"/>
                <w:szCs w:val="24"/>
                <w:highlight w:val="none"/>
              </w:rPr>
            </w:pPr>
          </w:p>
        </w:tc>
        <w:tc>
          <w:tcPr>
            <w:tcW w:w="3520" w:type="dxa"/>
            <w:tcBorders>
              <w:top w:val="nil"/>
              <w:left w:val="single" w:color="000000" w:sz="4" w:space="0"/>
              <w:right w:val="single" w:color="000000" w:sz="4" w:space="0"/>
            </w:tcBorders>
            <w:noWrap w:val="0"/>
            <w:tcMar>
              <w:top w:w="15" w:type="dxa"/>
              <w:left w:w="15" w:type="dxa"/>
              <w:right w:w="15" w:type="dxa"/>
            </w:tcMar>
            <w:vAlign w:val="center"/>
          </w:tcPr>
          <w:p w14:paraId="34DC621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w:t>
            </w:r>
          </w:p>
        </w:tc>
      </w:tr>
      <w:tr w14:paraId="1A0091C6">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E308F">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十二</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6AC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附加分事项</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3F3D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1.因勘察、设计失误或不合理，可能造成损失浪费等问题，及时提出整改和加强管理的合理化建议</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CBD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65B88">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22E2D4">
            <w:pPr>
              <w:jc w:val="center"/>
              <w:rPr>
                <w:rFonts w:hint="eastAsia" w:ascii="宋体" w:hAnsi="宋体" w:eastAsia="宋体" w:cs="宋体"/>
                <w:color w:val="auto"/>
                <w:sz w:val="24"/>
                <w:szCs w:val="24"/>
                <w:highlight w:val="none"/>
              </w:rPr>
            </w:pPr>
          </w:p>
        </w:tc>
        <w:tc>
          <w:tcPr>
            <w:tcW w:w="35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FE4AE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每一项加分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分，5分为上限</w:t>
            </w:r>
            <w:r>
              <w:rPr>
                <w:rFonts w:hint="eastAsia" w:ascii="宋体" w:hAnsi="宋体" w:eastAsia="宋体" w:cs="宋体"/>
                <w:color w:val="auto"/>
                <w:kern w:val="0"/>
                <w:sz w:val="21"/>
                <w:szCs w:val="21"/>
                <w:highlight w:val="none"/>
                <w:lang w:val="en-US" w:eastAsia="zh-CN" w:bidi="ar"/>
              </w:rPr>
              <w:t>.     确定附加分资料的认定需满足三点要求：（1）满足时效性（设计、地勘等问题的发现需在实施前，未按图施工等问题的发现需为监理未发现但跟审主动发现）；（2）提交建议或发出整改通知函等必需书面；（3）经委托人认可，工程科确认基本事实后由分管领导召集相关科室研究。</w:t>
            </w:r>
          </w:p>
        </w:tc>
      </w:tr>
      <w:tr w14:paraId="54A771F7">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BACAE">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F1E8">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F0E3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现场发现实际施工与设计图纸不一致或与招投标清单特征描述不一致、工程质量不合格等问题并及时取证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E7D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E705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9360D1">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E3594D">
            <w:pPr>
              <w:widowControl/>
              <w:jc w:val="left"/>
              <w:textAlignment w:val="center"/>
              <w:rPr>
                <w:rFonts w:hint="eastAsia" w:ascii="宋体" w:hAnsi="宋体" w:eastAsia="宋体" w:cs="宋体"/>
                <w:color w:val="auto"/>
                <w:sz w:val="21"/>
                <w:szCs w:val="21"/>
                <w:highlight w:val="none"/>
              </w:rPr>
            </w:pPr>
          </w:p>
        </w:tc>
      </w:tr>
      <w:tr w14:paraId="30D4C4E1">
        <w:tblPrEx>
          <w:tblCellMar>
            <w:top w:w="0" w:type="dxa"/>
            <w:left w:w="0" w:type="dxa"/>
            <w:bottom w:w="0" w:type="dxa"/>
            <w:right w:w="0" w:type="dxa"/>
          </w:tblCellMar>
        </w:tblPrEx>
        <w:trPr>
          <w:trHeight w:val="431"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4D87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204D0">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094A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暂定项目招标或其他采购方式价格明显异常，及时上报</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416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D7DF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D055E7A">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D2B2A">
            <w:pPr>
              <w:widowControl/>
              <w:jc w:val="left"/>
              <w:textAlignment w:val="center"/>
              <w:rPr>
                <w:rFonts w:hint="eastAsia" w:ascii="宋体" w:hAnsi="宋体" w:eastAsia="宋体" w:cs="宋体"/>
                <w:color w:val="auto"/>
                <w:sz w:val="21"/>
                <w:szCs w:val="21"/>
                <w:highlight w:val="none"/>
              </w:rPr>
            </w:pPr>
          </w:p>
        </w:tc>
      </w:tr>
      <w:tr w14:paraId="7A146E24">
        <w:tblPrEx>
          <w:tblCellMar>
            <w:top w:w="0" w:type="dxa"/>
            <w:left w:w="0" w:type="dxa"/>
            <w:bottom w:w="0" w:type="dxa"/>
            <w:right w:w="0" w:type="dxa"/>
          </w:tblCellMar>
        </w:tblPrEx>
        <w:trPr>
          <w:trHeight w:val="228"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9267D">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0241">
            <w:pPr>
              <w:jc w:val="center"/>
              <w:rPr>
                <w:rFonts w:hint="eastAsia" w:ascii="宋体" w:hAnsi="宋体" w:eastAsia="宋体" w:cs="宋体"/>
                <w:color w:val="auto"/>
                <w:sz w:val="24"/>
                <w:szCs w:val="24"/>
                <w:highlight w:val="none"/>
              </w:rPr>
            </w:pPr>
          </w:p>
        </w:tc>
        <w:tc>
          <w:tcPr>
            <w:tcW w:w="2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4FD6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发现并移交经济案件线索且被立案查处</w:t>
            </w:r>
          </w:p>
        </w:tc>
        <w:tc>
          <w:tcPr>
            <w:tcW w:w="71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7DE0AB8">
            <w:pPr>
              <w:jc w:val="center"/>
              <w:rPr>
                <w:rFonts w:hint="eastAsia" w:ascii="宋体" w:hAnsi="宋体" w:eastAsia="宋体" w:cs="宋体"/>
                <w:color w:val="auto"/>
                <w:sz w:val="24"/>
                <w:szCs w:val="24"/>
                <w:highlight w:val="none"/>
              </w:rPr>
            </w:pPr>
          </w:p>
        </w:tc>
        <w:tc>
          <w:tcPr>
            <w:tcW w:w="59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BFD3C9D">
            <w:pPr>
              <w:jc w:val="left"/>
              <w:rPr>
                <w:rFonts w:hint="eastAsia" w:ascii="宋体" w:hAnsi="宋体" w:eastAsia="宋体" w:cs="宋体"/>
                <w:color w:val="auto"/>
                <w:sz w:val="24"/>
                <w:szCs w:val="24"/>
                <w:highlight w:val="none"/>
              </w:rPr>
            </w:pPr>
          </w:p>
        </w:tc>
        <w:tc>
          <w:tcPr>
            <w:tcW w:w="1002"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0E2388A8">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1867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每件加5分</w:t>
            </w:r>
          </w:p>
        </w:tc>
      </w:tr>
      <w:tr w14:paraId="54A41532">
        <w:tblPrEx>
          <w:tblCellMar>
            <w:top w:w="0" w:type="dxa"/>
            <w:left w:w="0" w:type="dxa"/>
            <w:bottom w:w="0" w:type="dxa"/>
            <w:right w:w="0" w:type="dxa"/>
          </w:tblCellMar>
        </w:tblPrEx>
        <w:trPr>
          <w:trHeight w:val="445"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0697F">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B9202">
            <w:pPr>
              <w:jc w:val="left"/>
              <w:rPr>
                <w:rFonts w:hint="eastAsia" w:ascii="宋体" w:hAnsi="宋体" w:eastAsia="宋体" w:cs="宋体"/>
                <w:b/>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139FB">
            <w:pPr>
              <w:jc w:val="left"/>
              <w:rPr>
                <w:rFonts w:hint="eastAsia" w:ascii="宋体" w:hAnsi="宋体" w:eastAsia="宋体" w:cs="宋体"/>
                <w:b/>
                <w:color w:val="auto"/>
                <w:sz w:val="24"/>
                <w:szCs w:val="24"/>
                <w:highlight w:val="none"/>
              </w:rPr>
            </w:pPr>
          </w:p>
        </w:tc>
        <w:tc>
          <w:tcPr>
            <w:tcW w:w="35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81025">
            <w:pPr>
              <w:jc w:val="left"/>
              <w:rPr>
                <w:rFonts w:hint="eastAsia" w:ascii="宋体" w:hAnsi="宋体" w:eastAsia="宋体" w:cs="宋体"/>
                <w:color w:val="auto"/>
                <w:sz w:val="24"/>
                <w:szCs w:val="24"/>
                <w:highlight w:val="none"/>
              </w:rPr>
            </w:pPr>
          </w:p>
        </w:tc>
      </w:tr>
      <w:tr w14:paraId="4063C41E">
        <w:tblPrEx>
          <w:tblCellMar>
            <w:top w:w="0" w:type="dxa"/>
            <w:left w:w="0" w:type="dxa"/>
            <w:bottom w:w="0" w:type="dxa"/>
            <w:right w:w="0" w:type="dxa"/>
          </w:tblCellMar>
        </w:tblPrEx>
        <w:trPr>
          <w:trHeight w:val="1005"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A32F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跟审</w:t>
            </w:r>
            <w:r>
              <w:rPr>
                <w:rFonts w:hint="eastAsia" w:ascii="宋体" w:hAnsi="宋体" w:eastAsia="宋体" w:cs="宋体"/>
                <w:color w:val="auto"/>
                <w:kern w:val="0"/>
                <w:sz w:val="24"/>
                <w:szCs w:val="24"/>
                <w:highlight w:val="none"/>
                <w:lang w:eastAsia="zh-CN" w:bidi="ar"/>
              </w:rPr>
              <w:t>企业</w:t>
            </w:r>
            <w:r>
              <w:rPr>
                <w:rFonts w:hint="eastAsia" w:ascii="宋体" w:hAnsi="宋体" w:eastAsia="宋体" w:cs="宋体"/>
                <w:color w:val="auto"/>
                <w:kern w:val="0"/>
                <w:sz w:val="24"/>
                <w:szCs w:val="24"/>
                <w:highlight w:val="none"/>
                <w:lang w:bidi="ar"/>
              </w:rPr>
              <w:t xml:space="preserve">签字：                   </w:t>
            </w:r>
            <w:r>
              <w:rPr>
                <w:rFonts w:hint="eastAsia" w:ascii="宋体" w:hAnsi="宋体" w:eastAsia="宋体" w:cs="宋体"/>
                <w:color w:val="auto"/>
                <w:kern w:val="0"/>
                <w:sz w:val="24"/>
                <w:szCs w:val="24"/>
                <w:highlight w:val="none"/>
                <w:lang w:eastAsia="zh-CN" w:bidi="ar"/>
              </w:rPr>
              <w:t>考核组</w:t>
            </w:r>
            <w:r>
              <w:rPr>
                <w:rFonts w:hint="eastAsia" w:ascii="宋体" w:hAnsi="宋体" w:eastAsia="宋体" w:cs="宋体"/>
                <w:color w:val="auto"/>
                <w:kern w:val="0"/>
                <w:sz w:val="24"/>
                <w:szCs w:val="24"/>
                <w:highlight w:val="none"/>
                <w:lang w:bidi="ar"/>
              </w:rPr>
              <w:t xml:space="preserve">签字 ：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 xml:space="preserve">日     </w:t>
            </w:r>
          </w:p>
        </w:tc>
      </w:tr>
    </w:tbl>
    <w:p w14:paraId="129A26E5">
      <w:pPr>
        <w:pStyle w:val="2"/>
        <w:ind w:left="0" w:leftChars="0" w:firstLine="0" w:firstLineChars="0"/>
        <w:rPr>
          <w:rFonts w:hint="eastAsia" w:ascii="宋体" w:hAnsi="宋体" w:eastAsia="宋体" w:cs="宋体"/>
          <w:color w:val="auto"/>
          <w:sz w:val="32"/>
          <w:szCs w:val="32"/>
          <w:highlight w:val="none"/>
        </w:rPr>
      </w:pPr>
    </w:p>
    <w:p w14:paraId="0E2AC145">
      <w:pPr>
        <w:pStyle w:val="2"/>
        <w:ind w:left="0" w:leftChars="0" w:firstLine="0" w:firstLineChars="0"/>
        <w:rPr>
          <w:rFonts w:hint="eastAsia" w:ascii="宋体" w:hAnsi="宋体" w:eastAsia="宋体" w:cs="宋体"/>
          <w:color w:val="auto"/>
          <w:sz w:val="32"/>
          <w:szCs w:val="32"/>
          <w:highlight w:val="none"/>
        </w:rPr>
      </w:pPr>
    </w:p>
    <w:p w14:paraId="638855D6">
      <w:pPr>
        <w:pStyle w:val="2"/>
        <w:ind w:left="0" w:leftChars="0" w:firstLine="0" w:firstLineChars="0"/>
        <w:rPr>
          <w:rFonts w:hint="eastAsia" w:ascii="宋体" w:hAnsi="宋体" w:eastAsia="宋体" w:cs="宋体"/>
          <w:color w:val="auto"/>
          <w:sz w:val="32"/>
          <w:szCs w:val="32"/>
          <w:highlight w:val="none"/>
        </w:rPr>
      </w:pPr>
    </w:p>
    <w:p w14:paraId="7F47CD82">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1084"/>
        <w:gridCol w:w="2670"/>
        <w:gridCol w:w="570"/>
        <w:gridCol w:w="596"/>
        <w:gridCol w:w="927"/>
        <w:gridCol w:w="3595"/>
      </w:tblGrid>
      <w:tr w14:paraId="571FAAC0">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12400A24">
            <w:pPr>
              <w:widowControl/>
              <w:jc w:val="center"/>
              <w:textAlignment w:val="center"/>
              <w:rPr>
                <w:rFonts w:hint="eastAsia" w:ascii="宋体" w:hAnsi="宋体" w:eastAsia="宋体" w:cs="宋体"/>
                <w:b/>
                <w:color w:val="auto"/>
                <w:szCs w:val="32"/>
                <w:highlight w:val="none"/>
              </w:rPr>
            </w:pPr>
            <w:r>
              <w:rPr>
                <w:rStyle w:val="155"/>
                <w:rFonts w:hint="eastAsia" w:ascii="宋体" w:hAnsi="宋体" w:eastAsia="宋体" w:cs="宋体"/>
                <w:b w:val="0"/>
                <w:color w:val="auto"/>
                <w:highlight w:val="none"/>
                <w:u w:val="single"/>
              </w:rPr>
              <w:t xml:space="preserve">   </w:t>
            </w:r>
            <w:r>
              <w:rPr>
                <w:rStyle w:val="155"/>
                <w:rFonts w:hint="eastAsia" w:ascii="宋体" w:hAnsi="宋体" w:eastAsia="宋体" w:cs="宋体"/>
                <w:b w:val="0"/>
                <w:color w:val="auto"/>
                <w:highlight w:val="none"/>
                <w:u w:val="single"/>
                <w:lang w:val="en-US" w:eastAsia="zh-CN"/>
              </w:rPr>
              <w:t xml:space="preserve">                        </w:t>
            </w:r>
            <w:r>
              <w:rPr>
                <w:rStyle w:val="155"/>
                <w:rFonts w:hint="eastAsia" w:ascii="宋体" w:hAnsi="宋体" w:eastAsia="宋体" w:cs="宋体"/>
                <w:b w:val="0"/>
                <w:color w:val="auto"/>
                <w:highlight w:val="none"/>
              </w:rPr>
              <w:t>项目结算审</w:t>
            </w:r>
            <w:r>
              <w:rPr>
                <w:rStyle w:val="155"/>
                <w:rFonts w:hint="eastAsia" w:ascii="宋体" w:hAnsi="宋体" w:eastAsia="宋体" w:cs="宋体"/>
                <w:b w:val="0"/>
                <w:color w:val="auto"/>
                <w:highlight w:val="none"/>
                <w:lang w:eastAsia="zh-CN"/>
              </w:rPr>
              <w:t>（复）</w:t>
            </w:r>
            <w:r>
              <w:rPr>
                <w:rStyle w:val="155"/>
                <w:rFonts w:hint="eastAsia" w:ascii="宋体" w:hAnsi="宋体" w:eastAsia="宋体" w:cs="宋体"/>
                <w:b w:val="0"/>
                <w:color w:val="auto"/>
                <w:highlight w:val="none"/>
              </w:rPr>
              <w:t>核</w:t>
            </w:r>
            <w:r>
              <w:rPr>
                <w:rStyle w:val="155"/>
                <w:rFonts w:hint="eastAsia" w:ascii="宋体" w:hAnsi="宋体" w:eastAsia="宋体" w:cs="宋体"/>
                <w:b w:val="0"/>
                <w:color w:val="auto"/>
                <w:highlight w:val="none"/>
                <w:lang w:eastAsia="zh-CN"/>
              </w:rPr>
              <w:t>成果质量</w:t>
            </w:r>
            <w:r>
              <w:rPr>
                <w:rStyle w:val="155"/>
                <w:rFonts w:hint="eastAsia" w:ascii="宋体" w:hAnsi="宋体" w:eastAsia="宋体" w:cs="宋体"/>
                <w:b w:val="0"/>
                <w:color w:val="auto"/>
                <w:highlight w:val="none"/>
              </w:rPr>
              <w:t>考核表</w:t>
            </w:r>
          </w:p>
        </w:tc>
      </w:tr>
      <w:tr w14:paraId="6C3617A1">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F235C">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rPr>
              <w:t>序号</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4DF4A">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指标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E62F9">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内容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6727D">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29F8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得分</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5BA5">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打分说明</w:t>
            </w: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5172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备注</w:t>
            </w:r>
          </w:p>
        </w:tc>
      </w:tr>
      <w:tr w14:paraId="5DF2E569">
        <w:tblPrEx>
          <w:tblCellMar>
            <w:top w:w="0" w:type="dxa"/>
            <w:left w:w="0" w:type="dxa"/>
            <w:bottom w:w="0" w:type="dxa"/>
            <w:right w:w="0" w:type="dxa"/>
          </w:tblCellMar>
        </w:tblPrEx>
        <w:trPr>
          <w:trHeight w:val="120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BAA7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835DD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审核人员履职情况</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5D2B0">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bidi="ar"/>
              </w:rPr>
              <w:t>人员能力是否具备胜任本项目需要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47A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F43E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4285A">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C6543">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审核负责人、现场记录人员与任命文</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是否一致，</w:t>
            </w:r>
            <w:r>
              <w:rPr>
                <w:rFonts w:hint="eastAsia" w:ascii="宋体" w:hAnsi="宋体" w:eastAsia="宋体" w:cs="宋体"/>
                <w:color w:val="auto"/>
                <w:kern w:val="0"/>
                <w:sz w:val="21"/>
                <w:szCs w:val="21"/>
                <w:highlight w:val="none"/>
                <w:lang w:eastAsia="zh-CN"/>
              </w:rPr>
              <w:t>若出现</w:t>
            </w:r>
            <w:r>
              <w:rPr>
                <w:rFonts w:hint="eastAsia" w:ascii="宋体" w:hAnsi="宋体" w:eastAsia="宋体" w:cs="宋体"/>
                <w:color w:val="auto"/>
                <w:sz w:val="21"/>
                <w:szCs w:val="21"/>
                <w:highlight w:val="none"/>
              </w:rPr>
              <w:t>不一致</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kern w:val="0"/>
                <w:sz w:val="21"/>
                <w:szCs w:val="21"/>
                <w:highlight w:val="none"/>
              </w:rPr>
              <w:t>冒名顶替情况</w:t>
            </w:r>
            <w:r>
              <w:rPr>
                <w:rFonts w:hint="eastAsia" w:ascii="宋体" w:hAnsi="宋体" w:eastAsia="宋体" w:cs="宋体"/>
                <w:color w:val="auto"/>
                <w:sz w:val="21"/>
                <w:szCs w:val="21"/>
                <w:highlight w:val="none"/>
              </w:rPr>
              <w:t>的，本项得0分。</w:t>
            </w:r>
          </w:p>
        </w:tc>
      </w:tr>
      <w:tr w14:paraId="57C2C547">
        <w:tblPrEx>
          <w:tblCellMar>
            <w:top w:w="0" w:type="dxa"/>
            <w:left w:w="0" w:type="dxa"/>
            <w:bottom w:w="0" w:type="dxa"/>
            <w:right w:w="0" w:type="dxa"/>
          </w:tblCellMar>
        </w:tblPrEx>
        <w:trPr>
          <w:trHeight w:val="4451" w:hRule="atLeast"/>
          <w:jc w:val="center"/>
        </w:trPr>
        <w:tc>
          <w:tcPr>
            <w:tcW w:w="55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4F6DB4A">
            <w:pPr>
              <w:widowControl/>
              <w:jc w:val="center"/>
              <w:textAlignment w:val="center"/>
              <w:rPr>
                <w:rFonts w:hint="eastAsia" w:ascii="宋体" w:hAnsi="宋体" w:eastAsia="宋体" w:cs="宋体"/>
                <w:color w:val="auto"/>
                <w:kern w:val="0"/>
                <w:sz w:val="24"/>
                <w:szCs w:val="24"/>
                <w:highlight w:val="none"/>
              </w:rPr>
            </w:pPr>
          </w:p>
        </w:tc>
        <w:tc>
          <w:tcPr>
            <w:tcW w:w="108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C13A23D">
            <w:pPr>
              <w:widowControl/>
              <w:jc w:val="center"/>
              <w:textAlignment w:val="center"/>
              <w:rPr>
                <w:rFonts w:hint="eastAsia" w:ascii="宋体" w:hAnsi="宋体" w:eastAsia="宋体" w:cs="宋体"/>
                <w:color w:val="auto"/>
                <w:kern w:val="0"/>
                <w:sz w:val="24"/>
                <w:szCs w:val="24"/>
                <w:highlight w:val="none"/>
              </w:rPr>
            </w:pPr>
          </w:p>
        </w:tc>
        <w:tc>
          <w:tcPr>
            <w:tcW w:w="26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73C692">
            <w:pPr>
              <w:widowControl/>
              <w:spacing w:line="40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2.是否按时限完成结算</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4A00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6668">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1C55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A7F50">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结算审核单位</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万以下）或</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万以上）内，对施工单位报送的项目结算资料进行完整性检查，一次性书面告知，限期补充齐全。造价在</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万元以下、</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万元以上的单项工程，应</w:t>
            </w:r>
            <w:r>
              <w:rPr>
                <w:rFonts w:hint="eastAsia" w:ascii="宋体" w:hAnsi="宋体" w:eastAsia="宋体" w:cs="宋体"/>
                <w:color w:val="auto"/>
                <w:sz w:val="21"/>
                <w:szCs w:val="21"/>
                <w:highlight w:val="none"/>
                <w:lang w:eastAsia="zh-CN"/>
              </w:rPr>
              <w:t>分别</w:t>
            </w:r>
            <w:r>
              <w:rPr>
                <w:rFonts w:hint="eastAsia" w:ascii="宋体" w:hAnsi="宋体" w:eastAsia="宋体" w:cs="宋体"/>
                <w:color w:val="auto"/>
                <w:sz w:val="21"/>
                <w:szCs w:val="21"/>
                <w:highlight w:val="none"/>
              </w:rPr>
              <w:t>在施工单位报送的项目结算资料完整</w:t>
            </w:r>
            <w:r>
              <w:rPr>
                <w:rFonts w:hint="eastAsia" w:ascii="宋体" w:hAnsi="宋体" w:eastAsia="宋体" w:cs="宋体"/>
                <w:color w:val="auto"/>
                <w:sz w:val="21"/>
                <w:szCs w:val="21"/>
                <w:highlight w:val="none"/>
                <w:lang w:eastAsia="zh-CN"/>
              </w:rPr>
              <w:t>后的20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45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60</w:t>
            </w:r>
            <w:r>
              <w:rPr>
                <w:rFonts w:hint="eastAsia" w:ascii="宋体" w:hAnsi="宋体" w:eastAsia="宋体" w:cs="宋体"/>
                <w:color w:val="auto"/>
                <w:sz w:val="21"/>
                <w:szCs w:val="21"/>
                <w:highlight w:val="none"/>
              </w:rPr>
              <w:t>日内完成，并出具审核报告。</w:t>
            </w:r>
            <w:r>
              <w:rPr>
                <w:rStyle w:val="152"/>
                <w:rFonts w:hint="eastAsia" w:ascii="宋体" w:hAnsi="宋体" w:eastAsia="宋体" w:cs="宋体"/>
                <w:color w:val="auto"/>
                <w:sz w:val="21"/>
                <w:szCs w:val="21"/>
                <w:highlight w:val="none"/>
                <w:lang w:eastAsia="zh-CN" w:bidi="ar"/>
              </w:rPr>
              <w:t>每延误</w:t>
            </w:r>
            <w:r>
              <w:rPr>
                <w:rStyle w:val="152"/>
                <w:rFonts w:hint="eastAsia" w:ascii="宋体" w:hAnsi="宋体" w:eastAsia="宋体" w:cs="宋体"/>
                <w:color w:val="auto"/>
                <w:sz w:val="21"/>
                <w:szCs w:val="21"/>
                <w:highlight w:val="none"/>
                <w:lang w:val="en-US" w:eastAsia="zh-CN" w:bidi="ar"/>
              </w:rPr>
              <w:t>5</w:t>
            </w:r>
            <w:r>
              <w:rPr>
                <w:rStyle w:val="152"/>
                <w:rFonts w:hint="eastAsia" w:ascii="宋体" w:hAnsi="宋体" w:eastAsia="宋体" w:cs="宋体"/>
                <w:color w:val="auto"/>
                <w:sz w:val="21"/>
                <w:szCs w:val="21"/>
                <w:highlight w:val="none"/>
                <w:lang w:eastAsia="zh-CN" w:bidi="ar"/>
              </w:rPr>
              <w:t>天扣</w:t>
            </w:r>
            <w:r>
              <w:rPr>
                <w:rStyle w:val="152"/>
                <w:rFonts w:hint="eastAsia" w:ascii="宋体" w:hAnsi="宋体" w:eastAsia="宋体" w:cs="宋体"/>
                <w:color w:val="auto"/>
                <w:sz w:val="21"/>
                <w:szCs w:val="21"/>
                <w:highlight w:val="none"/>
                <w:lang w:val="en-US" w:eastAsia="zh-CN" w:bidi="ar"/>
              </w:rPr>
              <w:t>1分，扣完为止。（本项业主代表参与打分）</w:t>
            </w:r>
          </w:p>
        </w:tc>
      </w:tr>
      <w:tr w14:paraId="560E697E">
        <w:tblPrEx>
          <w:tblCellMar>
            <w:top w:w="0" w:type="dxa"/>
            <w:left w:w="0" w:type="dxa"/>
            <w:bottom w:w="0" w:type="dxa"/>
            <w:right w:w="0" w:type="dxa"/>
          </w:tblCellMar>
        </w:tblPrEx>
        <w:trPr>
          <w:trHeight w:val="9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2DC1F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二</w:t>
            </w:r>
          </w:p>
        </w:tc>
        <w:tc>
          <w:tcPr>
            <w:tcW w:w="10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AE44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结算</w:t>
            </w:r>
            <w:r>
              <w:rPr>
                <w:rFonts w:hint="eastAsia" w:ascii="宋体" w:hAnsi="宋体" w:eastAsia="宋体" w:cs="宋体"/>
                <w:color w:val="auto"/>
                <w:kern w:val="0"/>
                <w:sz w:val="24"/>
                <w:szCs w:val="24"/>
                <w:highlight w:val="none"/>
              </w:rPr>
              <w:t>资料完整性</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F8F4E">
            <w:pPr>
              <w:widowControl/>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资料是否齐全</w:t>
            </w: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0183E6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7B1CB">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EBD23">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1B2C1">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eastAsia="zh-CN"/>
              </w:rPr>
              <w:t>、工程量清单及</w:t>
            </w:r>
            <w:r>
              <w:rPr>
                <w:rFonts w:hint="eastAsia" w:ascii="宋体" w:hAnsi="宋体" w:eastAsia="宋体" w:cs="宋体"/>
                <w:color w:val="auto"/>
                <w:sz w:val="21"/>
                <w:szCs w:val="21"/>
                <w:highlight w:val="none"/>
              </w:rPr>
              <w:t>最高投标限价、投标文件、施工合同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工程计量单、第三方测量报告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现场计录单、影像资料、变更申请表、会议纪要、工期延期审批报告、竣工图纸、竣工验收报告、竣工结算报告书、项目移交资料等资料是否齐全。每少一</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rPr>
              <w:t>资料扣1分，扣完为止</w:t>
            </w:r>
            <w:r>
              <w:rPr>
                <w:rFonts w:hint="eastAsia" w:ascii="宋体" w:hAnsi="宋体" w:eastAsia="宋体" w:cs="宋体"/>
                <w:color w:val="auto"/>
                <w:sz w:val="21"/>
                <w:szCs w:val="21"/>
                <w:highlight w:val="none"/>
                <w:lang w:eastAsia="zh-CN"/>
              </w:rPr>
              <w:t>，资料不齐全的酌情扣分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（本项第三方复审单位未尽检查提醒义务的予以扣分）</w:t>
            </w:r>
          </w:p>
        </w:tc>
      </w:tr>
      <w:tr w14:paraId="380276B7">
        <w:tblPrEx>
          <w:tblCellMar>
            <w:top w:w="0" w:type="dxa"/>
            <w:left w:w="0" w:type="dxa"/>
            <w:bottom w:w="0" w:type="dxa"/>
            <w:right w:w="0" w:type="dxa"/>
          </w:tblCellMar>
        </w:tblPrEx>
        <w:trPr>
          <w:trHeight w:val="3175" w:hRule="atLeast"/>
          <w:jc w:val="center"/>
        </w:trPr>
        <w:tc>
          <w:tcPr>
            <w:tcW w:w="556"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39447F">
            <w:pPr>
              <w:jc w:val="center"/>
              <w:rPr>
                <w:rFonts w:hint="eastAsia" w:ascii="宋体" w:hAnsi="宋体" w:eastAsia="宋体" w:cs="宋体"/>
                <w:color w:val="auto"/>
                <w:sz w:val="24"/>
                <w:szCs w:val="24"/>
                <w:highlight w:val="none"/>
              </w:rPr>
            </w:pPr>
          </w:p>
        </w:tc>
        <w:tc>
          <w:tcPr>
            <w:tcW w:w="1084"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2D3B">
            <w:pPr>
              <w:jc w:val="center"/>
              <w:rPr>
                <w:rFonts w:hint="eastAsia" w:ascii="宋体" w:hAnsi="宋体" w:eastAsia="宋体" w:cs="宋体"/>
                <w:color w:val="auto"/>
                <w:sz w:val="24"/>
                <w:szCs w:val="24"/>
                <w:highlight w:val="none"/>
              </w:rPr>
            </w:pPr>
          </w:p>
        </w:tc>
        <w:tc>
          <w:tcPr>
            <w:tcW w:w="26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D0CD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结算</w:t>
            </w:r>
            <w:r>
              <w:rPr>
                <w:rFonts w:hint="eastAsia" w:ascii="宋体" w:hAnsi="宋体" w:eastAsia="宋体" w:cs="宋体"/>
                <w:color w:val="auto"/>
                <w:sz w:val="24"/>
                <w:szCs w:val="24"/>
                <w:highlight w:val="none"/>
              </w:rPr>
              <w:t xml:space="preserve">资料是否装订整齐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A0A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7A78D">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FD7A2">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B496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计量资料有目录、编码，</w:t>
            </w:r>
            <w:r>
              <w:rPr>
                <w:rFonts w:hint="eastAsia" w:ascii="宋体" w:hAnsi="宋体" w:eastAsia="宋体" w:cs="宋体"/>
                <w:color w:val="auto"/>
                <w:sz w:val="21"/>
                <w:szCs w:val="21"/>
                <w:highlight w:val="none"/>
              </w:rPr>
              <w:t>工程计量单、现场记录单、影像</w:t>
            </w:r>
            <w:r>
              <w:rPr>
                <w:rFonts w:hint="eastAsia" w:ascii="宋体" w:hAnsi="宋体" w:eastAsia="宋体" w:cs="宋体"/>
                <w:color w:val="auto"/>
                <w:sz w:val="21"/>
                <w:szCs w:val="21"/>
                <w:highlight w:val="none"/>
                <w:lang w:eastAsia="zh-CN"/>
              </w:rPr>
              <w:t>资料需一一对应，变更资料中</w:t>
            </w:r>
            <w:r>
              <w:rPr>
                <w:rFonts w:hint="eastAsia" w:ascii="宋体" w:hAnsi="宋体" w:eastAsia="宋体" w:cs="宋体"/>
                <w:color w:val="auto"/>
                <w:sz w:val="21"/>
                <w:szCs w:val="21"/>
                <w:highlight w:val="none"/>
              </w:rPr>
              <w:t>变更申请表、会议纪要、联系单、计量单、现场记录、影像资料</w:t>
            </w:r>
            <w:r>
              <w:rPr>
                <w:rFonts w:hint="eastAsia" w:ascii="宋体" w:hAnsi="宋体" w:eastAsia="宋体" w:cs="宋体"/>
                <w:color w:val="auto"/>
                <w:sz w:val="21"/>
                <w:szCs w:val="21"/>
                <w:highlight w:val="none"/>
                <w:lang w:eastAsia="zh-CN"/>
              </w:rPr>
              <w:t>需一一对应，</w:t>
            </w:r>
            <w:r>
              <w:rPr>
                <w:rFonts w:hint="eastAsia" w:ascii="宋体" w:hAnsi="宋体" w:eastAsia="宋体" w:cs="宋体"/>
                <w:color w:val="auto"/>
                <w:sz w:val="21"/>
                <w:szCs w:val="21"/>
                <w:highlight w:val="none"/>
              </w:rPr>
              <w:t>根据资料装订情况，差</w:t>
            </w:r>
            <w:r>
              <w:rPr>
                <w:rFonts w:hint="eastAsia" w:ascii="宋体" w:hAnsi="宋体" w:eastAsia="宋体" w:cs="宋体"/>
                <w:color w:val="auto"/>
                <w:kern w:val="0"/>
                <w:sz w:val="21"/>
                <w:szCs w:val="21"/>
                <w:highlight w:val="none"/>
              </w:rPr>
              <w:t>0分、一般</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分、较好</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分，很好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（本项第三方复审单位未尽检查提醒义务的予以扣分）</w:t>
            </w:r>
          </w:p>
        </w:tc>
      </w:tr>
      <w:tr w14:paraId="7EB0DCFC">
        <w:tblPrEx>
          <w:tblCellMar>
            <w:top w:w="0" w:type="dxa"/>
            <w:left w:w="0" w:type="dxa"/>
            <w:bottom w:w="0" w:type="dxa"/>
            <w:right w:w="0" w:type="dxa"/>
          </w:tblCellMar>
        </w:tblPrEx>
        <w:trPr>
          <w:trHeight w:val="1202"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370E29">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三</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5F927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工程计量</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03EA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1.签字盖章是否齐全</w:t>
            </w:r>
            <w:r>
              <w:rPr>
                <w:rFonts w:hint="eastAsia" w:ascii="宋体" w:hAnsi="宋体" w:eastAsia="宋体" w:cs="宋体"/>
                <w:color w:val="auto"/>
                <w:sz w:val="24"/>
                <w:szCs w:val="24"/>
                <w:highlight w:val="none"/>
              </w:rPr>
              <w:t xml:space="preserve">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5386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1848F">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A9B6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6D1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缺少签字盖章的，每</w:t>
            </w:r>
            <w:r>
              <w:rPr>
                <w:rFonts w:hint="eastAsia" w:ascii="宋体" w:hAnsi="宋体" w:eastAsia="宋体" w:cs="宋体"/>
                <w:color w:val="auto"/>
                <w:sz w:val="21"/>
                <w:szCs w:val="21"/>
                <w:highlight w:val="none"/>
                <w:lang w:eastAsia="zh-CN"/>
              </w:rPr>
              <w:t>处</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7986DE96">
        <w:tblPrEx>
          <w:tblCellMar>
            <w:top w:w="0" w:type="dxa"/>
            <w:left w:w="0" w:type="dxa"/>
            <w:bottom w:w="0" w:type="dxa"/>
            <w:right w:w="0" w:type="dxa"/>
          </w:tblCellMar>
        </w:tblPrEx>
        <w:trPr>
          <w:trHeight w:val="161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64B093AA">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41DD4C33">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3E848">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 xml:space="preserve"> 合同内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合同外工程量是否计量</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4BA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BCABD">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917FE">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0CC8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结算审核报告中的分项工程，若存在无计量情况，每个扣1分，扣完为止。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0FA1B53">
        <w:tblPrEx>
          <w:tblCellMar>
            <w:top w:w="0" w:type="dxa"/>
            <w:left w:w="0" w:type="dxa"/>
            <w:bottom w:w="0" w:type="dxa"/>
            <w:right w:w="0" w:type="dxa"/>
          </w:tblCellMar>
        </w:tblPrEx>
        <w:trPr>
          <w:trHeight w:val="135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5552C9D4">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366E6CAF">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0DD69">
            <w:pPr>
              <w:widowControl/>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、计量</w:t>
            </w:r>
            <w:r>
              <w:rPr>
                <w:rFonts w:hint="eastAsia" w:ascii="宋体" w:hAnsi="宋体" w:eastAsia="宋体" w:cs="宋体"/>
                <w:color w:val="auto"/>
                <w:kern w:val="0"/>
                <w:sz w:val="24"/>
                <w:szCs w:val="24"/>
                <w:highlight w:val="none"/>
                <w:lang w:eastAsia="zh-CN"/>
              </w:rPr>
              <w:t>单格式、内容</w:t>
            </w:r>
            <w:r>
              <w:rPr>
                <w:rFonts w:hint="eastAsia" w:ascii="宋体" w:hAnsi="宋体" w:eastAsia="宋体" w:cs="宋体"/>
                <w:color w:val="auto"/>
                <w:kern w:val="0"/>
                <w:sz w:val="24"/>
                <w:szCs w:val="24"/>
                <w:highlight w:val="none"/>
              </w:rPr>
              <w:t>是否规范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522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7DA67">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D8F39">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D7DB6">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计量单需按我处格式执行，</w:t>
            </w:r>
            <w:r>
              <w:rPr>
                <w:rFonts w:hint="eastAsia" w:ascii="宋体" w:hAnsi="宋体" w:eastAsia="宋体" w:cs="宋体"/>
                <w:color w:val="auto"/>
                <w:kern w:val="0"/>
                <w:sz w:val="21"/>
                <w:szCs w:val="21"/>
                <w:highlight w:val="none"/>
              </w:rPr>
              <w:t>如存在应请第三方测量的项目，而由现场四方计量情况的</w:t>
            </w:r>
            <w:r>
              <w:rPr>
                <w:rFonts w:hint="eastAsia" w:ascii="宋体" w:hAnsi="宋体" w:eastAsia="宋体" w:cs="宋体"/>
                <w:color w:val="auto"/>
                <w:sz w:val="21"/>
                <w:szCs w:val="21"/>
                <w:highlight w:val="none"/>
              </w:rPr>
              <w:t>，每起扣1分，扣完为止。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3684242">
        <w:tblPrEx>
          <w:tblCellMar>
            <w:top w:w="0" w:type="dxa"/>
            <w:left w:w="0" w:type="dxa"/>
            <w:bottom w:w="0" w:type="dxa"/>
            <w:right w:w="0" w:type="dxa"/>
          </w:tblCellMar>
        </w:tblPrEx>
        <w:trPr>
          <w:trHeight w:val="1664"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C991713">
            <w:pPr>
              <w:widowControl/>
              <w:jc w:val="center"/>
              <w:textAlignment w:val="center"/>
              <w:rPr>
                <w:rFonts w:hint="eastAsia" w:ascii="宋体" w:hAnsi="宋体" w:eastAsia="宋体" w:cs="宋体"/>
                <w:color w:val="auto"/>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0E2F23">
            <w:pPr>
              <w:widowControl/>
              <w:jc w:val="center"/>
              <w:textAlignment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3E96">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根据我处工程变更</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管理办法，工程变更审批手续是否及时、齐全、规范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5240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C473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BDA40">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9AE2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因审核人员原因，造成工程变更审批手续不及时、齐全、规范的，</w:t>
            </w:r>
            <w:r>
              <w:rPr>
                <w:rFonts w:hint="eastAsia" w:ascii="宋体" w:hAnsi="宋体" w:eastAsia="宋体" w:cs="宋体"/>
                <w:color w:val="auto"/>
                <w:sz w:val="21"/>
                <w:szCs w:val="21"/>
                <w:highlight w:val="none"/>
                <w:lang w:eastAsia="zh-CN"/>
              </w:rPr>
              <w:t>每项</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（本项业主代表参与打分，第三方复审单位未尽检查提醒义务的予以扣分）</w:t>
            </w:r>
          </w:p>
        </w:tc>
      </w:tr>
      <w:tr w14:paraId="6CA09907">
        <w:tblPrEx>
          <w:tblCellMar>
            <w:top w:w="0" w:type="dxa"/>
            <w:left w:w="0" w:type="dxa"/>
            <w:bottom w:w="0" w:type="dxa"/>
            <w:right w:w="0" w:type="dxa"/>
          </w:tblCellMar>
        </w:tblPrEx>
        <w:trPr>
          <w:trHeight w:val="270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75A2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F34B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廉洁自律</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946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审计单位是否保持廉洁自律要求</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0B03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B6398">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A77F1">
            <w:pPr>
              <w:jc w:val="center"/>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A30D9">
            <w:pPr>
              <w:widowControl/>
              <w:spacing w:line="3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本项党办参与打分）</w:t>
            </w:r>
          </w:p>
        </w:tc>
      </w:tr>
      <w:tr w14:paraId="2EEE1436">
        <w:tblPrEx>
          <w:tblCellMar>
            <w:top w:w="0" w:type="dxa"/>
            <w:left w:w="0" w:type="dxa"/>
            <w:bottom w:w="0" w:type="dxa"/>
            <w:right w:w="0" w:type="dxa"/>
          </w:tblCellMar>
        </w:tblPrEx>
        <w:trPr>
          <w:trHeight w:val="2593"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1987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五</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8F47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竣工结算审核的误差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2EE87">
            <w:pPr>
              <w:widowControl/>
              <w:spacing w:line="400" w:lineRule="exact"/>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根据我处竣工结算审核流程，经第三方、计划科、审价中心复审后，对竣工结算审核报告的误差率进行打分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8160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E1033">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C937D">
            <w:pPr>
              <w:jc w:val="left"/>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BFAB1">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误差率1%</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-2%的，扣5分；</w:t>
            </w:r>
          </w:p>
          <w:p w14:paraId="64B91A7E">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-2.5%的，扣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p w14:paraId="61FB8ADA">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w:t>
            </w:r>
          </w:p>
          <w:p w14:paraId="1852A67C">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-3.5%的，扣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14:paraId="1D848C0D">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-4%的，扣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14:paraId="20131F96">
            <w:pPr>
              <w:widowControl/>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以上的，扣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r>
      <w:tr w14:paraId="608AF683">
        <w:tblPrEx>
          <w:tblCellMar>
            <w:top w:w="0" w:type="dxa"/>
            <w:left w:w="0" w:type="dxa"/>
            <w:bottom w:w="0" w:type="dxa"/>
            <w:right w:w="0" w:type="dxa"/>
          </w:tblCellMar>
        </w:tblPrEx>
        <w:trPr>
          <w:trHeight w:val="558"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A96E7">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9742B">
            <w:pPr>
              <w:jc w:val="left"/>
              <w:rPr>
                <w:rFonts w:hint="eastAsia" w:ascii="宋体" w:hAnsi="宋体" w:eastAsia="宋体" w:cs="宋体"/>
                <w:b/>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5322F">
            <w:pPr>
              <w:jc w:val="left"/>
              <w:rPr>
                <w:rFonts w:hint="eastAsia" w:ascii="宋体" w:hAnsi="宋体" w:eastAsia="宋体" w:cs="宋体"/>
                <w:b/>
                <w:color w:val="auto"/>
                <w:sz w:val="24"/>
                <w:szCs w:val="24"/>
                <w:highlight w:val="none"/>
              </w:rPr>
            </w:pPr>
          </w:p>
        </w:tc>
        <w:tc>
          <w:tcPr>
            <w:tcW w:w="35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98FF1">
            <w:pPr>
              <w:jc w:val="left"/>
              <w:rPr>
                <w:rFonts w:hint="eastAsia" w:ascii="宋体" w:hAnsi="宋体" w:eastAsia="宋体" w:cs="宋体"/>
                <w:color w:val="auto"/>
                <w:sz w:val="21"/>
                <w:szCs w:val="21"/>
                <w:highlight w:val="none"/>
              </w:rPr>
            </w:pPr>
          </w:p>
        </w:tc>
      </w:tr>
      <w:tr w14:paraId="5937D088">
        <w:tblPrEx>
          <w:tblCellMar>
            <w:top w:w="0" w:type="dxa"/>
            <w:left w:w="0" w:type="dxa"/>
            <w:bottom w:w="0" w:type="dxa"/>
            <w:right w:w="0" w:type="dxa"/>
          </w:tblCellMar>
        </w:tblPrEx>
        <w:trPr>
          <w:trHeight w:val="1429"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11FD0">
            <w:pPr>
              <w:widowControl/>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企业签字：                   考核组签字 ：                  </w:t>
            </w:r>
            <w:r>
              <w:rPr>
                <w:rFonts w:hint="eastAsia" w:ascii="宋体" w:hAnsi="宋体" w:eastAsia="宋体" w:cs="宋体"/>
                <w:color w:val="auto"/>
                <w:kern w:val="0"/>
                <w:sz w:val="24"/>
                <w:szCs w:val="24"/>
                <w:highlight w:val="none"/>
                <w:lang w:val="en-US" w:eastAsia="zh-CN"/>
              </w:rPr>
              <w:t xml:space="preserve">       </w:t>
            </w:r>
          </w:p>
          <w:p w14:paraId="54CA4D58">
            <w:pPr>
              <w:widowControl/>
              <w:ind w:firstLine="8160" w:firstLineChars="34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  </w:t>
            </w:r>
            <w:r>
              <w:rPr>
                <w:rStyle w:val="156"/>
                <w:rFonts w:hint="eastAsia" w:ascii="宋体" w:hAnsi="宋体" w:eastAsia="宋体" w:cs="宋体"/>
                <w:color w:val="auto"/>
                <w:sz w:val="24"/>
                <w:szCs w:val="24"/>
                <w:highlight w:val="none"/>
              </w:rPr>
              <w:t>年</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月</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日</w:t>
            </w:r>
          </w:p>
        </w:tc>
      </w:tr>
    </w:tbl>
    <w:p w14:paraId="2158A4B5">
      <w:pPr>
        <w:pStyle w:val="28"/>
        <w:ind w:left="0" w:leftChars="0" w:firstLine="0" w:firstLineChars="0"/>
        <w:rPr>
          <w:rFonts w:hint="eastAsia" w:ascii="宋体" w:hAnsi="宋体" w:eastAsia="宋体" w:cs="宋体"/>
          <w:color w:val="auto"/>
          <w:sz w:val="32"/>
          <w:szCs w:val="32"/>
          <w:highlight w:val="none"/>
          <w:lang w:val="en-US" w:eastAsia="zh-CN"/>
        </w:rPr>
      </w:pPr>
    </w:p>
    <w:p w14:paraId="30A0BDF8">
      <w:pPr>
        <w:spacing w:before="156" w:beforeLines="50" w:after="156" w:afterLines="50" w:line="312" w:lineRule="auto"/>
        <w:jc w:val="center"/>
        <w:rPr>
          <w:rFonts w:hint="eastAsia" w:ascii="宋体" w:hAnsi="宋体" w:eastAsia="宋体" w:cs="宋体"/>
          <w:b/>
          <w:color w:val="auto"/>
          <w:sz w:val="32"/>
          <w:szCs w:val="32"/>
          <w:highlight w:val="none"/>
        </w:rPr>
      </w:pPr>
    </w:p>
    <w:p w14:paraId="167AEBA4">
      <w:pPr>
        <w:rPr>
          <w:rFonts w:hint="eastAsia" w:ascii="宋体" w:hAnsi="宋体" w:eastAsia="宋体" w:cs="宋体"/>
          <w:color w:val="auto"/>
          <w:highlight w:val="none"/>
        </w:rPr>
      </w:pPr>
    </w:p>
    <w:p w14:paraId="24A277F9">
      <w:pPr>
        <w:pStyle w:val="2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24"/>
          <w:szCs w:val="24"/>
          <w:highlight w:val="none"/>
          <w:lang w:val="en-US" w:eastAsia="zh-CN"/>
        </w:rPr>
        <w:sectPr>
          <w:footerReference r:id="rId8"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6A88782D">
      <w:pPr>
        <w:keepNext w:val="0"/>
        <w:keepLines w:val="0"/>
        <w:pageBreakBefore/>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工程建设约谈管理规定</w:t>
      </w:r>
    </w:p>
    <w:p w14:paraId="7766AB67">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b/>
          <w:color w:val="auto"/>
          <w:sz w:val="21"/>
          <w:szCs w:val="21"/>
          <w:highlight w:val="none"/>
        </w:rPr>
      </w:pPr>
    </w:p>
    <w:p w14:paraId="27905D28">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第一条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为进一步规范工程建设管理约谈行为，加强</w:t>
      </w:r>
      <w:r>
        <w:rPr>
          <w:rFonts w:hint="eastAsia" w:ascii="宋体" w:hAnsi="宋体" w:eastAsia="宋体" w:cs="宋体"/>
          <w:color w:val="auto"/>
          <w:sz w:val="21"/>
          <w:szCs w:val="21"/>
          <w:highlight w:val="none"/>
          <w:lang w:eastAsia="zh-CN"/>
        </w:rPr>
        <w:t>各参建</w:t>
      </w:r>
      <w:r>
        <w:rPr>
          <w:rFonts w:hint="eastAsia" w:ascii="宋体" w:hAnsi="宋体" w:eastAsia="宋体" w:cs="宋体"/>
          <w:color w:val="auto"/>
          <w:sz w:val="21"/>
          <w:szCs w:val="21"/>
          <w:highlight w:val="none"/>
        </w:rPr>
        <w:t>单位履约意识，保障项目建设，制定本规定。</w:t>
      </w:r>
    </w:p>
    <w:p w14:paraId="11BA04A7">
      <w:pPr>
        <w:keepNext w:val="0"/>
        <w:keepLines w:val="0"/>
        <w:pageBreakBefore w:val="0"/>
        <w:kinsoku/>
        <w:wordWrap/>
        <w:overflowPunct/>
        <w:topLinePunct w:val="0"/>
        <w:autoSpaceDE/>
        <w:autoSpaceDN/>
        <w:bidi w:val="0"/>
        <w:adjustRightInd/>
        <w:snapToGrid/>
        <w:spacing w:line="288" w:lineRule="auto"/>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约谈分为中标人约谈和履约约谈。</w:t>
      </w:r>
    </w:p>
    <w:p w14:paraId="05FB427B">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第三条 </w:t>
      </w:r>
      <w:r>
        <w:rPr>
          <w:rFonts w:hint="eastAsia" w:ascii="宋体" w:hAnsi="宋体" w:eastAsia="宋体" w:cs="宋体"/>
          <w:color w:val="auto"/>
          <w:sz w:val="21"/>
          <w:szCs w:val="21"/>
          <w:highlight w:val="none"/>
        </w:rPr>
        <w:t>中标人约谈是指中标通知书发出后，项目开工前，处相关科室对中标人进行的约谈。履约约谈是指项目管理过程中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处相关科室对中标人进行的约谈。中标人包括勘察、设计、施工、监理</w:t>
      </w:r>
      <w:r>
        <w:rPr>
          <w:rFonts w:hint="eastAsia" w:ascii="宋体" w:hAnsi="宋体" w:eastAsia="宋体" w:cs="宋体"/>
          <w:color w:val="auto"/>
          <w:sz w:val="21"/>
          <w:szCs w:val="21"/>
          <w:highlight w:val="none"/>
          <w:lang w:eastAsia="zh-CN"/>
        </w:rPr>
        <w:t>、跟踪审计</w:t>
      </w:r>
      <w:r>
        <w:rPr>
          <w:rFonts w:hint="eastAsia" w:ascii="宋体" w:hAnsi="宋体" w:eastAsia="宋体" w:cs="宋体"/>
          <w:color w:val="auto"/>
          <w:sz w:val="21"/>
          <w:szCs w:val="21"/>
          <w:highlight w:val="none"/>
        </w:rPr>
        <w:t>及重要设备（材料）供货商等相关单位</w:t>
      </w:r>
      <w:r>
        <w:rPr>
          <w:rFonts w:hint="eastAsia" w:ascii="宋体" w:hAnsi="宋体" w:eastAsia="宋体" w:cs="宋体"/>
          <w:color w:val="auto"/>
          <w:sz w:val="21"/>
          <w:szCs w:val="21"/>
          <w:highlight w:val="none"/>
          <w:lang w:eastAsia="zh-CN"/>
        </w:rPr>
        <w:t>（以下简称“被约谈单位”）</w:t>
      </w:r>
      <w:r>
        <w:rPr>
          <w:rFonts w:hint="eastAsia" w:ascii="宋体" w:hAnsi="宋体" w:eastAsia="宋体" w:cs="宋体"/>
          <w:color w:val="auto"/>
          <w:sz w:val="21"/>
          <w:szCs w:val="21"/>
          <w:highlight w:val="none"/>
        </w:rPr>
        <w:t xml:space="preserve">。 </w:t>
      </w:r>
    </w:p>
    <w:p w14:paraId="5F70878A">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中标人约谈由综合计划科牵头，</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分管领导、工程</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rPr>
        <w:t>科、监管科、协调科、财务科、党办等相关科室参加，</w:t>
      </w:r>
      <w:r>
        <w:rPr>
          <w:rFonts w:hint="eastAsia" w:ascii="宋体" w:hAnsi="宋体" w:eastAsia="宋体" w:cs="宋体"/>
          <w:color w:val="auto"/>
          <w:sz w:val="21"/>
          <w:szCs w:val="21"/>
          <w:highlight w:val="none"/>
          <w:lang w:eastAsia="zh-CN"/>
        </w:rPr>
        <w:t>特殊</w:t>
      </w:r>
      <w:r>
        <w:rPr>
          <w:rFonts w:hint="eastAsia" w:ascii="宋体" w:hAnsi="宋体" w:eastAsia="宋体" w:cs="宋体"/>
          <w:color w:val="auto"/>
          <w:sz w:val="21"/>
          <w:szCs w:val="21"/>
          <w:highlight w:val="none"/>
        </w:rPr>
        <w:t>项目邀请纪检组参加</w:t>
      </w:r>
      <w:r>
        <w:rPr>
          <w:rStyle w:val="58"/>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履约约谈由处职能科室牵头，在项目管理过程中</w:t>
      </w:r>
      <w:r>
        <w:rPr>
          <w:rFonts w:hint="eastAsia" w:ascii="宋体" w:hAnsi="宋体" w:eastAsia="宋体" w:cs="宋体"/>
          <w:bCs/>
          <w:color w:val="auto"/>
          <w:sz w:val="21"/>
          <w:szCs w:val="21"/>
          <w:highlight w:val="none"/>
        </w:rPr>
        <w:t>对承包人（</w:t>
      </w:r>
      <w:r>
        <w:rPr>
          <w:rFonts w:hint="eastAsia" w:ascii="宋体" w:hAnsi="宋体" w:eastAsia="宋体" w:cs="宋体"/>
          <w:bCs/>
          <w:color w:val="auto"/>
          <w:sz w:val="21"/>
          <w:szCs w:val="21"/>
          <w:highlight w:val="none"/>
          <w:lang w:eastAsia="zh-CN"/>
        </w:rPr>
        <w:t>受</w:t>
      </w:r>
      <w:r>
        <w:rPr>
          <w:rFonts w:hint="eastAsia" w:ascii="宋体" w:hAnsi="宋体" w:eastAsia="宋体" w:cs="宋体"/>
          <w:bCs/>
          <w:color w:val="auto"/>
          <w:sz w:val="21"/>
          <w:szCs w:val="21"/>
          <w:highlight w:val="none"/>
        </w:rPr>
        <w:t>托人）进行的</w:t>
      </w:r>
      <w:r>
        <w:rPr>
          <w:rFonts w:hint="eastAsia" w:ascii="宋体" w:hAnsi="宋体" w:eastAsia="宋体" w:cs="宋体"/>
          <w:color w:val="auto"/>
          <w:sz w:val="21"/>
          <w:szCs w:val="21"/>
          <w:highlight w:val="none"/>
        </w:rPr>
        <w:t>提醒、警告等形式</w:t>
      </w:r>
      <w:r>
        <w:rPr>
          <w:rFonts w:hint="eastAsia" w:ascii="宋体" w:hAnsi="宋体" w:eastAsia="宋体" w:cs="宋体"/>
          <w:color w:val="auto"/>
          <w:sz w:val="21"/>
          <w:szCs w:val="21"/>
          <w:highlight w:val="none"/>
          <w:lang w:eastAsia="zh-CN"/>
        </w:rPr>
        <w:t>的约谈</w:t>
      </w:r>
      <w:r>
        <w:rPr>
          <w:rFonts w:hint="eastAsia" w:ascii="宋体" w:hAnsi="宋体" w:eastAsia="宋体" w:cs="宋体"/>
          <w:color w:val="auto"/>
          <w:sz w:val="21"/>
          <w:szCs w:val="21"/>
          <w:highlight w:val="none"/>
        </w:rPr>
        <w:t>。</w:t>
      </w:r>
    </w:p>
    <w:p w14:paraId="6FCE4B2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第五条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被</w:t>
      </w:r>
      <w:r>
        <w:rPr>
          <w:rFonts w:hint="eastAsia" w:ascii="宋体" w:hAnsi="宋体" w:eastAsia="宋体" w:cs="宋体"/>
          <w:color w:val="auto"/>
          <w:sz w:val="21"/>
          <w:szCs w:val="21"/>
          <w:highlight w:val="none"/>
          <w:lang w:eastAsia="zh-CN"/>
        </w:rPr>
        <w:t>约谈单位需</w:t>
      </w:r>
      <w:r>
        <w:rPr>
          <w:rFonts w:hint="eastAsia" w:ascii="宋体" w:hAnsi="宋体" w:eastAsia="宋体" w:cs="宋体"/>
          <w:color w:val="auto"/>
          <w:sz w:val="21"/>
          <w:szCs w:val="21"/>
          <w:highlight w:val="none"/>
        </w:rPr>
        <w:t>法定代表人或</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项目技术负责人等携带有效</w:t>
      </w:r>
      <w:r>
        <w:rPr>
          <w:rFonts w:hint="eastAsia" w:ascii="宋体" w:hAnsi="宋体" w:eastAsia="宋体" w:cs="宋体"/>
          <w:color w:val="auto"/>
          <w:sz w:val="21"/>
          <w:szCs w:val="21"/>
          <w:highlight w:val="none"/>
          <w:lang w:eastAsia="zh-CN"/>
        </w:rPr>
        <w:t>身份</w:t>
      </w:r>
      <w:r>
        <w:rPr>
          <w:rFonts w:hint="eastAsia" w:ascii="宋体" w:hAnsi="宋体" w:eastAsia="宋体" w:cs="宋体"/>
          <w:color w:val="auto"/>
          <w:sz w:val="21"/>
          <w:szCs w:val="21"/>
          <w:highlight w:val="none"/>
        </w:rPr>
        <w:t>证件参加约谈，</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还</w:t>
      </w:r>
      <w:r>
        <w:rPr>
          <w:rFonts w:hint="eastAsia" w:ascii="宋体" w:hAnsi="宋体" w:eastAsia="宋体" w:cs="宋体"/>
          <w:color w:val="auto"/>
          <w:sz w:val="21"/>
          <w:szCs w:val="21"/>
          <w:highlight w:val="none"/>
        </w:rPr>
        <w:t>需携带公司授权委托书</w:t>
      </w:r>
      <w:r>
        <w:rPr>
          <w:rFonts w:hint="eastAsia" w:ascii="宋体" w:hAnsi="宋体" w:eastAsia="宋体" w:cs="宋体"/>
          <w:color w:val="auto"/>
          <w:sz w:val="21"/>
          <w:szCs w:val="21"/>
          <w:highlight w:val="none"/>
          <w:lang w:eastAsia="zh-CN"/>
        </w:rPr>
        <w:t>和职务证明</w:t>
      </w:r>
      <w:r>
        <w:rPr>
          <w:rFonts w:hint="eastAsia" w:ascii="宋体" w:hAnsi="宋体" w:eastAsia="宋体" w:cs="宋体"/>
          <w:color w:val="auto"/>
          <w:sz w:val="21"/>
          <w:szCs w:val="21"/>
          <w:highlight w:val="none"/>
        </w:rPr>
        <w:t>文件。</w:t>
      </w:r>
    </w:p>
    <w:p w14:paraId="0F93C43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履约约谈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情形</w:t>
      </w:r>
      <w:r>
        <w:rPr>
          <w:rFonts w:hint="eastAsia" w:ascii="宋体" w:hAnsi="宋体" w:eastAsia="宋体" w:cs="宋体"/>
          <w:color w:val="auto"/>
          <w:sz w:val="21"/>
          <w:szCs w:val="21"/>
          <w:highlight w:val="none"/>
          <w:lang w:eastAsia="zh-CN"/>
        </w:rPr>
        <w:t>：</w:t>
      </w:r>
    </w:p>
    <w:p w14:paraId="667E7980">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（一）人员</w:t>
      </w:r>
      <w:r>
        <w:rPr>
          <w:rFonts w:hint="eastAsia" w:ascii="宋体" w:hAnsi="宋体" w:eastAsia="宋体" w:cs="宋体"/>
          <w:color w:val="auto"/>
          <w:sz w:val="21"/>
          <w:szCs w:val="21"/>
          <w:highlight w:val="none"/>
        </w:rPr>
        <w:t>到岗、履责</w:t>
      </w:r>
      <w:r>
        <w:rPr>
          <w:rFonts w:hint="eastAsia" w:ascii="宋体" w:hAnsi="宋体" w:eastAsia="宋体" w:cs="宋体"/>
          <w:bCs/>
          <w:color w:val="auto"/>
          <w:sz w:val="21"/>
          <w:szCs w:val="21"/>
          <w:highlight w:val="none"/>
        </w:rPr>
        <w:t>不符合要求的；</w:t>
      </w:r>
    </w:p>
    <w:p w14:paraId="57871364">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（二）不配合办理项目建设手续的；</w:t>
      </w:r>
    </w:p>
    <w:p w14:paraId="095441F5">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（三）出现质量安全隐患整改</w:t>
      </w:r>
      <w:r>
        <w:rPr>
          <w:rFonts w:hint="eastAsia" w:ascii="宋体" w:hAnsi="宋体" w:eastAsia="宋体" w:cs="宋体"/>
          <w:color w:val="auto"/>
          <w:sz w:val="21"/>
          <w:szCs w:val="21"/>
          <w:highlight w:val="none"/>
        </w:rPr>
        <w:t>不及时、不到位的</w:t>
      </w:r>
      <w:r>
        <w:rPr>
          <w:rFonts w:hint="eastAsia" w:ascii="宋体" w:hAnsi="宋体" w:eastAsia="宋体" w:cs="宋体"/>
          <w:bCs/>
          <w:color w:val="auto"/>
          <w:sz w:val="21"/>
          <w:szCs w:val="21"/>
          <w:highlight w:val="none"/>
        </w:rPr>
        <w:t>；</w:t>
      </w:r>
    </w:p>
    <w:p w14:paraId="6C8230F7">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（四）施工现场不服从调度或工程进度</w:t>
      </w:r>
      <w:r>
        <w:rPr>
          <w:rFonts w:hint="eastAsia" w:ascii="宋体" w:hAnsi="宋体" w:eastAsia="宋体" w:cs="宋体"/>
          <w:color w:val="auto"/>
          <w:sz w:val="21"/>
          <w:szCs w:val="21"/>
          <w:highlight w:val="none"/>
        </w:rPr>
        <w:t>滞后</w:t>
      </w:r>
      <w:r>
        <w:rPr>
          <w:rFonts w:hint="eastAsia" w:ascii="宋体" w:hAnsi="宋体" w:eastAsia="宋体" w:cs="宋体"/>
          <w:bCs/>
          <w:color w:val="auto"/>
          <w:sz w:val="21"/>
          <w:szCs w:val="21"/>
          <w:highlight w:val="none"/>
        </w:rPr>
        <w:t>，严重影响工期的；</w:t>
      </w:r>
    </w:p>
    <w:p w14:paraId="3C76AFD0">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（五）出现质量安全事故的；</w:t>
      </w:r>
    </w:p>
    <w:p w14:paraId="6966865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（六）拖欠农民工工资或因工资、材料款</w:t>
      </w:r>
      <w:r>
        <w:rPr>
          <w:rFonts w:hint="eastAsia" w:ascii="宋体" w:hAnsi="宋体" w:eastAsia="宋体" w:cs="宋体"/>
          <w:color w:val="auto"/>
          <w:sz w:val="21"/>
          <w:szCs w:val="21"/>
          <w:highlight w:val="none"/>
        </w:rPr>
        <w:t>原因</w:t>
      </w:r>
      <w:r>
        <w:rPr>
          <w:rFonts w:hint="eastAsia" w:ascii="宋体" w:hAnsi="宋体" w:eastAsia="宋体" w:cs="宋体"/>
          <w:bCs/>
          <w:color w:val="auto"/>
          <w:sz w:val="21"/>
          <w:szCs w:val="21"/>
          <w:highlight w:val="none"/>
        </w:rPr>
        <w:t>等造成一定影响的</w:t>
      </w:r>
      <w:r>
        <w:rPr>
          <w:rFonts w:hint="eastAsia" w:ascii="宋体" w:hAnsi="宋体" w:eastAsia="宋体" w:cs="宋体"/>
          <w:bCs/>
          <w:color w:val="auto"/>
          <w:sz w:val="21"/>
          <w:szCs w:val="21"/>
          <w:highlight w:val="none"/>
          <w:lang w:eastAsia="zh-CN"/>
        </w:rPr>
        <w:t>或</w:t>
      </w:r>
      <w:r>
        <w:rPr>
          <w:rFonts w:hint="eastAsia" w:ascii="宋体" w:hAnsi="宋体" w:eastAsia="宋体" w:cs="宋体"/>
          <w:bCs/>
          <w:color w:val="auto"/>
          <w:sz w:val="21"/>
          <w:szCs w:val="21"/>
          <w:highlight w:val="none"/>
        </w:rPr>
        <w:t>出现群访事件处理不及时的；</w:t>
      </w:r>
    </w:p>
    <w:p w14:paraId="2F1EA6D6">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（七）工程竣工半年(含)以上经多次催促未完成竣工结算的；</w:t>
      </w:r>
    </w:p>
    <w:p w14:paraId="7AC50F1D">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（八）未按合同期限按时移交的；</w:t>
      </w:r>
    </w:p>
    <w:p w14:paraId="358521D0">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（九）不按规定提供工程资料造成不能归档的或归档不及时的；</w:t>
      </w:r>
    </w:p>
    <w:p w14:paraId="7B75D8F3">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（十）其他情形。</w:t>
      </w:r>
    </w:p>
    <w:p w14:paraId="679463F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 xml:space="preserve">条 </w:t>
      </w:r>
      <w:r>
        <w:rPr>
          <w:rFonts w:hint="eastAsia" w:ascii="宋体" w:hAnsi="宋体" w:eastAsia="宋体" w:cs="宋体"/>
          <w:bCs/>
          <w:color w:val="auto"/>
          <w:sz w:val="21"/>
          <w:szCs w:val="21"/>
          <w:highlight w:val="none"/>
        </w:rPr>
        <w:t>罚则</w:t>
      </w:r>
    </w:p>
    <w:p w14:paraId="540206E2">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bCs/>
          <w:color w:val="auto"/>
          <w:sz w:val="21"/>
          <w:szCs w:val="21"/>
          <w:highlight w:val="none"/>
        </w:rPr>
        <w:t>未经批准</w:t>
      </w:r>
      <w:r>
        <w:rPr>
          <w:rFonts w:hint="eastAsia" w:ascii="宋体" w:hAnsi="宋体" w:eastAsia="宋体" w:cs="宋体"/>
          <w:bCs/>
          <w:color w:val="auto"/>
          <w:sz w:val="21"/>
          <w:szCs w:val="21"/>
          <w:highlight w:val="none"/>
          <w:lang w:eastAsia="zh-CN"/>
        </w:rPr>
        <w:t>不</w:t>
      </w:r>
      <w:r>
        <w:rPr>
          <w:rFonts w:hint="eastAsia" w:ascii="宋体" w:hAnsi="宋体" w:eastAsia="宋体" w:cs="宋体"/>
          <w:bCs/>
          <w:color w:val="auto"/>
          <w:sz w:val="21"/>
          <w:szCs w:val="21"/>
          <w:highlight w:val="none"/>
        </w:rPr>
        <w:t>按规定参加中标约谈的，取消中标资格，</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eastAsia="zh-CN"/>
        </w:rPr>
        <w:t>不予退还</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情节严重的，提请建设、招标等行政主管部门依法查处。</w:t>
      </w:r>
    </w:p>
    <w:p w14:paraId="048619D5">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（二）未经批准</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按规定参加履约约谈</w:t>
      </w:r>
      <w:r>
        <w:rPr>
          <w:rFonts w:hint="eastAsia" w:ascii="宋体" w:hAnsi="宋体" w:eastAsia="宋体" w:cs="宋体"/>
          <w:bCs/>
          <w:color w:val="auto"/>
          <w:sz w:val="21"/>
          <w:szCs w:val="21"/>
          <w:highlight w:val="none"/>
        </w:rPr>
        <w:t>的或</w:t>
      </w:r>
      <w:r>
        <w:rPr>
          <w:rFonts w:hint="eastAsia" w:ascii="宋体" w:hAnsi="宋体" w:eastAsia="宋体" w:cs="宋体"/>
          <w:color w:val="auto"/>
          <w:sz w:val="21"/>
          <w:szCs w:val="21"/>
          <w:highlight w:val="none"/>
        </w:rPr>
        <w:t>约谈后未按要求整改的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限期内整改</w:t>
      </w:r>
      <w:r>
        <w:rPr>
          <w:rFonts w:hint="eastAsia" w:ascii="宋体" w:hAnsi="宋体" w:eastAsia="宋体" w:cs="宋体"/>
          <w:color w:val="auto"/>
          <w:sz w:val="21"/>
          <w:szCs w:val="21"/>
          <w:highlight w:val="none"/>
          <w:lang w:eastAsia="zh-CN"/>
        </w:rPr>
        <w:t>不到位</w:t>
      </w:r>
      <w:r>
        <w:rPr>
          <w:rFonts w:hint="eastAsia" w:ascii="宋体" w:hAnsi="宋体" w:eastAsia="宋体" w:cs="宋体"/>
          <w:color w:val="auto"/>
          <w:sz w:val="21"/>
          <w:szCs w:val="21"/>
          <w:highlight w:val="none"/>
        </w:rPr>
        <w:t>的，情节严重的，提请建设、招标等行政主管部门依法查处。</w:t>
      </w:r>
    </w:p>
    <w:p w14:paraId="622EA70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本规定自发布之日起施行</w:t>
      </w:r>
      <w:r>
        <w:rPr>
          <w:rFonts w:hint="eastAsia" w:ascii="宋体" w:hAnsi="宋体" w:eastAsia="宋体" w:cs="宋体"/>
          <w:color w:val="auto"/>
          <w:sz w:val="21"/>
          <w:szCs w:val="21"/>
          <w:highlight w:val="none"/>
          <w:lang w:eastAsia="zh-CN"/>
        </w:rPr>
        <w:t>，处属各中心参照执行</w:t>
      </w:r>
      <w:r>
        <w:rPr>
          <w:rFonts w:hint="eastAsia" w:ascii="宋体" w:hAnsi="宋体" w:eastAsia="宋体" w:cs="宋体"/>
          <w:color w:val="auto"/>
          <w:sz w:val="21"/>
          <w:szCs w:val="21"/>
          <w:highlight w:val="none"/>
        </w:rPr>
        <w:t>。</w:t>
      </w:r>
    </w:p>
    <w:p w14:paraId="2A5D12A8">
      <w:pPr>
        <w:pStyle w:val="28"/>
        <w:keepNext w:val="0"/>
        <w:keepLines w:val="0"/>
        <w:pageBreakBefore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附件：到岗履责承诺书</w:t>
      </w:r>
    </w:p>
    <w:p w14:paraId="2114E40B">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到岗履责承诺书</w:t>
      </w:r>
    </w:p>
    <w:p w14:paraId="4B3B694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465A13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本人被任命为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工程</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岗位职务，本人保证能到岗到位，履行岗位管理职责，并做如下郑重承诺：</w:t>
      </w:r>
    </w:p>
    <w:p w14:paraId="2C4920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一、按本项目招标文件及滁州市相关文件等要求，若不能按要求到岗，同意接受处罚；</w:t>
      </w:r>
    </w:p>
    <w:p w14:paraId="7D49E8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二、本人按招、投标文件的承诺等，履行相关法律、法规、规范和合同约定的义务；否则，按有关法律、法规和重点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有关文件进行处罚。</w:t>
      </w:r>
    </w:p>
    <w:p w14:paraId="53510BF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三、本人同意把岗位证书交重点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保管，直至工程竣工验收。若在工程施工管理过程中存在违法违规行为，愿意把自己岗位证书交相关管理部门注销。</w:t>
      </w:r>
    </w:p>
    <w:p w14:paraId="648E759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四、施工单位建造师、项目技术负责人、“五大员”等承诺常驻现场；监理单位总监、总监代表、专业监理、监理员、见证取样员等承诺常驻现场。</w:t>
      </w:r>
    </w:p>
    <w:p w14:paraId="6D05434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五、项目部、监理部组成人员承诺一周内到岗，否则同意取消中标资格。</w:t>
      </w:r>
    </w:p>
    <w:p w14:paraId="30AE09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六、项目部人员考勤由总监理工程师负责，业主代表每周进行随机考勤抽查，如考勤抽查记录与监理考勤记录不符，情况核实后，将对监理单位进行严厉处罚。</w:t>
      </w:r>
    </w:p>
    <w:p w14:paraId="0598EA3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3B6F56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承诺人：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承诺人所在单位：</w:t>
      </w:r>
    </w:p>
    <w:p w14:paraId="04E6524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年   月   日</w:t>
      </w:r>
    </w:p>
    <w:p w14:paraId="1BBA673D">
      <w:pPr>
        <w:pStyle w:val="4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rPr>
      </w:pPr>
    </w:p>
    <w:p w14:paraId="5E067DDB">
      <w:pPr>
        <w:spacing w:line="480" w:lineRule="exact"/>
        <w:rPr>
          <w:rFonts w:hint="eastAsia" w:ascii="宋体" w:hAnsi="宋体" w:cs="宋体"/>
          <w:color w:val="auto"/>
          <w:sz w:val="21"/>
          <w:szCs w:val="21"/>
          <w:highlight w:val="none"/>
        </w:rPr>
      </w:pPr>
    </w:p>
    <w:p w14:paraId="54711E38">
      <w:pPr>
        <w:rPr>
          <w:color w:val="auto"/>
          <w:sz w:val="21"/>
          <w:szCs w:val="21"/>
          <w:highlight w:val="none"/>
        </w:rPr>
      </w:pPr>
    </w:p>
    <w:p w14:paraId="4610A6B8">
      <w:pPr>
        <w:pStyle w:val="2"/>
        <w:rPr>
          <w:rFonts w:hint="eastAsia"/>
          <w:color w:val="auto"/>
          <w:highlight w:val="none"/>
        </w:rPr>
      </w:pPr>
    </w:p>
    <w:p w14:paraId="5DB86DD5">
      <w:pPr>
        <w:pStyle w:val="2"/>
        <w:ind w:left="420" w:firstLine="420"/>
        <w:rPr>
          <w:rFonts w:hint="eastAsia"/>
          <w:color w:val="auto"/>
          <w:highlight w:val="none"/>
        </w:rPr>
      </w:pPr>
    </w:p>
    <w:p w14:paraId="53AB3B76">
      <w:pPr>
        <w:pStyle w:val="20"/>
        <w:jc w:val="left"/>
        <w:rPr>
          <w:rFonts w:hint="eastAsia" w:ascii="宋体" w:hAnsi="宋体" w:eastAsia="宋体" w:cs="宋体"/>
          <w:color w:val="auto"/>
          <w:kern w:val="0"/>
          <w:sz w:val="24"/>
          <w:szCs w:val="24"/>
          <w:highlight w:val="none"/>
        </w:rPr>
      </w:pPr>
    </w:p>
    <w:p w14:paraId="32517B5B">
      <w:pPr>
        <w:pStyle w:val="20"/>
        <w:jc w:val="left"/>
        <w:rPr>
          <w:rFonts w:hint="eastAsia" w:ascii="宋体" w:hAnsi="宋体" w:eastAsia="宋体" w:cs="宋体"/>
          <w:color w:val="auto"/>
          <w:kern w:val="0"/>
          <w:sz w:val="24"/>
          <w:szCs w:val="24"/>
          <w:highlight w:val="none"/>
        </w:rPr>
      </w:pPr>
    </w:p>
    <w:sectPr>
      <w:footerReference r:id="rId9" w:type="default"/>
      <w:pgSz w:w="11906" w:h="16838"/>
      <w:pgMar w:top="935" w:right="1106" w:bottom="936" w:left="1259" w:header="680" w:footer="680"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30"/>
      <w:rPr>
        <w:rStyle w:val="49"/>
      </w:rPr>
    </w:pPr>
  </w:p>
  <w:p w14:paraId="24D89652">
    <w:pPr>
      <w:pStyle w:val="30"/>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30"/>
      <w:tabs>
        <w:tab w:val="center" w:pos="748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30"/>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30"/>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D085">
    <w:pPr>
      <w:pStyle w:val="30"/>
      <w:ind w:right="360" w:firstLine="360"/>
      <w:jc w:val="right"/>
      <w:rPr>
        <w:rFonts w:hint="default" w:eastAsia="Times New Roman"/>
        <w:sz w:val="18"/>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22376">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C22376">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6950247D">
    <w:pPr>
      <w:pStyle w:val="30"/>
      <w:rPr>
        <w:rFonts w:hint="default" w:eastAsia="Times New Roman"/>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2BC3">
    <w:pPr>
      <w:pStyle w:val="30"/>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31BEAD">
                          <w:pPr>
                            <w:pStyle w:val="3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931BEAD">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BC60">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1C41FA">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91C41FA">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30"/>
      <w:rPr>
        <w:rStyle w:val="49"/>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FB10A">
                          <w:pPr>
                            <w:pStyle w:val="3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E2FB10A">
                    <w:pPr>
                      <w:pStyle w:val="30"/>
                    </w:pPr>
                    <w:r>
                      <w:fldChar w:fldCharType="begin"/>
                    </w:r>
                    <w:r>
                      <w:instrText xml:space="preserve"> PAGE  \* MERGEFORMAT </w:instrText>
                    </w:r>
                    <w:r>
                      <w:fldChar w:fldCharType="separate"/>
                    </w:r>
                    <w:r>
                      <w:t>26</w:t>
                    </w:r>
                    <w:r>
                      <w:fldChar w:fldCharType="end"/>
                    </w:r>
                  </w:p>
                </w:txbxContent>
              </v:textbox>
            </v:shape>
          </w:pict>
        </mc:Fallback>
      </mc:AlternateContent>
    </w:r>
  </w:p>
  <w:p w14:paraId="157870D5">
    <w:pPr>
      <w:pStyle w:val="30"/>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C5AA"/>
    <w:multiLevelType w:val="singleLevel"/>
    <w:tmpl w:val="872BC5AA"/>
    <w:lvl w:ilvl="0" w:tentative="0">
      <w:start w:val="2"/>
      <w:numFmt w:val="decimal"/>
      <w:lvlText w:val="%1."/>
      <w:lvlJc w:val="left"/>
      <w:pPr>
        <w:tabs>
          <w:tab w:val="left" w:pos="312"/>
        </w:tabs>
      </w:pPr>
    </w:lvl>
  </w:abstractNum>
  <w:abstractNum w:abstractNumId="1">
    <w:nsid w:val="E7258976"/>
    <w:multiLevelType w:val="singleLevel"/>
    <w:tmpl w:val="E7258976"/>
    <w:lvl w:ilvl="0" w:tentative="0">
      <w:start w:val="1"/>
      <w:numFmt w:val="chineseCounting"/>
      <w:suff w:val="space"/>
      <w:lvlText w:val="（%1）"/>
      <w:lvlJc w:val="left"/>
      <w:pPr>
        <w:ind w:left="-10"/>
      </w:pPr>
      <w:rPr>
        <w:rFonts w:hint="eastAsia" w:ascii="仿宋_GB2312" w:hAnsi="仿宋_GB2312" w:eastAsia="仿宋_GB2312" w:cs="仿宋_GB2312"/>
        <w:sz w:val="32"/>
        <w:szCs w:val="32"/>
      </w:rPr>
    </w:lvl>
  </w:abstractNum>
  <w:abstractNum w:abstractNumId="2">
    <w:nsid w:val="056297AE"/>
    <w:multiLevelType w:val="singleLevel"/>
    <w:tmpl w:val="056297AE"/>
    <w:lvl w:ilvl="0" w:tentative="0">
      <w:start w:val="3"/>
      <w:numFmt w:val="chineseCounting"/>
      <w:suff w:val="space"/>
      <w:lvlText w:val="(%1)"/>
      <w:lvlJc w:val="left"/>
      <w:rPr>
        <w:rFonts w:hint="eastAsia"/>
      </w:rPr>
    </w:lvl>
  </w:abstractNum>
  <w:abstractNum w:abstractNumId="3">
    <w:nsid w:val="1EF8CB6E"/>
    <w:multiLevelType w:val="singleLevel"/>
    <w:tmpl w:val="1EF8CB6E"/>
    <w:lvl w:ilvl="0" w:tentative="0">
      <w:start w:val="1"/>
      <w:numFmt w:val="upperLetter"/>
      <w:suff w:val="nothing"/>
      <w:lvlText w:val="%1、"/>
      <w:lvlJc w:val="left"/>
    </w:lvl>
  </w:abstractNum>
  <w:abstractNum w:abstractNumId="4">
    <w:nsid w:val="434FCDAE"/>
    <w:multiLevelType w:val="singleLevel"/>
    <w:tmpl w:val="434FCDAE"/>
    <w:lvl w:ilvl="0" w:tentative="0">
      <w:start w:val="1"/>
      <w:numFmt w:val="chineseCounting"/>
      <w:suff w:val="space"/>
      <w:lvlText w:val="（%1）"/>
      <w:lvlJc w:val="left"/>
      <w:rPr>
        <w:rFonts w:hint="eastAsia"/>
      </w:rPr>
    </w:lvl>
  </w:abstractNum>
  <w:abstractNum w:abstractNumId="5">
    <w:nsid w:val="4AEE3BEB"/>
    <w:multiLevelType w:val="singleLevel"/>
    <w:tmpl w:val="4AEE3BEB"/>
    <w:lvl w:ilvl="0" w:tentative="0">
      <w:start w:val="2"/>
      <w:numFmt w:val="chineseCounting"/>
      <w:suff w:val="space"/>
      <w:lvlText w:val="（%1）"/>
      <w:lvlJc w:val="left"/>
      <w:rPr>
        <w:rFonts w:hint="eastAsia"/>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16F283F"/>
    <w:rsid w:val="023C4E17"/>
    <w:rsid w:val="02860CE1"/>
    <w:rsid w:val="028D0613"/>
    <w:rsid w:val="02A06DF6"/>
    <w:rsid w:val="02AD40CA"/>
    <w:rsid w:val="03311B51"/>
    <w:rsid w:val="035607B0"/>
    <w:rsid w:val="035A0B08"/>
    <w:rsid w:val="03BE185C"/>
    <w:rsid w:val="03DD3435"/>
    <w:rsid w:val="04880F3B"/>
    <w:rsid w:val="04BB1052"/>
    <w:rsid w:val="058F191A"/>
    <w:rsid w:val="064047AA"/>
    <w:rsid w:val="06C76C7A"/>
    <w:rsid w:val="07023E8A"/>
    <w:rsid w:val="073060B3"/>
    <w:rsid w:val="073F34F8"/>
    <w:rsid w:val="07855569"/>
    <w:rsid w:val="07DD03A2"/>
    <w:rsid w:val="082779D0"/>
    <w:rsid w:val="08891FDF"/>
    <w:rsid w:val="08EE1782"/>
    <w:rsid w:val="090B57DF"/>
    <w:rsid w:val="094625ED"/>
    <w:rsid w:val="098B0432"/>
    <w:rsid w:val="098C0FAE"/>
    <w:rsid w:val="0A1370D9"/>
    <w:rsid w:val="0A426CE3"/>
    <w:rsid w:val="0A783487"/>
    <w:rsid w:val="0A920A74"/>
    <w:rsid w:val="0B1A05CF"/>
    <w:rsid w:val="0B3B4932"/>
    <w:rsid w:val="0B644A83"/>
    <w:rsid w:val="0B8A5AE2"/>
    <w:rsid w:val="0B9510F4"/>
    <w:rsid w:val="0C30371E"/>
    <w:rsid w:val="0C47209B"/>
    <w:rsid w:val="0CDE4AF1"/>
    <w:rsid w:val="0CEC2F96"/>
    <w:rsid w:val="0D2F7233"/>
    <w:rsid w:val="0DB0649C"/>
    <w:rsid w:val="0E2234E7"/>
    <w:rsid w:val="0E832759"/>
    <w:rsid w:val="0ECF7747"/>
    <w:rsid w:val="0F985657"/>
    <w:rsid w:val="0F9D46EF"/>
    <w:rsid w:val="10525806"/>
    <w:rsid w:val="11D57582"/>
    <w:rsid w:val="124026B6"/>
    <w:rsid w:val="12C329EB"/>
    <w:rsid w:val="13114D0E"/>
    <w:rsid w:val="137A735A"/>
    <w:rsid w:val="13B24508"/>
    <w:rsid w:val="13E54BBD"/>
    <w:rsid w:val="146D5339"/>
    <w:rsid w:val="151B60BE"/>
    <w:rsid w:val="152F63E2"/>
    <w:rsid w:val="156009C5"/>
    <w:rsid w:val="158272E5"/>
    <w:rsid w:val="15995C85"/>
    <w:rsid w:val="15D60886"/>
    <w:rsid w:val="168140E7"/>
    <w:rsid w:val="16A220B2"/>
    <w:rsid w:val="16AB249D"/>
    <w:rsid w:val="16E538DC"/>
    <w:rsid w:val="17153410"/>
    <w:rsid w:val="17873285"/>
    <w:rsid w:val="17A86B91"/>
    <w:rsid w:val="183A085F"/>
    <w:rsid w:val="19475149"/>
    <w:rsid w:val="1A1E40F3"/>
    <w:rsid w:val="1AF847D0"/>
    <w:rsid w:val="1C136BB6"/>
    <w:rsid w:val="1C4B5EA8"/>
    <w:rsid w:val="1C4B6410"/>
    <w:rsid w:val="1E1554ED"/>
    <w:rsid w:val="1E66223E"/>
    <w:rsid w:val="1FA4448B"/>
    <w:rsid w:val="2022793B"/>
    <w:rsid w:val="207B6E01"/>
    <w:rsid w:val="211B1C44"/>
    <w:rsid w:val="21777C96"/>
    <w:rsid w:val="21F200C1"/>
    <w:rsid w:val="224A075F"/>
    <w:rsid w:val="22E66E8E"/>
    <w:rsid w:val="23816BA4"/>
    <w:rsid w:val="23B802A0"/>
    <w:rsid w:val="24984D89"/>
    <w:rsid w:val="25184226"/>
    <w:rsid w:val="25E4098B"/>
    <w:rsid w:val="26252182"/>
    <w:rsid w:val="265122FF"/>
    <w:rsid w:val="265E174C"/>
    <w:rsid w:val="2686038F"/>
    <w:rsid w:val="26EF5515"/>
    <w:rsid w:val="274F505D"/>
    <w:rsid w:val="28277AED"/>
    <w:rsid w:val="28C72B2B"/>
    <w:rsid w:val="29E75E0C"/>
    <w:rsid w:val="29F23E8A"/>
    <w:rsid w:val="2A241E9E"/>
    <w:rsid w:val="2A566AD6"/>
    <w:rsid w:val="2B0B3469"/>
    <w:rsid w:val="2B367DA6"/>
    <w:rsid w:val="2B52413C"/>
    <w:rsid w:val="2C7D3C0D"/>
    <w:rsid w:val="2C874AAF"/>
    <w:rsid w:val="2C8E66A6"/>
    <w:rsid w:val="2CAF5168"/>
    <w:rsid w:val="2CBB47F9"/>
    <w:rsid w:val="2D4A1910"/>
    <w:rsid w:val="2DFF7667"/>
    <w:rsid w:val="2E094915"/>
    <w:rsid w:val="2E267150"/>
    <w:rsid w:val="2EFD1D1D"/>
    <w:rsid w:val="2F0B779C"/>
    <w:rsid w:val="2F3A186E"/>
    <w:rsid w:val="2FE563D7"/>
    <w:rsid w:val="310B4442"/>
    <w:rsid w:val="31FB42D0"/>
    <w:rsid w:val="32852601"/>
    <w:rsid w:val="32B47BD5"/>
    <w:rsid w:val="32D3700E"/>
    <w:rsid w:val="32F07192"/>
    <w:rsid w:val="332433C5"/>
    <w:rsid w:val="3376156C"/>
    <w:rsid w:val="33A93AA6"/>
    <w:rsid w:val="33DB598F"/>
    <w:rsid w:val="348E387D"/>
    <w:rsid w:val="34D36666"/>
    <w:rsid w:val="35A46FAE"/>
    <w:rsid w:val="36A57F38"/>
    <w:rsid w:val="36E40AF7"/>
    <w:rsid w:val="37026723"/>
    <w:rsid w:val="373904E1"/>
    <w:rsid w:val="37526B7E"/>
    <w:rsid w:val="385F78F9"/>
    <w:rsid w:val="398960D8"/>
    <w:rsid w:val="39E8421F"/>
    <w:rsid w:val="3A066436"/>
    <w:rsid w:val="3A2516BB"/>
    <w:rsid w:val="3B3C635C"/>
    <w:rsid w:val="3CCB04A6"/>
    <w:rsid w:val="3CD37326"/>
    <w:rsid w:val="3CDD6728"/>
    <w:rsid w:val="3DA16242"/>
    <w:rsid w:val="3DCB2BE5"/>
    <w:rsid w:val="3E7850FA"/>
    <w:rsid w:val="3EED354E"/>
    <w:rsid w:val="3F1410DB"/>
    <w:rsid w:val="3F173AB4"/>
    <w:rsid w:val="3F370F3A"/>
    <w:rsid w:val="3F7A539C"/>
    <w:rsid w:val="3FB5783A"/>
    <w:rsid w:val="408338D7"/>
    <w:rsid w:val="41510996"/>
    <w:rsid w:val="42147451"/>
    <w:rsid w:val="43727992"/>
    <w:rsid w:val="43881670"/>
    <w:rsid w:val="43E82525"/>
    <w:rsid w:val="44592EA6"/>
    <w:rsid w:val="44A8055A"/>
    <w:rsid w:val="44F7334E"/>
    <w:rsid w:val="45AF30FD"/>
    <w:rsid w:val="46420BB9"/>
    <w:rsid w:val="465B3014"/>
    <w:rsid w:val="47121FD0"/>
    <w:rsid w:val="472F5293"/>
    <w:rsid w:val="473A07C7"/>
    <w:rsid w:val="47AE55ED"/>
    <w:rsid w:val="47CE2573"/>
    <w:rsid w:val="47DB0FE0"/>
    <w:rsid w:val="47DE55F6"/>
    <w:rsid w:val="47E837E0"/>
    <w:rsid w:val="47EB386F"/>
    <w:rsid w:val="485A4022"/>
    <w:rsid w:val="48986B3F"/>
    <w:rsid w:val="48B819A3"/>
    <w:rsid w:val="494476DB"/>
    <w:rsid w:val="49B66251"/>
    <w:rsid w:val="49F378CA"/>
    <w:rsid w:val="4A125037"/>
    <w:rsid w:val="4A49578E"/>
    <w:rsid w:val="4AB455FC"/>
    <w:rsid w:val="4B4C6831"/>
    <w:rsid w:val="4B5A1437"/>
    <w:rsid w:val="4BB93099"/>
    <w:rsid w:val="4CA21C4A"/>
    <w:rsid w:val="4E87606B"/>
    <w:rsid w:val="4EBD5F65"/>
    <w:rsid w:val="4ED1777D"/>
    <w:rsid w:val="4F281B57"/>
    <w:rsid w:val="4F443F90"/>
    <w:rsid w:val="4F627A2B"/>
    <w:rsid w:val="4F8A1859"/>
    <w:rsid w:val="4FCD4721"/>
    <w:rsid w:val="502D24E4"/>
    <w:rsid w:val="504773D5"/>
    <w:rsid w:val="50EC70D4"/>
    <w:rsid w:val="511E5BAD"/>
    <w:rsid w:val="51267930"/>
    <w:rsid w:val="513918A9"/>
    <w:rsid w:val="517F3DD4"/>
    <w:rsid w:val="51BC2AE8"/>
    <w:rsid w:val="52244348"/>
    <w:rsid w:val="52B72CCB"/>
    <w:rsid w:val="52CE5689"/>
    <w:rsid w:val="550A5C7C"/>
    <w:rsid w:val="555D7576"/>
    <w:rsid w:val="558A3D0F"/>
    <w:rsid w:val="559A68B9"/>
    <w:rsid w:val="569E5C28"/>
    <w:rsid w:val="56B17EF3"/>
    <w:rsid w:val="56F21ED5"/>
    <w:rsid w:val="57313D11"/>
    <w:rsid w:val="578D69F6"/>
    <w:rsid w:val="58311B26"/>
    <w:rsid w:val="5903310E"/>
    <w:rsid w:val="59254E33"/>
    <w:rsid w:val="595079D6"/>
    <w:rsid w:val="597E4543"/>
    <w:rsid w:val="599A4762"/>
    <w:rsid w:val="59B94A33"/>
    <w:rsid w:val="59C42C57"/>
    <w:rsid w:val="5A096502"/>
    <w:rsid w:val="5AFB2C32"/>
    <w:rsid w:val="5B2F036B"/>
    <w:rsid w:val="5B5877E2"/>
    <w:rsid w:val="5BA9771F"/>
    <w:rsid w:val="5BAC7A1D"/>
    <w:rsid w:val="5BAE0EF6"/>
    <w:rsid w:val="5BE3458F"/>
    <w:rsid w:val="5DCA244C"/>
    <w:rsid w:val="5DD0286D"/>
    <w:rsid w:val="5EEA0F2A"/>
    <w:rsid w:val="5EF33755"/>
    <w:rsid w:val="5F9D1CA2"/>
    <w:rsid w:val="5FD300DB"/>
    <w:rsid w:val="5FE25B93"/>
    <w:rsid w:val="603F3AE9"/>
    <w:rsid w:val="608C59E7"/>
    <w:rsid w:val="61051B53"/>
    <w:rsid w:val="61095D5D"/>
    <w:rsid w:val="61284751"/>
    <w:rsid w:val="629F458E"/>
    <w:rsid w:val="633D0FCB"/>
    <w:rsid w:val="63637DFA"/>
    <w:rsid w:val="63A72C64"/>
    <w:rsid w:val="63C40272"/>
    <w:rsid w:val="64F222D0"/>
    <w:rsid w:val="655541D3"/>
    <w:rsid w:val="65594766"/>
    <w:rsid w:val="65AE22F3"/>
    <w:rsid w:val="65C12033"/>
    <w:rsid w:val="66465782"/>
    <w:rsid w:val="66AF6E4C"/>
    <w:rsid w:val="670A4733"/>
    <w:rsid w:val="67DE5EA5"/>
    <w:rsid w:val="68E615DD"/>
    <w:rsid w:val="6907286A"/>
    <w:rsid w:val="6908397B"/>
    <w:rsid w:val="6980658C"/>
    <w:rsid w:val="6A16299D"/>
    <w:rsid w:val="6A8E035E"/>
    <w:rsid w:val="6B354DBB"/>
    <w:rsid w:val="6CC00CAD"/>
    <w:rsid w:val="6D0B604A"/>
    <w:rsid w:val="6DAC05BE"/>
    <w:rsid w:val="6E2337BB"/>
    <w:rsid w:val="6E802F39"/>
    <w:rsid w:val="6F5F3A74"/>
    <w:rsid w:val="6F8373FF"/>
    <w:rsid w:val="6FC06D93"/>
    <w:rsid w:val="6FDE7145"/>
    <w:rsid w:val="701268B7"/>
    <w:rsid w:val="7025059A"/>
    <w:rsid w:val="708446DD"/>
    <w:rsid w:val="713E6246"/>
    <w:rsid w:val="725809D6"/>
    <w:rsid w:val="72EE22E1"/>
    <w:rsid w:val="73840989"/>
    <w:rsid w:val="73875405"/>
    <w:rsid w:val="73B74532"/>
    <w:rsid w:val="74425F26"/>
    <w:rsid w:val="7487178B"/>
    <w:rsid w:val="74CC7CBB"/>
    <w:rsid w:val="75847F67"/>
    <w:rsid w:val="7682140E"/>
    <w:rsid w:val="76D62696"/>
    <w:rsid w:val="77337D0A"/>
    <w:rsid w:val="774E2667"/>
    <w:rsid w:val="77910BE3"/>
    <w:rsid w:val="78270463"/>
    <w:rsid w:val="78EA3B59"/>
    <w:rsid w:val="7AD53A89"/>
    <w:rsid w:val="7B2726C7"/>
    <w:rsid w:val="7B360113"/>
    <w:rsid w:val="7B863DF3"/>
    <w:rsid w:val="7B8657AD"/>
    <w:rsid w:val="7BC97448"/>
    <w:rsid w:val="7C016BE2"/>
    <w:rsid w:val="7C8660BD"/>
    <w:rsid w:val="7C934347"/>
    <w:rsid w:val="7CA05978"/>
    <w:rsid w:val="7D1D43C4"/>
    <w:rsid w:val="7D7B252F"/>
    <w:rsid w:val="7DB303AF"/>
    <w:rsid w:val="7E5A6E83"/>
    <w:rsid w:val="7EED169F"/>
    <w:rsid w:val="7F09259F"/>
    <w:rsid w:val="7F2050E8"/>
    <w:rsid w:val="7F6000C3"/>
    <w:rsid w:val="7F894C06"/>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8">
    <w:name w:val="heading 3"/>
    <w:basedOn w:val="1"/>
    <w:next w:val="1"/>
    <w:link w:val="66"/>
    <w:qFormat/>
    <w:uiPriority w:val="99"/>
    <w:pPr>
      <w:keepNext/>
      <w:keepLines/>
      <w:spacing w:before="260" w:after="260" w:line="416" w:lineRule="auto"/>
      <w:outlineLvl w:val="2"/>
    </w:pPr>
    <w:rPr>
      <w:b/>
      <w:bCs/>
      <w:sz w:val="32"/>
      <w:szCs w:val="32"/>
    </w:rPr>
  </w:style>
  <w:style w:type="paragraph" w:styleId="9">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10">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11">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12">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3">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4">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0"/>
    <w:qFormat/>
    <w:uiPriority w:val="99"/>
    <w:pPr>
      <w:ind w:firstLine="420" w:firstLineChars="200"/>
    </w:pPr>
  </w:style>
  <w:style w:type="paragraph" w:styleId="3">
    <w:name w:val="Body Text Indent"/>
    <w:basedOn w:val="1"/>
    <w:next w:val="4"/>
    <w:link w:val="77"/>
    <w:qFormat/>
    <w:uiPriority w:val="99"/>
    <w:pPr>
      <w:spacing w:line="500" w:lineRule="exact"/>
      <w:ind w:firstLine="538"/>
    </w:pPr>
    <w:rPr>
      <w:sz w:val="28"/>
      <w:szCs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15">
    <w:name w:val="Normal Indent"/>
    <w:basedOn w:val="1"/>
    <w:qFormat/>
    <w:uiPriority w:val="99"/>
    <w:pPr>
      <w:adjustRightInd w:val="0"/>
      <w:spacing w:line="360" w:lineRule="atLeast"/>
      <w:ind w:firstLine="482"/>
      <w:textAlignment w:val="baseline"/>
    </w:pPr>
    <w:rPr>
      <w:kern w:val="0"/>
      <w:sz w:val="24"/>
      <w:szCs w:val="24"/>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73"/>
    <w:semiHidden/>
    <w:qFormat/>
    <w:uiPriority w:val="99"/>
    <w:pPr>
      <w:shd w:val="clear" w:color="auto" w:fill="000080"/>
    </w:pPr>
    <w:rPr>
      <w:kern w:val="0"/>
      <w:sz w:val="20"/>
      <w:szCs w:val="20"/>
      <w:shd w:val="clear" w:color="auto" w:fill="000080"/>
    </w:rPr>
  </w:style>
  <w:style w:type="paragraph" w:styleId="18">
    <w:name w:val="annotation text"/>
    <w:basedOn w:val="1"/>
    <w:link w:val="74"/>
    <w:semiHidden/>
    <w:qFormat/>
    <w:uiPriority w:val="99"/>
    <w:pPr>
      <w:jc w:val="left"/>
    </w:pPr>
  </w:style>
  <w:style w:type="paragraph" w:styleId="19">
    <w:name w:val="Body Text 3"/>
    <w:basedOn w:val="1"/>
    <w:link w:val="75"/>
    <w:qFormat/>
    <w:uiPriority w:val="99"/>
    <w:rPr>
      <w:rFonts w:ascii="宋体" w:cs="宋体"/>
      <w:sz w:val="24"/>
      <w:szCs w:val="24"/>
    </w:rPr>
  </w:style>
  <w:style w:type="paragraph" w:styleId="20">
    <w:name w:val="Body Text"/>
    <w:basedOn w:val="1"/>
    <w:link w:val="76"/>
    <w:qFormat/>
    <w:uiPriority w:val="99"/>
    <w:pPr>
      <w:jc w:val="center"/>
    </w:pPr>
    <w:rPr>
      <w:b/>
      <w:bCs/>
      <w:sz w:val="44"/>
      <w:szCs w:val="44"/>
    </w:rPr>
  </w:style>
  <w:style w:type="paragraph" w:styleId="21">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tabs>
        <w:tab w:val="right" w:leader="dot" w:pos="8296"/>
      </w:tabs>
      <w:ind w:left="1050" w:leftChars="500"/>
    </w:pPr>
    <w:rPr>
      <w:rFonts w:ascii="Calibri" w:hAnsi="Calibri" w:cs="Calibri"/>
    </w:rPr>
  </w:style>
  <w:style w:type="paragraph" w:styleId="24">
    <w:name w:val="toc 3"/>
    <w:basedOn w:val="1"/>
    <w:next w:val="1"/>
    <w:semiHidden/>
    <w:qFormat/>
    <w:uiPriority w:val="99"/>
    <w:pPr>
      <w:ind w:left="840" w:leftChars="400"/>
    </w:pPr>
    <w:rPr>
      <w:rFonts w:ascii="Calibri" w:hAnsi="Calibri" w:cs="Calibri"/>
    </w:rPr>
  </w:style>
  <w:style w:type="paragraph" w:styleId="25">
    <w:name w:val="Plain Text"/>
    <w:basedOn w:val="1"/>
    <w:next w:val="1"/>
    <w:link w:val="78"/>
    <w:qFormat/>
    <w:uiPriority w:val="99"/>
    <w:rPr>
      <w:rFonts w:ascii="宋体" w:hAnsi="Courier New" w:cs="宋体"/>
    </w:rPr>
  </w:style>
  <w:style w:type="paragraph" w:styleId="26">
    <w:name w:val="toc 8"/>
    <w:basedOn w:val="1"/>
    <w:next w:val="1"/>
    <w:semiHidden/>
    <w:qFormat/>
    <w:uiPriority w:val="99"/>
    <w:pPr>
      <w:ind w:left="2940" w:leftChars="1400"/>
    </w:pPr>
    <w:rPr>
      <w:rFonts w:ascii="Calibri" w:hAnsi="Calibri" w:cs="Calibri"/>
    </w:rPr>
  </w:style>
  <w:style w:type="paragraph" w:styleId="27">
    <w:name w:val="Date"/>
    <w:basedOn w:val="1"/>
    <w:next w:val="1"/>
    <w:link w:val="79"/>
    <w:qFormat/>
    <w:uiPriority w:val="99"/>
    <w:rPr>
      <w:rFonts w:ascii="仿宋_GB2312" w:eastAsia="仿宋_GB2312" w:cs="仿宋_GB2312"/>
      <w:sz w:val="30"/>
      <w:szCs w:val="30"/>
    </w:rPr>
  </w:style>
  <w:style w:type="paragraph" w:styleId="28">
    <w:name w:val="Body Text Indent 2"/>
    <w:basedOn w:val="1"/>
    <w:link w:val="80"/>
    <w:qFormat/>
    <w:uiPriority w:val="99"/>
    <w:pPr>
      <w:spacing w:line="360" w:lineRule="exact"/>
      <w:ind w:firstLine="600" w:firstLineChars="250"/>
      <w:jc w:val="left"/>
    </w:pPr>
    <w:rPr>
      <w:sz w:val="24"/>
      <w:szCs w:val="24"/>
    </w:rPr>
  </w:style>
  <w:style w:type="paragraph" w:styleId="29">
    <w:name w:val="Balloon Text"/>
    <w:basedOn w:val="1"/>
    <w:link w:val="81"/>
    <w:semiHidden/>
    <w:qFormat/>
    <w:uiPriority w:val="99"/>
    <w:rPr>
      <w:sz w:val="18"/>
      <w:szCs w:val="18"/>
    </w:rPr>
  </w:style>
  <w:style w:type="paragraph" w:styleId="30">
    <w:name w:val="footer"/>
    <w:basedOn w:val="1"/>
    <w:link w:val="82"/>
    <w:qFormat/>
    <w:uiPriority w:val="99"/>
    <w:pPr>
      <w:tabs>
        <w:tab w:val="center" w:pos="4153"/>
        <w:tab w:val="right" w:pos="8306"/>
      </w:tabs>
      <w:snapToGrid w:val="0"/>
      <w:jc w:val="left"/>
    </w:pPr>
    <w:rPr>
      <w:sz w:val="18"/>
      <w:szCs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3">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4">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5"/>
    <w:semiHidden/>
    <w:qFormat/>
    <w:uiPriority w:val="99"/>
    <w:rPr>
      <w:sz w:val="20"/>
      <w:szCs w:val="20"/>
    </w:rPr>
  </w:style>
  <w:style w:type="paragraph" w:styleId="36">
    <w:name w:val="toc 6"/>
    <w:basedOn w:val="1"/>
    <w:next w:val="1"/>
    <w:semiHidden/>
    <w:qFormat/>
    <w:uiPriority w:val="99"/>
    <w:pPr>
      <w:ind w:left="2100" w:leftChars="1000"/>
    </w:pPr>
    <w:rPr>
      <w:rFonts w:ascii="Calibri" w:hAnsi="Calibri" w:cs="Calibri"/>
    </w:rPr>
  </w:style>
  <w:style w:type="paragraph" w:styleId="37">
    <w:name w:val="Body Text Indent 3"/>
    <w:basedOn w:val="1"/>
    <w:link w:val="86"/>
    <w:qFormat/>
    <w:uiPriority w:val="99"/>
    <w:pPr>
      <w:spacing w:after="120"/>
      <w:ind w:left="420" w:leftChars="200"/>
    </w:pPr>
    <w:rPr>
      <w:sz w:val="16"/>
      <w:szCs w:val="16"/>
    </w:rPr>
  </w:style>
  <w:style w:type="paragraph" w:styleId="38">
    <w:name w:val="table of figures"/>
    <w:basedOn w:val="1"/>
    <w:next w:val="1"/>
    <w:semiHidden/>
    <w:qFormat/>
    <w:uiPriority w:val="99"/>
    <w:pPr>
      <w:ind w:left="200" w:leftChars="200" w:hanging="200" w:hangingChars="200"/>
    </w:pPr>
  </w:style>
  <w:style w:type="paragraph" w:styleId="39">
    <w:name w:val="toc 2"/>
    <w:basedOn w:val="1"/>
    <w:next w:val="1"/>
    <w:semiHidden/>
    <w:qFormat/>
    <w:uiPriority w:val="99"/>
    <w:pPr>
      <w:ind w:left="420" w:leftChars="200"/>
    </w:pPr>
    <w:rPr>
      <w:rFonts w:ascii="宋体" w:cs="宋体"/>
      <w:b/>
      <w:bCs/>
      <w:sz w:val="28"/>
      <w:szCs w:val="28"/>
    </w:rPr>
  </w:style>
  <w:style w:type="paragraph" w:styleId="40">
    <w:name w:val="toc 9"/>
    <w:basedOn w:val="1"/>
    <w:next w:val="1"/>
    <w:semiHidden/>
    <w:qFormat/>
    <w:uiPriority w:val="99"/>
    <w:pPr>
      <w:ind w:left="3360" w:leftChars="1600"/>
    </w:pPr>
    <w:rPr>
      <w:rFonts w:ascii="Calibri" w:hAnsi="Calibri" w:cs="Calibri"/>
    </w:rPr>
  </w:style>
  <w:style w:type="paragraph" w:styleId="41">
    <w:name w:val="Body Text 2"/>
    <w:basedOn w:val="1"/>
    <w:link w:val="87"/>
    <w:qFormat/>
    <w:uiPriority w:val="99"/>
    <w:pPr>
      <w:spacing w:line="440" w:lineRule="exact"/>
    </w:pPr>
    <w:rPr>
      <w:sz w:val="28"/>
      <w:szCs w:val="28"/>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3">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4">
    <w:name w:val="annotation subject"/>
    <w:basedOn w:val="18"/>
    <w:next w:val="18"/>
    <w:link w:val="89"/>
    <w:semiHidden/>
    <w:qFormat/>
    <w:uiPriority w:val="99"/>
    <w:rPr>
      <w:rFonts w:ascii="宋体" w:cs="宋体"/>
      <w:b/>
      <w:bCs/>
      <w:kern w:val="0"/>
      <w:sz w:val="28"/>
      <w:szCs w:val="28"/>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6"/>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7"/>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8"/>
    <w:qFormat/>
    <w:locked/>
    <w:uiPriority w:val="99"/>
    <w:rPr>
      <w:rFonts w:eastAsia="宋体" w:cs="Times New Roman"/>
      <w:b/>
      <w:bCs/>
      <w:kern w:val="2"/>
      <w:sz w:val="32"/>
      <w:szCs w:val="32"/>
      <w:lang w:val="en-US" w:eastAsia="zh-CN"/>
    </w:rPr>
  </w:style>
  <w:style w:type="character" w:customStyle="1" w:styleId="67">
    <w:name w:val="Heading 4 Char"/>
    <w:basedOn w:val="47"/>
    <w:link w:val="9"/>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10"/>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11"/>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12"/>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13"/>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4"/>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7"/>
    <w:qFormat/>
    <w:locked/>
    <w:uiPriority w:val="99"/>
    <w:rPr>
      <w:rFonts w:cs="Times New Roman"/>
      <w:sz w:val="24"/>
      <w:szCs w:val="24"/>
      <w:shd w:val="clear" w:color="auto" w:fill="000080"/>
    </w:rPr>
  </w:style>
  <w:style w:type="character" w:customStyle="1" w:styleId="74">
    <w:name w:val="Comment Text Char"/>
    <w:basedOn w:val="47"/>
    <w:link w:val="18"/>
    <w:qFormat/>
    <w:locked/>
    <w:uiPriority w:val="99"/>
    <w:rPr>
      <w:rFonts w:cs="Times New Roman"/>
      <w:kern w:val="2"/>
      <w:sz w:val="22"/>
      <w:szCs w:val="22"/>
    </w:rPr>
  </w:style>
  <w:style w:type="character" w:customStyle="1" w:styleId="75">
    <w:name w:val="Body Text 3 Char"/>
    <w:basedOn w:val="47"/>
    <w:link w:val="19"/>
    <w:semiHidden/>
    <w:qFormat/>
    <w:locked/>
    <w:uiPriority w:val="99"/>
    <w:rPr>
      <w:rFonts w:cs="Times New Roman"/>
      <w:sz w:val="16"/>
      <w:szCs w:val="16"/>
    </w:rPr>
  </w:style>
  <w:style w:type="character" w:customStyle="1" w:styleId="76">
    <w:name w:val="Body Text Char"/>
    <w:basedOn w:val="47"/>
    <w:link w:val="20"/>
    <w:qFormat/>
    <w:locked/>
    <w:uiPriority w:val="99"/>
    <w:rPr>
      <w:rFonts w:eastAsia="宋体" w:cs="Times New Roman"/>
      <w:b/>
      <w:bCs/>
      <w:kern w:val="2"/>
      <w:sz w:val="44"/>
      <w:szCs w:val="44"/>
      <w:lang w:val="en-US" w:eastAsia="zh-CN"/>
    </w:rPr>
  </w:style>
  <w:style w:type="character" w:customStyle="1" w:styleId="77">
    <w:name w:val="Body Text Indent Char"/>
    <w:basedOn w:val="47"/>
    <w:link w:val="3"/>
    <w:semiHidden/>
    <w:qFormat/>
    <w:locked/>
    <w:uiPriority w:val="99"/>
    <w:rPr>
      <w:rFonts w:cs="Times New Roman"/>
      <w:sz w:val="21"/>
      <w:szCs w:val="21"/>
    </w:rPr>
  </w:style>
  <w:style w:type="character" w:customStyle="1" w:styleId="78">
    <w:name w:val="Plain Text Char"/>
    <w:basedOn w:val="47"/>
    <w:link w:val="25"/>
    <w:semiHidden/>
    <w:qFormat/>
    <w:locked/>
    <w:uiPriority w:val="99"/>
    <w:rPr>
      <w:rFonts w:ascii="宋体" w:hAnsi="Courier New" w:cs="Courier New"/>
      <w:sz w:val="21"/>
      <w:szCs w:val="21"/>
    </w:rPr>
  </w:style>
  <w:style w:type="character" w:customStyle="1" w:styleId="79">
    <w:name w:val="Date Char"/>
    <w:basedOn w:val="47"/>
    <w:link w:val="27"/>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8"/>
    <w:semiHidden/>
    <w:qFormat/>
    <w:locked/>
    <w:uiPriority w:val="99"/>
    <w:rPr>
      <w:rFonts w:cs="Times New Roman"/>
      <w:sz w:val="21"/>
      <w:szCs w:val="21"/>
    </w:rPr>
  </w:style>
  <w:style w:type="character" w:customStyle="1" w:styleId="81">
    <w:name w:val="Balloon Text Char"/>
    <w:basedOn w:val="47"/>
    <w:link w:val="29"/>
    <w:semiHidden/>
    <w:qFormat/>
    <w:locked/>
    <w:uiPriority w:val="99"/>
    <w:rPr>
      <w:rFonts w:cs="Times New Roman"/>
      <w:sz w:val="2"/>
    </w:rPr>
  </w:style>
  <w:style w:type="character" w:customStyle="1" w:styleId="82">
    <w:name w:val="Footer Char"/>
    <w:basedOn w:val="47"/>
    <w:link w:val="30"/>
    <w:qFormat/>
    <w:locked/>
    <w:uiPriority w:val="99"/>
    <w:rPr>
      <w:rFonts w:eastAsia="宋体" w:cs="Times New Roman"/>
      <w:kern w:val="2"/>
      <w:sz w:val="18"/>
      <w:szCs w:val="18"/>
      <w:lang w:val="en-US" w:eastAsia="zh-CN"/>
    </w:rPr>
  </w:style>
  <w:style w:type="character" w:customStyle="1" w:styleId="83">
    <w:name w:val="Header Char"/>
    <w:basedOn w:val="47"/>
    <w:link w:val="31"/>
    <w:qFormat/>
    <w:locked/>
    <w:uiPriority w:val="99"/>
    <w:rPr>
      <w:rFonts w:eastAsia="宋体" w:cs="Times New Roman"/>
      <w:kern w:val="2"/>
      <w:sz w:val="18"/>
      <w:szCs w:val="18"/>
      <w:lang w:val="en-US" w:eastAsia="zh-CN"/>
    </w:rPr>
  </w:style>
  <w:style w:type="character" w:customStyle="1" w:styleId="84">
    <w:name w:val="Subtitle Char"/>
    <w:basedOn w:val="47"/>
    <w:link w:val="34"/>
    <w:qFormat/>
    <w:locked/>
    <w:uiPriority w:val="99"/>
    <w:rPr>
      <w:rFonts w:ascii="Cambria" w:hAnsi="Cambria" w:cs="Cambria"/>
      <w:b/>
      <w:bCs/>
      <w:kern w:val="28"/>
      <w:sz w:val="32"/>
      <w:szCs w:val="32"/>
    </w:rPr>
  </w:style>
  <w:style w:type="character" w:customStyle="1" w:styleId="85">
    <w:name w:val="Footnote Text Char"/>
    <w:basedOn w:val="47"/>
    <w:link w:val="35"/>
    <w:semiHidden/>
    <w:qFormat/>
    <w:locked/>
    <w:uiPriority w:val="99"/>
    <w:rPr>
      <w:rFonts w:cs="Times New Roman"/>
      <w:sz w:val="18"/>
      <w:szCs w:val="18"/>
    </w:rPr>
  </w:style>
  <w:style w:type="character" w:customStyle="1" w:styleId="86">
    <w:name w:val="Body Text Indent 3 Char"/>
    <w:basedOn w:val="47"/>
    <w:link w:val="37"/>
    <w:semiHidden/>
    <w:qFormat/>
    <w:locked/>
    <w:uiPriority w:val="99"/>
    <w:rPr>
      <w:rFonts w:cs="Times New Roman"/>
      <w:sz w:val="16"/>
      <w:szCs w:val="16"/>
    </w:rPr>
  </w:style>
  <w:style w:type="character" w:customStyle="1" w:styleId="87">
    <w:name w:val="Body Text 2 Char"/>
    <w:basedOn w:val="47"/>
    <w:link w:val="41"/>
    <w:semiHidden/>
    <w:qFormat/>
    <w:locked/>
    <w:uiPriority w:val="99"/>
    <w:rPr>
      <w:rFonts w:cs="Times New Roman"/>
      <w:sz w:val="21"/>
      <w:szCs w:val="21"/>
    </w:rPr>
  </w:style>
  <w:style w:type="character" w:customStyle="1" w:styleId="88">
    <w:name w:val="Title Char"/>
    <w:basedOn w:val="47"/>
    <w:link w:val="43"/>
    <w:qFormat/>
    <w:locked/>
    <w:uiPriority w:val="99"/>
    <w:rPr>
      <w:rFonts w:ascii="Cambria" w:hAnsi="Cambria" w:cs="Cambria"/>
      <w:b/>
      <w:bCs/>
      <w:kern w:val="2"/>
      <w:sz w:val="32"/>
      <w:szCs w:val="32"/>
    </w:rPr>
  </w:style>
  <w:style w:type="character" w:customStyle="1" w:styleId="89">
    <w:name w:val="Comment Subject Char"/>
    <w:basedOn w:val="74"/>
    <w:link w:val="44"/>
    <w:qFormat/>
    <w:locked/>
    <w:uiPriority w:val="99"/>
    <w:rPr>
      <w:rFonts w:ascii="宋体" w:cs="宋体"/>
      <w:b/>
      <w:bCs/>
      <w:sz w:val="28"/>
      <w:szCs w:val="28"/>
    </w:rPr>
  </w:style>
  <w:style w:type="character" w:customStyle="1" w:styleId="90">
    <w:name w:val="Body Text First Indent 2 Char"/>
    <w:basedOn w:val="77"/>
    <w:link w:val="2"/>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7"/>
    <w:next w:val="22"/>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8"/>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8"/>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8"/>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8"/>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8"/>
    <w:qFormat/>
    <w:uiPriority w:val="99"/>
    <w:pPr>
      <w:spacing w:line="413" w:lineRule="auto"/>
    </w:pPr>
  </w:style>
  <w:style w:type="paragraph" w:customStyle="1" w:styleId="134">
    <w:name w:val="TOC 标题1"/>
    <w:basedOn w:val="6"/>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6"/>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7"/>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7"/>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8"/>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status"/>
    <w:basedOn w:val="47"/>
    <w:qFormat/>
    <w:uiPriority w:val="0"/>
    <w:rPr>
      <w:color w:val="0776DD"/>
    </w:rPr>
  </w:style>
  <w:style w:type="character" w:customStyle="1" w:styleId="159">
    <w:name w:val="time"/>
    <w:basedOn w:val="4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56</Pages>
  <Words>9813</Words>
  <Characters>11164</Characters>
  <Lines>0</Lines>
  <Paragraphs>0</Paragraphs>
  <TotalTime>13</TotalTime>
  <ScaleCrop>false</ScaleCrop>
  <LinksUpToDate>false</LinksUpToDate>
  <CharactersWithSpaces>11316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这不科学</cp:lastModifiedBy>
  <cp:lastPrinted>2025-06-09T05:49:00Z</cp:lastPrinted>
  <dcterms:modified xsi:type="dcterms:W3CDTF">2025-08-26T10:28:51Z</dcterms:modified>
  <dc:title>创业园小区9#楼工程施工</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9CFEE953F2184222AB867545202810F6_13</vt:lpwstr>
  </property>
  <property fmtid="{D5CDD505-2E9C-101B-9397-08002B2CF9AE}" pid="4" name="KSOTemplateDocerSaveRecord">
    <vt:lpwstr>eyJoZGlkIjoiZmI5ZDY5ZDNjMmE2ZDcxYTFkMDY0Zjg5Mjg3YTE0YTgiLCJ1c2VySWQiOiI1MDM3MjkwOTMifQ==</vt:lpwstr>
  </property>
</Properties>
</file>